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1746B">
      <w:pPr>
        <w:rPr>
          <w:rFonts w:hint="default" w:ascii="Times New Roman" w:hAnsi="Times New Roman" w:eastAsia="宋体" w:cs="Times New Roman"/>
          <w:snapToGrid w:val="0"/>
          <w:color w:val="auto"/>
          <w:kern w:val="0"/>
          <w:sz w:val="44"/>
          <w:szCs w:val="44"/>
          <w:lang w:val="en-US" w:eastAsia="zh-CN" w:bidi="ar-SA"/>
        </w:rPr>
        <w:sectPr>
          <w:pgSz w:w="11906" w:h="16838"/>
          <w:pgMar w:top="1440" w:right="1800" w:bottom="1440" w:left="1800" w:header="851" w:footer="992" w:gutter="0"/>
          <w:cols w:space="425" w:num="1"/>
          <w:docGrid w:type="lines" w:linePitch="312" w:charSpace="0"/>
        </w:sectPr>
      </w:pPr>
      <w:bookmarkStart w:id="0" w:name="_Toc31145"/>
      <w:r>
        <w:drawing>
          <wp:anchor distT="0" distB="0" distL="114300" distR="114300" simplePos="0" relativeHeight="251671552" behindDoc="0" locked="0" layoutInCell="1" allowOverlap="1">
            <wp:simplePos x="0" y="0"/>
            <wp:positionH relativeFrom="column">
              <wp:posOffset>-1047750</wp:posOffset>
            </wp:positionH>
            <wp:positionV relativeFrom="paragraph">
              <wp:posOffset>-841375</wp:posOffset>
            </wp:positionV>
            <wp:extent cx="7430770" cy="10659745"/>
            <wp:effectExtent l="0" t="0" r="17780" b="8255"/>
            <wp:wrapSquare wrapText="bothSides"/>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4"/>
                    <a:stretch>
                      <a:fillRect/>
                    </a:stretch>
                  </pic:blipFill>
                  <pic:spPr>
                    <a:xfrm>
                      <a:off x="0" y="0"/>
                      <a:ext cx="7430770" cy="10659745"/>
                    </a:xfrm>
                    <a:prstGeom prst="rect">
                      <a:avLst/>
                    </a:prstGeom>
                    <a:noFill/>
                    <a:ln>
                      <a:noFill/>
                    </a:ln>
                  </pic:spPr>
                </pic:pic>
              </a:graphicData>
            </a:graphic>
          </wp:anchor>
        </w:drawing>
      </w:r>
    </w:p>
    <w:p w14:paraId="78BA6144">
      <w:pPr>
        <w:rPr>
          <w:rFonts w:hint="default" w:ascii="Times New Roman" w:hAnsi="Times New Roman" w:eastAsia="宋体" w:cs="Times New Roman"/>
          <w:snapToGrid w:val="0"/>
          <w:color w:val="auto"/>
          <w:kern w:val="0"/>
          <w:sz w:val="44"/>
          <w:szCs w:val="44"/>
          <w:lang w:val="en-US" w:eastAsia="zh-CN" w:bidi="ar-SA"/>
        </w:rPr>
      </w:pPr>
      <w:r>
        <w:rPr>
          <w:rFonts w:hint="default" w:ascii="Times New Roman" w:hAnsi="Times New Roman" w:eastAsia="宋体" w:cs="Times New Roman"/>
          <w:snapToGrid w:val="0"/>
          <w:color w:val="auto"/>
          <w:kern w:val="0"/>
          <w:sz w:val="44"/>
          <w:szCs w:val="44"/>
          <w:lang w:val="en-US" w:eastAsia="zh-CN" w:bidi="ar-SA"/>
        </w:rPr>
        <w:drawing>
          <wp:anchor distT="0" distB="0" distL="114300" distR="114300" simplePos="0" relativeHeight="251660288" behindDoc="0" locked="0" layoutInCell="1" allowOverlap="1">
            <wp:simplePos x="0" y="0"/>
            <wp:positionH relativeFrom="column">
              <wp:posOffset>-1080135</wp:posOffset>
            </wp:positionH>
            <wp:positionV relativeFrom="paragraph">
              <wp:posOffset>-845820</wp:posOffset>
            </wp:positionV>
            <wp:extent cx="7602220" cy="10455910"/>
            <wp:effectExtent l="0" t="0" r="17780" b="2540"/>
            <wp:wrapSquare wrapText="bothSides"/>
            <wp:docPr id="11" name="图片 11" descr="67dd38920f643c8e6c0671de2a69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7dd38920f643c8e6c0671de2a69faa"/>
                    <pic:cNvPicPr>
                      <a:picLocks noChangeAspect="1"/>
                    </pic:cNvPicPr>
                  </pic:nvPicPr>
                  <pic:blipFill>
                    <a:blip r:embed="rId5"/>
                    <a:stretch>
                      <a:fillRect/>
                    </a:stretch>
                  </pic:blipFill>
                  <pic:spPr>
                    <a:xfrm>
                      <a:off x="0" y="0"/>
                      <a:ext cx="7602220" cy="10455910"/>
                    </a:xfrm>
                    <a:prstGeom prst="rect">
                      <a:avLst/>
                    </a:prstGeom>
                  </pic:spPr>
                </pic:pic>
              </a:graphicData>
            </a:graphic>
          </wp:anchor>
        </w:drawing>
      </w:r>
      <w:r>
        <w:rPr>
          <w:rFonts w:hint="default" w:ascii="Times New Roman" w:hAnsi="Times New Roman" w:eastAsia="宋体" w:cs="Times New Roman"/>
          <w:snapToGrid w:val="0"/>
          <w:color w:val="auto"/>
          <w:kern w:val="0"/>
          <w:sz w:val="44"/>
          <w:szCs w:val="44"/>
          <w:lang w:val="en-US" w:eastAsia="zh-CN" w:bidi="ar-SA"/>
        </w:rPr>
        <w:br w:type="page"/>
      </w:r>
    </w:p>
    <w:p w14:paraId="2702DB36">
      <w:pPr>
        <w:rPr>
          <w:rFonts w:hint="default" w:ascii="Times New Roman" w:hAnsi="Times New Roman" w:eastAsia="宋体" w:cs="Times New Roman"/>
          <w:snapToGrid w:val="0"/>
          <w:color w:val="auto"/>
          <w:kern w:val="0"/>
          <w:sz w:val="44"/>
          <w:szCs w:val="44"/>
          <w:lang w:val="en-US" w:eastAsia="zh-CN" w:bidi="ar-SA"/>
        </w:rPr>
      </w:pPr>
      <w:r>
        <w:drawing>
          <wp:anchor distT="0" distB="0" distL="114300" distR="114300" simplePos="0" relativeHeight="251661312" behindDoc="0" locked="0" layoutInCell="1" allowOverlap="1">
            <wp:simplePos x="0" y="0"/>
            <wp:positionH relativeFrom="column">
              <wp:posOffset>-1181100</wp:posOffset>
            </wp:positionH>
            <wp:positionV relativeFrom="paragraph">
              <wp:posOffset>-853440</wp:posOffset>
            </wp:positionV>
            <wp:extent cx="7591425" cy="10639425"/>
            <wp:effectExtent l="0" t="0" r="9525" b="9525"/>
            <wp:wrapTopAndBottom/>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
                    <a:stretch>
                      <a:fillRect/>
                    </a:stretch>
                  </pic:blipFill>
                  <pic:spPr>
                    <a:xfrm>
                      <a:off x="0" y="0"/>
                      <a:ext cx="7591425" cy="10639425"/>
                    </a:xfrm>
                    <a:prstGeom prst="rect">
                      <a:avLst/>
                    </a:prstGeom>
                    <a:noFill/>
                    <a:ln>
                      <a:noFill/>
                    </a:ln>
                  </pic:spPr>
                </pic:pic>
              </a:graphicData>
            </a:graphic>
          </wp:anchor>
        </w:drawing>
      </w:r>
      <w:r>
        <w:rPr>
          <w:rFonts w:hint="default" w:ascii="Times New Roman" w:hAnsi="Times New Roman" w:eastAsia="宋体" w:cs="Times New Roman"/>
          <w:snapToGrid w:val="0"/>
          <w:color w:val="auto"/>
          <w:kern w:val="0"/>
          <w:sz w:val="44"/>
          <w:szCs w:val="44"/>
          <w:lang w:val="en-US" w:eastAsia="zh-CN" w:bidi="ar-SA"/>
        </w:rPr>
        <w:br w:type="page"/>
      </w:r>
    </w:p>
    <w:p w14:paraId="31378A85">
      <w:pPr>
        <w:rPr>
          <w:rFonts w:hint="default" w:ascii="Times New Roman" w:hAnsi="Times New Roman" w:eastAsia="宋体" w:cs="Times New Roman"/>
          <w:snapToGrid w:val="0"/>
          <w:color w:val="auto"/>
          <w:kern w:val="0"/>
          <w:sz w:val="44"/>
          <w:szCs w:val="44"/>
          <w:lang w:val="en-US" w:eastAsia="zh-CN" w:bidi="ar-SA"/>
        </w:rPr>
      </w:pPr>
      <w:r>
        <w:drawing>
          <wp:anchor distT="0" distB="0" distL="114300" distR="114300" simplePos="0" relativeHeight="251664384" behindDoc="0" locked="0" layoutInCell="1" allowOverlap="1">
            <wp:simplePos x="0" y="0"/>
            <wp:positionH relativeFrom="column">
              <wp:posOffset>-2740025</wp:posOffset>
            </wp:positionH>
            <wp:positionV relativeFrom="paragraph">
              <wp:posOffset>682625</wp:posOffset>
            </wp:positionV>
            <wp:extent cx="10702290" cy="7508240"/>
            <wp:effectExtent l="0" t="0" r="16510" b="3810"/>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7"/>
                    <a:stretch>
                      <a:fillRect/>
                    </a:stretch>
                  </pic:blipFill>
                  <pic:spPr>
                    <a:xfrm rot="16200000">
                      <a:off x="0" y="0"/>
                      <a:ext cx="10702290" cy="7508240"/>
                    </a:xfrm>
                    <a:prstGeom prst="rect">
                      <a:avLst/>
                    </a:prstGeom>
                    <a:noFill/>
                    <a:ln>
                      <a:noFill/>
                    </a:ln>
                  </pic:spPr>
                </pic:pic>
              </a:graphicData>
            </a:graphic>
          </wp:anchor>
        </w:drawing>
      </w:r>
      <w:r>
        <w:rPr>
          <w:rFonts w:hint="default" w:ascii="Times New Roman" w:hAnsi="Times New Roman" w:eastAsia="宋体" w:cs="Times New Roman"/>
          <w:snapToGrid w:val="0"/>
          <w:color w:val="auto"/>
          <w:kern w:val="0"/>
          <w:sz w:val="44"/>
          <w:szCs w:val="44"/>
          <w:lang w:val="en-US" w:eastAsia="zh-CN" w:bidi="ar-SA"/>
        </w:rPr>
        <w:br w:type="page"/>
      </w:r>
    </w:p>
    <w:p w14:paraId="62F79156">
      <w:pPr>
        <w:rPr>
          <w:rFonts w:hint="default" w:ascii="Times New Roman" w:hAnsi="Times New Roman" w:eastAsia="宋体" w:cs="Times New Roman"/>
          <w:snapToGrid w:val="0"/>
          <w:color w:val="auto"/>
          <w:kern w:val="0"/>
          <w:sz w:val="44"/>
          <w:szCs w:val="44"/>
          <w:lang w:val="en-US" w:eastAsia="zh-CN" w:bidi="ar-SA"/>
        </w:rPr>
      </w:pPr>
      <w:r>
        <w:drawing>
          <wp:anchor distT="0" distB="0" distL="114300" distR="114300" simplePos="0" relativeHeight="251662336" behindDoc="0" locked="0" layoutInCell="1" allowOverlap="1">
            <wp:simplePos x="0" y="0"/>
            <wp:positionH relativeFrom="column">
              <wp:posOffset>-2537460</wp:posOffset>
            </wp:positionH>
            <wp:positionV relativeFrom="paragraph">
              <wp:posOffset>1093470</wp:posOffset>
            </wp:positionV>
            <wp:extent cx="10655300" cy="7604125"/>
            <wp:effectExtent l="0" t="0" r="15875" b="12700"/>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8"/>
                    <a:stretch>
                      <a:fillRect/>
                    </a:stretch>
                  </pic:blipFill>
                  <pic:spPr>
                    <a:xfrm rot="16200000">
                      <a:off x="0" y="0"/>
                      <a:ext cx="10655300" cy="7604125"/>
                    </a:xfrm>
                    <a:prstGeom prst="rect">
                      <a:avLst/>
                    </a:prstGeom>
                    <a:noFill/>
                    <a:ln>
                      <a:noFill/>
                    </a:ln>
                  </pic:spPr>
                </pic:pic>
              </a:graphicData>
            </a:graphic>
          </wp:anchor>
        </w:drawing>
      </w:r>
      <w:r>
        <w:rPr>
          <w:rFonts w:hint="default" w:ascii="Times New Roman" w:hAnsi="Times New Roman" w:eastAsia="宋体" w:cs="Times New Roman"/>
          <w:snapToGrid w:val="0"/>
          <w:color w:val="auto"/>
          <w:kern w:val="0"/>
          <w:sz w:val="44"/>
          <w:szCs w:val="44"/>
          <w:lang w:val="en-US" w:eastAsia="zh-CN" w:bidi="ar-SA"/>
        </w:rPr>
        <w:br w:type="page"/>
      </w:r>
    </w:p>
    <w:p w14:paraId="708B4F7F">
      <w:pPr>
        <w:rPr>
          <w:rFonts w:hint="default" w:ascii="Times New Roman" w:hAnsi="Times New Roman" w:eastAsia="宋体" w:cs="Times New Roman"/>
          <w:snapToGrid w:val="0"/>
          <w:color w:val="auto"/>
          <w:kern w:val="0"/>
          <w:sz w:val="44"/>
          <w:szCs w:val="44"/>
          <w:lang w:val="en-US" w:eastAsia="zh-CN" w:bidi="ar-SA"/>
        </w:rPr>
      </w:pPr>
      <w:r>
        <w:drawing>
          <wp:anchor distT="0" distB="0" distL="114300" distR="114300" simplePos="0" relativeHeight="251663360" behindDoc="0" locked="0" layoutInCell="1" allowOverlap="1">
            <wp:simplePos x="0" y="0"/>
            <wp:positionH relativeFrom="column">
              <wp:posOffset>-2638425</wp:posOffset>
            </wp:positionH>
            <wp:positionV relativeFrom="paragraph">
              <wp:posOffset>600075</wp:posOffset>
            </wp:positionV>
            <wp:extent cx="10645140" cy="7616190"/>
            <wp:effectExtent l="0" t="0" r="3810" b="3810"/>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rot="16200000">
                      <a:off x="0" y="0"/>
                      <a:ext cx="10645140" cy="7616190"/>
                    </a:xfrm>
                    <a:prstGeom prst="rect">
                      <a:avLst/>
                    </a:prstGeom>
                    <a:noFill/>
                    <a:ln>
                      <a:noFill/>
                    </a:ln>
                  </pic:spPr>
                </pic:pic>
              </a:graphicData>
            </a:graphic>
          </wp:anchor>
        </w:drawing>
      </w:r>
      <w:r>
        <w:rPr>
          <w:rFonts w:hint="default" w:ascii="Times New Roman" w:hAnsi="Times New Roman" w:eastAsia="宋体" w:cs="Times New Roman"/>
          <w:snapToGrid w:val="0"/>
          <w:color w:val="auto"/>
          <w:kern w:val="0"/>
          <w:sz w:val="44"/>
          <w:szCs w:val="44"/>
          <w:lang w:val="en-US" w:eastAsia="zh-CN" w:bidi="ar-SA"/>
        </w:rPr>
        <w:br w:type="page"/>
      </w:r>
    </w:p>
    <w:p w14:paraId="3245DD2E">
      <w:pPr>
        <w:pStyle w:val="21"/>
        <w:jc w:val="center"/>
        <w:outlineLvl w:val="0"/>
        <w:rPr>
          <w:rFonts w:hint="default" w:ascii="Times New Roman" w:hAnsi="Times New Roman" w:eastAsia="仿宋_GB2312" w:cs="Times New Roman"/>
          <w:snapToGrid w:val="0"/>
          <w:color w:val="auto"/>
          <w:kern w:val="0"/>
          <w:sz w:val="44"/>
          <w:szCs w:val="44"/>
          <w:lang w:val="en-US" w:eastAsia="zh-CN" w:bidi="ar-SA"/>
        </w:rPr>
      </w:pPr>
      <w:r>
        <w:rPr>
          <w:rFonts w:hint="default" w:ascii="Times New Roman" w:hAnsi="Times New Roman" w:eastAsia="仿宋_GB2312" w:cs="Times New Roman"/>
          <w:snapToGrid w:val="0"/>
          <w:color w:val="auto"/>
          <w:kern w:val="0"/>
          <w:sz w:val="44"/>
          <w:szCs w:val="44"/>
          <w:lang w:val="en-US" w:eastAsia="zh-CN" w:bidi="ar-SA"/>
        </w:rPr>
        <w:t>目录</w:t>
      </w:r>
      <w:bookmarkEnd w:id="0"/>
    </w:p>
    <w:p w14:paraId="6450723B">
      <w:pPr>
        <w:tabs>
          <w:tab w:val="left" w:pos="3480"/>
          <w:tab w:val="center" w:pos="4153"/>
        </w:tabs>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snapToGrid w:val="0"/>
          <w:color w:val="auto"/>
          <w:sz w:val="24"/>
        </w:rPr>
        <w:tab/>
      </w:r>
      <w:r>
        <w:rPr>
          <w:rFonts w:hint="default" w:ascii="Times New Roman" w:hAnsi="Times New Roman" w:eastAsia="仿宋_GB2312" w:cs="Times New Roman"/>
          <w:snapToGrid w:val="0"/>
          <w:color w:val="auto"/>
          <w:sz w:val="24"/>
        </w:rPr>
        <w:tab/>
      </w:r>
      <w:r>
        <w:rPr>
          <w:rFonts w:hint="default" w:ascii="Times New Roman" w:hAnsi="Times New Roman" w:eastAsia="仿宋_GB2312" w:cs="Times New Roman"/>
          <w:snapToGrid w:val="0"/>
          <w:color w:val="auto"/>
          <w:sz w:val="24"/>
        </w:rPr>
        <w:fldChar w:fldCharType="begin"/>
      </w:r>
      <w:r>
        <w:rPr>
          <w:rFonts w:hint="default" w:ascii="Times New Roman" w:hAnsi="Times New Roman" w:eastAsia="仿宋_GB2312" w:cs="Times New Roman"/>
          <w:snapToGrid w:val="0"/>
          <w:color w:val="auto"/>
          <w:sz w:val="24"/>
        </w:rPr>
        <w:instrText xml:space="preserve">TOC \o "1-1" \h \u </w:instrText>
      </w:r>
      <w:r>
        <w:rPr>
          <w:rFonts w:hint="default" w:ascii="Times New Roman" w:hAnsi="Times New Roman" w:eastAsia="仿宋_GB2312" w:cs="Times New Roman"/>
          <w:snapToGrid w:val="0"/>
          <w:color w:val="auto"/>
          <w:sz w:val="24"/>
        </w:rPr>
        <w:fldChar w:fldCharType="separate"/>
      </w:r>
    </w:p>
    <w:p w14:paraId="40D1A319">
      <w:pPr>
        <w:pStyle w:val="32"/>
        <w:tabs>
          <w:tab w:val="right" w:leader="dot" w:pos="8306"/>
        </w:tabs>
        <w:spacing w:line="48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"_Toc6194"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snapToGrid w:val="0"/>
          <w:color w:val="auto"/>
          <w:sz w:val="32"/>
          <w:szCs w:val="32"/>
        </w:rPr>
        <w:t>一、建设项目基本情况</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_Toc6194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14:paraId="3EA593A6">
      <w:pPr>
        <w:pStyle w:val="32"/>
        <w:tabs>
          <w:tab w:val="right" w:leader="dot" w:pos="8306"/>
        </w:tabs>
        <w:spacing w:line="48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"_Toc17013"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snapToGrid w:val="0"/>
          <w:color w:val="auto"/>
          <w:sz w:val="32"/>
          <w:szCs w:val="32"/>
        </w:rPr>
        <w:t>二、建设项目工程分析</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_Toc17013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11</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14:paraId="08B5F1A4">
      <w:pPr>
        <w:pStyle w:val="32"/>
        <w:tabs>
          <w:tab w:val="right" w:leader="dot" w:pos="8306"/>
        </w:tabs>
        <w:spacing w:line="48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"_Toc28161"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snapToGrid w:val="0"/>
          <w:color w:val="auto"/>
          <w:sz w:val="32"/>
          <w:szCs w:val="32"/>
        </w:rPr>
        <w:t>三、区域环境质量现状、环境保护目标及评价标准</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_Toc28161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18</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14:paraId="6156C613">
      <w:pPr>
        <w:pStyle w:val="32"/>
        <w:tabs>
          <w:tab w:val="right" w:leader="dot" w:pos="8306"/>
        </w:tabs>
        <w:spacing w:line="48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"_Toc30862"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snapToGrid w:val="0"/>
          <w:color w:val="auto"/>
          <w:sz w:val="32"/>
          <w:szCs w:val="32"/>
        </w:rPr>
        <w:t>四、主要环境影响和保护措施</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_Toc30862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23</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14:paraId="03DF6CD3">
      <w:pPr>
        <w:pStyle w:val="32"/>
        <w:tabs>
          <w:tab w:val="right" w:leader="dot" w:pos="8306"/>
        </w:tabs>
        <w:spacing w:line="48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"_Toc19657"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snapToGrid w:val="0"/>
          <w:color w:val="auto"/>
          <w:sz w:val="32"/>
          <w:szCs w:val="32"/>
        </w:rPr>
        <w:t>五、环境保护措施监督检查清单</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_Toc19657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45</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14:paraId="295ADD46">
      <w:pPr>
        <w:pStyle w:val="32"/>
        <w:tabs>
          <w:tab w:val="right" w:leader="dot" w:pos="8306"/>
        </w:tabs>
        <w:spacing w:line="480" w:lineRule="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"_Toc25129"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snapToGrid w:val="0"/>
          <w:color w:val="auto"/>
          <w:sz w:val="32"/>
          <w:szCs w:val="32"/>
        </w:rPr>
        <w:t>六、结论</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_Toc25129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47</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14:paraId="29DB51FF">
      <w:pPr>
        <w:adjustRightInd w:val="0"/>
        <w:snapToGrid w:val="0"/>
        <w:spacing w:line="288" w:lineRule="auto"/>
        <w:jc w:val="center"/>
        <w:rPr>
          <w:rFonts w:hint="eastAsia" w:ascii="Times New Roman" w:hAnsi="Times New Roman" w:eastAsia="楷体_GB2312"/>
          <w:color w:val="auto"/>
          <w:sz w:val="36"/>
          <w:szCs w:val="36"/>
        </w:rPr>
      </w:pPr>
      <w:r>
        <w:rPr>
          <w:rFonts w:hint="default" w:ascii="Times New Roman" w:hAnsi="Times New Roman" w:eastAsia="仿宋_GB2312" w:cs="Times New Roman"/>
          <w:snapToGrid w:val="0"/>
          <w:color w:val="auto"/>
          <w:szCs w:val="24"/>
        </w:rPr>
        <w:fldChar w:fldCharType="end"/>
      </w:r>
    </w:p>
    <w:p w14:paraId="49B1FE3D">
      <w:pPr>
        <w:sectPr>
          <w:pgSz w:w="11906" w:h="16838"/>
          <w:pgMar w:top="1440" w:right="1800" w:bottom="1440" w:left="1800" w:header="851" w:footer="992" w:gutter="0"/>
          <w:cols w:space="425" w:num="1"/>
          <w:docGrid w:type="lines" w:linePitch="312" w:charSpace="0"/>
        </w:sectPr>
      </w:pPr>
    </w:p>
    <w:p w14:paraId="10126FCA">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jc w:val="center"/>
        <w:textAlignment w:val="auto"/>
        <w:outlineLvl w:val="0"/>
        <w:rPr>
          <w:rFonts w:ascii="Times New Roman" w:hAnsi="Times New Roman" w:eastAsia="黑体"/>
          <w:snapToGrid w:val="0"/>
          <w:color w:val="auto"/>
          <w:sz w:val="30"/>
          <w:szCs w:val="30"/>
        </w:rPr>
      </w:pPr>
      <w:bookmarkStart w:id="1" w:name="_Toc6194"/>
      <w:r>
        <w:rPr>
          <w:rFonts w:hint="eastAsia" w:ascii="Times New Roman" w:hAnsi="Times New Roman" w:eastAsia="黑体"/>
          <w:snapToGrid w:val="0"/>
          <w:color w:val="auto"/>
          <w:sz w:val="30"/>
          <w:szCs w:val="30"/>
        </w:rPr>
        <w:t>一、建设项目基本情况</w:t>
      </w:r>
      <w:bookmarkEnd w:id="1"/>
    </w:p>
    <w:tbl>
      <w:tblPr>
        <w:tblStyle w:val="24"/>
        <w:tblW w:w="888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53"/>
        <w:gridCol w:w="2466"/>
        <w:gridCol w:w="84"/>
        <w:gridCol w:w="1573"/>
        <w:gridCol w:w="7"/>
        <w:gridCol w:w="3200"/>
      </w:tblGrid>
      <w:tr w14:paraId="0B52B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1AE784D4">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建设项目名称</w:t>
            </w:r>
          </w:p>
        </w:tc>
        <w:tc>
          <w:tcPr>
            <w:tcW w:w="7330" w:type="dxa"/>
            <w:gridSpan w:val="5"/>
            <w:tcBorders>
              <w:tl2br w:val="nil"/>
              <w:tr2bl w:val="nil"/>
            </w:tcBorders>
            <w:vAlign w:val="center"/>
          </w:tcPr>
          <w:p w14:paraId="68BBB00C">
            <w:pPr>
              <w:spacing w:line="240" w:lineRule="auto"/>
              <w:jc w:val="center"/>
              <w:rPr>
                <w:rFonts w:cs="宋体"/>
                <w:color w:val="auto"/>
                <w:sz w:val="24"/>
                <w:szCs w:val="24"/>
              </w:rPr>
            </w:pPr>
            <w:r>
              <w:rPr>
                <w:rFonts w:hint="default" w:ascii="Times New Roman" w:hAnsi="Times New Roman" w:eastAsia="宋体" w:cs="Times New Roman"/>
                <w:sz w:val="24"/>
                <w:szCs w:val="24"/>
                <w:lang w:eastAsia="zh-CN"/>
              </w:rPr>
              <w:t>三强新型</w:t>
            </w:r>
            <w:r>
              <w:rPr>
                <w:rFonts w:hint="eastAsia" w:ascii="Times New Roman" w:hAnsi="Times New Roman" w:eastAsia="宋体" w:cs="Times New Roman"/>
                <w:sz w:val="24"/>
                <w:szCs w:val="24"/>
                <w:lang w:val="en-US" w:eastAsia="zh-CN"/>
              </w:rPr>
              <w:t>建筑材料生产线项目</w:t>
            </w:r>
          </w:p>
        </w:tc>
      </w:tr>
      <w:tr w14:paraId="48D89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67542734">
            <w:pPr>
              <w:adjustRightInd w:val="0"/>
              <w:snapToGrid w:val="0"/>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项目代码</w:t>
            </w:r>
          </w:p>
        </w:tc>
        <w:tc>
          <w:tcPr>
            <w:tcW w:w="7330" w:type="dxa"/>
            <w:gridSpan w:val="5"/>
            <w:tcBorders>
              <w:tl2br w:val="nil"/>
              <w:tr2bl w:val="nil"/>
            </w:tcBorders>
            <w:vAlign w:val="center"/>
          </w:tcPr>
          <w:p w14:paraId="18F1637C">
            <w:pPr>
              <w:adjustRightInd w:val="0"/>
              <w:snapToGrid w:val="0"/>
              <w:spacing w:line="240" w:lineRule="auto"/>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2308-611205-04-05-539123</w:t>
            </w:r>
          </w:p>
        </w:tc>
      </w:tr>
      <w:tr w14:paraId="23E5E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09E2B673">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建设单位联系人</w:t>
            </w:r>
          </w:p>
        </w:tc>
        <w:tc>
          <w:tcPr>
            <w:tcW w:w="2550" w:type="dxa"/>
            <w:gridSpan w:val="2"/>
            <w:tcBorders>
              <w:tl2br w:val="nil"/>
              <w:tr2bl w:val="nil"/>
            </w:tcBorders>
            <w:vAlign w:val="center"/>
          </w:tcPr>
          <w:p w14:paraId="770F7CAB">
            <w:pPr>
              <w:adjustRightInd w:val="0"/>
              <w:snapToGrid w:val="0"/>
              <w:spacing w:line="240" w:lineRule="auto"/>
              <w:jc w:val="center"/>
              <w:rPr>
                <w:rFonts w:hint="default" w:eastAsia="宋体" w:cs="宋体"/>
                <w:color w:val="auto"/>
                <w:sz w:val="24"/>
                <w:szCs w:val="24"/>
                <w:lang w:val="en-US" w:eastAsia="zh-CN"/>
              </w:rPr>
            </w:pPr>
            <w:r>
              <w:rPr>
                <w:rFonts w:hint="eastAsia" w:cs="宋体"/>
                <w:color w:val="auto"/>
                <w:sz w:val="24"/>
                <w:szCs w:val="24"/>
                <w:lang w:val="en-US" w:eastAsia="zh-CN"/>
              </w:rPr>
              <w:t>高桂军</w:t>
            </w:r>
          </w:p>
        </w:tc>
        <w:tc>
          <w:tcPr>
            <w:tcW w:w="1573" w:type="dxa"/>
            <w:tcBorders>
              <w:tl2br w:val="nil"/>
              <w:tr2bl w:val="nil"/>
            </w:tcBorders>
            <w:vAlign w:val="center"/>
          </w:tcPr>
          <w:p w14:paraId="7579AC75">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联系方式</w:t>
            </w:r>
          </w:p>
        </w:tc>
        <w:tc>
          <w:tcPr>
            <w:tcW w:w="3207" w:type="dxa"/>
            <w:gridSpan w:val="2"/>
            <w:tcBorders>
              <w:tl2br w:val="nil"/>
              <w:tr2bl w:val="nil"/>
            </w:tcBorders>
            <w:vAlign w:val="center"/>
          </w:tcPr>
          <w:p w14:paraId="445DB28D">
            <w:pPr>
              <w:adjustRightInd w:val="0"/>
              <w:snapToGrid w:val="0"/>
              <w:spacing w:line="240" w:lineRule="auto"/>
              <w:jc w:val="center"/>
              <w:rPr>
                <w:rFonts w:cs="宋体"/>
                <w:color w:val="auto"/>
                <w:sz w:val="24"/>
                <w:szCs w:val="24"/>
              </w:rPr>
            </w:pPr>
            <w:r>
              <w:rPr>
                <w:rFonts w:hint="eastAsia" w:ascii="Times New Roman" w:hAnsi="Times New Roman" w:eastAsia="宋体" w:cs="Times New Roman"/>
                <w:sz w:val="24"/>
                <w:szCs w:val="24"/>
                <w:lang w:val="en-US" w:eastAsia="zh-CN"/>
              </w:rPr>
              <w:t>18229078630</w:t>
            </w:r>
          </w:p>
        </w:tc>
      </w:tr>
      <w:tr w14:paraId="41B92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77D42A96">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建设地点</w:t>
            </w:r>
          </w:p>
        </w:tc>
        <w:tc>
          <w:tcPr>
            <w:tcW w:w="7330" w:type="dxa"/>
            <w:gridSpan w:val="5"/>
            <w:tcBorders>
              <w:tl2br w:val="nil"/>
              <w:tr2bl w:val="nil"/>
            </w:tcBorders>
            <w:vAlign w:val="center"/>
          </w:tcPr>
          <w:p w14:paraId="6D7EF727">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陕西省西咸新区沣西新城大王街办西宝路6号</w:t>
            </w:r>
          </w:p>
        </w:tc>
      </w:tr>
      <w:tr w14:paraId="6411F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0E911371">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地理坐标</w:t>
            </w:r>
          </w:p>
        </w:tc>
        <w:tc>
          <w:tcPr>
            <w:tcW w:w="7330" w:type="dxa"/>
            <w:gridSpan w:val="5"/>
            <w:tcBorders>
              <w:tl2br w:val="nil"/>
              <w:tr2bl w:val="nil"/>
            </w:tcBorders>
            <w:vAlign w:val="center"/>
          </w:tcPr>
          <w:p w14:paraId="02B160FF">
            <w:pPr>
              <w:spacing w:line="240" w:lineRule="auto"/>
              <w:jc w:val="center"/>
              <w:rPr>
                <w:rFonts w:hint="default" w:eastAsia="宋体" w:cs="宋体"/>
                <w:color w:val="auto"/>
                <w:sz w:val="24"/>
                <w:szCs w:val="24"/>
                <w:u w:val="single"/>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经度：</w:t>
            </w:r>
            <w:r>
              <w:rPr>
                <w:rFonts w:hint="default" w:ascii="Times New Roman" w:hAnsi="Times New Roman" w:eastAsia="宋体" w:cs="Times New Roman"/>
                <w:sz w:val="24"/>
                <w:szCs w:val="24"/>
                <w:u w:val="single"/>
                <w:lang w:val="en-US" w:eastAsia="zh-CN"/>
              </w:rPr>
              <w:t>108°38′18.</w:t>
            </w:r>
            <w:r>
              <w:rPr>
                <w:rFonts w:hint="eastAsia" w:ascii="Times New Roman" w:hAnsi="Times New Roman" w:cs="Times New Roman"/>
                <w:sz w:val="24"/>
                <w:szCs w:val="24"/>
                <w:u w:val="single"/>
                <w:lang w:val="en-US" w:eastAsia="zh-CN"/>
              </w:rPr>
              <w:t>190</w:t>
            </w:r>
            <w:r>
              <w:rPr>
                <w:rFonts w:hint="default"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lang w:val="en-US" w:eastAsia="zh-CN"/>
              </w:rPr>
              <w:t>，纬度：</w:t>
            </w:r>
            <w:r>
              <w:rPr>
                <w:rFonts w:hint="default" w:ascii="Times New Roman" w:hAnsi="Times New Roman" w:eastAsia="宋体" w:cs="Times New Roman"/>
                <w:sz w:val="24"/>
                <w:szCs w:val="24"/>
                <w:u w:val="single"/>
                <w:lang w:val="en-US" w:eastAsia="zh-CN"/>
              </w:rPr>
              <w:t>34°11′3</w:t>
            </w:r>
            <w:r>
              <w:rPr>
                <w:rFonts w:hint="eastAsia" w:ascii="Times New Roman" w:hAnsi="Times New Roman" w:cs="Times New Roman"/>
                <w:sz w:val="24"/>
                <w:szCs w:val="24"/>
                <w:u w:val="single"/>
                <w:lang w:val="en-US" w:eastAsia="zh-CN"/>
              </w:rPr>
              <w:t>4.007</w:t>
            </w:r>
            <w:r>
              <w:rPr>
                <w:rFonts w:hint="default" w:ascii="Times New Roman" w:hAnsi="Times New Roman" w:eastAsia="宋体" w:cs="Times New Roman"/>
                <w:sz w:val="24"/>
                <w:szCs w:val="24"/>
                <w:u w:val="single"/>
                <w:lang w:val="en-US" w:eastAsia="zh-CN"/>
              </w:rPr>
              <w:t>″</w:t>
            </w:r>
            <w:r>
              <w:rPr>
                <w:rFonts w:hint="eastAsia" w:ascii="Times New Roman" w:hAnsi="Times New Roman" w:eastAsia="宋体" w:cs="Times New Roman"/>
                <w:sz w:val="24"/>
                <w:szCs w:val="24"/>
                <w:lang w:val="en-US" w:eastAsia="zh-CN"/>
              </w:rPr>
              <w:t>）</w:t>
            </w:r>
          </w:p>
        </w:tc>
      </w:tr>
      <w:tr w14:paraId="0AC66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0F2964D4">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国民经济行业类别</w:t>
            </w:r>
          </w:p>
        </w:tc>
        <w:tc>
          <w:tcPr>
            <w:tcW w:w="2466" w:type="dxa"/>
            <w:tcBorders>
              <w:tl2br w:val="nil"/>
              <w:tr2bl w:val="nil"/>
            </w:tcBorders>
            <w:vAlign w:val="center"/>
          </w:tcPr>
          <w:p w14:paraId="5D101EF2">
            <w:pPr>
              <w:adjustRightInd w:val="0"/>
              <w:snapToGrid w:val="0"/>
              <w:spacing w:line="240" w:lineRule="auto"/>
              <w:jc w:val="center"/>
              <w:rPr>
                <w:rFonts w:cs="宋体"/>
                <w:color w:val="auto"/>
                <w:sz w:val="24"/>
                <w:szCs w:val="24"/>
              </w:rPr>
            </w:pPr>
            <w:r>
              <w:rPr>
                <w:rFonts w:ascii="Times New Roman" w:hAnsi="Times New Roman" w:cs="宋体"/>
                <w:color w:val="auto"/>
                <w:sz w:val="24"/>
                <w:szCs w:val="24"/>
              </w:rPr>
              <w:t>C</w:t>
            </w:r>
            <w:r>
              <w:rPr>
                <w:rFonts w:hint="eastAsia" w:ascii="Times New Roman" w:hAnsi="Times New Roman" w:cs="宋体"/>
                <w:color w:val="auto"/>
                <w:sz w:val="24"/>
                <w:szCs w:val="24"/>
              </w:rPr>
              <w:t>3021水泥制品制造</w:t>
            </w:r>
          </w:p>
        </w:tc>
        <w:tc>
          <w:tcPr>
            <w:tcW w:w="1664" w:type="dxa"/>
            <w:gridSpan w:val="3"/>
            <w:tcBorders>
              <w:tl2br w:val="nil"/>
              <w:tr2bl w:val="nil"/>
            </w:tcBorders>
            <w:vAlign w:val="center"/>
          </w:tcPr>
          <w:p w14:paraId="72C11A10">
            <w:pPr>
              <w:adjustRightInd w:val="0"/>
              <w:snapToGrid w:val="0"/>
              <w:spacing w:line="240" w:lineRule="auto"/>
              <w:jc w:val="center"/>
              <w:rPr>
                <w:rFonts w:cs="宋体"/>
                <w:color w:val="auto"/>
                <w:sz w:val="24"/>
                <w:szCs w:val="24"/>
              </w:rPr>
            </w:pPr>
            <w:bookmarkStart w:id="2" w:name="_Hlk49843745"/>
            <w:r>
              <w:rPr>
                <w:rFonts w:hint="eastAsia" w:ascii="Times New Roman" w:hAnsi="Times New Roman" w:cs="宋体"/>
                <w:color w:val="auto"/>
                <w:sz w:val="24"/>
                <w:szCs w:val="24"/>
              </w:rPr>
              <w:t>建设项目行业类别</w:t>
            </w:r>
            <w:bookmarkEnd w:id="2"/>
          </w:p>
        </w:tc>
        <w:tc>
          <w:tcPr>
            <w:tcW w:w="3200" w:type="dxa"/>
            <w:tcBorders>
              <w:tl2br w:val="nil"/>
              <w:tr2bl w:val="nil"/>
            </w:tcBorders>
            <w:vAlign w:val="center"/>
          </w:tcPr>
          <w:p w14:paraId="4E93CF58">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rPr>
              <w:t>二十七、非金属矿物制品业30—55石膏、水泥制品及类似制品制造302</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rPr>
              <w:t>—商品混凝土；砼结构构件制造；水泥制品制造</w:t>
            </w:r>
          </w:p>
        </w:tc>
      </w:tr>
      <w:tr w14:paraId="6E9D0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64F4450B">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建设性质</w:t>
            </w:r>
          </w:p>
        </w:tc>
        <w:tc>
          <w:tcPr>
            <w:tcW w:w="2466" w:type="dxa"/>
            <w:tcBorders>
              <w:tl2br w:val="nil"/>
              <w:tr2bl w:val="nil"/>
            </w:tcBorders>
            <w:vAlign w:val="center"/>
          </w:tcPr>
          <w:p w14:paraId="5C73C696">
            <w:pPr>
              <w:spacing w:line="240" w:lineRule="auto"/>
              <w:jc w:val="left"/>
              <w:rPr>
                <w:rFonts w:ascii="Times New Roman" w:hAnsi="Times New Roman" w:cs="宋体"/>
                <w:color w:val="auto"/>
                <w:sz w:val="24"/>
                <w:szCs w:val="24"/>
              </w:rPr>
            </w:pP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rPr>
              <w:t>新建（迁建）</w:t>
            </w:r>
          </w:p>
          <w:p w14:paraId="78F5AB21">
            <w:pPr>
              <w:spacing w:line="240" w:lineRule="auto"/>
              <w:jc w:val="left"/>
              <w:rPr>
                <w:rFonts w:ascii="Times New Roman" w:hAnsi="Times New Roman" w:cs="宋体"/>
                <w:color w:val="auto"/>
                <w:sz w:val="24"/>
                <w:szCs w:val="24"/>
              </w:rPr>
            </w:pPr>
            <w:r>
              <w:rPr>
                <w:rFonts w:hint="eastAsia" w:ascii="Times New Roman" w:hAnsi="Times New Roman" w:cs="宋体"/>
                <w:color w:val="auto"/>
                <w:sz w:val="24"/>
                <w:szCs w:val="24"/>
              </w:rPr>
              <w:t>□改建</w:t>
            </w:r>
          </w:p>
          <w:p w14:paraId="188F44D1">
            <w:pPr>
              <w:spacing w:line="240" w:lineRule="auto"/>
              <w:jc w:val="left"/>
              <w:rPr>
                <w:rFonts w:ascii="Times New Roman" w:hAnsi="Times New Roman" w:cs="宋体"/>
                <w:color w:val="auto"/>
                <w:sz w:val="24"/>
                <w:szCs w:val="24"/>
              </w:rPr>
            </w:pPr>
            <w:r>
              <w:rPr>
                <w:rFonts w:hint="eastAsia" w:ascii="Times New Roman" w:hAnsi="Times New Roman" w:cs="宋体"/>
                <w:color w:val="auto"/>
                <w:sz w:val="24"/>
                <w:szCs w:val="24"/>
              </w:rPr>
              <w:t>□扩建</w:t>
            </w:r>
          </w:p>
          <w:p w14:paraId="5D5BFB3B">
            <w:pPr>
              <w:spacing w:line="240" w:lineRule="auto"/>
              <w:jc w:val="left"/>
              <w:rPr>
                <w:rFonts w:cs="宋体"/>
                <w:color w:val="auto"/>
                <w:sz w:val="24"/>
                <w:szCs w:val="24"/>
              </w:rPr>
            </w:pPr>
            <w:r>
              <w:rPr>
                <w:rFonts w:hint="eastAsia" w:ascii="Times New Roman" w:hAnsi="Times New Roman" w:cs="宋体"/>
                <w:color w:val="auto"/>
                <w:sz w:val="24"/>
                <w:szCs w:val="24"/>
              </w:rPr>
              <w:t>□技术改造</w:t>
            </w:r>
          </w:p>
        </w:tc>
        <w:tc>
          <w:tcPr>
            <w:tcW w:w="1664" w:type="dxa"/>
            <w:gridSpan w:val="3"/>
            <w:tcBorders>
              <w:tl2br w:val="nil"/>
              <w:tr2bl w:val="nil"/>
            </w:tcBorders>
            <w:vAlign w:val="center"/>
          </w:tcPr>
          <w:p w14:paraId="59646D7F">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建设项目申报情形</w:t>
            </w:r>
          </w:p>
        </w:tc>
        <w:tc>
          <w:tcPr>
            <w:tcW w:w="3200" w:type="dxa"/>
            <w:tcBorders>
              <w:tl2br w:val="nil"/>
              <w:tr2bl w:val="nil"/>
            </w:tcBorders>
            <w:vAlign w:val="center"/>
          </w:tcPr>
          <w:p w14:paraId="6093C107">
            <w:pPr>
              <w:spacing w:line="240" w:lineRule="auto"/>
              <w:jc w:val="left"/>
              <w:rPr>
                <w:rFonts w:ascii="Times New Roman" w:hAnsi="Times New Roman" w:cs="宋体"/>
                <w:color w:val="auto"/>
                <w:sz w:val="24"/>
                <w:szCs w:val="24"/>
              </w:rPr>
            </w:pP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rPr>
              <w:t>首次申报项目</w:t>
            </w:r>
          </w:p>
          <w:p w14:paraId="2F413473">
            <w:pPr>
              <w:spacing w:line="240" w:lineRule="auto"/>
              <w:jc w:val="left"/>
              <w:rPr>
                <w:rFonts w:ascii="Times New Roman" w:hAnsi="Times New Roman" w:cs="宋体"/>
                <w:color w:val="auto"/>
                <w:sz w:val="24"/>
                <w:szCs w:val="24"/>
              </w:rPr>
            </w:pPr>
            <w:r>
              <w:rPr>
                <w:rFonts w:hint="eastAsia" w:ascii="Times New Roman" w:hAnsi="Times New Roman" w:cs="宋体"/>
                <w:color w:val="auto"/>
                <w:sz w:val="24"/>
                <w:szCs w:val="24"/>
              </w:rPr>
              <w:t>□不予批准后再次申报项目</w:t>
            </w:r>
          </w:p>
          <w:p w14:paraId="40CE573A">
            <w:pPr>
              <w:spacing w:line="240" w:lineRule="auto"/>
              <w:jc w:val="left"/>
              <w:rPr>
                <w:rFonts w:ascii="Times New Roman" w:hAnsi="Times New Roman" w:cs="宋体"/>
                <w:color w:val="auto"/>
                <w:sz w:val="24"/>
                <w:szCs w:val="24"/>
              </w:rPr>
            </w:pPr>
            <w:r>
              <w:rPr>
                <w:rFonts w:hint="eastAsia" w:ascii="Times New Roman" w:hAnsi="Times New Roman" w:cs="宋体"/>
                <w:color w:val="auto"/>
                <w:sz w:val="24"/>
                <w:szCs w:val="24"/>
              </w:rPr>
              <w:t>□超五年重新审核项目</w:t>
            </w:r>
          </w:p>
          <w:p w14:paraId="046457F8">
            <w:pPr>
              <w:spacing w:line="240" w:lineRule="auto"/>
              <w:jc w:val="left"/>
              <w:rPr>
                <w:rFonts w:cs="宋体"/>
                <w:color w:val="auto"/>
                <w:sz w:val="24"/>
                <w:szCs w:val="24"/>
              </w:rPr>
            </w:pPr>
            <w:r>
              <w:rPr>
                <w:rFonts w:hint="eastAsia" w:ascii="Times New Roman" w:hAnsi="Times New Roman" w:cs="宋体"/>
                <w:color w:val="auto"/>
                <w:sz w:val="24"/>
                <w:szCs w:val="24"/>
              </w:rPr>
              <w:t>□重大变动重新报批项目</w:t>
            </w:r>
          </w:p>
        </w:tc>
      </w:tr>
      <w:tr w14:paraId="431E7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05AF69FC">
            <w:pPr>
              <w:adjustRightInd w:val="0"/>
              <w:snapToGrid w:val="0"/>
              <w:spacing w:line="240" w:lineRule="auto"/>
              <w:jc w:val="center"/>
              <w:rPr>
                <w:rFonts w:hint="eastAsia" w:ascii="Times New Roman" w:hAnsi="Times New Roman" w:cs="宋体"/>
                <w:color w:val="auto"/>
                <w:sz w:val="24"/>
                <w:szCs w:val="24"/>
              </w:rPr>
            </w:pPr>
            <w:r>
              <w:rPr>
                <w:rFonts w:hint="eastAsia" w:ascii="Times New Roman" w:hAnsi="Times New Roman" w:cs="宋体"/>
                <w:color w:val="auto"/>
                <w:sz w:val="24"/>
                <w:szCs w:val="24"/>
              </w:rPr>
              <w:t>项目审批</w:t>
            </w:r>
          </w:p>
          <w:p w14:paraId="27464644">
            <w:pPr>
              <w:adjustRightInd w:val="0"/>
              <w:snapToGrid w:val="0"/>
              <w:spacing w:line="240" w:lineRule="auto"/>
              <w:jc w:val="center"/>
              <w:rPr>
                <w:rFonts w:hint="eastAsia" w:ascii="Times New Roman" w:hAnsi="Times New Roman" w:cs="宋体"/>
                <w:color w:val="auto"/>
                <w:sz w:val="24"/>
                <w:szCs w:val="24"/>
              </w:rPr>
            </w:pPr>
            <w:r>
              <w:rPr>
                <w:rFonts w:hint="eastAsia" w:ascii="Times New Roman" w:hAnsi="Times New Roman" w:cs="宋体"/>
                <w:color w:val="auto"/>
                <w:sz w:val="24"/>
                <w:szCs w:val="24"/>
              </w:rPr>
              <w:t>（核准</w:t>
            </w:r>
            <w:r>
              <w:rPr>
                <w:rFonts w:ascii="Times New Roman" w:hAnsi="Times New Roman" w:cs="宋体"/>
                <w:color w:val="auto"/>
                <w:sz w:val="24"/>
                <w:szCs w:val="24"/>
              </w:rPr>
              <w:t>/</w:t>
            </w:r>
            <w:r>
              <w:rPr>
                <w:rFonts w:hint="eastAsia" w:ascii="Times New Roman" w:hAnsi="Times New Roman" w:cs="宋体"/>
                <w:color w:val="auto"/>
                <w:sz w:val="24"/>
                <w:szCs w:val="24"/>
              </w:rPr>
              <w:t>备案）</w:t>
            </w:r>
          </w:p>
          <w:p w14:paraId="2AF002DE">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部门（选填）</w:t>
            </w:r>
          </w:p>
        </w:tc>
        <w:tc>
          <w:tcPr>
            <w:tcW w:w="2466" w:type="dxa"/>
            <w:tcBorders>
              <w:tl2br w:val="nil"/>
              <w:tr2bl w:val="nil"/>
            </w:tcBorders>
            <w:vAlign w:val="center"/>
          </w:tcPr>
          <w:p w14:paraId="6A6E49B4">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陕西省西咸新区沣西新城管理委员会</w:t>
            </w:r>
          </w:p>
        </w:tc>
        <w:tc>
          <w:tcPr>
            <w:tcW w:w="1664" w:type="dxa"/>
            <w:gridSpan w:val="3"/>
            <w:tcBorders>
              <w:tl2br w:val="nil"/>
              <w:tr2bl w:val="nil"/>
            </w:tcBorders>
            <w:vAlign w:val="center"/>
          </w:tcPr>
          <w:p w14:paraId="73557D7E">
            <w:pPr>
              <w:adjustRightInd w:val="0"/>
              <w:snapToGrid w:val="0"/>
              <w:spacing w:line="240" w:lineRule="auto"/>
              <w:jc w:val="center"/>
              <w:rPr>
                <w:rFonts w:hint="eastAsia" w:ascii="Times New Roman" w:hAnsi="Times New Roman" w:cs="宋体"/>
                <w:color w:val="auto"/>
                <w:sz w:val="24"/>
                <w:szCs w:val="24"/>
              </w:rPr>
            </w:pPr>
            <w:r>
              <w:rPr>
                <w:rFonts w:hint="eastAsia" w:ascii="Times New Roman" w:hAnsi="Times New Roman" w:cs="宋体"/>
                <w:color w:val="auto"/>
                <w:sz w:val="24"/>
                <w:szCs w:val="24"/>
              </w:rPr>
              <w:t>项目审批</w:t>
            </w:r>
          </w:p>
          <w:p w14:paraId="668D9C0C">
            <w:pPr>
              <w:adjustRightInd w:val="0"/>
              <w:snapToGrid w:val="0"/>
              <w:spacing w:line="240" w:lineRule="auto"/>
              <w:jc w:val="center"/>
              <w:rPr>
                <w:rFonts w:hint="eastAsia" w:ascii="Times New Roman" w:hAnsi="Times New Roman" w:cs="宋体"/>
                <w:color w:val="auto"/>
                <w:sz w:val="24"/>
                <w:szCs w:val="24"/>
              </w:rPr>
            </w:pPr>
            <w:r>
              <w:rPr>
                <w:rFonts w:hint="eastAsia" w:ascii="Times New Roman" w:hAnsi="Times New Roman" w:cs="宋体"/>
                <w:color w:val="auto"/>
                <w:sz w:val="24"/>
                <w:szCs w:val="24"/>
              </w:rPr>
              <w:t>（核准</w:t>
            </w:r>
            <w:r>
              <w:rPr>
                <w:rFonts w:ascii="Times New Roman" w:hAnsi="Times New Roman" w:cs="宋体"/>
                <w:color w:val="auto"/>
                <w:sz w:val="24"/>
                <w:szCs w:val="24"/>
              </w:rPr>
              <w:t>/</w:t>
            </w:r>
            <w:r>
              <w:rPr>
                <w:rFonts w:hint="eastAsia" w:ascii="Times New Roman" w:hAnsi="Times New Roman" w:cs="宋体"/>
                <w:color w:val="auto"/>
                <w:sz w:val="24"/>
                <w:szCs w:val="24"/>
              </w:rPr>
              <w:t>备案）</w:t>
            </w:r>
          </w:p>
          <w:p w14:paraId="098B8F6B">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文号（选填）</w:t>
            </w:r>
          </w:p>
        </w:tc>
        <w:tc>
          <w:tcPr>
            <w:tcW w:w="3200" w:type="dxa"/>
            <w:tcBorders>
              <w:tl2br w:val="nil"/>
              <w:tr2bl w:val="nil"/>
            </w:tcBorders>
            <w:vAlign w:val="center"/>
          </w:tcPr>
          <w:p w14:paraId="0C2BA3D4">
            <w:pPr>
              <w:adjustRightInd w:val="0"/>
              <w:snapToGrid w:val="0"/>
              <w:spacing w:line="240" w:lineRule="auto"/>
              <w:jc w:val="center"/>
              <w:rPr>
                <w:rFonts w:cs="宋体"/>
                <w:color w:val="auto"/>
                <w:sz w:val="24"/>
                <w:szCs w:val="24"/>
                <w:u w:val="single" w:color="00B0F0"/>
              </w:rPr>
            </w:pPr>
            <w:r>
              <w:rPr>
                <w:rFonts w:hint="default" w:ascii="Times New Roman" w:hAnsi="Times New Roman" w:eastAsia="宋体" w:cs="Times New Roman"/>
                <w:sz w:val="24"/>
                <w:szCs w:val="24"/>
                <w:lang w:val="en-US" w:eastAsia="zh-CN"/>
              </w:rPr>
              <w:t>2308-611205-04-05-539123</w:t>
            </w:r>
          </w:p>
        </w:tc>
      </w:tr>
      <w:tr w14:paraId="49671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68D4F4AE">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总投资（万元）</w:t>
            </w:r>
          </w:p>
        </w:tc>
        <w:tc>
          <w:tcPr>
            <w:tcW w:w="2466" w:type="dxa"/>
            <w:tcBorders>
              <w:tl2br w:val="nil"/>
              <w:tr2bl w:val="nil"/>
            </w:tcBorders>
            <w:vAlign w:val="center"/>
          </w:tcPr>
          <w:p w14:paraId="078E801D">
            <w:pPr>
              <w:adjustRightInd w:val="0"/>
              <w:snapToGrid w:val="0"/>
              <w:spacing w:line="240" w:lineRule="auto"/>
              <w:jc w:val="center"/>
              <w:rPr>
                <w:rFonts w:hint="default" w:eastAsia="宋体" w:cs="宋体"/>
                <w:color w:val="auto"/>
                <w:sz w:val="24"/>
                <w:szCs w:val="24"/>
                <w:lang w:val="en-US" w:eastAsia="zh-CN"/>
              </w:rPr>
            </w:pPr>
            <w:r>
              <w:rPr>
                <w:rFonts w:hint="eastAsia" w:ascii="Times New Roman" w:hAnsi="Times New Roman" w:cs="宋体"/>
                <w:color w:val="auto"/>
                <w:sz w:val="24"/>
                <w:szCs w:val="24"/>
                <w:lang w:val="en-US" w:eastAsia="zh-CN"/>
              </w:rPr>
              <w:t>50</w:t>
            </w:r>
          </w:p>
        </w:tc>
        <w:tc>
          <w:tcPr>
            <w:tcW w:w="1664" w:type="dxa"/>
            <w:gridSpan w:val="3"/>
            <w:tcBorders>
              <w:tl2br w:val="nil"/>
              <w:tr2bl w:val="nil"/>
            </w:tcBorders>
            <w:tcMar>
              <w:top w:w="16" w:type="dxa"/>
              <w:left w:w="16" w:type="dxa"/>
              <w:right w:w="16" w:type="dxa"/>
            </w:tcMar>
            <w:vAlign w:val="center"/>
          </w:tcPr>
          <w:p w14:paraId="788B556F">
            <w:pPr>
              <w:adjustRightInd w:val="0"/>
              <w:snapToGrid w:val="0"/>
              <w:spacing w:line="240" w:lineRule="auto"/>
              <w:jc w:val="center"/>
              <w:rPr>
                <w:rFonts w:hint="eastAsia" w:ascii="Times New Roman" w:hAnsi="Times New Roman" w:cs="宋体"/>
                <w:color w:val="auto"/>
                <w:sz w:val="24"/>
                <w:szCs w:val="24"/>
              </w:rPr>
            </w:pPr>
            <w:r>
              <w:rPr>
                <w:rFonts w:hint="eastAsia" w:ascii="Times New Roman" w:hAnsi="Times New Roman" w:cs="宋体"/>
                <w:color w:val="auto"/>
                <w:sz w:val="24"/>
                <w:szCs w:val="24"/>
              </w:rPr>
              <w:t>环保投资</w:t>
            </w:r>
          </w:p>
          <w:p w14:paraId="320F77E5">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（万元）</w:t>
            </w:r>
          </w:p>
        </w:tc>
        <w:tc>
          <w:tcPr>
            <w:tcW w:w="3200" w:type="dxa"/>
            <w:tcBorders>
              <w:tl2br w:val="nil"/>
              <w:tr2bl w:val="nil"/>
            </w:tcBorders>
            <w:vAlign w:val="center"/>
          </w:tcPr>
          <w:p w14:paraId="5E36DE0B">
            <w:pPr>
              <w:adjustRightInd w:val="0"/>
              <w:snapToGrid w:val="0"/>
              <w:spacing w:line="240" w:lineRule="auto"/>
              <w:jc w:val="center"/>
              <w:rPr>
                <w:rFonts w:hint="eastAsia" w:eastAsia="宋体" w:cs="宋体"/>
                <w:color w:val="auto"/>
                <w:sz w:val="24"/>
                <w:szCs w:val="24"/>
                <w:lang w:eastAsia="zh-CN"/>
              </w:rPr>
            </w:pPr>
            <w:r>
              <w:rPr>
                <w:rFonts w:hint="eastAsia" w:ascii="Times New Roman" w:hAnsi="Times New Roman" w:cs="宋体"/>
                <w:color w:val="auto"/>
                <w:sz w:val="24"/>
                <w:szCs w:val="24"/>
                <w:lang w:val="en-US" w:eastAsia="zh-CN"/>
              </w:rPr>
              <w:t>15</w:t>
            </w:r>
          </w:p>
        </w:tc>
      </w:tr>
      <w:tr w14:paraId="28944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04E182C8">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环保投资占比（</w:t>
            </w:r>
            <w:r>
              <w:rPr>
                <w:rFonts w:ascii="Times New Roman" w:hAnsi="Times New Roman" w:cs="宋体"/>
                <w:color w:val="auto"/>
                <w:sz w:val="24"/>
                <w:szCs w:val="24"/>
              </w:rPr>
              <w:t>%</w:t>
            </w:r>
            <w:r>
              <w:rPr>
                <w:rFonts w:hint="eastAsia" w:ascii="Times New Roman" w:hAnsi="Times New Roman" w:cs="宋体"/>
                <w:color w:val="auto"/>
                <w:sz w:val="24"/>
                <w:szCs w:val="24"/>
              </w:rPr>
              <w:t>）</w:t>
            </w:r>
          </w:p>
        </w:tc>
        <w:tc>
          <w:tcPr>
            <w:tcW w:w="2466" w:type="dxa"/>
            <w:tcBorders>
              <w:tl2br w:val="nil"/>
              <w:tr2bl w:val="nil"/>
            </w:tcBorders>
            <w:vAlign w:val="center"/>
          </w:tcPr>
          <w:p w14:paraId="5C8AED2F">
            <w:pPr>
              <w:adjustRightInd w:val="0"/>
              <w:snapToGrid w:val="0"/>
              <w:spacing w:line="240" w:lineRule="auto"/>
              <w:jc w:val="center"/>
              <w:rPr>
                <w:rFonts w:hint="default" w:eastAsia="宋体" w:cs="宋体"/>
                <w:color w:val="auto"/>
                <w:sz w:val="24"/>
                <w:szCs w:val="24"/>
                <w:lang w:val="en-US" w:eastAsia="zh-CN"/>
              </w:rPr>
            </w:pPr>
            <w:r>
              <w:rPr>
                <w:rFonts w:hint="eastAsia" w:ascii="Times New Roman" w:hAnsi="Times New Roman" w:cs="宋体"/>
                <w:color w:val="auto"/>
                <w:sz w:val="24"/>
                <w:szCs w:val="24"/>
                <w:lang w:val="en-US" w:eastAsia="zh-CN"/>
              </w:rPr>
              <w:t>30</w:t>
            </w:r>
          </w:p>
        </w:tc>
        <w:tc>
          <w:tcPr>
            <w:tcW w:w="1664" w:type="dxa"/>
            <w:gridSpan w:val="3"/>
            <w:tcBorders>
              <w:tl2br w:val="nil"/>
              <w:tr2bl w:val="nil"/>
            </w:tcBorders>
            <w:tcMar>
              <w:top w:w="16" w:type="dxa"/>
              <w:left w:w="16" w:type="dxa"/>
              <w:right w:w="16" w:type="dxa"/>
            </w:tcMar>
            <w:vAlign w:val="center"/>
          </w:tcPr>
          <w:p w14:paraId="41075B85">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施工工期</w:t>
            </w:r>
          </w:p>
        </w:tc>
        <w:tc>
          <w:tcPr>
            <w:tcW w:w="3200" w:type="dxa"/>
            <w:tcBorders>
              <w:tl2br w:val="nil"/>
              <w:tr2bl w:val="nil"/>
            </w:tcBorders>
            <w:vAlign w:val="center"/>
          </w:tcPr>
          <w:p w14:paraId="58EC3681">
            <w:pPr>
              <w:adjustRightInd w:val="0"/>
              <w:snapToGrid w:val="0"/>
              <w:spacing w:line="240" w:lineRule="auto"/>
              <w:jc w:val="center"/>
              <w:rPr>
                <w:rFonts w:hint="eastAsia" w:eastAsia="宋体" w:cs="宋体"/>
                <w:color w:val="auto"/>
                <w:sz w:val="24"/>
                <w:szCs w:val="24"/>
                <w:lang w:eastAsia="zh-CN"/>
              </w:rPr>
            </w:pPr>
            <w:r>
              <w:rPr>
                <w:rFonts w:hint="eastAsia" w:ascii="Times New Roman" w:hAnsi="Times New Roman" w:cs="宋体"/>
                <w:color w:val="auto"/>
                <w:sz w:val="24"/>
                <w:szCs w:val="24"/>
              </w:rPr>
              <w:t>202</w:t>
            </w:r>
            <w:r>
              <w:rPr>
                <w:rFonts w:hint="eastAsia" w:ascii="Times New Roman" w:hAnsi="Times New Roman" w:cs="宋体"/>
                <w:color w:val="auto"/>
                <w:sz w:val="24"/>
                <w:szCs w:val="24"/>
                <w:lang w:val="en-US" w:eastAsia="zh-CN"/>
              </w:rPr>
              <w:t>3</w:t>
            </w:r>
            <w:r>
              <w:rPr>
                <w:rFonts w:hint="eastAsia" w:ascii="Times New Roman" w:hAnsi="Times New Roman" w:cs="宋体"/>
                <w:color w:val="auto"/>
                <w:sz w:val="24"/>
                <w:szCs w:val="24"/>
              </w:rPr>
              <w:t>.</w:t>
            </w:r>
            <w:r>
              <w:rPr>
                <w:rFonts w:hint="eastAsia" w:ascii="Times New Roman" w:hAnsi="Times New Roman" w:cs="宋体"/>
                <w:color w:val="auto"/>
                <w:sz w:val="24"/>
                <w:szCs w:val="24"/>
                <w:lang w:val="en-US" w:eastAsia="zh-CN"/>
              </w:rPr>
              <w:t>12</w:t>
            </w:r>
            <w:r>
              <w:rPr>
                <w:rFonts w:hint="eastAsia" w:ascii="Times New Roman" w:hAnsi="Times New Roman" w:cs="宋体"/>
                <w:color w:val="auto"/>
                <w:sz w:val="24"/>
                <w:szCs w:val="24"/>
              </w:rPr>
              <w:t>-202</w:t>
            </w:r>
            <w:r>
              <w:rPr>
                <w:rFonts w:hint="eastAsia" w:ascii="Times New Roman" w:hAnsi="Times New Roman" w:cs="宋体"/>
                <w:color w:val="auto"/>
                <w:sz w:val="24"/>
                <w:szCs w:val="24"/>
                <w:lang w:val="en-US" w:eastAsia="zh-CN"/>
              </w:rPr>
              <w:t>4</w:t>
            </w:r>
            <w:r>
              <w:rPr>
                <w:rFonts w:hint="eastAsia" w:ascii="Times New Roman" w:hAnsi="Times New Roman" w:cs="宋体"/>
                <w:color w:val="auto"/>
                <w:sz w:val="24"/>
                <w:szCs w:val="24"/>
              </w:rPr>
              <w:t>.</w:t>
            </w:r>
            <w:r>
              <w:rPr>
                <w:rFonts w:hint="eastAsia" w:ascii="Times New Roman" w:hAnsi="Times New Roman" w:cs="宋体"/>
                <w:color w:val="auto"/>
                <w:sz w:val="24"/>
                <w:szCs w:val="24"/>
                <w:lang w:val="en-US" w:eastAsia="zh-CN"/>
              </w:rPr>
              <w:t>1</w:t>
            </w:r>
          </w:p>
        </w:tc>
      </w:tr>
      <w:tr w14:paraId="0EA67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53" w:type="dxa"/>
            <w:tcBorders>
              <w:tl2br w:val="nil"/>
              <w:tr2bl w:val="nil"/>
            </w:tcBorders>
            <w:tcMar>
              <w:top w:w="16" w:type="dxa"/>
              <w:left w:w="16" w:type="dxa"/>
              <w:right w:w="16" w:type="dxa"/>
            </w:tcMar>
            <w:vAlign w:val="center"/>
          </w:tcPr>
          <w:p w14:paraId="70078A8A">
            <w:pPr>
              <w:adjustRightInd w:val="0"/>
              <w:snapToGrid w:val="0"/>
              <w:spacing w:line="240" w:lineRule="auto"/>
              <w:jc w:val="center"/>
              <w:rPr>
                <w:rFonts w:cs="宋体"/>
                <w:color w:val="auto"/>
                <w:sz w:val="24"/>
                <w:szCs w:val="24"/>
              </w:rPr>
            </w:pPr>
            <w:r>
              <w:rPr>
                <w:rFonts w:hint="eastAsia" w:ascii="Times New Roman" w:hAnsi="Times New Roman" w:cs="宋体"/>
                <w:color w:val="auto"/>
                <w:sz w:val="24"/>
                <w:szCs w:val="24"/>
              </w:rPr>
              <w:t>是否开工建设</w:t>
            </w:r>
          </w:p>
        </w:tc>
        <w:tc>
          <w:tcPr>
            <w:tcW w:w="2466" w:type="dxa"/>
            <w:tcBorders>
              <w:tl2br w:val="nil"/>
              <w:tr2bl w:val="nil"/>
            </w:tcBorders>
            <w:vAlign w:val="center"/>
          </w:tcPr>
          <w:p w14:paraId="70004766">
            <w:pPr>
              <w:adjustRightInd w:val="0"/>
              <w:snapToGrid w:val="0"/>
              <w:spacing w:line="240" w:lineRule="auto"/>
              <w:rPr>
                <w:rFonts w:hint="eastAsia" w:ascii="Times New Roman" w:hAnsi="Times New Roman" w:cs="宋体"/>
                <w:color w:val="auto"/>
                <w:sz w:val="24"/>
                <w:szCs w:val="24"/>
              </w:rPr>
            </w:pP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rPr>
              <w:t>否</w:t>
            </w:r>
          </w:p>
          <w:p w14:paraId="483C908C">
            <w:pPr>
              <w:adjustRightInd w:val="0"/>
              <w:snapToGrid w:val="0"/>
              <w:spacing w:line="240" w:lineRule="auto"/>
              <w:rPr>
                <w:rFonts w:cs="宋体"/>
                <w:color w:val="auto"/>
                <w:sz w:val="24"/>
                <w:szCs w:val="24"/>
              </w:rPr>
            </w:pPr>
            <w:r>
              <w:rPr>
                <w:rFonts w:hint="eastAsia" w:ascii="Times New Roman" w:hAnsi="Times New Roman" w:cs="宋体"/>
                <w:color w:val="auto"/>
                <w:sz w:val="24"/>
                <w:szCs w:val="24"/>
              </w:rPr>
              <w:t>□是：</w:t>
            </w:r>
          </w:p>
        </w:tc>
        <w:tc>
          <w:tcPr>
            <w:tcW w:w="1664" w:type="dxa"/>
            <w:gridSpan w:val="3"/>
            <w:tcBorders>
              <w:tl2br w:val="nil"/>
              <w:tr2bl w:val="nil"/>
            </w:tcBorders>
            <w:tcMar>
              <w:top w:w="16" w:type="dxa"/>
              <w:left w:w="16" w:type="dxa"/>
              <w:right w:w="16" w:type="dxa"/>
            </w:tcMar>
            <w:vAlign w:val="center"/>
          </w:tcPr>
          <w:p w14:paraId="4A7A9618">
            <w:pPr>
              <w:adjustRightInd w:val="0"/>
              <w:snapToGrid w:val="0"/>
              <w:spacing w:line="240" w:lineRule="auto"/>
              <w:jc w:val="center"/>
              <w:rPr>
                <w:rFonts w:cs="宋体"/>
                <w:color w:val="auto"/>
                <w:sz w:val="24"/>
                <w:szCs w:val="24"/>
              </w:rPr>
            </w:pPr>
            <w:r>
              <w:rPr>
                <w:rFonts w:hint="eastAsia" w:ascii="Times New Roman" w:hAnsi="Times New Roman" w:cs="宋体"/>
                <w:color w:val="auto"/>
                <w:spacing w:val="-6"/>
                <w:sz w:val="24"/>
                <w:szCs w:val="24"/>
              </w:rPr>
              <w:t>用地（用海）面积（</w:t>
            </w:r>
            <w:r>
              <w:rPr>
                <w:rFonts w:ascii="Times New Roman" w:hAnsi="Times New Roman" w:cs="宋体"/>
                <w:color w:val="auto"/>
                <w:spacing w:val="-6"/>
                <w:sz w:val="24"/>
                <w:szCs w:val="24"/>
              </w:rPr>
              <w:t>m</w:t>
            </w:r>
            <w:r>
              <w:rPr>
                <w:rFonts w:ascii="Times New Roman" w:hAnsi="Times New Roman" w:cs="宋体"/>
                <w:color w:val="auto"/>
                <w:spacing w:val="-6"/>
                <w:sz w:val="24"/>
                <w:szCs w:val="24"/>
                <w:vertAlign w:val="superscript"/>
              </w:rPr>
              <w:t>2</w:t>
            </w:r>
            <w:r>
              <w:rPr>
                <w:rFonts w:hint="eastAsia" w:ascii="Times New Roman" w:hAnsi="Times New Roman" w:cs="宋体"/>
                <w:color w:val="auto"/>
                <w:spacing w:val="-6"/>
                <w:sz w:val="24"/>
                <w:szCs w:val="24"/>
              </w:rPr>
              <w:t>）</w:t>
            </w:r>
          </w:p>
        </w:tc>
        <w:tc>
          <w:tcPr>
            <w:tcW w:w="3200" w:type="dxa"/>
            <w:tcBorders>
              <w:tl2br w:val="nil"/>
              <w:tr2bl w:val="nil"/>
            </w:tcBorders>
            <w:vAlign w:val="center"/>
          </w:tcPr>
          <w:p w14:paraId="4711A301">
            <w:pPr>
              <w:adjustRightInd w:val="0"/>
              <w:snapToGrid w:val="0"/>
              <w:spacing w:line="240" w:lineRule="auto"/>
              <w:jc w:val="center"/>
              <w:rPr>
                <w:rFonts w:hint="default" w:eastAsia="宋体" w:cs="宋体"/>
                <w:color w:val="auto"/>
                <w:sz w:val="24"/>
                <w:szCs w:val="24"/>
                <w:lang w:val="en-US" w:eastAsia="zh-CN"/>
              </w:rPr>
            </w:pPr>
            <w:r>
              <w:rPr>
                <w:rFonts w:hint="eastAsia" w:ascii="Times New Roman" w:hAnsi="Times New Roman" w:cs="宋体"/>
                <w:color w:val="auto"/>
                <w:sz w:val="24"/>
                <w:szCs w:val="24"/>
                <w:lang w:val="en-US" w:eastAsia="zh-CN"/>
              </w:rPr>
              <w:t>1400</w:t>
            </w:r>
          </w:p>
        </w:tc>
      </w:tr>
      <w:tr w14:paraId="0FC3F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53" w:type="dxa"/>
            <w:tcBorders>
              <w:tl2br w:val="nil"/>
              <w:tr2bl w:val="nil"/>
            </w:tcBorders>
            <w:vAlign w:val="center"/>
          </w:tcPr>
          <w:p w14:paraId="03B6EC8A">
            <w:pPr>
              <w:autoSpaceDE w:val="0"/>
              <w:autoSpaceDN w:val="0"/>
              <w:adjustRightInd w:val="0"/>
              <w:snapToGrid w:val="0"/>
              <w:spacing w:line="240" w:lineRule="auto"/>
              <w:jc w:val="center"/>
              <w:rPr>
                <w:rFonts w:cs="宋体"/>
                <w:color w:val="auto"/>
                <w:kern w:val="0"/>
                <w:sz w:val="24"/>
                <w:szCs w:val="24"/>
              </w:rPr>
            </w:pPr>
            <w:r>
              <w:rPr>
                <w:rFonts w:hint="eastAsia" w:ascii="Times New Roman" w:hAnsi="Times New Roman" w:cs="宋体"/>
                <w:color w:val="auto"/>
                <w:kern w:val="0"/>
                <w:sz w:val="24"/>
                <w:szCs w:val="24"/>
              </w:rPr>
              <w:t>专项评价设置情况</w:t>
            </w:r>
          </w:p>
        </w:tc>
        <w:tc>
          <w:tcPr>
            <w:tcW w:w="7330" w:type="dxa"/>
            <w:gridSpan w:val="5"/>
            <w:tcBorders>
              <w:tl2br w:val="nil"/>
              <w:tr2bl w:val="nil"/>
            </w:tcBorders>
            <w:vAlign w:val="center"/>
          </w:tcPr>
          <w:p w14:paraId="1D64D1B3">
            <w:pPr>
              <w:autoSpaceDE w:val="0"/>
              <w:autoSpaceDN w:val="0"/>
              <w:adjustRightInd w:val="0"/>
              <w:snapToGrid w:val="0"/>
              <w:spacing w:line="240" w:lineRule="auto"/>
              <w:jc w:val="center"/>
              <w:rPr>
                <w:rFonts w:cs="宋体"/>
                <w:color w:val="auto"/>
                <w:kern w:val="0"/>
                <w:sz w:val="24"/>
                <w:szCs w:val="24"/>
              </w:rPr>
            </w:pPr>
            <w:r>
              <w:rPr>
                <w:rFonts w:hint="eastAsia" w:ascii="Times New Roman" w:hAnsi="Times New Roman" w:cs="宋体"/>
                <w:color w:val="auto"/>
                <w:kern w:val="0"/>
                <w:sz w:val="24"/>
                <w:szCs w:val="24"/>
              </w:rPr>
              <w:t>无</w:t>
            </w:r>
          </w:p>
        </w:tc>
      </w:tr>
      <w:tr w14:paraId="48308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53" w:type="dxa"/>
            <w:tcBorders>
              <w:tl2br w:val="nil"/>
              <w:tr2bl w:val="nil"/>
            </w:tcBorders>
            <w:vAlign w:val="center"/>
          </w:tcPr>
          <w:p w14:paraId="6D5D1E1D">
            <w:pPr>
              <w:autoSpaceDE w:val="0"/>
              <w:autoSpaceDN w:val="0"/>
              <w:adjustRightInd w:val="0"/>
              <w:snapToGrid w:val="0"/>
              <w:jc w:val="center"/>
              <w:rPr>
                <w:rFonts w:cs="宋体"/>
                <w:color w:val="auto"/>
                <w:kern w:val="0"/>
                <w:sz w:val="24"/>
                <w:szCs w:val="24"/>
              </w:rPr>
            </w:pPr>
            <w:r>
              <w:rPr>
                <w:rFonts w:hint="eastAsia" w:ascii="Times New Roman" w:hAnsi="Times New Roman" w:cs="宋体"/>
                <w:color w:val="auto"/>
                <w:sz w:val="24"/>
                <w:szCs w:val="24"/>
              </w:rPr>
              <w:t>规划情况</w:t>
            </w:r>
          </w:p>
        </w:tc>
        <w:tc>
          <w:tcPr>
            <w:tcW w:w="7330" w:type="dxa"/>
            <w:gridSpan w:val="5"/>
            <w:tcBorders>
              <w:tl2br w:val="nil"/>
              <w:tr2bl w:val="nil"/>
            </w:tcBorders>
            <w:vAlign w:val="center"/>
          </w:tcPr>
          <w:p w14:paraId="1F4C785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Times New Roman" w:hAnsi="Times New Roman"/>
                <w:color w:val="auto"/>
                <w:kern w:val="0"/>
                <w:sz w:val="24"/>
                <w:szCs w:val="24"/>
              </w:rPr>
            </w:pPr>
            <w:r>
              <w:rPr>
                <w:rFonts w:hint="eastAsia" w:ascii="Times New Roman" w:hAnsi="Times New Roman"/>
                <w:color w:val="auto"/>
                <w:kern w:val="0"/>
                <w:sz w:val="24"/>
                <w:szCs w:val="24"/>
              </w:rPr>
              <w:t>规划名称：《西咸新区沣西新城分区规划（2016-2035）》；</w:t>
            </w:r>
          </w:p>
          <w:p w14:paraId="1486AE3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Times New Roman" w:hAnsi="Times New Roman"/>
                <w:color w:val="auto"/>
                <w:kern w:val="0"/>
                <w:sz w:val="24"/>
                <w:szCs w:val="24"/>
              </w:rPr>
            </w:pPr>
            <w:r>
              <w:rPr>
                <w:rFonts w:hint="eastAsia" w:ascii="Times New Roman" w:hAnsi="Times New Roman"/>
                <w:color w:val="auto"/>
                <w:kern w:val="0"/>
                <w:sz w:val="24"/>
                <w:szCs w:val="24"/>
              </w:rPr>
              <w:t>审批机关：陕西省西咸新区开发建设管理委员会；</w:t>
            </w:r>
          </w:p>
          <w:p w14:paraId="4B046BBC">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cs="宋体"/>
                <w:color w:val="auto"/>
                <w:kern w:val="0"/>
                <w:sz w:val="24"/>
                <w:szCs w:val="24"/>
              </w:rPr>
            </w:pPr>
            <w:r>
              <w:rPr>
                <w:rFonts w:hint="eastAsia" w:ascii="Times New Roman" w:hAnsi="Times New Roman"/>
                <w:color w:val="auto"/>
                <w:kern w:val="0"/>
                <w:sz w:val="24"/>
                <w:szCs w:val="24"/>
              </w:rPr>
              <w:t>审批文件名称：《西咸新区沣西新城分区规划2016年-2035年总体规划审查意见》</w:t>
            </w:r>
          </w:p>
        </w:tc>
      </w:tr>
      <w:tr w14:paraId="48330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53" w:type="dxa"/>
            <w:tcBorders>
              <w:tl2br w:val="nil"/>
              <w:tr2bl w:val="nil"/>
            </w:tcBorders>
            <w:vAlign w:val="center"/>
          </w:tcPr>
          <w:p w14:paraId="594E85D8">
            <w:pPr>
              <w:adjustRightInd w:val="0"/>
              <w:snapToGrid w:val="0"/>
              <w:jc w:val="center"/>
              <w:rPr>
                <w:rFonts w:cs="宋体"/>
                <w:color w:val="auto"/>
                <w:kern w:val="0"/>
                <w:sz w:val="24"/>
                <w:szCs w:val="24"/>
              </w:rPr>
            </w:pPr>
            <w:r>
              <w:rPr>
                <w:rFonts w:hint="eastAsia" w:ascii="Times New Roman" w:hAnsi="Times New Roman" w:cs="宋体"/>
                <w:color w:val="auto"/>
                <w:sz w:val="24"/>
                <w:szCs w:val="24"/>
              </w:rPr>
              <w:t>规划环境影响评价情况</w:t>
            </w:r>
          </w:p>
        </w:tc>
        <w:tc>
          <w:tcPr>
            <w:tcW w:w="7330" w:type="dxa"/>
            <w:gridSpan w:val="5"/>
            <w:tcBorders>
              <w:tl2br w:val="nil"/>
              <w:tr2bl w:val="nil"/>
            </w:tcBorders>
            <w:vAlign w:val="center"/>
          </w:tcPr>
          <w:p w14:paraId="643189BD">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Times New Roman" w:hAnsi="Times New Roman"/>
                <w:color w:val="auto"/>
                <w:kern w:val="0"/>
                <w:sz w:val="24"/>
                <w:szCs w:val="24"/>
              </w:rPr>
            </w:pPr>
            <w:r>
              <w:rPr>
                <w:rFonts w:hint="eastAsia" w:ascii="Times New Roman" w:hAnsi="Times New Roman"/>
                <w:color w:val="auto"/>
                <w:kern w:val="0"/>
                <w:sz w:val="24"/>
                <w:szCs w:val="24"/>
              </w:rPr>
              <w:t>规划名称：《西咸新区沣西新城分区规划（2016年-2035年）环境影响报告书》；</w:t>
            </w:r>
          </w:p>
          <w:p w14:paraId="3DE5E5C1">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Times New Roman" w:hAnsi="Times New Roman"/>
                <w:color w:val="auto"/>
                <w:kern w:val="0"/>
                <w:sz w:val="24"/>
                <w:szCs w:val="24"/>
              </w:rPr>
            </w:pPr>
            <w:r>
              <w:rPr>
                <w:rFonts w:hint="eastAsia" w:ascii="Times New Roman" w:hAnsi="Times New Roman"/>
                <w:color w:val="auto"/>
                <w:kern w:val="0"/>
                <w:sz w:val="24"/>
                <w:szCs w:val="24"/>
              </w:rPr>
              <w:t>审批机关：陕西省西咸新区环境保护局；</w:t>
            </w:r>
          </w:p>
          <w:p w14:paraId="61A59CED">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cs="宋体"/>
                <w:color w:val="auto"/>
                <w:kern w:val="0"/>
                <w:sz w:val="24"/>
                <w:szCs w:val="24"/>
              </w:rPr>
            </w:pPr>
            <w:r>
              <w:rPr>
                <w:rFonts w:hint="eastAsia" w:ascii="Times New Roman" w:hAnsi="Times New Roman"/>
                <w:color w:val="auto"/>
                <w:kern w:val="0"/>
                <w:sz w:val="24"/>
                <w:szCs w:val="24"/>
              </w:rPr>
              <w:t>审批文件名称及文号：陕西省西咸新区环境保护局关于《西咸新区沣西新城分区规划（2016年-2035年）环境影响报告书》审查意见的函（陕西咸环函〔2018〕61号）。</w:t>
            </w:r>
          </w:p>
        </w:tc>
      </w:tr>
      <w:tr w14:paraId="79AD6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53" w:type="dxa"/>
            <w:tcBorders>
              <w:tl2br w:val="nil"/>
              <w:tr2bl w:val="nil"/>
            </w:tcBorders>
            <w:vAlign w:val="center"/>
          </w:tcPr>
          <w:p w14:paraId="01BB6C3B">
            <w:pPr>
              <w:adjustRightInd w:val="0"/>
              <w:snapToGrid w:val="0"/>
              <w:jc w:val="center"/>
              <w:rPr>
                <w:rFonts w:hint="eastAsia" w:ascii="Times New Roman" w:hAnsi="Times New Roman" w:cs="宋体"/>
                <w:color w:val="auto"/>
                <w:sz w:val="24"/>
                <w:szCs w:val="24"/>
              </w:rPr>
            </w:pPr>
            <w:r>
              <w:rPr>
                <w:rFonts w:hint="eastAsia" w:ascii="Times New Roman" w:hAnsi="Times New Roman" w:eastAsia="宋体" w:cs="Times New Roman"/>
                <w:color w:val="auto"/>
                <w:kern w:val="0"/>
                <w:sz w:val="24"/>
                <w:szCs w:val="24"/>
              </w:rPr>
              <w:t>规划及规划环境影响评价符合性分析</w:t>
            </w:r>
          </w:p>
        </w:tc>
        <w:tc>
          <w:tcPr>
            <w:tcW w:w="7330" w:type="dxa"/>
            <w:gridSpan w:val="5"/>
            <w:tcBorders>
              <w:tl2br w:val="nil"/>
              <w:tr2bl w:val="nil"/>
            </w:tcBorders>
            <w:vAlign w:val="center"/>
          </w:tcPr>
          <w:p w14:paraId="22C276C9">
            <w:pPr>
              <w:autoSpaceDE w:val="0"/>
              <w:autoSpaceDN w:val="0"/>
              <w:adjustRightInd w:val="0"/>
              <w:snapToGrid w:val="0"/>
              <w:spacing w:line="360" w:lineRule="auto"/>
              <w:rPr>
                <w:rFonts w:hint="eastAsia" w:ascii="Times New Roman" w:hAnsi="Times New Roman" w:cs="宋体"/>
                <w:color w:val="auto"/>
                <w:kern w:val="0"/>
                <w:sz w:val="24"/>
              </w:rPr>
            </w:pPr>
            <w:r>
              <w:rPr>
                <w:rFonts w:hint="eastAsia" w:ascii="Times New Roman" w:hAnsi="Times New Roman" w:cs="宋体"/>
                <w:color w:val="auto"/>
                <w:kern w:val="0"/>
                <w:sz w:val="24"/>
              </w:rPr>
              <w:t>本项目与相关规划符合性分析见表1-1。</w:t>
            </w:r>
          </w:p>
          <w:p w14:paraId="16B0E3EF">
            <w:pPr>
              <w:autoSpaceDE w:val="0"/>
              <w:autoSpaceDN w:val="0"/>
              <w:adjustRightInd w:val="0"/>
              <w:snapToGrid w:val="0"/>
              <w:spacing w:line="240" w:lineRule="auto"/>
              <w:jc w:val="center"/>
              <w:rPr>
                <w:rFonts w:ascii="Times New Roman" w:hAnsi="Times New Roman" w:cs="宋体"/>
                <w:b/>
                <w:color w:val="auto"/>
                <w:kern w:val="0"/>
                <w:szCs w:val="21"/>
              </w:rPr>
            </w:pPr>
            <w:r>
              <w:rPr>
                <w:rFonts w:hint="eastAsia" w:ascii="Times New Roman" w:hAnsi="Times New Roman" w:cs="宋体"/>
                <w:b/>
                <w:color w:val="auto"/>
                <w:kern w:val="0"/>
                <w:szCs w:val="21"/>
              </w:rPr>
              <w:t>表1-1  规划及规划环境影响评价符合性分析</w:t>
            </w:r>
          </w:p>
          <w:tbl>
            <w:tblPr>
              <w:tblStyle w:val="24"/>
              <w:tblW w:w="71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807"/>
              <w:gridCol w:w="2558"/>
              <w:gridCol w:w="577"/>
            </w:tblGrid>
            <w:tr w14:paraId="29A92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0917DBA1">
                  <w:pPr>
                    <w:autoSpaceDE w:val="0"/>
                    <w:autoSpaceDN w:val="0"/>
                    <w:adjustRightInd w:val="0"/>
                    <w:snapToGrid w:val="0"/>
                    <w:jc w:val="center"/>
                    <w:rPr>
                      <w:rFonts w:cs="宋体"/>
                      <w:b/>
                      <w:color w:val="auto"/>
                      <w:kern w:val="0"/>
                      <w:sz w:val="21"/>
                      <w:szCs w:val="21"/>
                    </w:rPr>
                  </w:pPr>
                  <w:r>
                    <w:rPr>
                      <w:rFonts w:hint="eastAsia" w:ascii="Times New Roman" w:hAnsi="Times New Roman" w:cs="宋体"/>
                      <w:b/>
                      <w:color w:val="auto"/>
                      <w:kern w:val="0"/>
                      <w:sz w:val="21"/>
                      <w:szCs w:val="21"/>
                    </w:rPr>
                    <w:t>相关规划及规划环境影响评价</w:t>
                  </w:r>
                </w:p>
              </w:tc>
              <w:tc>
                <w:tcPr>
                  <w:tcW w:w="2807" w:type="dxa"/>
                  <w:vAlign w:val="center"/>
                </w:tcPr>
                <w:p w14:paraId="0B26050B">
                  <w:pPr>
                    <w:autoSpaceDE w:val="0"/>
                    <w:autoSpaceDN w:val="0"/>
                    <w:adjustRightInd w:val="0"/>
                    <w:snapToGrid w:val="0"/>
                    <w:jc w:val="center"/>
                    <w:rPr>
                      <w:rFonts w:cs="宋体"/>
                      <w:b/>
                      <w:color w:val="auto"/>
                      <w:kern w:val="0"/>
                      <w:sz w:val="21"/>
                      <w:szCs w:val="21"/>
                    </w:rPr>
                  </w:pPr>
                  <w:r>
                    <w:rPr>
                      <w:rFonts w:hint="eastAsia" w:ascii="Times New Roman" w:hAnsi="Times New Roman" w:cs="宋体"/>
                      <w:b/>
                      <w:color w:val="auto"/>
                      <w:kern w:val="0"/>
                      <w:sz w:val="21"/>
                      <w:szCs w:val="21"/>
                    </w:rPr>
                    <w:t>主要要求</w:t>
                  </w:r>
                </w:p>
              </w:tc>
              <w:tc>
                <w:tcPr>
                  <w:tcW w:w="2558" w:type="dxa"/>
                  <w:vAlign w:val="center"/>
                </w:tcPr>
                <w:p w14:paraId="18594CF9">
                  <w:pPr>
                    <w:autoSpaceDE w:val="0"/>
                    <w:autoSpaceDN w:val="0"/>
                    <w:adjustRightInd w:val="0"/>
                    <w:snapToGrid w:val="0"/>
                    <w:jc w:val="center"/>
                    <w:rPr>
                      <w:rFonts w:cs="宋体"/>
                      <w:b/>
                      <w:color w:val="auto"/>
                      <w:kern w:val="0"/>
                      <w:sz w:val="21"/>
                      <w:szCs w:val="21"/>
                    </w:rPr>
                  </w:pPr>
                  <w:r>
                    <w:rPr>
                      <w:rFonts w:hint="eastAsia" w:ascii="Times New Roman" w:hAnsi="Times New Roman" w:cs="宋体"/>
                      <w:b/>
                      <w:color w:val="auto"/>
                      <w:kern w:val="0"/>
                      <w:sz w:val="21"/>
                      <w:szCs w:val="21"/>
                    </w:rPr>
                    <w:t>本项目情况</w:t>
                  </w:r>
                </w:p>
              </w:tc>
              <w:tc>
                <w:tcPr>
                  <w:tcW w:w="577" w:type="dxa"/>
                  <w:vAlign w:val="center"/>
                </w:tcPr>
                <w:p w14:paraId="43F13D7F">
                  <w:pPr>
                    <w:autoSpaceDE w:val="0"/>
                    <w:autoSpaceDN w:val="0"/>
                    <w:adjustRightInd w:val="0"/>
                    <w:snapToGrid w:val="0"/>
                    <w:jc w:val="center"/>
                    <w:rPr>
                      <w:rFonts w:cs="宋体"/>
                      <w:b/>
                      <w:color w:val="auto"/>
                      <w:kern w:val="0"/>
                      <w:sz w:val="21"/>
                      <w:szCs w:val="21"/>
                    </w:rPr>
                  </w:pPr>
                  <w:r>
                    <w:rPr>
                      <w:rFonts w:hint="eastAsia" w:ascii="Times New Roman" w:hAnsi="Times New Roman" w:cs="宋体"/>
                      <w:b/>
                      <w:color w:val="auto"/>
                      <w:kern w:val="0"/>
                      <w:sz w:val="21"/>
                      <w:szCs w:val="21"/>
                    </w:rPr>
                    <w:t>符合性</w:t>
                  </w:r>
                </w:p>
              </w:tc>
            </w:tr>
            <w:tr w14:paraId="3C5E5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25D85C52">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《西咸新区沣西新城分区</w:t>
                  </w:r>
                  <w:r>
                    <w:rPr>
                      <w:rFonts w:hint="eastAsia" w:ascii="Times New Roman" w:hAnsi="Times New Roman" w:cs="宋体"/>
                      <w:bCs/>
                      <w:color w:val="auto"/>
                      <w:kern w:val="0"/>
                      <w:sz w:val="21"/>
                      <w:szCs w:val="21"/>
                      <w:lang w:val="en-US" w:eastAsia="zh-CN"/>
                    </w:rPr>
                    <w:t>规划</w:t>
                  </w:r>
                  <w:r>
                    <w:rPr>
                      <w:rFonts w:hint="eastAsia" w:ascii="Times New Roman" w:hAnsi="Times New Roman" w:cs="宋体"/>
                      <w:bCs/>
                      <w:color w:val="auto"/>
                      <w:kern w:val="0"/>
                      <w:sz w:val="21"/>
                      <w:szCs w:val="21"/>
                    </w:rPr>
                    <w:t>（2016-2035）》</w:t>
                  </w:r>
                </w:p>
              </w:tc>
              <w:tc>
                <w:tcPr>
                  <w:tcW w:w="2807" w:type="dxa"/>
                  <w:vAlign w:val="center"/>
                </w:tcPr>
                <w:p w14:paraId="43D27881">
                  <w:pPr>
                    <w:autoSpaceDE w:val="0"/>
                    <w:autoSpaceDN w:val="0"/>
                    <w:adjustRightInd w:val="0"/>
                    <w:snapToGrid w:val="0"/>
                    <w:jc w:val="center"/>
                    <w:rPr>
                      <w:rFonts w:cs="宋体"/>
                      <w:bCs/>
                      <w:color w:val="auto"/>
                      <w:kern w:val="0"/>
                      <w:sz w:val="21"/>
                      <w:szCs w:val="21"/>
                    </w:rPr>
                  </w:pPr>
                  <w:r>
                    <w:rPr>
                      <w:rFonts w:ascii="Times New Roman" w:hAnsi="Times New Roman"/>
                      <w:color w:val="auto"/>
                      <w:sz w:val="21"/>
                      <w:szCs w:val="21"/>
                    </w:rPr>
                    <w:t>沣西新城规划定位为：丝绸之路信息港、国家海绵城市建设示范区、西部科技创新引领区，以信息产业、大数据、国际文化交流等为主的大西安新中心重要组成部分。在产业定位上，以信息产业为主导、智能制造和现代服务业为重点、其他战略性新兴产业为支撑的</w:t>
                  </w:r>
                  <w:r>
                    <w:rPr>
                      <w:rFonts w:hint="eastAsia" w:ascii="Times New Roman" w:hAnsi="Times New Roman"/>
                      <w:color w:val="auto"/>
                      <w:sz w:val="21"/>
                      <w:szCs w:val="21"/>
                      <w:lang w:eastAsia="zh-CN"/>
                    </w:rPr>
                    <w:t>“</w:t>
                  </w:r>
                  <w:r>
                    <w:rPr>
                      <w:rFonts w:ascii="Times New Roman" w:hAnsi="Times New Roman"/>
                      <w:color w:val="auto"/>
                      <w:sz w:val="21"/>
                      <w:szCs w:val="21"/>
                    </w:rPr>
                    <w:t>1+2+N</w:t>
                  </w:r>
                  <w:r>
                    <w:rPr>
                      <w:rFonts w:hint="eastAsia" w:ascii="Times New Roman" w:hAnsi="Times New Roman"/>
                      <w:color w:val="auto"/>
                      <w:sz w:val="21"/>
                      <w:szCs w:val="21"/>
                      <w:lang w:eastAsia="zh-CN"/>
                    </w:rPr>
                    <w:t>”</w:t>
                  </w:r>
                  <w:r>
                    <w:rPr>
                      <w:rFonts w:ascii="Times New Roman" w:hAnsi="Times New Roman"/>
                      <w:color w:val="auto"/>
                      <w:sz w:val="21"/>
                      <w:szCs w:val="21"/>
                    </w:rPr>
                    <w:t>的产业体系。其中支撑产业包括生物医药产业、电子信息材料、节能环保设备及产品、休闲农业和地热能等</w:t>
                  </w:r>
                  <w:r>
                    <w:rPr>
                      <w:rFonts w:hint="eastAsia" w:ascii="Times New Roman" w:hAnsi="Times New Roman"/>
                      <w:color w:val="auto"/>
                      <w:sz w:val="21"/>
                      <w:szCs w:val="21"/>
                      <w:lang w:eastAsia="zh-CN"/>
                    </w:rPr>
                    <w:t>方面</w:t>
                  </w:r>
                  <w:r>
                    <w:rPr>
                      <w:rFonts w:ascii="Times New Roman" w:hAnsi="Times New Roman"/>
                      <w:color w:val="auto"/>
                      <w:sz w:val="21"/>
                      <w:szCs w:val="21"/>
                    </w:rPr>
                    <w:t>。</w:t>
                  </w:r>
                  <w:r>
                    <w:rPr>
                      <w:rFonts w:hint="eastAsia" w:ascii="Times New Roman" w:hAnsi="Times New Roman"/>
                      <w:color w:val="auto"/>
                      <w:sz w:val="21"/>
                      <w:szCs w:val="21"/>
                    </w:rPr>
                    <w:t>沣西新城主导产业：以战略性新兴产业和现代服务业为主，</w:t>
                  </w:r>
                  <w:r>
                    <w:rPr>
                      <w:rFonts w:hint="eastAsia" w:ascii="Times New Roman" w:hAnsi="Times New Roman" w:cs="宋体"/>
                      <w:bCs/>
                      <w:color w:val="auto"/>
                      <w:kern w:val="0"/>
                      <w:sz w:val="21"/>
                      <w:szCs w:val="21"/>
                    </w:rPr>
                    <w:t>重点发展新材料、物联网、信息技术、生物医药、节能环保、都市农业、高尚居住等产业。</w:t>
                  </w:r>
                </w:p>
              </w:tc>
              <w:tc>
                <w:tcPr>
                  <w:tcW w:w="2558" w:type="dxa"/>
                  <w:vAlign w:val="center"/>
                </w:tcPr>
                <w:p w14:paraId="1ED8949C">
                  <w:pPr>
                    <w:autoSpaceDE w:val="0"/>
                    <w:autoSpaceDN w:val="0"/>
                    <w:adjustRightInd w:val="0"/>
                    <w:snapToGrid w:val="0"/>
                    <w:jc w:val="center"/>
                    <w:rPr>
                      <w:rFonts w:cs="宋体"/>
                      <w:bCs/>
                      <w:color w:val="auto"/>
                      <w:kern w:val="0"/>
                      <w:sz w:val="21"/>
                      <w:szCs w:val="21"/>
                    </w:rPr>
                  </w:pPr>
                  <w:r>
                    <w:rPr>
                      <w:rFonts w:hint="eastAsia" w:ascii="Times New Roman" w:hAnsi="Times New Roman" w:eastAsia="宋体" w:cs="宋体"/>
                      <w:bCs/>
                      <w:color w:val="auto"/>
                      <w:kern w:val="0"/>
                      <w:sz w:val="21"/>
                      <w:szCs w:val="21"/>
                    </w:rPr>
                    <w:t>本项目选址</w:t>
                  </w:r>
                  <w:r>
                    <w:rPr>
                      <w:rFonts w:hint="eastAsia" w:ascii="Times New Roman" w:hAnsi="Times New Roman" w:eastAsia="宋体" w:cs="宋体"/>
                      <w:bCs/>
                      <w:color w:val="auto"/>
                      <w:kern w:val="0"/>
                      <w:sz w:val="21"/>
                      <w:szCs w:val="21"/>
                      <w:lang w:val="en-US" w:eastAsia="zh-CN"/>
                    </w:rPr>
                    <w:t>位于陕西省西咸新区沣西新城大王街办西宝路6号</w:t>
                  </w:r>
                  <w:r>
                    <w:rPr>
                      <w:rFonts w:hint="eastAsia" w:ascii="Times New Roman" w:hAnsi="Times New Roman" w:eastAsia="宋体" w:cs="宋体"/>
                      <w:bCs/>
                      <w:color w:val="auto"/>
                      <w:kern w:val="0"/>
                      <w:sz w:val="21"/>
                      <w:szCs w:val="21"/>
                      <w:lang w:eastAsia="zh-CN"/>
                    </w:rPr>
                    <w:t>，</w:t>
                  </w:r>
                  <w:r>
                    <w:rPr>
                      <w:rFonts w:hint="eastAsia" w:ascii="Times New Roman" w:hAnsi="Times New Roman" w:eastAsia="宋体" w:cs="宋体"/>
                      <w:bCs/>
                      <w:color w:val="auto"/>
                      <w:kern w:val="0"/>
                      <w:sz w:val="21"/>
                      <w:szCs w:val="21"/>
                    </w:rPr>
                    <w:t>位于规划范围内。</w:t>
                  </w:r>
                  <w:r>
                    <w:rPr>
                      <w:rFonts w:hint="eastAsia" w:ascii="Times New Roman" w:hAnsi="Times New Roman" w:cs="宋体"/>
                      <w:bCs/>
                      <w:color w:val="auto"/>
                      <w:kern w:val="0"/>
                      <w:sz w:val="21"/>
                      <w:szCs w:val="21"/>
                    </w:rPr>
                    <w:t>本项目产品为</w:t>
                  </w:r>
                  <w:r>
                    <w:rPr>
                      <w:rFonts w:hint="eastAsia" w:ascii="Times New Roman" w:hAnsi="Times New Roman" w:cs="宋体"/>
                      <w:bCs/>
                      <w:color w:val="auto"/>
                      <w:kern w:val="0"/>
                      <w:sz w:val="21"/>
                      <w:szCs w:val="21"/>
                      <w:lang w:val="en-US" w:eastAsia="zh-CN"/>
                    </w:rPr>
                    <w:t>石膏粉、腻子粉、砂浆</w:t>
                  </w:r>
                  <w:r>
                    <w:rPr>
                      <w:rFonts w:hint="eastAsia" w:ascii="Times New Roman" w:hAnsi="Times New Roman" w:cs="宋体"/>
                      <w:bCs/>
                      <w:color w:val="auto"/>
                      <w:kern w:val="0"/>
                      <w:sz w:val="21"/>
                      <w:szCs w:val="21"/>
                    </w:rPr>
                    <w:t>，符合《西咸新区沣西新城分区规划》（2016-2035）中产业定位</w:t>
                  </w:r>
                  <w:r>
                    <w:rPr>
                      <w:rFonts w:hint="eastAsia" w:ascii="Times New Roman" w:hAnsi="Times New Roman" w:cs="宋体"/>
                      <w:bCs/>
                      <w:color w:val="auto"/>
                      <w:kern w:val="0"/>
                      <w:sz w:val="21"/>
                      <w:szCs w:val="21"/>
                      <w:highlight w:val="none"/>
                    </w:rPr>
                    <w:t>。项目于202</w:t>
                  </w:r>
                  <w:r>
                    <w:rPr>
                      <w:rFonts w:hint="eastAsia" w:ascii="Times New Roman" w:hAnsi="Times New Roman" w:cs="宋体"/>
                      <w:bCs/>
                      <w:color w:val="auto"/>
                      <w:kern w:val="0"/>
                      <w:sz w:val="21"/>
                      <w:szCs w:val="21"/>
                      <w:highlight w:val="none"/>
                      <w:lang w:val="en-US" w:eastAsia="zh-CN"/>
                    </w:rPr>
                    <w:t>3</w:t>
                  </w:r>
                  <w:r>
                    <w:rPr>
                      <w:rFonts w:hint="eastAsia" w:ascii="Times New Roman" w:hAnsi="Times New Roman" w:cs="宋体"/>
                      <w:bCs/>
                      <w:color w:val="auto"/>
                      <w:kern w:val="0"/>
                      <w:sz w:val="21"/>
                      <w:szCs w:val="21"/>
                      <w:highlight w:val="none"/>
                    </w:rPr>
                    <w:t>年</w:t>
                  </w:r>
                  <w:r>
                    <w:rPr>
                      <w:rFonts w:hint="eastAsia" w:ascii="Times New Roman" w:hAnsi="Times New Roman" w:cs="宋体"/>
                      <w:bCs/>
                      <w:color w:val="auto"/>
                      <w:kern w:val="0"/>
                      <w:sz w:val="21"/>
                      <w:szCs w:val="21"/>
                      <w:highlight w:val="none"/>
                      <w:lang w:val="en-US" w:eastAsia="zh-CN"/>
                    </w:rPr>
                    <w:t>8</w:t>
                  </w:r>
                  <w:r>
                    <w:rPr>
                      <w:rFonts w:hint="eastAsia" w:ascii="Times New Roman" w:hAnsi="Times New Roman" w:cs="宋体"/>
                      <w:bCs/>
                      <w:color w:val="auto"/>
                      <w:kern w:val="0"/>
                      <w:sz w:val="21"/>
                      <w:szCs w:val="21"/>
                      <w:highlight w:val="none"/>
                    </w:rPr>
                    <w:t>月3</w:t>
                  </w:r>
                  <w:r>
                    <w:rPr>
                      <w:rFonts w:hint="eastAsia" w:ascii="Times New Roman" w:hAnsi="Times New Roman" w:cs="宋体"/>
                      <w:bCs/>
                      <w:color w:val="auto"/>
                      <w:kern w:val="0"/>
                      <w:sz w:val="21"/>
                      <w:szCs w:val="21"/>
                      <w:highlight w:val="none"/>
                      <w:lang w:val="en-US" w:eastAsia="zh-CN"/>
                    </w:rPr>
                    <w:t>0</w:t>
                  </w:r>
                  <w:r>
                    <w:rPr>
                      <w:rFonts w:hint="eastAsia" w:ascii="Times New Roman" w:hAnsi="Times New Roman" w:cs="宋体"/>
                      <w:bCs/>
                      <w:color w:val="auto"/>
                      <w:kern w:val="0"/>
                      <w:sz w:val="21"/>
                      <w:szCs w:val="21"/>
                      <w:highlight w:val="none"/>
                    </w:rPr>
                    <w:t>日取得陕西省西咸新区沣西新城管理委员会的备案文件（附件</w:t>
                  </w:r>
                  <w:r>
                    <w:rPr>
                      <w:rFonts w:hint="eastAsia" w:ascii="Times New Roman" w:hAnsi="Times New Roman" w:cs="宋体"/>
                      <w:bCs/>
                      <w:color w:val="auto"/>
                      <w:kern w:val="0"/>
                      <w:sz w:val="21"/>
                      <w:szCs w:val="21"/>
                      <w:highlight w:val="none"/>
                      <w:lang w:val="en-US" w:eastAsia="zh-CN"/>
                    </w:rPr>
                    <w:t>二</w:t>
                  </w:r>
                  <w:r>
                    <w:rPr>
                      <w:rFonts w:hint="eastAsia" w:ascii="Times New Roman" w:hAnsi="Times New Roman" w:cs="宋体"/>
                      <w:bCs/>
                      <w:color w:val="auto"/>
                      <w:kern w:val="0"/>
                      <w:sz w:val="21"/>
                      <w:szCs w:val="21"/>
                      <w:highlight w:val="none"/>
                    </w:rPr>
                    <w:t>）。</w:t>
                  </w:r>
                </w:p>
              </w:tc>
              <w:tc>
                <w:tcPr>
                  <w:tcW w:w="577" w:type="dxa"/>
                  <w:vAlign w:val="center"/>
                </w:tcPr>
                <w:p w14:paraId="47840F37">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符合</w:t>
                  </w:r>
                </w:p>
              </w:tc>
            </w:tr>
            <w:tr w14:paraId="28C36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06B6B0C2">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《西咸新区沣西新城分区规划（2016年-2035年）环境影响报告书》</w:t>
                  </w:r>
                </w:p>
              </w:tc>
              <w:tc>
                <w:tcPr>
                  <w:tcW w:w="2807" w:type="dxa"/>
                  <w:vAlign w:val="center"/>
                </w:tcPr>
                <w:p w14:paraId="2B5BFB72">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对产业的引入采取</w:t>
                  </w:r>
                  <w:r>
                    <w:rPr>
                      <w:rFonts w:hint="eastAsia" w:ascii="Times New Roman" w:hAnsi="Times New Roman" w:cs="宋体"/>
                      <w:bCs/>
                      <w:color w:val="auto"/>
                      <w:kern w:val="0"/>
                      <w:sz w:val="21"/>
                      <w:szCs w:val="21"/>
                      <w:lang w:eastAsia="zh-CN"/>
                    </w:rPr>
                    <w:t>“</w:t>
                  </w:r>
                  <w:r>
                    <w:rPr>
                      <w:rFonts w:hint="eastAsia" w:ascii="Times New Roman" w:hAnsi="Times New Roman" w:cs="宋体"/>
                      <w:bCs/>
                      <w:color w:val="auto"/>
                      <w:kern w:val="0"/>
                      <w:sz w:val="21"/>
                      <w:szCs w:val="21"/>
                    </w:rPr>
                    <w:t>底线控制、优势相关、鼓励创新</w:t>
                  </w:r>
                  <w:r>
                    <w:rPr>
                      <w:rFonts w:hint="eastAsia" w:ascii="Times New Roman" w:hAnsi="Times New Roman" w:cs="宋体"/>
                      <w:bCs/>
                      <w:color w:val="auto"/>
                      <w:kern w:val="0"/>
                      <w:sz w:val="21"/>
                      <w:szCs w:val="21"/>
                      <w:lang w:eastAsia="zh-CN"/>
                    </w:rPr>
                    <w:t>”</w:t>
                  </w:r>
                  <w:r>
                    <w:rPr>
                      <w:rFonts w:hint="eastAsia" w:ascii="Times New Roman" w:hAnsi="Times New Roman" w:cs="宋体"/>
                      <w:bCs/>
                      <w:color w:val="auto"/>
                      <w:kern w:val="0"/>
                      <w:sz w:val="21"/>
                      <w:szCs w:val="21"/>
                    </w:rPr>
                    <w:t>的原则。底线控制，即淘汰三高（高污染、高耗能、高耗水如铸造、化工等），凡是非三高企业都可引入；优势相关，即和信息产业相关联的产业、其他战略性新兴产业、旅游和现代农业；鼓励创新，即创新投入产出高的高新技术企业、和创新服务相关的现代服务业。</w:t>
                  </w:r>
                </w:p>
              </w:tc>
              <w:tc>
                <w:tcPr>
                  <w:tcW w:w="2558" w:type="dxa"/>
                  <w:vAlign w:val="center"/>
                </w:tcPr>
                <w:p w14:paraId="6968E1B5">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本项目为水泥制品制造项目，不属于高污染、高耗能、高耗水企业。</w:t>
                  </w:r>
                </w:p>
              </w:tc>
              <w:tc>
                <w:tcPr>
                  <w:tcW w:w="577" w:type="dxa"/>
                  <w:vAlign w:val="center"/>
                </w:tcPr>
                <w:p w14:paraId="67F21EE6">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符合</w:t>
                  </w:r>
                </w:p>
              </w:tc>
            </w:tr>
            <w:tr w14:paraId="51594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1C55A245">
                  <w:pPr>
                    <w:autoSpaceDE w:val="0"/>
                    <w:autoSpaceDN w:val="0"/>
                    <w:adjustRightInd w:val="0"/>
                    <w:snapToGrid w:val="0"/>
                    <w:jc w:val="center"/>
                    <w:rPr>
                      <w:rFonts w:cs="宋体"/>
                      <w:bCs/>
                      <w:color w:val="auto"/>
                      <w:kern w:val="0"/>
                      <w:sz w:val="21"/>
                      <w:szCs w:val="21"/>
                    </w:rPr>
                  </w:pPr>
                </w:p>
              </w:tc>
              <w:tc>
                <w:tcPr>
                  <w:tcW w:w="2807" w:type="dxa"/>
                  <w:vAlign w:val="center"/>
                </w:tcPr>
                <w:p w14:paraId="0A0B7CA9">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区内建设污水处理厂，对地表水有较大的改善，但考虑到距离最终的规划目标仍有差距，评价要求严禁高耗水、高排水企业入驻区内，严格控制污水外排；固废必须按照《一般工业固体废物处贮存、处置场污染控制标准》（GB18599-2001）要求，进行贮存和处置；危废的产生和管理按照陕西省环境保护厅颁发的《危险废物转移联单管理办法》等有关规定文件的要求，收集后送往危废处理处置中心。</w:t>
                  </w:r>
                </w:p>
              </w:tc>
              <w:tc>
                <w:tcPr>
                  <w:tcW w:w="2558" w:type="dxa"/>
                  <w:vAlign w:val="center"/>
                </w:tcPr>
                <w:p w14:paraId="70F32C09">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bCs/>
                      <w:color w:val="auto"/>
                      <w:kern w:val="0"/>
                      <w:sz w:val="21"/>
                      <w:szCs w:val="21"/>
                    </w:rPr>
                  </w:pPr>
                  <w:r>
                    <w:rPr>
                      <w:rFonts w:hint="eastAsia" w:ascii="Times New Roman" w:hAnsi="Times New Roman" w:cs="宋体"/>
                      <w:bCs/>
                      <w:color w:val="auto"/>
                      <w:kern w:val="0"/>
                      <w:sz w:val="21"/>
                      <w:szCs w:val="21"/>
                    </w:rPr>
                    <w:t>本项目为水泥制品制造项目，</w:t>
                  </w:r>
                  <w:r>
                    <w:rPr>
                      <w:rFonts w:hint="eastAsia" w:ascii="Times New Roman" w:hAnsi="Times New Roman" w:eastAsia="宋体" w:cs="宋体"/>
                      <w:bCs/>
                      <w:color w:val="auto"/>
                      <w:kern w:val="0"/>
                      <w:sz w:val="21"/>
                      <w:szCs w:val="21"/>
                    </w:rPr>
                    <w:t>不属于高耗水行业。项目</w:t>
                  </w:r>
                  <w:r>
                    <w:rPr>
                      <w:rFonts w:hint="default" w:ascii="Times New Roman" w:hAnsi="Times New Roman" w:eastAsia="宋体" w:cs="宋体"/>
                      <w:bCs/>
                      <w:color w:val="auto"/>
                      <w:kern w:val="0"/>
                      <w:sz w:val="21"/>
                      <w:szCs w:val="21"/>
                      <w:lang w:val="en-US" w:eastAsia="zh-CN"/>
                    </w:rPr>
                    <w:t>生活污</w:t>
                  </w:r>
                  <w:r>
                    <w:rPr>
                      <w:rFonts w:hint="default" w:ascii="Times New Roman" w:hAnsi="Times New Roman" w:eastAsia="宋体" w:cs="宋体"/>
                      <w:bCs/>
                      <w:color w:val="auto"/>
                      <w:kern w:val="0"/>
                      <w:sz w:val="21"/>
                      <w:szCs w:val="21"/>
                      <w:lang w:val="en-US" w:eastAsia="zh-CN" w:bidi="ar-SA"/>
                    </w:rPr>
                    <w:t>水进入化粪池预处理后排入沣西新城大王污水处理厂，处理达标后排入新河。生活垃圾设置垃圾桶，集中收集，定期委托环卫部门清运处置；废包装袋收集后堆存一般固体废物暂存间，定期外售物资回收公司综合利用；废布袋收集后堆存一般固体废物暂存间，定期外售物资回收公司综合利用；除尘器收集的粉尘返回生产工序回用</w:t>
                  </w:r>
                  <w:r>
                    <w:rPr>
                      <w:rFonts w:hint="eastAsia" w:ascii="Times New Roman" w:hAnsi="Times New Roman" w:eastAsia="宋体" w:cs="宋体"/>
                      <w:bCs/>
                      <w:color w:val="auto"/>
                      <w:kern w:val="0"/>
                      <w:sz w:val="21"/>
                      <w:szCs w:val="21"/>
                      <w:lang w:val="en-US" w:eastAsia="zh-CN" w:bidi="ar-SA"/>
                    </w:rPr>
                    <w:t>；</w:t>
                  </w:r>
                  <w:r>
                    <w:rPr>
                      <w:rFonts w:hint="default" w:ascii="Times New Roman" w:hAnsi="Times New Roman" w:eastAsia="宋体" w:cs="宋体"/>
                      <w:bCs/>
                      <w:color w:val="auto"/>
                      <w:kern w:val="0"/>
                      <w:sz w:val="21"/>
                      <w:szCs w:val="21"/>
                      <w:lang w:val="en-US" w:eastAsia="zh-CN" w:bidi="ar-SA"/>
                    </w:rPr>
                    <w:t>设备维修过程产生的废机油暂存于</w:t>
                  </w:r>
                  <w:r>
                    <w:rPr>
                      <w:rFonts w:hint="eastAsia" w:cs="宋体"/>
                      <w:bCs/>
                      <w:color w:val="auto"/>
                      <w:kern w:val="0"/>
                      <w:sz w:val="21"/>
                      <w:szCs w:val="21"/>
                      <w:lang w:val="en-US" w:eastAsia="zh-CN" w:bidi="ar-SA"/>
                    </w:rPr>
                    <w:t>危废贮存库</w:t>
                  </w:r>
                  <w:r>
                    <w:rPr>
                      <w:rFonts w:hint="default" w:ascii="Times New Roman" w:hAnsi="Times New Roman" w:eastAsia="宋体" w:cs="宋体"/>
                      <w:bCs/>
                      <w:color w:val="auto"/>
                      <w:kern w:val="0"/>
                      <w:sz w:val="21"/>
                      <w:szCs w:val="21"/>
                      <w:lang w:val="en-US" w:eastAsia="zh-CN" w:bidi="ar-SA"/>
                    </w:rPr>
                    <w:t>，定期交由相应类别危险废物经营许可证的单位处理。</w:t>
                  </w:r>
                </w:p>
              </w:tc>
              <w:tc>
                <w:tcPr>
                  <w:tcW w:w="577" w:type="dxa"/>
                  <w:vAlign w:val="center"/>
                </w:tcPr>
                <w:p w14:paraId="521DD219">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符合</w:t>
                  </w:r>
                </w:p>
              </w:tc>
            </w:tr>
            <w:tr w14:paraId="45B7F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2724B86B">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《西咸新区沣西新城分区规划（2016年-2035年）环境影响报告书》审查意见</w:t>
                  </w:r>
                </w:p>
              </w:tc>
              <w:tc>
                <w:tcPr>
                  <w:tcW w:w="2807" w:type="dxa"/>
                  <w:vAlign w:val="center"/>
                </w:tcPr>
                <w:p w14:paraId="1AF7C1E1">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严禁</w:t>
                  </w:r>
                  <w:r>
                    <w:rPr>
                      <w:rFonts w:hint="eastAsia" w:ascii="Times New Roman" w:hAnsi="Times New Roman" w:cs="宋体"/>
                      <w:bCs/>
                      <w:color w:val="auto"/>
                      <w:kern w:val="0"/>
                      <w:sz w:val="21"/>
                      <w:szCs w:val="21"/>
                      <w:lang w:eastAsia="zh-CN"/>
                    </w:rPr>
                    <w:t>“</w:t>
                  </w:r>
                  <w:r>
                    <w:rPr>
                      <w:rFonts w:hint="eastAsia" w:ascii="Times New Roman" w:hAnsi="Times New Roman" w:cs="宋体"/>
                      <w:bCs/>
                      <w:color w:val="auto"/>
                      <w:kern w:val="0"/>
                      <w:sz w:val="21"/>
                      <w:szCs w:val="21"/>
                    </w:rPr>
                    <w:t>三高一低</w:t>
                  </w:r>
                  <w:r>
                    <w:rPr>
                      <w:rFonts w:hint="eastAsia" w:ascii="Times New Roman" w:hAnsi="Times New Roman" w:cs="宋体"/>
                      <w:bCs/>
                      <w:color w:val="auto"/>
                      <w:kern w:val="0"/>
                      <w:sz w:val="21"/>
                      <w:szCs w:val="21"/>
                      <w:lang w:eastAsia="zh-CN"/>
                    </w:rPr>
                    <w:t>”</w:t>
                  </w:r>
                  <w:r>
                    <w:rPr>
                      <w:rFonts w:hint="eastAsia" w:ascii="Times New Roman" w:hAnsi="Times New Roman" w:cs="宋体"/>
                      <w:bCs/>
                      <w:color w:val="auto"/>
                      <w:kern w:val="0"/>
                      <w:sz w:val="21"/>
                      <w:szCs w:val="21"/>
                    </w:rPr>
                    <w:t>项目入区，采用总量控制的方式，限制大气污染物排放量大的项目入区。</w:t>
                  </w:r>
                </w:p>
              </w:tc>
              <w:tc>
                <w:tcPr>
                  <w:tcW w:w="2558" w:type="dxa"/>
                  <w:vAlign w:val="center"/>
                </w:tcPr>
                <w:p w14:paraId="0E890BE2">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项目运营过程产生的废气污染物主要为粉尘，采取</w:t>
                  </w:r>
                  <w:r>
                    <w:rPr>
                      <w:rFonts w:hint="eastAsia" w:ascii="Times New Roman" w:hAnsi="Times New Roman" w:cs="宋体"/>
                      <w:bCs/>
                      <w:color w:val="auto"/>
                      <w:kern w:val="0"/>
                      <w:sz w:val="21"/>
                      <w:szCs w:val="21"/>
                      <w:lang w:eastAsia="zh-CN"/>
                    </w:rPr>
                    <w:t>“</w:t>
                  </w:r>
                  <w:r>
                    <w:rPr>
                      <w:rFonts w:hint="eastAsia" w:ascii="Times New Roman" w:hAnsi="Times New Roman" w:eastAsia="宋体" w:cs="Times New Roman"/>
                      <w:b w:val="0"/>
                      <w:bCs w:val="0"/>
                      <w:color w:val="auto"/>
                      <w:sz w:val="21"/>
                      <w:szCs w:val="21"/>
                      <w:lang w:val="en-US" w:eastAsia="zh-CN"/>
                    </w:rPr>
                    <w:t>密闭</w:t>
                  </w:r>
                  <w:r>
                    <w:rPr>
                      <w:rFonts w:hint="default" w:ascii="Times New Roman" w:hAnsi="Times New Roman" w:eastAsia="宋体" w:cs="Times New Roman"/>
                      <w:b w:val="0"/>
                      <w:bCs w:val="0"/>
                      <w:color w:val="auto"/>
                      <w:sz w:val="21"/>
                      <w:szCs w:val="21"/>
                      <w:lang w:val="en-US" w:eastAsia="zh-CN"/>
                    </w:rPr>
                    <w:t>箱体侧吸</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集尘罩+布袋除尘器</w:t>
                  </w:r>
                  <w:r>
                    <w:rPr>
                      <w:rFonts w:hint="eastAsia" w:ascii="Times New Roman" w:hAnsi="Times New Roman" w:cs="宋体"/>
                      <w:bCs/>
                      <w:color w:val="auto"/>
                      <w:kern w:val="0"/>
                      <w:sz w:val="21"/>
                      <w:szCs w:val="21"/>
                      <w:lang w:val="en-US" w:eastAsia="zh-CN"/>
                    </w:rPr>
                    <w:t>+15m排气筒</w:t>
                  </w:r>
                  <w:r>
                    <w:rPr>
                      <w:rFonts w:hint="eastAsia" w:ascii="Times New Roman" w:hAnsi="Times New Roman" w:cs="宋体"/>
                      <w:bCs/>
                      <w:color w:val="auto"/>
                      <w:kern w:val="0"/>
                      <w:sz w:val="21"/>
                      <w:szCs w:val="21"/>
                      <w:lang w:eastAsia="zh-CN"/>
                    </w:rPr>
                    <w:t>”</w:t>
                  </w:r>
                  <w:r>
                    <w:rPr>
                      <w:rFonts w:hint="eastAsia" w:ascii="Times New Roman" w:hAnsi="Times New Roman" w:cs="宋体"/>
                      <w:bCs/>
                      <w:color w:val="auto"/>
                      <w:kern w:val="0"/>
                      <w:sz w:val="21"/>
                      <w:szCs w:val="21"/>
                    </w:rPr>
                    <w:t>后能实现达标排放，不属于</w:t>
                  </w:r>
                  <w:r>
                    <w:rPr>
                      <w:rFonts w:hint="eastAsia" w:ascii="Times New Roman" w:hAnsi="Times New Roman" w:cs="宋体"/>
                      <w:bCs/>
                      <w:color w:val="auto"/>
                      <w:kern w:val="0"/>
                      <w:sz w:val="21"/>
                      <w:szCs w:val="21"/>
                      <w:lang w:eastAsia="zh-CN"/>
                    </w:rPr>
                    <w:t>“</w:t>
                  </w:r>
                  <w:r>
                    <w:rPr>
                      <w:rFonts w:hint="eastAsia" w:ascii="Times New Roman" w:hAnsi="Times New Roman" w:cs="宋体"/>
                      <w:bCs/>
                      <w:color w:val="auto"/>
                      <w:kern w:val="0"/>
                      <w:sz w:val="21"/>
                      <w:szCs w:val="21"/>
                    </w:rPr>
                    <w:t>三高一低</w:t>
                  </w:r>
                  <w:r>
                    <w:rPr>
                      <w:rFonts w:hint="eastAsia" w:ascii="Times New Roman" w:hAnsi="Times New Roman" w:cs="宋体"/>
                      <w:bCs/>
                      <w:color w:val="auto"/>
                      <w:kern w:val="0"/>
                      <w:sz w:val="21"/>
                      <w:szCs w:val="21"/>
                      <w:lang w:eastAsia="zh-CN"/>
                    </w:rPr>
                    <w:t>”</w:t>
                  </w:r>
                  <w:r>
                    <w:rPr>
                      <w:rFonts w:hint="eastAsia" w:ascii="Times New Roman" w:hAnsi="Times New Roman" w:cs="宋体"/>
                      <w:bCs/>
                      <w:color w:val="auto"/>
                      <w:kern w:val="0"/>
                      <w:sz w:val="21"/>
                      <w:szCs w:val="21"/>
                    </w:rPr>
                    <w:t>项目及大气污染物排放量大的项目。</w:t>
                  </w:r>
                </w:p>
              </w:tc>
              <w:tc>
                <w:tcPr>
                  <w:tcW w:w="577" w:type="dxa"/>
                  <w:vAlign w:val="center"/>
                </w:tcPr>
                <w:p w14:paraId="34DA18F1">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符合</w:t>
                  </w:r>
                </w:p>
              </w:tc>
            </w:tr>
            <w:tr w14:paraId="201B4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27F9623">
                  <w:pPr>
                    <w:autoSpaceDE w:val="0"/>
                    <w:autoSpaceDN w:val="0"/>
                    <w:adjustRightInd w:val="0"/>
                    <w:snapToGrid w:val="0"/>
                    <w:jc w:val="center"/>
                    <w:rPr>
                      <w:rFonts w:cs="宋体"/>
                      <w:bCs/>
                      <w:color w:val="auto"/>
                      <w:kern w:val="0"/>
                      <w:sz w:val="21"/>
                      <w:szCs w:val="21"/>
                    </w:rPr>
                  </w:pPr>
                </w:p>
              </w:tc>
              <w:tc>
                <w:tcPr>
                  <w:tcW w:w="2807" w:type="dxa"/>
                  <w:vAlign w:val="center"/>
                </w:tcPr>
                <w:p w14:paraId="1DBB4E33">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结合区域大气环境质量改善目标要求，明确无煤化城市建设阶段性目标，进一步优化能源结构，加大无干扰干热岩供热技术的应有推广，加强挥发性有机物产生企业监督管理，强化移动源污染防治。</w:t>
                  </w:r>
                </w:p>
              </w:tc>
              <w:tc>
                <w:tcPr>
                  <w:tcW w:w="2558" w:type="dxa"/>
                  <w:vAlign w:val="center"/>
                </w:tcPr>
                <w:p w14:paraId="3A17B539">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本项目不使用煤作为能源，运营过程中不产生有机废气。</w:t>
                  </w:r>
                </w:p>
              </w:tc>
              <w:tc>
                <w:tcPr>
                  <w:tcW w:w="577" w:type="dxa"/>
                  <w:vAlign w:val="center"/>
                </w:tcPr>
                <w:p w14:paraId="3FEB8153">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符合</w:t>
                  </w:r>
                </w:p>
              </w:tc>
            </w:tr>
            <w:tr w14:paraId="4826D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61CC3216">
                  <w:pPr>
                    <w:autoSpaceDE w:val="0"/>
                    <w:autoSpaceDN w:val="0"/>
                    <w:adjustRightInd w:val="0"/>
                    <w:snapToGrid w:val="0"/>
                    <w:jc w:val="center"/>
                    <w:rPr>
                      <w:rFonts w:cs="宋体"/>
                      <w:bCs/>
                      <w:color w:val="auto"/>
                      <w:kern w:val="0"/>
                      <w:sz w:val="21"/>
                      <w:szCs w:val="21"/>
                    </w:rPr>
                  </w:pPr>
                </w:p>
              </w:tc>
              <w:tc>
                <w:tcPr>
                  <w:tcW w:w="2807" w:type="dxa"/>
                  <w:vAlign w:val="center"/>
                </w:tcPr>
                <w:p w14:paraId="1EB18E4F">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结合区域水环境质量改善目标的要求，提高再生水</w:t>
                  </w:r>
                  <w:r>
                    <w:rPr>
                      <w:rFonts w:hint="eastAsia" w:ascii="Times New Roman" w:hAnsi="Times New Roman" w:cs="宋体"/>
                      <w:bCs/>
                      <w:color w:val="auto"/>
                      <w:kern w:val="0"/>
                      <w:sz w:val="21"/>
                      <w:szCs w:val="21"/>
                      <w:lang w:eastAsia="zh-CN"/>
                    </w:rPr>
                    <w:t>回</w:t>
                  </w:r>
                  <w:r>
                    <w:rPr>
                      <w:rFonts w:hint="eastAsia" w:ascii="Times New Roman" w:hAnsi="Times New Roman" w:cs="宋体"/>
                      <w:bCs/>
                      <w:color w:val="auto"/>
                      <w:kern w:val="0"/>
                      <w:sz w:val="21"/>
                      <w:szCs w:val="21"/>
                    </w:rPr>
                    <w:t>用率，提高</w:t>
                  </w:r>
                  <w:r>
                    <w:rPr>
                      <w:rFonts w:hint="eastAsia" w:ascii="Times New Roman" w:hAnsi="Times New Roman" w:cs="宋体"/>
                      <w:bCs/>
                      <w:color w:val="auto"/>
                      <w:kern w:val="0"/>
                      <w:sz w:val="21"/>
                      <w:szCs w:val="21"/>
                      <w:lang w:eastAsia="zh-CN"/>
                    </w:rPr>
                    <w:t>污水处理厂</w:t>
                  </w:r>
                  <w:r>
                    <w:rPr>
                      <w:rFonts w:hint="eastAsia" w:ascii="Times New Roman" w:hAnsi="Times New Roman" w:cs="宋体"/>
                      <w:bCs/>
                      <w:color w:val="auto"/>
                      <w:kern w:val="0"/>
                      <w:sz w:val="21"/>
                      <w:szCs w:val="21"/>
                    </w:rPr>
                    <w:t>管理标准；落实禽畜养殖禁养、景观水体建设等措施。</w:t>
                  </w:r>
                </w:p>
              </w:tc>
              <w:tc>
                <w:tcPr>
                  <w:tcW w:w="2558" w:type="dxa"/>
                  <w:vAlign w:val="center"/>
                </w:tcPr>
                <w:p w14:paraId="28AD2637">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项目</w:t>
                  </w:r>
                  <w:r>
                    <w:rPr>
                      <w:rFonts w:hint="default" w:ascii="Times New Roman" w:hAnsi="Times New Roman" w:eastAsia="宋体" w:cs="宋体"/>
                      <w:bCs/>
                      <w:color w:val="auto"/>
                      <w:kern w:val="0"/>
                      <w:sz w:val="21"/>
                      <w:szCs w:val="21"/>
                      <w:lang w:val="en-US" w:eastAsia="zh-CN"/>
                    </w:rPr>
                    <w:t>生活污</w:t>
                  </w:r>
                  <w:r>
                    <w:rPr>
                      <w:rFonts w:hint="default" w:ascii="Times New Roman" w:hAnsi="Times New Roman" w:eastAsia="宋体" w:cs="宋体"/>
                      <w:bCs/>
                      <w:color w:val="auto"/>
                      <w:kern w:val="0"/>
                      <w:sz w:val="21"/>
                      <w:szCs w:val="21"/>
                      <w:lang w:val="en-US" w:eastAsia="zh-CN" w:bidi="ar-SA"/>
                    </w:rPr>
                    <w:t>水进入化粪池预处理后排入沣西新城大王污水处理厂，处理达标后排入新河。</w:t>
                  </w:r>
                </w:p>
              </w:tc>
              <w:tc>
                <w:tcPr>
                  <w:tcW w:w="577" w:type="dxa"/>
                  <w:vAlign w:val="center"/>
                </w:tcPr>
                <w:p w14:paraId="26C5928F">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符合</w:t>
                  </w:r>
                </w:p>
              </w:tc>
            </w:tr>
            <w:tr w14:paraId="1BF94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AB67C87">
                  <w:pPr>
                    <w:autoSpaceDE w:val="0"/>
                    <w:autoSpaceDN w:val="0"/>
                    <w:adjustRightInd w:val="0"/>
                    <w:snapToGrid w:val="0"/>
                    <w:jc w:val="center"/>
                    <w:rPr>
                      <w:rFonts w:cs="宋体"/>
                      <w:bCs/>
                      <w:color w:val="auto"/>
                      <w:kern w:val="0"/>
                      <w:sz w:val="21"/>
                      <w:szCs w:val="21"/>
                    </w:rPr>
                  </w:pPr>
                </w:p>
              </w:tc>
              <w:tc>
                <w:tcPr>
                  <w:tcW w:w="2807" w:type="dxa"/>
                  <w:vAlign w:val="center"/>
                </w:tcPr>
                <w:p w14:paraId="2606450F">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按声环境功能区划的要求实施建设布局，加强对各功能分区的环境噪声管理。</w:t>
                  </w:r>
                </w:p>
              </w:tc>
              <w:tc>
                <w:tcPr>
                  <w:tcW w:w="2558" w:type="dxa"/>
                  <w:vAlign w:val="center"/>
                </w:tcPr>
                <w:p w14:paraId="0320E9B5">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企业加强设备日常维护使其工作状态良好，再加上厂房隔声、基础减振以及合理布局等措施，项目各厂界噪声均满足《工业企业厂界环境噪声排放标准》（GB12348-2008）中</w:t>
                  </w:r>
                  <w:r>
                    <w:rPr>
                      <w:rFonts w:hint="eastAsia" w:ascii="Times New Roman" w:hAnsi="Times New Roman" w:cs="宋体"/>
                      <w:bCs/>
                      <w:color w:val="auto"/>
                      <w:kern w:val="0"/>
                      <w:sz w:val="21"/>
                      <w:szCs w:val="21"/>
                      <w:lang w:eastAsia="zh-CN"/>
                    </w:rPr>
                    <w:t>3类</w:t>
                  </w:r>
                  <w:r>
                    <w:rPr>
                      <w:rFonts w:hint="eastAsia" w:ascii="Times New Roman" w:hAnsi="Times New Roman" w:cs="宋体"/>
                      <w:bCs/>
                      <w:color w:val="auto"/>
                      <w:kern w:val="0"/>
                      <w:sz w:val="21"/>
                      <w:szCs w:val="21"/>
                    </w:rPr>
                    <w:t>标准要求。</w:t>
                  </w:r>
                </w:p>
              </w:tc>
              <w:tc>
                <w:tcPr>
                  <w:tcW w:w="577" w:type="dxa"/>
                  <w:vAlign w:val="center"/>
                </w:tcPr>
                <w:p w14:paraId="4575FF4F">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符合</w:t>
                  </w:r>
                </w:p>
              </w:tc>
            </w:tr>
            <w:tr w14:paraId="0EAC6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3A79815D">
                  <w:pPr>
                    <w:autoSpaceDE w:val="0"/>
                    <w:autoSpaceDN w:val="0"/>
                    <w:adjustRightInd w:val="0"/>
                    <w:snapToGrid w:val="0"/>
                    <w:jc w:val="center"/>
                    <w:rPr>
                      <w:rFonts w:cs="宋体"/>
                      <w:bCs/>
                      <w:color w:val="auto"/>
                      <w:kern w:val="0"/>
                      <w:sz w:val="21"/>
                      <w:szCs w:val="21"/>
                    </w:rPr>
                  </w:pPr>
                </w:p>
              </w:tc>
              <w:tc>
                <w:tcPr>
                  <w:tcW w:w="2807" w:type="dxa"/>
                  <w:vAlign w:val="center"/>
                </w:tcPr>
                <w:p w14:paraId="14663617">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积极开展垃圾分类试点建设，加强固体废弃物特别是危险废物的集中处理处置。</w:t>
                  </w:r>
                </w:p>
              </w:tc>
              <w:tc>
                <w:tcPr>
                  <w:tcW w:w="2558" w:type="dxa"/>
                  <w:vAlign w:val="center"/>
                </w:tcPr>
                <w:p w14:paraId="7FF6B85D">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项目产生</w:t>
                  </w:r>
                  <w:r>
                    <w:rPr>
                      <w:rFonts w:hint="eastAsia" w:ascii="Times New Roman" w:hAnsi="Times New Roman" w:cs="宋体"/>
                      <w:bCs/>
                      <w:color w:val="auto"/>
                      <w:kern w:val="0"/>
                      <w:sz w:val="21"/>
                      <w:szCs w:val="21"/>
                      <w:lang w:val="en-US" w:eastAsia="zh-CN"/>
                    </w:rPr>
                    <w:t>的</w:t>
                  </w:r>
                  <w:r>
                    <w:rPr>
                      <w:rFonts w:hint="default" w:ascii="Times New Roman" w:hAnsi="Times New Roman" w:eastAsia="宋体" w:cs="宋体"/>
                      <w:bCs/>
                      <w:color w:val="auto"/>
                      <w:kern w:val="0"/>
                      <w:sz w:val="21"/>
                      <w:szCs w:val="21"/>
                      <w:lang w:val="en-US" w:eastAsia="zh-CN" w:bidi="ar-SA"/>
                    </w:rPr>
                    <w:t>生活垃圾设置垃圾桶，集中收集，定期委托环卫部门清运处置；废包装袋收集后堆存一般固体废物暂存间，定期外售物资回收公司综合利用；废布袋收集后堆存一般固体废物暂存间，定期外售物资回收公司综合利用；除尘器收集的粉尘返回生产工序回用</w:t>
                  </w:r>
                  <w:r>
                    <w:rPr>
                      <w:rFonts w:hint="eastAsia" w:ascii="Times New Roman" w:hAnsi="Times New Roman" w:eastAsia="宋体" w:cs="宋体"/>
                      <w:bCs/>
                      <w:color w:val="auto"/>
                      <w:kern w:val="0"/>
                      <w:sz w:val="21"/>
                      <w:szCs w:val="21"/>
                      <w:lang w:val="en-US" w:eastAsia="zh-CN" w:bidi="ar-SA"/>
                    </w:rPr>
                    <w:t>；</w:t>
                  </w:r>
                  <w:r>
                    <w:rPr>
                      <w:rFonts w:hint="default" w:ascii="Times New Roman" w:hAnsi="Times New Roman" w:eastAsia="宋体" w:cs="宋体"/>
                      <w:bCs/>
                      <w:color w:val="auto"/>
                      <w:kern w:val="0"/>
                      <w:sz w:val="21"/>
                      <w:szCs w:val="21"/>
                      <w:lang w:val="en-US" w:eastAsia="zh-CN" w:bidi="ar-SA"/>
                    </w:rPr>
                    <w:t>设备维修过程产生的废机油暂存于</w:t>
                  </w:r>
                  <w:r>
                    <w:rPr>
                      <w:rFonts w:hint="eastAsia" w:ascii="Times New Roman" w:hAnsi="Times New Roman" w:cs="宋体"/>
                      <w:bCs/>
                      <w:color w:val="auto"/>
                      <w:kern w:val="0"/>
                      <w:sz w:val="21"/>
                      <w:szCs w:val="21"/>
                      <w:lang w:val="en-US" w:eastAsia="zh-CN" w:bidi="ar-SA"/>
                    </w:rPr>
                    <w:t>危废贮存库</w:t>
                  </w:r>
                  <w:r>
                    <w:rPr>
                      <w:rFonts w:hint="default" w:ascii="Times New Roman" w:hAnsi="Times New Roman" w:eastAsia="宋体" w:cs="宋体"/>
                      <w:bCs/>
                      <w:color w:val="auto"/>
                      <w:kern w:val="0"/>
                      <w:sz w:val="21"/>
                      <w:szCs w:val="21"/>
                      <w:lang w:val="en-US" w:eastAsia="zh-CN" w:bidi="ar-SA"/>
                    </w:rPr>
                    <w:t>，定期交由相应类别危险废物经营许可证的单位处理。</w:t>
                  </w:r>
                </w:p>
              </w:tc>
              <w:tc>
                <w:tcPr>
                  <w:tcW w:w="577" w:type="dxa"/>
                  <w:vAlign w:val="center"/>
                </w:tcPr>
                <w:p w14:paraId="4DE9C712">
                  <w:pPr>
                    <w:autoSpaceDE w:val="0"/>
                    <w:autoSpaceDN w:val="0"/>
                    <w:adjustRightInd w:val="0"/>
                    <w:snapToGrid w:val="0"/>
                    <w:jc w:val="center"/>
                    <w:rPr>
                      <w:rFonts w:cs="宋体"/>
                      <w:bCs/>
                      <w:color w:val="auto"/>
                      <w:kern w:val="0"/>
                      <w:sz w:val="21"/>
                      <w:szCs w:val="21"/>
                    </w:rPr>
                  </w:pPr>
                  <w:r>
                    <w:rPr>
                      <w:rFonts w:hint="eastAsia" w:ascii="Times New Roman" w:hAnsi="Times New Roman" w:cs="宋体"/>
                      <w:bCs/>
                      <w:color w:val="auto"/>
                      <w:kern w:val="0"/>
                      <w:sz w:val="21"/>
                      <w:szCs w:val="21"/>
                    </w:rPr>
                    <w:t>符合</w:t>
                  </w:r>
                </w:p>
              </w:tc>
            </w:tr>
          </w:tbl>
          <w:p w14:paraId="13CA8F5A">
            <w:pPr>
              <w:autoSpaceDE w:val="0"/>
              <w:autoSpaceDN w:val="0"/>
              <w:adjustRightInd w:val="0"/>
              <w:snapToGrid w:val="0"/>
              <w:spacing w:line="360" w:lineRule="auto"/>
              <w:rPr>
                <w:rFonts w:hint="eastAsia" w:ascii="Times New Roman" w:hAnsi="Times New Roman" w:cs="宋体"/>
                <w:color w:val="auto"/>
                <w:kern w:val="0"/>
                <w:sz w:val="24"/>
              </w:rPr>
            </w:pPr>
          </w:p>
        </w:tc>
      </w:tr>
      <w:tr w14:paraId="78A7C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53" w:type="dxa"/>
            <w:tcBorders>
              <w:tl2br w:val="nil"/>
              <w:tr2bl w:val="nil"/>
            </w:tcBorders>
            <w:vAlign w:val="center"/>
          </w:tcPr>
          <w:p w14:paraId="2638EC5F">
            <w:pPr>
              <w:adjustRightInd w:val="0"/>
              <w:snapToGrid w:val="0"/>
              <w:jc w:val="center"/>
              <w:rPr>
                <w:rFonts w:hint="eastAsia" w:ascii="Times New Roman" w:hAnsi="Times New Roman" w:eastAsia="宋体" w:cs="宋体"/>
                <w:color w:val="auto"/>
                <w:kern w:val="0"/>
                <w:sz w:val="24"/>
                <w:szCs w:val="24"/>
                <w:vertAlign w:val="baseline"/>
                <w:lang w:val="en-US" w:eastAsia="zh-CN" w:bidi="ar-SA"/>
              </w:rPr>
            </w:pPr>
            <w:r>
              <w:rPr>
                <w:rFonts w:hint="eastAsia" w:ascii="Times New Roman" w:hAnsi="Times New Roman" w:cs="宋体"/>
                <w:color w:val="auto"/>
                <w:kern w:val="0"/>
                <w:sz w:val="24"/>
                <w:szCs w:val="24"/>
              </w:rPr>
              <w:t>其他符合性分析</w:t>
            </w:r>
          </w:p>
        </w:tc>
        <w:tc>
          <w:tcPr>
            <w:tcW w:w="7330" w:type="dxa"/>
            <w:gridSpan w:val="5"/>
            <w:tcBorders>
              <w:tl2br w:val="nil"/>
              <w:tr2bl w:val="nil"/>
            </w:tcBorders>
            <w:vAlign w:val="top"/>
          </w:tcPr>
          <w:p w14:paraId="6195098F">
            <w:pPr>
              <w:autoSpaceDE w:val="0"/>
              <w:autoSpaceDN w:val="0"/>
              <w:adjustRightInd w:val="0"/>
              <w:snapToGrid w:val="0"/>
              <w:spacing w:line="360" w:lineRule="auto"/>
              <w:rPr>
                <w:rFonts w:hint="eastAsia" w:ascii="Times New Roman" w:hAnsi="Times New Roman" w:eastAsia="宋体" w:cs="宋体"/>
                <w:b/>
                <w:bCs/>
                <w:color w:val="auto"/>
                <w:kern w:val="0"/>
                <w:sz w:val="24"/>
                <w:szCs w:val="21"/>
              </w:rPr>
            </w:pPr>
            <w:r>
              <w:rPr>
                <w:rFonts w:hint="eastAsia" w:ascii="Times New Roman" w:hAnsi="Times New Roman" w:eastAsia="宋体" w:cs="宋体"/>
                <w:b/>
                <w:bCs/>
                <w:color w:val="auto"/>
                <w:kern w:val="0"/>
                <w:sz w:val="24"/>
                <w:szCs w:val="21"/>
              </w:rPr>
              <w:t>1</w:t>
            </w:r>
            <w:r>
              <w:rPr>
                <w:rFonts w:hint="eastAsia" w:ascii="Times New Roman" w:hAnsi="Times New Roman" w:cs="宋体"/>
                <w:b/>
                <w:bCs/>
                <w:color w:val="auto"/>
                <w:kern w:val="0"/>
                <w:sz w:val="24"/>
                <w:szCs w:val="21"/>
                <w:lang w:val="en-US" w:eastAsia="zh-CN"/>
              </w:rPr>
              <w:t>.</w:t>
            </w:r>
            <w:r>
              <w:rPr>
                <w:rFonts w:hint="eastAsia" w:ascii="Times New Roman" w:hAnsi="Times New Roman" w:eastAsia="宋体" w:cs="宋体"/>
                <w:b/>
                <w:bCs/>
                <w:color w:val="auto"/>
                <w:kern w:val="0"/>
                <w:sz w:val="24"/>
                <w:szCs w:val="21"/>
              </w:rPr>
              <w:t>产业政策符合性</w:t>
            </w:r>
          </w:p>
          <w:p w14:paraId="6E172DFB">
            <w:pPr>
              <w:autoSpaceDE w:val="0"/>
              <w:autoSpaceDN w:val="0"/>
              <w:adjustRightInd w:val="0"/>
              <w:snapToGrid w:val="0"/>
              <w:spacing w:line="360" w:lineRule="auto"/>
              <w:ind w:firstLine="420"/>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本项目为水泥制品制造项目，不属于《产业结构调整目录（</w:t>
            </w:r>
            <w:r>
              <w:rPr>
                <w:rFonts w:hint="eastAsia" w:ascii="Times New Roman" w:hAnsi="Times New Roman" w:cs="Times New Roman"/>
                <w:color w:val="auto"/>
                <w:kern w:val="0"/>
                <w:sz w:val="24"/>
                <w:szCs w:val="21"/>
                <w:lang w:val="en-US" w:eastAsia="zh-CN"/>
              </w:rPr>
              <w:t>2024</w:t>
            </w:r>
            <w:r>
              <w:rPr>
                <w:rFonts w:hint="default" w:ascii="Times New Roman" w:hAnsi="Times New Roman" w:eastAsia="宋体" w:cs="Times New Roman"/>
                <w:color w:val="auto"/>
                <w:kern w:val="0"/>
                <w:sz w:val="24"/>
                <w:szCs w:val="21"/>
              </w:rPr>
              <w:t>年本）》中鼓励类、淘汰类和限制类项目，视为允许项目；项目不属于《市场准入负面清单》（2022年版）（发改体改规[2022]397号）中禁止建设的项目，不属于《陕西省限制投资类产业指导目录》（陕发改产业[2007]97号）中限制类项目，不在《建材行业淘汰落后产能指导目录（2019年版）》内；同时，本项目已于202</w:t>
            </w:r>
            <w:r>
              <w:rPr>
                <w:rFonts w:hint="default" w:ascii="Times New Roman" w:hAnsi="Times New Roman" w:eastAsia="宋体" w:cs="Times New Roman"/>
                <w:color w:val="auto"/>
                <w:kern w:val="0"/>
                <w:sz w:val="24"/>
                <w:szCs w:val="21"/>
                <w:lang w:val="en-US" w:eastAsia="zh-CN"/>
              </w:rPr>
              <w:t>3</w:t>
            </w:r>
            <w:r>
              <w:rPr>
                <w:rFonts w:hint="default" w:ascii="Times New Roman" w:hAnsi="Times New Roman" w:eastAsia="宋体" w:cs="Times New Roman"/>
                <w:color w:val="auto"/>
                <w:kern w:val="0"/>
                <w:sz w:val="24"/>
                <w:szCs w:val="21"/>
              </w:rPr>
              <w:t>年</w:t>
            </w:r>
            <w:r>
              <w:rPr>
                <w:rFonts w:hint="default" w:ascii="Times New Roman" w:hAnsi="Times New Roman" w:eastAsia="宋体" w:cs="Times New Roman"/>
                <w:color w:val="auto"/>
                <w:kern w:val="0"/>
                <w:sz w:val="24"/>
                <w:szCs w:val="21"/>
                <w:lang w:val="en-US" w:eastAsia="zh-CN"/>
              </w:rPr>
              <w:t>8</w:t>
            </w:r>
            <w:r>
              <w:rPr>
                <w:rFonts w:hint="default" w:ascii="Times New Roman" w:hAnsi="Times New Roman" w:eastAsia="宋体" w:cs="Times New Roman"/>
                <w:color w:val="auto"/>
                <w:kern w:val="0"/>
                <w:sz w:val="24"/>
                <w:szCs w:val="21"/>
              </w:rPr>
              <w:t>月3</w:t>
            </w:r>
            <w:r>
              <w:rPr>
                <w:rFonts w:hint="default" w:ascii="Times New Roman" w:hAnsi="Times New Roman" w:eastAsia="宋体" w:cs="Times New Roman"/>
                <w:color w:val="auto"/>
                <w:kern w:val="0"/>
                <w:sz w:val="24"/>
                <w:szCs w:val="21"/>
                <w:lang w:val="en-US" w:eastAsia="zh-CN"/>
              </w:rPr>
              <w:t>0</w:t>
            </w:r>
            <w:r>
              <w:rPr>
                <w:rFonts w:hint="default" w:ascii="Times New Roman" w:hAnsi="Times New Roman" w:eastAsia="宋体" w:cs="Times New Roman"/>
                <w:color w:val="auto"/>
                <w:kern w:val="0"/>
                <w:sz w:val="24"/>
                <w:szCs w:val="21"/>
              </w:rPr>
              <w:t>日取得陕西省西咸新区沣西新城管理委员会出具的《</w:t>
            </w:r>
            <w:r>
              <w:rPr>
                <w:rFonts w:hint="default" w:ascii="Times New Roman" w:hAnsi="Times New Roman" w:eastAsia="宋体" w:cs="Times New Roman"/>
                <w:color w:val="auto"/>
                <w:kern w:val="0"/>
                <w:sz w:val="24"/>
                <w:szCs w:val="21"/>
                <w:lang w:val="en-US" w:eastAsia="zh-CN"/>
              </w:rPr>
              <w:t>三强新型建筑材料生产线项目</w:t>
            </w:r>
            <w:r>
              <w:rPr>
                <w:rFonts w:hint="default" w:ascii="Times New Roman" w:hAnsi="Times New Roman" w:eastAsia="宋体" w:cs="Times New Roman"/>
                <w:color w:val="auto"/>
                <w:kern w:val="0"/>
                <w:sz w:val="24"/>
                <w:szCs w:val="21"/>
              </w:rPr>
              <w:t>备案确认书》，项目代码</w:t>
            </w:r>
            <w:r>
              <w:rPr>
                <w:rFonts w:hint="default" w:ascii="Times New Roman" w:hAnsi="Times New Roman" w:eastAsia="宋体" w:cs="Times New Roman"/>
                <w:color w:val="auto"/>
                <w:kern w:val="0"/>
                <w:sz w:val="24"/>
                <w:szCs w:val="21"/>
                <w:lang w:val="en-US" w:eastAsia="zh-CN"/>
              </w:rPr>
              <w:t>2308-611205-04-05-539123</w:t>
            </w:r>
            <w:r>
              <w:rPr>
                <w:rFonts w:hint="default" w:ascii="Times New Roman" w:hAnsi="Times New Roman" w:eastAsia="宋体" w:cs="Times New Roman"/>
                <w:color w:val="auto"/>
                <w:kern w:val="0"/>
                <w:sz w:val="24"/>
                <w:szCs w:val="21"/>
              </w:rPr>
              <w:t>（见附件</w:t>
            </w:r>
            <w:r>
              <w:rPr>
                <w:rFonts w:hint="eastAsia" w:ascii="Times New Roman" w:hAnsi="Times New Roman" w:cs="Times New Roman"/>
                <w:color w:val="auto"/>
                <w:kern w:val="0"/>
                <w:sz w:val="24"/>
                <w:szCs w:val="21"/>
                <w:lang w:val="en-US" w:eastAsia="zh-CN"/>
              </w:rPr>
              <w:t>三</w:t>
            </w:r>
            <w:r>
              <w:rPr>
                <w:rFonts w:hint="default" w:ascii="Times New Roman" w:hAnsi="Times New Roman" w:eastAsia="宋体" w:cs="Times New Roman"/>
                <w:color w:val="auto"/>
                <w:kern w:val="0"/>
                <w:sz w:val="24"/>
                <w:szCs w:val="21"/>
              </w:rPr>
              <w:t>）。因此，本项目符合国家及地方现行产业政策的要求。</w:t>
            </w:r>
          </w:p>
          <w:p w14:paraId="57CC2949">
            <w:pPr>
              <w:autoSpaceDE w:val="0"/>
              <w:autoSpaceDN w:val="0"/>
              <w:adjustRightInd w:val="0"/>
              <w:snapToGrid w:val="0"/>
              <w:spacing w:line="360" w:lineRule="auto"/>
              <w:rPr>
                <w:rFonts w:hint="eastAsia" w:ascii="Times New Roman" w:hAnsi="Times New Roman" w:eastAsia="宋体" w:cs="宋体"/>
                <w:color w:val="auto"/>
                <w:kern w:val="0"/>
                <w:sz w:val="24"/>
                <w:szCs w:val="21"/>
              </w:rPr>
            </w:pPr>
            <w:r>
              <w:rPr>
                <w:rFonts w:hint="eastAsia" w:ascii="Times New Roman" w:hAnsi="Times New Roman" w:eastAsia="宋体" w:cs="宋体"/>
                <w:b/>
                <w:bCs/>
                <w:color w:val="auto"/>
                <w:kern w:val="0"/>
                <w:sz w:val="24"/>
                <w:szCs w:val="21"/>
                <w:lang w:val="en-US" w:eastAsia="zh-CN"/>
              </w:rPr>
              <w:t>2</w:t>
            </w:r>
            <w:r>
              <w:rPr>
                <w:rFonts w:hint="eastAsia" w:ascii="Times New Roman" w:hAnsi="Times New Roman" w:cs="宋体"/>
                <w:b/>
                <w:bCs/>
                <w:color w:val="auto"/>
                <w:kern w:val="0"/>
                <w:sz w:val="24"/>
                <w:szCs w:val="21"/>
                <w:lang w:val="en-US" w:eastAsia="zh-CN"/>
              </w:rPr>
              <w:t>.</w:t>
            </w:r>
            <w:r>
              <w:rPr>
                <w:rFonts w:hint="eastAsia" w:ascii="Times New Roman" w:hAnsi="Times New Roman" w:eastAsia="宋体" w:cs="宋体"/>
                <w:b/>
                <w:bCs/>
                <w:color w:val="auto"/>
                <w:kern w:val="0"/>
                <w:sz w:val="24"/>
                <w:szCs w:val="21"/>
              </w:rPr>
              <w:t>与西安市</w:t>
            </w:r>
            <w:r>
              <w:rPr>
                <w:rFonts w:hint="eastAsia" w:ascii="Times New Roman" w:hAnsi="Times New Roman" w:eastAsia="宋体" w:cs="宋体"/>
                <w:b/>
                <w:bCs/>
                <w:color w:val="auto"/>
                <w:kern w:val="0"/>
                <w:sz w:val="24"/>
                <w:szCs w:val="21"/>
                <w:lang w:eastAsia="zh-CN"/>
              </w:rPr>
              <w:t>“</w:t>
            </w:r>
            <w:r>
              <w:rPr>
                <w:rFonts w:hint="eastAsia" w:ascii="Times New Roman" w:hAnsi="Times New Roman" w:eastAsia="宋体" w:cs="宋体"/>
                <w:b/>
                <w:bCs/>
                <w:color w:val="auto"/>
                <w:kern w:val="0"/>
                <w:sz w:val="24"/>
                <w:szCs w:val="21"/>
              </w:rPr>
              <w:t>三线一单</w:t>
            </w:r>
            <w:r>
              <w:rPr>
                <w:rFonts w:hint="eastAsia" w:ascii="Times New Roman" w:hAnsi="Times New Roman" w:eastAsia="宋体" w:cs="宋体"/>
                <w:b/>
                <w:bCs/>
                <w:color w:val="auto"/>
                <w:kern w:val="0"/>
                <w:sz w:val="24"/>
                <w:szCs w:val="21"/>
                <w:lang w:eastAsia="zh-CN"/>
              </w:rPr>
              <w:t>”</w:t>
            </w:r>
            <w:r>
              <w:rPr>
                <w:rFonts w:hint="eastAsia" w:ascii="Times New Roman" w:hAnsi="Times New Roman" w:eastAsia="宋体" w:cs="宋体"/>
                <w:b/>
                <w:bCs/>
                <w:color w:val="auto"/>
                <w:kern w:val="0"/>
                <w:sz w:val="24"/>
                <w:szCs w:val="21"/>
              </w:rPr>
              <w:t>符合性分析</w:t>
            </w:r>
          </w:p>
          <w:p w14:paraId="22EE953D">
            <w:pPr>
              <w:autoSpaceDE w:val="0"/>
              <w:autoSpaceDN w:val="0"/>
              <w:adjustRightInd w:val="0"/>
              <w:snapToGrid w:val="0"/>
              <w:spacing w:line="360" w:lineRule="auto"/>
              <w:ind w:firstLine="420"/>
              <w:rPr>
                <w:rFonts w:hint="default" w:ascii="Times New Roman" w:hAnsi="Times New Roman" w:cs="Times New Roman"/>
                <w:kern w:val="0"/>
                <w:sz w:val="24"/>
              </w:rPr>
            </w:pPr>
            <w:r>
              <w:rPr>
                <w:rFonts w:hint="default" w:ascii="Times New Roman" w:hAnsi="Times New Roman" w:cs="Times New Roman"/>
                <w:kern w:val="0"/>
                <w:sz w:val="24"/>
              </w:rPr>
              <w:t>本项目与</w:t>
            </w:r>
            <w:r>
              <w:rPr>
                <w:rFonts w:hint="eastAsia" w:ascii="Times New Roman" w:hAnsi="Times New Roman" w:cs="Times New Roman"/>
                <w:kern w:val="0"/>
                <w:sz w:val="24"/>
                <w:lang w:eastAsia="zh-CN"/>
              </w:rPr>
              <w:t>“</w:t>
            </w:r>
            <w:r>
              <w:rPr>
                <w:rFonts w:hint="default" w:ascii="Times New Roman" w:hAnsi="Times New Roman" w:cs="Times New Roman"/>
                <w:kern w:val="0"/>
                <w:sz w:val="24"/>
              </w:rPr>
              <w:t>三线一单</w:t>
            </w:r>
            <w:r>
              <w:rPr>
                <w:rFonts w:hint="eastAsia" w:ascii="Times New Roman" w:hAnsi="Times New Roman" w:cs="Times New Roman"/>
                <w:kern w:val="0"/>
                <w:sz w:val="24"/>
                <w:lang w:eastAsia="zh-CN"/>
              </w:rPr>
              <w:t>”</w:t>
            </w:r>
            <w:r>
              <w:rPr>
                <w:rFonts w:hint="default" w:ascii="Times New Roman" w:hAnsi="Times New Roman" w:cs="Times New Roman"/>
                <w:kern w:val="0"/>
                <w:sz w:val="24"/>
              </w:rPr>
              <w:t>符合性分析见表1-2。</w:t>
            </w:r>
          </w:p>
          <w:p w14:paraId="4B181E4A">
            <w:pPr>
              <w:autoSpaceDE w:val="0"/>
              <w:autoSpaceDN w:val="0"/>
              <w:adjustRightInd w:val="0"/>
              <w:snapToGrid w:val="0"/>
              <w:spacing w:line="240" w:lineRule="auto"/>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 xml:space="preserve">表1-2 </w:t>
            </w:r>
            <w:r>
              <w:rPr>
                <w:rFonts w:hint="eastAsia" w:ascii="Times New Roman" w:hAnsi="Times New Roman" w:eastAsia="宋体" w:cs="Times New Roman"/>
                <w:b/>
                <w:kern w:val="0"/>
                <w:szCs w:val="21"/>
                <w:lang w:val="en-US" w:eastAsia="zh-CN"/>
              </w:rPr>
              <w:t xml:space="preserve"> </w:t>
            </w:r>
            <w:r>
              <w:rPr>
                <w:rFonts w:hint="default" w:ascii="Times New Roman" w:hAnsi="Times New Roman" w:eastAsia="宋体" w:cs="Times New Roman"/>
                <w:b/>
                <w:kern w:val="0"/>
                <w:szCs w:val="21"/>
              </w:rPr>
              <w:t>本项目与</w:t>
            </w:r>
            <w:r>
              <w:rPr>
                <w:rFonts w:hint="eastAsia" w:ascii="Times New Roman" w:hAnsi="Times New Roman" w:eastAsia="宋体" w:cs="Times New Roman"/>
                <w:b/>
                <w:kern w:val="0"/>
                <w:szCs w:val="21"/>
                <w:lang w:eastAsia="zh-CN"/>
              </w:rPr>
              <w:t>“</w:t>
            </w:r>
            <w:r>
              <w:rPr>
                <w:rFonts w:hint="default" w:ascii="Times New Roman" w:hAnsi="Times New Roman" w:eastAsia="宋体" w:cs="Times New Roman"/>
                <w:b/>
                <w:kern w:val="0"/>
                <w:szCs w:val="21"/>
              </w:rPr>
              <w:t>三线一单</w:t>
            </w:r>
            <w:r>
              <w:rPr>
                <w:rFonts w:hint="eastAsia" w:ascii="Times New Roman" w:hAnsi="Times New Roman" w:eastAsia="宋体" w:cs="Times New Roman"/>
                <w:b/>
                <w:kern w:val="0"/>
                <w:szCs w:val="21"/>
                <w:lang w:eastAsia="zh-CN"/>
              </w:rPr>
              <w:t>”</w:t>
            </w:r>
            <w:r>
              <w:rPr>
                <w:rFonts w:hint="default" w:ascii="Times New Roman" w:hAnsi="Times New Roman" w:eastAsia="宋体" w:cs="Times New Roman"/>
                <w:b/>
                <w:kern w:val="0"/>
                <w:szCs w:val="21"/>
              </w:rPr>
              <w:t>符合性分析</w:t>
            </w:r>
          </w:p>
          <w:tbl>
            <w:tblPr>
              <w:tblStyle w:val="24"/>
              <w:tblW w:w="69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092"/>
              <w:gridCol w:w="4536"/>
              <w:gridCol w:w="992"/>
            </w:tblGrid>
            <w:tr w14:paraId="67A06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122F5486">
                  <w:pPr>
                    <w:autoSpaceDE w:val="0"/>
                    <w:autoSpaceDN w:val="0"/>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序号</w:t>
                  </w:r>
                </w:p>
              </w:tc>
              <w:tc>
                <w:tcPr>
                  <w:tcW w:w="1092" w:type="dxa"/>
                  <w:vAlign w:val="center"/>
                </w:tcPr>
                <w:p w14:paraId="6FCEA5DC">
                  <w:pPr>
                    <w:autoSpaceDE w:val="0"/>
                    <w:autoSpaceDN w:val="0"/>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内容</w:t>
                  </w:r>
                </w:p>
              </w:tc>
              <w:tc>
                <w:tcPr>
                  <w:tcW w:w="4536" w:type="dxa"/>
                  <w:vAlign w:val="center"/>
                </w:tcPr>
                <w:p w14:paraId="1CD3CAA5">
                  <w:pPr>
                    <w:autoSpaceDE w:val="0"/>
                    <w:autoSpaceDN w:val="0"/>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本项目情况</w:t>
                  </w:r>
                </w:p>
              </w:tc>
              <w:tc>
                <w:tcPr>
                  <w:tcW w:w="992" w:type="dxa"/>
                  <w:vAlign w:val="center"/>
                </w:tcPr>
                <w:p w14:paraId="1E6A5B6A">
                  <w:pPr>
                    <w:autoSpaceDE w:val="0"/>
                    <w:autoSpaceDN w:val="0"/>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符合性判定</w:t>
                  </w:r>
                </w:p>
              </w:tc>
            </w:tr>
            <w:tr w14:paraId="19209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4DF18293">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1</w:t>
                  </w:r>
                </w:p>
              </w:tc>
              <w:tc>
                <w:tcPr>
                  <w:tcW w:w="1092" w:type="dxa"/>
                  <w:vAlign w:val="center"/>
                </w:tcPr>
                <w:p w14:paraId="785DF6AA">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生态保护红线</w:t>
                  </w:r>
                </w:p>
              </w:tc>
              <w:tc>
                <w:tcPr>
                  <w:tcW w:w="4536" w:type="dxa"/>
                  <w:vAlign w:val="center"/>
                </w:tcPr>
                <w:p w14:paraId="66257DDC">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根据《西安市</w:t>
                  </w:r>
                  <w:r>
                    <w:rPr>
                      <w:rFonts w:hint="eastAsia" w:ascii="Times New Roman" w:hAnsi="Times New Roman" w:cs="Times New Roman"/>
                      <w:bCs/>
                      <w:kern w:val="0"/>
                      <w:szCs w:val="21"/>
                      <w:lang w:eastAsia="zh-CN"/>
                    </w:rPr>
                    <w:t>“</w:t>
                  </w:r>
                  <w:r>
                    <w:rPr>
                      <w:rFonts w:hint="default" w:ascii="Times New Roman" w:hAnsi="Times New Roman" w:cs="Times New Roman"/>
                      <w:bCs/>
                      <w:kern w:val="0"/>
                      <w:szCs w:val="21"/>
                    </w:rPr>
                    <w:t>三线一单</w:t>
                  </w:r>
                  <w:r>
                    <w:rPr>
                      <w:rFonts w:hint="eastAsia" w:ascii="Times New Roman" w:hAnsi="Times New Roman" w:cs="Times New Roman"/>
                      <w:bCs/>
                      <w:kern w:val="0"/>
                      <w:szCs w:val="21"/>
                      <w:lang w:eastAsia="zh-CN"/>
                    </w:rPr>
                    <w:t>”</w:t>
                  </w:r>
                  <w:r>
                    <w:rPr>
                      <w:rFonts w:hint="default" w:ascii="Times New Roman" w:hAnsi="Times New Roman" w:cs="Times New Roman"/>
                      <w:bCs/>
                      <w:kern w:val="0"/>
                      <w:szCs w:val="21"/>
                    </w:rPr>
                    <w:t>生态环境分区管控方案》（市政发[2021]22号），按照保护优先、衔接整合、有效管理的原则，将全市统筹划定为优先保护和重点管控两类环境管控单元共158个，实施生态环境分区管控。重点管控单元—涉及水、大气、土壤、自然资源等资源环境要素重点管控的区域，主要包括城镇规划区、产业园区和资源开发强度大、污染物排放强度高的区域等。全市划定重点管控单元65个，主要分布在除秦岭北麓以外的区域</w:t>
                  </w:r>
                  <w:r>
                    <w:rPr>
                      <w:rFonts w:hint="default" w:ascii="Times New Roman" w:hAnsi="Times New Roman" w:cs="Times New Roman"/>
                      <w:bCs/>
                      <w:kern w:val="0"/>
                      <w:szCs w:val="21"/>
                      <w:lang w:eastAsia="zh-CN"/>
                    </w:rPr>
                    <w:t>；</w:t>
                  </w:r>
                  <w:r>
                    <w:rPr>
                      <w:rFonts w:hint="default" w:ascii="Times New Roman" w:hAnsi="Times New Roman" w:cs="Times New Roman"/>
                      <w:bCs/>
                      <w:kern w:val="0"/>
                      <w:szCs w:val="21"/>
                    </w:rPr>
                    <w:t>项目位于西咸新区沣西新城，根据《西安市生态环境管控单元分布图》（见附图</w:t>
                  </w:r>
                  <w:r>
                    <w:rPr>
                      <w:rFonts w:hint="eastAsia" w:ascii="Times New Roman" w:hAnsi="Times New Roman" w:cs="Times New Roman"/>
                      <w:bCs/>
                      <w:kern w:val="0"/>
                      <w:szCs w:val="21"/>
                      <w:lang w:val="en-US" w:eastAsia="zh-CN"/>
                    </w:rPr>
                    <w:t>五</w:t>
                  </w:r>
                  <w:r>
                    <w:rPr>
                      <w:rFonts w:hint="default" w:ascii="Times New Roman" w:hAnsi="Times New Roman" w:cs="Times New Roman"/>
                      <w:bCs/>
                      <w:kern w:val="0"/>
                      <w:szCs w:val="21"/>
                    </w:rPr>
                    <w:t>），项目地属于重点管控单元，不在生态红线范围内。重点管控单元以提升资源利用效率、加强污染物减排治理和环境风险防控为重点。本项目产生的各项污染物均能得到合理的处理与处置，做到达标排放或妥善处置；综上，本项目符合生态环境分区管控的要求。</w:t>
                  </w:r>
                </w:p>
              </w:tc>
              <w:tc>
                <w:tcPr>
                  <w:tcW w:w="992" w:type="dxa"/>
                  <w:vAlign w:val="center"/>
                </w:tcPr>
                <w:p w14:paraId="395FD084">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14:paraId="129D1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20D84634">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2</w:t>
                  </w:r>
                </w:p>
              </w:tc>
              <w:tc>
                <w:tcPr>
                  <w:tcW w:w="1092" w:type="dxa"/>
                  <w:vAlign w:val="center"/>
                </w:tcPr>
                <w:p w14:paraId="078403E2">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环境质量底线</w:t>
                  </w:r>
                </w:p>
              </w:tc>
              <w:tc>
                <w:tcPr>
                  <w:tcW w:w="4536" w:type="dxa"/>
                  <w:vAlign w:val="center"/>
                </w:tcPr>
                <w:p w14:paraId="7E0A40C2">
                  <w:pPr>
                    <w:autoSpaceDE w:val="0"/>
                    <w:autoSpaceDN w:val="0"/>
                    <w:adjustRightInd w:val="0"/>
                    <w:snapToGrid w:val="0"/>
                    <w:jc w:val="both"/>
                    <w:rPr>
                      <w:rFonts w:hint="default" w:ascii="Times New Roman" w:hAnsi="Times New Roman" w:cs="Times New Roman"/>
                      <w:bCs/>
                      <w:kern w:val="0"/>
                      <w:szCs w:val="21"/>
                    </w:rPr>
                  </w:pPr>
                  <w:r>
                    <w:rPr>
                      <w:rFonts w:hint="default" w:ascii="Times New Roman" w:hAnsi="Times New Roman" w:cs="Times New Roman"/>
                      <w:bCs/>
                      <w:kern w:val="0"/>
                      <w:szCs w:val="21"/>
                    </w:rPr>
                    <w:t>项目所在区域属于环境空气质量不达标区，超标污染物为O</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第90百分位日最大8小时</w:t>
                  </w:r>
                  <w:r>
                    <w:rPr>
                      <w:rFonts w:hint="eastAsia" w:ascii="Times New Roman" w:hAnsi="Times New Roman" w:cs="Times New Roman"/>
                      <w:bCs/>
                      <w:kern w:val="0"/>
                      <w:szCs w:val="21"/>
                      <w:lang w:eastAsia="zh-CN"/>
                    </w:rPr>
                    <w:t>、</w:t>
                  </w:r>
                  <w:r>
                    <w:rPr>
                      <w:rFonts w:hint="default" w:ascii="Times New Roman" w:hAnsi="Times New Roman" w:cs="Times New Roman"/>
                      <w:bCs/>
                      <w:kern w:val="0"/>
                      <w:szCs w:val="21"/>
                    </w:rPr>
                    <w:t>PM</w:t>
                  </w:r>
                  <w:r>
                    <w:rPr>
                      <w:rFonts w:hint="default" w:ascii="Times New Roman" w:hAnsi="Times New Roman" w:cs="Times New Roman"/>
                      <w:bCs/>
                      <w:kern w:val="0"/>
                      <w:szCs w:val="21"/>
                      <w:vertAlign w:val="subscript"/>
                    </w:rPr>
                    <w:t>2.5</w:t>
                  </w:r>
                  <w:r>
                    <w:rPr>
                      <w:rFonts w:hint="default" w:ascii="Times New Roman" w:hAnsi="Times New Roman" w:cs="Times New Roman"/>
                      <w:bCs/>
                      <w:kern w:val="0"/>
                      <w:szCs w:val="21"/>
                    </w:rPr>
                    <w:t>、PM</w:t>
                  </w:r>
                  <w:r>
                    <w:rPr>
                      <w:rFonts w:hint="default" w:ascii="Times New Roman" w:hAnsi="Times New Roman" w:cs="Times New Roman"/>
                      <w:bCs/>
                      <w:kern w:val="0"/>
                      <w:szCs w:val="21"/>
                      <w:vertAlign w:val="subscript"/>
                    </w:rPr>
                    <w:t>10</w:t>
                  </w:r>
                  <w:r>
                    <w:rPr>
                      <w:rFonts w:hint="default" w:ascii="Times New Roman" w:hAnsi="Times New Roman" w:cs="Times New Roman"/>
                      <w:bCs/>
                      <w:kern w:val="0"/>
                      <w:szCs w:val="21"/>
                    </w:rPr>
                    <w:t>。本项目废气、废水、噪声及固体废物均可做到达标排放或妥善处置，不会改变区域环境功能，不会触及环境质量底线。</w:t>
                  </w:r>
                </w:p>
              </w:tc>
              <w:tc>
                <w:tcPr>
                  <w:tcW w:w="992" w:type="dxa"/>
                  <w:vAlign w:val="center"/>
                </w:tcPr>
                <w:p w14:paraId="75FA37DD">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14:paraId="72A7E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46AAAACB">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3</w:t>
                  </w:r>
                </w:p>
              </w:tc>
              <w:tc>
                <w:tcPr>
                  <w:tcW w:w="1092" w:type="dxa"/>
                  <w:vAlign w:val="center"/>
                </w:tcPr>
                <w:p w14:paraId="2B2AC21E">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资源利用上线</w:t>
                  </w:r>
                </w:p>
              </w:tc>
              <w:tc>
                <w:tcPr>
                  <w:tcW w:w="4536" w:type="dxa"/>
                  <w:vAlign w:val="center"/>
                </w:tcPr>
                <w:p w14:paraId="3F9690D2">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kern w:val="0"/>
                      <w:szCs w:val="21"/>
                      <w:lang w:val="zh-CN"/>
                    </w:rPr>
                    <w:t>本</w:t>
                  </w:r>
                  <w:r>
                    <w:rPr>
                      <w:rFonts w:hint="default" w:ascii="Times New Roman" w:hAnsi="Times New Roman" w:cs="Times New Roman"/>
                      <w:kern w:val="0"/>
                      <w:szCs w:val="21"/>
                    </w:rPr>
                    <w:t>项目</w:t>
                  </w:r>
                  <w:r>
                    <w:rPr>
                      <w:rFonts w:hint="default" w:ascii="Times New Roman" w:hAnsi="Times New Roman" w:cs="Times New Roman"/>
                      <w:bCs/>
                      <w:szCs w:val="21"/>
                    </w:rPr>
                    <w:t>不属于高耗能和资源消耗型企业，同时通过企业内部管理、设备选型以及污染治理等方面，以</w:t>
                  </w:r>
                  <w:r>
                    <w:rPr>
                      <w:rFonts w:hint="eastAsia" w:ascii="Times New Roman" w:hAnsi="Times New Roman" w:cs="Times New Roman"/>
                      <w:bCs/>
                      <w:szCs w:val="21"/>
                      <w:lang w:eastAsia="zh-CN"/>
                    </w:rPr>
                    <w:t>“</w:t>
                  </w:r>
                  <w:r>
                    <w:rPr>
                      <w:rFonts w:hint="default" w:ascii="Times New Roman" w:hAnsi="Times New Roman" w:cs="Times New Roman"/>
                      <w:bCs/>
                      <w:szCs w:val="21"/>
                    </w:rPr>
                    <w:t>节能、降耗、减污</w:t>
                  </w:r>
                  <w:r>
                    <w:rPr>
                      <w:rFonts w:hint="eastAsia" w:ascii="Times New Roman" w:hAnsi="Times New Roman" w:cs="Times New Roman"/>
                      <w:bCs/>
                      <w:szCs w:val="21"/>
                      <w:lang w:eastAsia="zh-CN"/>
                    </w:rPr>
                    <w:t>”</w:t>
                  </w:r>
                  <w:r>
                    <w:rPr>
                      <w:rFonts w:hint="default" w:ascii="Times New Roman" w:hAnsi="Times New Roman" w:cs="Times New Roman"/>
                      <w:bCs/>
                      <w:szCs w:val="21"/>
                    </w:rPr>
                    <w:t>为目标，可以有效控制资源利用水平，不会达到资源利用上线。</w:t>
                  </w:r>
                </w:p>
              </w:tc>
              <w:tc>
                <w:tcPr>
                  <w:tcW w:w="992" w:type="dxa"/>
                  <w:vAlign w:val="center"/>
                </w:tcPr>
                <w:p w14:paraId="02CA3E32">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14:paraId="03508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9" w:type="dxa"/>
                  <w:vAlign w:val="center"/>
                </w:tcPr>
                <w:p w14:paraId="010F236A">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4</w:t>
                  </w:r>
                </w:p>
              </w:tc>
              <w:tc>
                <w:tcPr>
                  <w:tcW w:w="1092" w:type="dxa"/>
                  <w:vAlign w:val="center"/>
                </w:tcPr>
                <w:p w14:paraId="05FC69AB">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环境准入负面清单</w:t>
                  </w:r>
                </w:p>
              </w:tc>
              <w:tc>
                <w:tcPr>
                  <w:tcW w:w="4536" w:type="dxa"/>
                  <w:vAlign w:val="center"/>
                </w:tcPr>
                <w:p w14:paraId="1A2DF636">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kern w:val="0"/>
                      <w:szCs w:val="21"/>
                      <w:lang w:val="zh-CN"/>
                    </w:rPr>
                    <w:t>对照《市场准入负面清单》（2022年版），本项目不在清单中禁止准入类或许可准入类之列，可依法平等进入；对照《陕西省国家重点生态功能区产业准入负面清单（试行）》，本项目所在区域不在负面清单涉及区域之内，未列入环境准入负面清单。</w:t>
                  </w:r>
                </w:p>
              </w:tc>
              <w:tc>
                <w:tcPr>
                  <w:tcW w:w="992" w:type="dxa"/>
                  <w:vAlign w:val="center"/>
                </w:tcPr>
                <w:p w14:paraId="100EA8A6">
                  <w:pPr>
                    <w:autoSpaceDE w:val="0"/>
                    <w:autoSpaceDN w:val="0"/>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bl>
          <w:p w14:paraId="217E7F65">
            <w:pPr>
              <w:autoSpaceDE w:val="0"/>
              <w:autoSpaceDN w:val="0"/>
              <w:adjustRightInd w:val="0"/>
              <w:spacing w:line="360" w:lineRule="auto"/>
              <w:ind w:firstLine="480" w:firstLineChars="200"/>
              <w:jc w:val="left"/>
              <w:rPr>
                <w:rFonts w:hint="eastAsia" w:ascii="Times New Roman" w:hAnsi="Times New Roman" w:eastAsia="宋体"/>
                <w:b w:val="0"/>
                <w:bCs/>
                <w:color w:val="auto"/>
                <w:sz w:val="24"/>
                <w:highlight w:val="none"/>
              </w:rPr>
            </w:pPr>
            <w:r>
              <w:rPr>
                <w:rFonts w:hint="eastAsia" w:ascii="Times New Roman" w:hAnsi="Times New Roman" w:eastAsia="宋体"/>
                <w:b w:val="0"/>
                <w:bCs/>
                <w:color w:val="auto"/>
                <w:sz w:val="24"/>
                <w:highlight w:val="none"/>
              </w:rPr>
              <w:t>与《西安市</w:t>
            </w:r>
            <w:r>
              <w:rPr>
                <w:rFonts w:hint="eastAsia" w:ascii="Times New Roman" w:hAnsi="Times New Roman" w:eastAsia="宋体"/>
                <w:b w:val="0"/>
                <w:bCs/>
                <w:color w:val="auto"/>
                <w:sz w:val="24"/>
                <w:highlight w:val="none"/>
                <w:lang w:eastAsia="zh-CN"/>
              </w:rPr>
              <w:t>“</w:t>
            </w:r>
            <w:r>
              <w:rPr>
                <w:rFonts w:hint="eastAsia" w:ascii="Times New Roman" w:hAnsi="Times New Roman" w:eastAsia="宋体"/>
                <w:b w:val="0"/>
                <w:bCs/>
                <w:color w:val="auto"/>
                <w:sz w:val="24"/>
                <w:highlight w:val="none"/>
              </w:rPr>
              <w:t>三线一单</w:t>
            </w:r>
            <w:r>
              <w:rPr>
                <w:rFonts w:hint="eastAsia" w:ascii="Times New Roman" w:hAnsi="Times New Roman" w:eastAsia="宋体"/>
                <w:b w:val="0"/>
                <w:bCs/>
                <w:color w:val="auto"/>
                <w:sz w:val="24"/>
                <w:highlight w:val="none"/>
                <w:lang w:eastAsia="zh-CN"/>
              </w:rPr>
              <w:t>”</w:t>
            </w:r>
            <w:r>
              <w:rPr>
                <w:rFonts w:hint="eastAsia" w:ascii="Times New Roman" w:hAnsi="Times New Roman" w:eastAsia="宋体"/>
                <w:b w:val="0"/>
                <w:bCs/>
                <w:color w:val="auto"/>
                <w:sz w:val="24"/>
                <w:highlight w:val="none"/>
              </w:rPr>
              <w:t>生态环境分区管控实施方案》的符合性分析</w:t>
            </w:r>
          </w:p>
          <w:p w14:paraId="6D6C4D43">
            <w:pPr>
              <w:autoSpaceDE w:val="0"/>
              <w:autoSpaceDN w:val="0"/>
              <w:adjustRightInd w:val="0"/>
              <w:spacing w:line="360" w:lineRule="auto"/>
              <w:ind w:firstLine="480" w:firstLineChars="200"/>
              <w:jc w:val="left"/>
              <w:rPr>
                <w:rFonts w:hint="eastAsia" w:ascii="Times New Roman" w:hAnsi="Times New Roman" w:eastAsia="宋体"/>
                <w:b w:val="0"/>
                <w:bCs/>
                <w:color w:val="auto"/>
                <w:sz w:val="24"/>
                <w:highlight w:val="none"/>
                <w:lang w:eastAsia="zh-CN"/>
              </w:rPr>
            </w:pPr>
            <w:r>
              <w:rPr>
                <w:rFonts w:hint="eastAsia" w:ascii="Times New Roman" w:hAnsi="Times New Roman" w:eastAsia="宋体"/>
                <w:b w:val="0"/>
                <w:bCs/>
                <w:color w:val="auto"/>
                <w:sz w:val="24"/>
                <w:highlight w:val="none"/>
              </w:rPr>
              <w:t>（1）</w:t>
            </w:r>
            <w:r>
              <w:rPr>
                <w:rFonts w:hint="eastAsia" w:ascii="Times New Roman" w:hAnsi="Times New Roman" w:eastAsia="宋体"/>
                <w:b w:val="0"/>
                <w:bCs/>
                <w:color w:val="auto"/>
                <w:sz w:val="24"/>
                <w:highlight w:val="none"/>
                <w:lang w:eastAsia="zh-CN"/>
              </w:rPr>
              <w:t>“</w:t>
            </w:r>
            <w:r>
              <w:rPr>
                <w:rFonts w:hint="eastAsia" w:ascii="Times New Roman" w:hAnsi="Times New Roman" w:eastAsia="宋体"/>
                <w:b w:val="0"/>
                <w:bCs/>
                <w:color w:val="auto"/>
                <w:sz w:val="24"/>
                <w:highlight w:val="none"/>
              </w:rPr>
              <w:t>一图</w:t>
            </w:r>
            <w:r>
              <w:rPr>
                <w:rFonts w:hint="eastAsia" w:ascii="Times New Roman" w:hAnsi="Times New Roman" w:eastAsia="宋体"/>
                <w:b w:val="0"/>
                <w:bCs/>
                <w:color w:val="auto"/>
                <w:sz w:val="24"/>
                <w:highlight w:val="none"/>
                <w:lang w:eastAsia="zh-CN"/>
              </w:rPr>
              <w:t>”</w:t>
            </w:r>
          </w:p>
          <w:p w14:paraId="27B4526B">
            <w:pPr>
              <w:autoSpaceDE w:val="0"/>
              <w:autoSpaceDN w:val="0"/>
              <w:adjustRightInd w:val="0"/>
              <w:spacing w:line="360" w:lineRule="auto"/>
              <w:ind w:firstLine="480" w:firstLineChars="200"/>
              <w:jc w:val="left"/>
              <w:rPr>
                <w:rFonts w:hint="eastAsia" w:ascii="Times New Roman" w:hAnsi="Times New Roman" w:eastAsia="宋体" w:cs="Times New Roman"/>
                <w:b w:val="0"/>
                <w:bCs/>
                <w:color w:val="auto"/>
                <w:sz w:val="24"/>
                <w:highlight w:val="none"/>
              </w:rPr>
            </w:pPr>
            <w:r>
              <w:rPr>
                <w:rFonts w:hint="eastAsia" w:ascii="Times New Roman" w:hAnsi="Times New Roman" w:eastAsia="宋体" w:cs="Times New Roman"/>
                <w:b w:val="0"/>
                <w:bCs/>
                <w:color w:val="auto"/>
                <w:sz w:val="24"/>
                <w:highlight w:val="none"/>
              </w:rPr>
              <w:t>本项目位于西安市生态环境管控单元分布示意图中重点管控单元内，</w:t>
            </w:r>
            <w:r>
              <w:rPr>
                <w:rFonts w:hint="default" w:ascii="Times New Roman" w:hAnsi="Times New Roman" w:eastAsia="宋体" w:cs="Times New Roman"/>
                <w:b w:val="0"/>
                <w:bCs/>
                <w:color w:val="auto"/>
                <w:sz w:val="24"/>
                <w:highlight w:val="none"/>
              </w:rPr>
              <w:t>见</w:t>
            </w:r>
            <w:r>
              <w:rPr>
                <w:rFonts w:hint="eastAsia" w:ascii="Times New Roman" w:hAnsi="Times New Roman" w:eastAsia="宋体" w:cs="Times New Roman"/>
                <w:b w:val="0"/>
                <w:bCs/>
                <w:color w:val="auto"/>
                <w:sz w:val="24"/>
                <w:highlight w:val="none"/>
                <w:lang w:val="en-US" w:eastAsia="zh-CN"/>
              </w:rPr>
              <w:t>下</w:t>
            </w:r>
            <w:r>
              <w:rPr>
                <w:rFonts w:hint="default" w:ascii="Times New Roman" w:hAnsi="Times New Roman" w:eastAsia="宋体" w:cs="Times New Roman"/>
                <w:b w:val="0"/>
                <w:bCs/>
                <w:color w:val="auto"/>
                <w:sz w:val="24"/>
                <w:highlight w:val="none"/>
              </w:rPr>
              <w:t>图</w:t>
            </w:r>
            <w:r>
              <w:rPr>
                <w:rFonts w:hint="eastAsia" w:ascii="Times New Roman" w:hAnsi="Times New Roman" w:eastAsia="宋体" w:cs="Times New Roman"/>
                <w:b w:val="0"/>
                <w:bCs/>
                <w:color w:val="auto"/>
                <w:sz w:val="24"/>
                <w:highlight w:val="none"/>
              </w:rPr>
              <w:t>。</w:t>
            </w:r>
          </w:p>
          <w:p w14:paraId="69303327">
            <w:pPr>
              <w:pStyle w:val="3"/>
              <w:jc w:val="center"/>
              <w:rPr>
                <w:rFonts w:hint="eastAsia"/>
              </w:rPr>
            </w:pPr>
            <w:r>
              <w:drawing>
                <wp:inline distT="0" distB="0" distL="114300" distR="114300">
                  <wp:extent cx="3196590" cy="2121535"/>
                  <wp:effectExtent l="0" t="0" r="381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6590" cy="2121535"/>
                          </a:xfrm>
                          <a:prstGeom prst="rect">
                            <a:avLst/>
                          </a:prstGeom>
                          <a:noFill/>
                          <a:ln>
                            <a:noFill/>
                          </a:ln>
                        </pic:spPr>
                      </pic:pic>
                    </a:graphicData>
                  </a:graphic>
                </wp:inline>
              </w:drawing>
            </w:r>
          </w:p>
          <w:p w14:paraId="6A1367EF">
            <w:pPr>
              <w:autoSpaceDE w:val="0"/>
              <w:autoSpaceDN w:val="0"/>
              <w:adjustRightInd w:val="0"/>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 xml:space="preserve">图1-1  </w:t>
            </w:r>
            <w:r>
              <w:rPr>
                <w:rFonts w:hint="default" w:ascii="Times New Roman" w:hAnsi="Times New Roman" w:eastAsia="宋体" w:cs="Times New Roman"/>
                <w:b/>
                <w:bCs w:val="0"/>
                <w:color w:val="auto"/>
                <w:sz w:val="21"/>
                <w:szCs w:val="21"/>
                <w:highlight w:val="none"/>
              </w:rPr>
              <w:t>本项目位于西安市生态环境管控单元分布示意图中重点管控单元</w:t>
            </w:r>
          </w:p>
          <w:p w14:paraId="3C8DB59D">
            <w:pPr>
              <w:pStyle w:val="20"/>
              <w:jc w:val="center"/>
              <w:rPr>
                <w:rFonts w:hint="eastAsia"/>
              </w:rPr>
            </w:pPr>
            <w:r>
              <w:drawing>
                <wp:inline distT="0" distB="0" distL="114300" distR="114300">
                  <wp:extent cx="2585720" cy="2259965"/>
                  <wp:effectExtent l="0" t="0" r="5080" b="698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1"/>
                          <a:stretch>
                            <a:fillRect/>
                          </a:stretch>
                        </pic:blipFill>
                        <pic:spPr>
                          <a:xfrm>
                            <a:off x="0" y="0"/>
                            <a:ext cx="2585720" cy="2259965"/>
                          </a:xfrm>
                          <a:prstGeom prst="rect">
                            <a:avLst/>
                          </a:prstGeom>
                          <a:noFill/>
                          <a:ln>
                            <a:noFill/>
                          </a:ln>
                        </pic:spPr>
                      </pic:pic>
                    </a:graphicData>
                  </a:graphic>
                </wp:inline>
              </w:drawing>
            </w:r>
          </w:p>
          <w:p w14:paraId="042766AE">
            <w:pPr>
              <w:autoSpaceDE w:val="0"/>
              <w:autoSpaceDN w:val="0"/>
              <w:adjustRightInd w:val="0"/>
              <w:spacing w:line="240" w:lineRule="auto"/>
              <w:jc w:val="center"/>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b/>
                <w:bCs w:val="0"/>
                <w:color w:val="auto"/>
                <w:sz w:val="21"/>
                <w:szCs w:val="21"/>
                <w:highlight w:val="none"/>
                <w:lang w:val="en-US" w:eastAsia="zh-CN"/>
              </w:rPr>
              <w:t>图1-</w:t>
            </w:r>
            <w:r>
              <w:rPr>
                <w:rFonts w:hint="eastAsia" w:ascii="Times New Roman" w:hAnsi="Times New Roman" w:eastAsia="宋体" w:cs="Times New Roman"/>
                <w:b/>
                <w:bCs w:val="0"/>
                <w:color w:val="auto"/>
                <w:sz w:val="21"/>
                <w:szCs w:val="21"/>
                <w:highlight w:val="none"/>
                <w:lang w:val="en-US" w:eastAsia="zh-CN"/>
              </w:rPr>
              <w:t>2</w:t>
            </w:r>
            <w:r>
              <w:rPr>
                <w:rFonts w:hint="default" w:ascii="Times New Roman" w:hAnsi="Times New Roman" w:eastAsia="宋体" w:cs="Times New Roman"/>
                <w:b/>
                <w:bCs w:val="0"/>
                <w:color w:val="auto"/>
                <w:sz w:val="21"/>
                <w:szCs w:val="21"/>
                <w:highlight w:val="none"/>
                <w:lang w:val="en-US" w:eastAsia="zh-CN"/>
              </w:rPr>
              <w:t xml:space="preserve">  </w:t>
            </w:r>
            <w:r>
              <w:rPr>
                <w:rFonts w:hint="eastAsia" w:ascii="Times New Roman" w:hAnsi="Times New Roman" w:eastAsia="宋体" w:cs="Times New Roman"/>
                <w:b/>
                <w:bCs w:val="0"/>
                <w:color w:val="auto"/>
                <w:sz w:val="21"/>
                <w:szCs w:val="21"/>
                <w:highlight w:val="none"/>
                <w:lang w:val="en-US" w:eastAsia="zh-CN"/>
              </w:rPr>
              <w:t>空间冲突图</w:t>
            </w:r>
          </w:p>
          <w:p w14:paraId="6E624C4E">
            <w:pPr>
              <w:numPr>
                <w:ilvl w:val="0"/>
                <w:numId w:val="3"/>
              </w:numPr>
              <w:autoSpaceDE w:val="0"/>
              <w:autoSpaceDN w:val="0"/>
              <w:adjustRightInd w:val="0"/>
              <w:spacing w:line="360" w:lineRule="auto"/>
              <w:ind w:firstLine="480" w:firstLineChars="200"/>
              <w:jc w:val="left"/>
              <w:rPr>
                <w:rFonts w:hint="eastAsia" w:ascii="Times New Roman" w:hAnsi="Times New Roman" w:eastAsia="宋体"/>
                <w:b w:val="0"/>
                <w:bCs/>
                <w:color w:val="auto"/>
                <w:sz w:val="24"/>
                <w:highlight w:val="none"/>
                <w:lang w:eastAsia="zh-CN"/>
              </w:rPr>
            </w:pPr>
            <w:r>
              <w:rPr>
                <w:rFonts w:hint="eastAsia" w:ascii="Times New Roman" w:hAnsi="Times New Roman" w:eastAsia="宋体"/>
                <w:b w:val="0"/>
                <w:bCs/>
                <w:color w:val="auto"/>
                <w:sz w:val="24"/>
                <w:highlight w:val="none"/>
                <w:lang w:eastAsia="zh-CN"/>
              </w:rPr>
              <w:t>“</w:t>
            </w:r>
            <w:r>
              <w:rPr>
                <w:rFonts w:hint="eastAsia" w:ascii="Times New Roman" w:hAnsi="Times New Roman" w:eastAsia="宋体"/>
                <w:b w:val="0"/>
                <w:bCs/>
                <w:color w:val="auto"/>
                <w:sz w:val="24"/>
                <w:highlight w:val="none"/>
              </w:rPr>
              <w:t>一表</w:t>
            </w:r>
            <w:r>
              <w:rPr>
                <w:rFonts w:hint="eastAsia" w:ascii="Times New Roman" w:hAnsi="Times New Roman" w:eastAsia="宋体"/>
                <w:b w:val="0"/>
                <w:bCs/>
                <w:color w:val="auto"/>
                <w:sz w:val="24"/>
                <w:highlight w:val="none"/>
                <w:lang w:eastAsia="zh-CN"/>
              </w:rPr>
              <w:t>”</w:t>
            </w:r>
          </w:p>
          <w:p w14:paraId="728ACCB2">
            <w:pPr>
              <w:autoSpaceDE w:val="0"/>
              <w:autoSpaceDN w:val="0"/>
              <w:adjustRightInd w:val="0"/>
              <w:spacing w:line="360" w:lineRule="auto"/>
              <w:ind w:firstLine="480" w:firstLineChars="200"/>
              <w:jc w:val="left"/>
              <w:rPr>
                <w:rFonts w:hint="eastAsia" w:ascii="Times New Roman" w:hAnsi="Times New Roman" w:eastAsia="宋体"/>
                <w:b w:val="0"/>
                <w:bCs/>
                <w:color w:val="auto"/>
                <w:sz w:val="24"/>
                <w:highlight w:val="none"/>
              </w:rPr>
            </w:pPr>
            <w:r>
              <w:rPr>
                <w:rFonts w:hint="eastAsia" w:ascii="Times New Roman" w:hAnsi="Times New Roman" w:eastAsia="宋体"/>
                <w:b w:val="0"/>
                <w:bCs/>
                <w:color w:val="auto"/>
                <w:sz w:val="24"/>
                <w:highlight w:val="none"/>
              </w:rPr>
              <w:t>本项目范围涉及的生态环境管控单元准入清单符合性分析见表1-3所示。</w:t>
            </w:r>
          </w:p>
          <w:p w14:paraId="7DD7CA15">
            <w:pPr>
              <w:pStyle w:val="3"/>
              <w:spacing w:line="240" w:lineRule="auto"/>
              <w:jc w:val="center"/>
              <w:rPr>
                <w:rFonts w:hint="eastAsia" w:ascii="Times New Roman" w:hAnsi="Times New Roman" w:eastAsia="宋体" w:cs="Times New Roman"/>
                <w:b/>
                <w:kern w:val="0"/>
                <w:sz w:val="21"/>
                <w:szCs w:val="21"/>
                <w:lang w:val="en-US" w:eastAsia="zh-CN" w:bidi="ar-SA"/>
              </w:rPr>
            </w:pPr>
            <w:r>
              <w:rPr>
                <w:rFonts w:hint="eastAsia" w:ascii="Times New Roman" w:hAnsi="Times New Roman" w:eastAsia="宋体" w:cs="Times New Roman"/>
                <w:b/>
                <w:kern w:val="0"/>
                <w:sz w:val="21"/>
                <w:szCs w:val="21"/>
                <w:lang w:val="en-US" w:eastAsia="zh-CN" w:bidi="ar-SA"/>
              </w:rPr>
              <w:t>表1-3  本项目与生态环境管控分区对照分析</w:t>
            </w:r>
          </w:p>
          <w:tbl>
            <w:tblPr>
              <w:tblStyle w:val="25"/>
              <w:tblW w:w="715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4"/>
              <w:gridCol w:w="534"/>
              <w:gridCol w:w="361"/>
              <w:gridCol w:w="787"/>
              <w:gridCol w:w="643"/>
              <w:gridCol w:w="717"/>
              <w:gridCol w:w="2411"/>
              <w:gridCol w:w="1269"/>
            </w:tblGrid>
            <w:tr w14:paraId="479F8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434" w:type="dxa"/>
                  <w:tcBorders>
                    <w:tl2br w:val="nil"/>
                    <w:tr2bl w:val="nil"/>
                  </w:tcBorders>
                  <w:vAlign w:val="center"/>
                </w:tcPr>
                <w:p w14:paraId="1B20D5A3">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534" w:type="dxa"/>
                  <w:tcBorders>
                    <w:tl2br w:val="nil"/>
                    <w:tr2bl w:val="nil"/>
                  </w:tcBorders>
                  <w:vAlign w:val="center"/>
                </w:tcPr>
                <w:p w14:paraId="6220A187">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市（区）</w:t>
                  </w:r>
                </w:p>
              </w:tc>
              <w:tc>
                <w:tcPr>
                  <w:tcW w:w="361" w:type="dxa"/>
                  <w:tcBorders>
                    <w:tl2br w:val="nil"/>
                    <w:tr2bl w:val="nil"/>
                  </w:tcBorders>
                  <w:vAlign w:val="center"/>
                </w:tcPr>
                <w:p w14:paraId="26DF5B33">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区县</w:t>
                  </w:r>
                </w:p>
              </w:tc>
              <w:tc>
                <w:tcPr>
                  <w:tcW w:w="787" w:type="dxa"/>
                  <w:tcBorders>
                    <w:tl2br w:val="nil"/>
                    <w:tr2bl w:val="nil"/>
                  </w:tcBorders>
                  <w:vAlign w:val="center"/>
                </w:tcPr>
                <w:p w14:paraId="33DDBBDA">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643" w:type="dxa"/>
                  <w:tcBorders>
                    <w:tl2br w:val="nil"/>
                    <w:tr2bl w:val="nil"/>
                  </w:tcBorders>
                  <w:vAlign w:val="center"/>
                </w:tcPr>
                <w:p w14:paraId="367BF17A">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单元要素属性</w:t>
                  </w:r>
                </w:p>
              </w:tc>
              <w:tc>
                <w:tcPr>
                  <w:tcW w:w="717" w:type="dxa"/>
                  <w:tcBorders>
                    <w:tl2br w:val="nil"/>
                    <w:tr2bl w:val="nil"/>
                  </w:tcBorders>
                  <w:vAlign w:val="center"/>
                </w:tcPr>
                <w:p w14:paraId="317B819B">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管控要求分类</w:t>
                  </w:r>
                </w:p>
              </w:tc>
              <w:tc>
                <w:tcPr>
                  <w:tcW w:w="2411" w:type="dxa"/>
                  <w:tcBorders>
                    <w:tl2br w:val="nil"/>
                    <w:tr2bl w:val="nil"/>
                  </w:tcBorders>
                  <w:vAlign w:val="center"/>
                </w:tcPr>
                <w:p w14:paraId="671C349E">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管控要求</w:t>
                  </w:r>
                </w:p>
              </w:tc>
              <w:tc>
                <w:tcPr>
                  <w:tcW w:w="1269" w:type="dxa"/>
                  <w:tcBorders>
                    <w:tl2br w:val="nil"/>
                    <w:tr2bl w:val="nil"/>
                  </w:tcBorders>
                  <w:vAlign w:val="center"/>
                </w:tcPr>
                <w:p w14:paraId="4BC38620">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符合性分析</w:t>
                  </w:r>
                </w:p>
              </w:tc>
            </w:tr>
            <w:tr w14:paraId="0E8AA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4" w:hRule="atLeast"/>
              </w:trPr>
              <w:tc>
                <w:tcPr>
                  <w:tcW w:w="434" w:type="dxa"/>
                  <w:vMerge w:val="restart"/>
                  <w:tcBorders>
                    <w:tl2br w:val="nil"/>
                    <w:tr2bl w:val="nil"/>
                  </w:tcBorders>
                  <w:vAlign w:val="center"/>
                </w:tcPr>
                <w:p w14:paraId="1A43FD6F">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534" w:type="dxa"/>
                  <w:vMerge w:val="restart"/>
                  <w:tcBorders>
                    <w:tl2br w:val="nil"/>
                    <w:tr2bl w:val="nil"/>
                  </w:tcBorders>
                  <w:vAlign w:val="center"/>
                </w:tcPr>
                <w:p w14:paraId="7E56AACF">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西安市</w:t>
                  </w:r>
                </w:p>
              </w:tc>
              <w:tc>
                <w:tcPr>
                  <w:tcW w:w="361" w:type="dxa"/>
                  <w:vMerge w:val="restart"/>
                  <w:tcBorders>
                    <w:tl2br w:val="nil"/>
                    <w:tr2bl w:val="nil"/>
                  </w:tcBorders>
                  <w:vAlign w:val="center"/>
                </w:tcPr>
                <w:p w14:paraId="3FEC0B19">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鄠邑区</w:t>
                  </w:r>
                </w:p>
              </w:tc>
              <w:tc>
                <w:tcPr>
                  <w:tcW w:w="787" w:type="dxa"/>
                  <w:vMerge w:val="restart"/>
                  <w:tcBorders>
                    <w:tl2br w:val="nil"/>
                    <w:tr2bl w:val="nil"/>
                  </w:tcBorders>
                  <w:vAlign w:val="center"/>
                </w:tcPr>
                <w:p w14:paraId="4A4D5CDF">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鄠邑区</w:t>
                  </w:r>
                  <w:r>
                    <w:rPr>
                      <w:rFonts w:hint="default" w:ascii="Times New Roman" w:hAnsi="Times New Roman" w:eastAsia="宋体" w:cs="Times New Roman"/>
                      <w:b w:val="0"/>
                      <w:bCs w:val="0"/>
                      <w:color w:val="auto"/>
                      <w:sz w:val="21"/>
                      <w:szCs w:val="21"/>
                      <w:vertAlign w:val="baseline"/>
                    </w:rPr>
                    <w:t>重点管控单元</w:t>
                  </w:r>
                  <w:r>
                    <w:rPr>
                      <w:rFonts w:hint="eastAsia" w:ascii="Times New Roman" w:hAnsi="Times New Roman" w:eastAsia="宋体" w:cs="Times New Roman"/>
                      <w:b w:val="0"/>
                      <w:bCs w:val="0"/>
                      <w:color w:val="auto"/>
                      <w:sz w:val="21"/>
                      <w:szCs w:val="21"/>
                      <w:vertAlign w:val="baseline"/>
                      <w:lang w:val="en-US" w:eastAsia="zh-CN"/>
                    </w:rPr>
                    <w:t>2</w:t>
                  </w:r>
                </w:p>
              </w:tc>
              <w:tc>
                <w:tcPr>
                  <w:tcW w:w="643" w:type="dxa"/>
                  <w:vMerge w:val="restart"/>
                  <w:tcBorders>
                    <w:tl2br w:val="nil"/>
                    <w:tr2bl w:val="nil"/>
                  </w:tcBorders>
                  <w:vAlign w:val="center"/>
                </w:tcPr>
                <w:p w14:paraId="00189625">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大气环境布局敏感重点管控区</w:t>
                  </w:r>
                </w:p>
              </w:tc>
              <w:tc>
                <w:tcPr>
                  <w:tcW w:w="717" w:type="dxa"/>
                  <w:tcBorders>
                    <w:tl2br w:val="nil"/>
                    <w:tr2bl w:val="nil"/>
                  </w:tcBorders>
                  <w:vAlign w:val="center"/>
                </w:tcPr>
                <w:p w14:paraId="28D615FF">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空间布局约束</w:t>
                  </w:r>
                </w:p>
              </w:tc>
              <w:tc>
                <w:tcPr>
                  <w:tcW w:w="2411" w:type="dxa"/>
                  <w:tcBorders>
                    <w:tl2br w:val="nil"/>
                    <w:tr2bl w:val="nil"/>
                  </w:tcBorders>
                  <w:vAlign w:val="center"/>
                </w:tcPr>
                <w:p w14:paraId="3495DBAF">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大气环境布局敏感重点管控区：</w:t>
                  </w:r>
                  <w:r>
                    <w:rPr>
                      <w:rFonts w:hint="default" w:ascii="Times New Roman" w:hAnsi="Times New Roman" w:eastAsia="宋体" w:cs="Times New Roman"/>
                      <w:b w:val="0"/>
                      <w:bCs w:val="0"/>
                      <w:color w:val="auto"/>
                      <w:kern w:val="2"/>
                      <w:sz w:val="21"/>
                      <w:szCs w:val="21"/>
                      <w:vertAlign w:val="baseline"/>
                      <w:lang w:val="en-US" w:eastAsia="zh-CN" w:bidi="ar-SA"/>
                    </w:rPr>
                    <w:t>1．大气污染防治重点区域严禁新增钢铁、水泥熟料、平板玻璃、炼化产能</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2．推动重污染企业搬迁入园或依法关闭。</w:t>
                  </w:r>
                </w:p>
              </w:tc>
              <w:tc>
                <w:tcPr>
                  <w:tcW w:w="1269" w:type="dxa"/>
                  <w:tcBorders>
                    <w:tl2br w:val="nil"/>
                    <w:tr2bl w:val="nil"/>
                  </w:tcBorders>
                  <w:vAlign w:val="center"/>
                </w:tcPr>
                <w:p w14:paraId="61CC80F5">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本项目不属于禁止新增产能的行业。</w:t>
                  </w:r>
                </w:p>
              </w:tc>
            </w:tr>
            <w:tr w14:paraId="7CA89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7" w:hRule="atLeast"/>
              </w:trPr>
              <w:tc>
                <w:tcPr>
                  <w:tcW w:w="434" w:type="dxa"/>
                  <w:vMerge w:val="continue"/>
                  <w:tcBorders>
                    <w:tl2br w:val="nil"/>
                    <w:tr2bl w:val="nil"/>
                  </w:tcBorders>
                  <w:vAlign w:val="center"/>
                </w:tcPr>
                <w:p w14:paraId="2E61E5FC">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534" w:type="dxa"/>
                  <w:vMerge w:val="continue"/>
                  <w:tcBorders>
                    <w:tl2br w:val="nil"/>
                    <w:tr2bl w:val="nil"/>
                  </w:tcBorders>
                  <w:vAlign w:val="center"/>
                </w:tcPr>
                <w:p w14:paraId="1A4DA202">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361" w:type="dxa"/>
                  <w:vMerge w:val="continue"/>
                  <w:tcBorders>
                    <w:tl2br w:val="nil"/>
                    <w:tr2bl w:val="nil"/>
                  </w:tcBorders>
                  <w:vAlign w:val="center"/>
                </w:tcPr>
                <w:p w14:paraId="3A2A87CE">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787" w:type="dxa"/>
                  <w:vMerge w:val="continue"/>
                  <w:tcBorders>
                    <w:tl2br w:val="nil"/>
                    <w:tr2bl w:val="nil"/>
                  </w:tcBorders>
                  <w:vAlign w:val="center"/>
                </w:tcPr>
                <w:p w14:paraId="6746CFB3">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643" w:type="dxa"/>
                  <w:vMerge w:val="continue"/>
                  <w:tcBorders>
                    <w:tl2br w:val="nil"/>
                    <w:tr2bl w:val="nil"/>
                  </w:tcBorders>
                  <w:vAlign w:val="center"/>
                </w:tcPr>
                <w:p w14:paraId="6B5CA3F6">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717" w:type="dxa"/>
                  <w:tcBorders>
                    <w:tl2br w:val="nil"/>
                    <w:tr2bl w:val="nil"/>
                  </w:tcBorders>
                  <w:vAlign w:val="center"/>
                </w:tcPr>
                <w:p w14:paraId="3E72CD0D">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污染物排放管控</w:t>
                  </w:r>
                </w:p>
              </w:tc>
              <w:tc>
                <w:tcPr>
                  <w:tcW w:w="2411" w:type="dxa"/>
                  <w:tcBorders>
                    <w:tl2br w:val="nil"/>
                    <w:tr2bl w:val="nil"/>
                  </w:tcBorders>
                  <w:vAlign w:val="center"/>
                </w:tcPr>
                <w:p w14:paraId="06592403">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1．区域内保留企业采用先进生产工艺、严格落实污染治理设施，污染物执行超低排放或特别排放限值</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2．鼓励将老旧车辆和非道路移动机械替换为清洁能源车辆；推进新能源或清洁能源汽车使用</w:t>
                  </w:r>
                  <w:r>
                    <w:rPr>
                      <w:rFonts w:hint="eastAsia" w:ascii="Times New Roman" w:hAnsi="Times New Roman" w:eastAsia="宋体" w:cs="Times New Roman"/>
                      <w:b w:val="0"/>
                      <w:bCs w:val="0"/>
                      <w:color w:val="auto"/>
                      <w:kern w:val="2"/>
                      <w:sz w:val="21"/>
                      <w:szCs w:val="21"/>
                      <w:vertAlign w:val="baseline"/>
                      <w:lang w:val="en-US" w:eastAsia="zh-CN" w:bidi="ar-SA"/>
                    </w:rPr>
                    <w:t>；3.</w:t>
                  </w:r>
                  <w:r>
                    <w:rPr>
                      <w:rFonts w:hint="default" w:ascii="Times New Roman" w:hAnsi="Times New Roman" w:eastAsia="宋体" w:cs="Times New Roman"/>
                      <w:b w:val="0"/>
                      <w:bCs w:val="0"/>
                      <w:color w:val="auto"/>
                      <w:kern w:val="2"/>
                      <w:sz w:val="21"/>
                      <w:szCs w:val="21"/>
                      <w:vertAlign w:val="baseline"/>
                      <w:lang w:val="en-US" w:eastAsia="zh-CN" w:bidi="ar-SA"/>
                    </w:rPr>
                    <w:t>进行散煤替代，加快铺设天然气管网和集中供暖管网。</w:t>
                  </w:r>
                </w:p>
              </w:tc>
              <w:tc>
                <w:tcPr>
                  <w:tcW w:w="1269" w:type="dxa"/>
                  <w:tcBorders>
                    <w:tl2br w:val="nil"/>
                    <w:tr2bl w:val="nil"/>
                  </w:tcBorders>
                  <w:vAlign w:val="center"/>
                </w:tcPr>
                <w:p w14:paraId="3D5B6B71">
                  <w:pPr>
                    <w:pStyle w:val="3"/>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项目运营过程产生的废气污染物主要为粉尘，采取“密闭</w:t>
                  </w:r>
                  <w:r>
                    <w:rPr>
                      <w:rFonts w:hint="default" w:ascii="Times New Roman" w:hAnsi="Times New Roman" w:eastAsia="宋体" w:cs="Times New Roman"/>
                      <w:b w:val="0"/>
                      <w:bCs w:val="0"/>
                      <w:color w:val="auto"/>
                      <w:kern w:val="2"/>
                      <w:sz w:val="21"/>
                      <w:szCs w:val="21"/>
                      <w:vertAlign w:val="baseline"/>
                      <w:lang w:val="en-US" w:eastAsia="zh-CN" w:bidi="ar-SA"/>
                    </w:rPr>
                    <w:t>箱体侧吸</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集尘罩+布袋除尘器</w:t>
                  </w:r>
                  <w:r>
                    <w:rPr>
                      <w:rFonts w:hint="eastAsia" w:ascii="Times New Roman" w:hAnsi="Times New Roman" w:eastAsia="宋体" w:cs="Times New Roman"/>
                      <w:b w:val="0"/>
                      <w:bCs w:val="0"/>
                      <w:color w:val="auto"/>
                      <w:kern w:val="2"/>
                      <w:sz w:val="21"/>
                      <w:szCs w:val="21"/>
                      <w:vertAlign w:val="baseline"/>
                      <w:lang w:val="en-US" w:eastAsia="zh-CN" w:bidi="ar-SA"/>
                    </w:rPr>
                    <w:t>+15m排气筒”后能实现达标排放。</w:t>
                  </w:r>
                  <w:r>
                    <w:rPr>
                      <w:rFonts w:hint="default" w:ascii="Times New Roman" w:hAnsi="Times New Roman" w:eastAsia="宋体" w:cs="Times New Roman"/>
                      <w:b w:val="0"/>
                      <w:bCs w:val="0"/>
                      <w:color w:val="auto"/>
                      <w:kern w:val="2"/>
                      <w:sz w:val="21"/>
                      <w:szCs w:val="21"/>
                      <w:vertAlign w:val="baseline"/>
                      <w:lang w:val="en-US" w:eastAsia="zh-CN" w:bidi="ar-SA"/>
                    </w:rPr>
                    <w:t>对大气环境影响小。</w:t>
                  </w:r>
                </w:p>
              </w:tc>
            </w:tr>
          </w:tbl>
          <w:p w14:paraId="0777DE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b w:val="0"/>
                <w:bCs w:val="0"/>
                <w:color w:val="auto"/>
                <w:sz w:val="24"/>
                <w:szCs w:val="24"/>
              </w:rPr>
              <w:t>（3）</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一说明</w:t>
            </w:r>
            <w:r>
              <w:rPr>
                <w:rFonts w:hint="eastAsia" w:ascii="Times New Roman" w:hAnsi="Times New Roman" w:cs="Times New Roman"/>
                <w:b w:val="0"/>
                <w:bCs w:val="0"/>
                <w:color w:val="auto"/>
                <w:sz w:val="24"/>
                <w:szCs w:val="24"/>
                <w:lang w:eastAsia="zh-CN"/>
              </w:rPr>
              <w:t>”</w:t>
            </w:r>
          </w:p>
          <w:p w14:paraId="0D252D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eastAsia" w:ascii="Times New Roman" w:hAnsi="Times New Roman" w:eastAsia="宋体" w:cs="Times New Roman"/>
                <w:sz w:val="24"/>
                <w:szCs w:val="24"/>
                <w:lang w:val="en-US" w:eastAsia="zh-CN"/>
              </w:rPr>
              <w:t>陕西省西咸新区沣西新城大王街办西宝路6号</w:t>
            </w:r>
            <w:r>
              <w:rPr>
                <w:rFonts w:hint="default" w:ascii="Times New Roman" w:hAnsi="Times New Roman" w:cs="Times New Roman"/>
                <w:color w:val="auto"/>
                <w:sz w:val="24"/>
                <w:szCs w:val="24"/>
              </w:rPr>
              <w:t>，属于西安市生态环境管控单元分布示意图中的重点管控单元。</w:t>
            </w:r>
          </w:p>
          <w:p w14:paraId="35A909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本项目能耗主要为电力和少量水，不属于两高项目；项目运营期产生的废气、废水、固体废物经采取合理有效措施均得到妥善处置，不会对周边环境产生不利影响；项目用地为工业用地，未被列入重点管控类。</w:t>
            </w:r>
          </w:p>
          <w:p w14:paraId="5AEEB6D2">
            <w:pPr>
              <w:numPr>
                <w:ilvl w:val="0"/>
                <w:numId w:val="0"/>
              </w:numPr>
              <w:autoSpaceDE w:val="0"/>
              <w:autoSpaceDN w:val="0"/>
              <w:adjustRightInd w:val="0"/>
              <w:snapToGrid w:val="0"/>
              <w:spacing w:line="360" w:lineRule="auto"/>
              <w:ind w:firstLine="480" w:firstLineChars="200"/>
              <w:rPr>
                <w:rFonts w:hint="eastAsia" w:ascii="Times New Roman" w:hAnsi="Times New Roman" w:eastAsia="宋体"/>
                <w:b w:val="0"/>
                <w:bCs/>
                <w:color w:val="auto"/>
                <w:sz w:val="24"/>
                <w:highlight w:val="none"/>
                <w:lang w:val="en-US" w:eastAsia="zh-CN"/>
              </w:rPr>
            </w:pPr>
            <w:r>
              <w:rPr>
                <w:rFonts w:hint="default" w:ascii="Times New Roman" w:hAnsi="Times New Roman" w:cs="Times New Roman"/>
                <w:color w:val="auto"/>
                <w:sz w:val="24"/>
                <w:szCs w:val="24"/>
              </w:rPr>
              <w:t>综上所述，本项目符合</w:t>
            </w:r>
            <w:r>
              <w:rPr>
                <w:rFonts w:hint="default" w:ascii="Times New Roman" w:hAnsi="Times New Roman" w:eastAsia="宋体" w:cs="Times New Roman"/>
                <w:b w:val="0"/>
                <w:bCs/>
                <w:color w:val="auto"/>
                <w:sz w:val="24"/>
                <w:highlight w:val="none"/>
              </w:rPr>
              <w:t>《西安市</w:t>
            </w:r>
            <w:r>
              <w:rPr>
                <w:rFonts w:hint="eastAsia" w:ascii="Times New Roman" w:hAnsi="Times New Roman"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三线一单</w:t>
            </w:r>
            <w:r>
              <w:rPr>
                <w:rFonts w:hint="eastAsia" w:ascii="Times New Roman" w:hAnsi="Times New Roman"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生态环境分区管控实施方案》</w:t>
            </w:r>
            <w:r>
              <w:rPr>
                <w:rFonts w:hint="default" w:ascii="Times New Roman" w:hAnsi="Times New Roman" w:cs="Times New Roman"/>
                <w:color w:val="auto"/>
                <w:sz w:val="24"/>
                <w:szCs w:val="24"/>
              </w:rPr>
              <w:t>之中的各项要求。</w:t>
            </w:r>
          </w:p>
        </w:tc>
      </w:tr>
    </w:tbl>
    <w:p w14:paraId="0D01361B">
      <w:pPr>
        <w:adjustRightInd w:val="0"/>
        <w:snapToGrid w:val="0"/>
        <w:jc w:val="center"/>
        <w:rPr>
          <w:rFonts w:hint="eastAsia" w:ascii="Times New Roman" w:hAnsi="Times New Roman" w:cs="宋体"/>
          <w:color w:val="auto"/>
          <w:kern w:val="0"/>
          <w:sz w:val="24"/>
          <w:szCs w:val="24"/>
        </w:rPr>
      </w:pPr>
      <w:r>
        <w:rPr>
          <w:rFonts w:hint="eastAsia" w:ascii="Times New Roman" w:hAnsi="Times New Roman" w:cs="宋体"/>
          <w:color w:val="auto"/>
          <w:kern w:val="0"/>
          <w:sz w:val="24"/>
          <w:szCs w:val="24"/>
        </w:rPr>
        <w:br w:type="page"/>
      </w:r>
    </w:p>
    <w:tbl>
      <w:tblPr>
        <w:tblStyle w:val="24"/>
        <w:tblW w:w="86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485"/>
      </w:tblGrid>
      <w:tr w14:paraId="0F757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78" w:hRule="atLeast"/>
          <w:jc w:val="center"/>
        </w:trPr>
        <w:tc>
          <w:tcPr>
            <w:tcW w:w="1154" w:type="dxa"/>
            <w:tcBorders>
              <w:tl2br w:val="nil"/>
              <w:tr2bl w:val="nil"/>
            </w:tcBorders>
            <w:vAlign w:val="center"/>
          </w:tcPr>
          <w:p w14:paraId="7CE94522">
            <w:pPr>
              <w:adjustRightInd w:val="0"/>
              <w:snapToGrid w:val="0"/>
              <w:jc w:val="both"/>
              <w:rPr>
                <w:rFonts w:hint="eastAsia" w:ascii="Times New Roman" w:hAnsi="Times New Roman" w:eastAsia="宋体" w:cs="Times New Roman"/>
                <w:color w:val="auto"/>
                <w:kern w:val="0"/>
                <w:sz w:val="24"/>
                <w:szCs w:val="24"/>
              </w:rPr>
            </w:pPr>
          </w:p>
        </w:tc>
        <w:tc>
          <w:tcPr>
            <w:tcW w:w="7485" w:type="dxa"/>
            <w:tcBorders>
              <w:tl2br w:val="nil"/>
              <w:tr2bl w:val="nil"/>
            </w:tcBorders>
            <w:vAlign w:val="center"/>
          </w:tcPr>
          <w:p w14:paraId="0FF0029C">
            <w:pPr>
              <w:numPr>
                <w:ilvl w:val="0"/>
                <w:numId w:val="0"/>
              </w:numPr>
              <w:autoSpaceDE w:val="0"/>
              <w:autoSpaceDN w:val="0"/>
              <w:adjustRightInd w:val="0"/>
              <w:snapToGrid w:val="0"/>
              <w:spacing w:line="360" w:lineRule="auto"/>
              <w:rPr>
                <w:rFonts w:ascii="Times New Roman" w:hAnsi="Times New Roman" w:cs="宋体"/>
                <w:b/>
                <w:bCs/>
                <w:color w:val="auto"/>
                <w:kern w:val="0"/>
                <w:sz w:val="24"/>
              </w:rPr>
            </w:pPr>
            <w:r>
              <w:rPr>
                <w:rFonts w:hint="eastAsia" w:ascii="Times New Roman" w:hAnsi="Times New Roman" w:cs="宋体"/>
                <w:b/>
                <w:bCs/>
                <w:color w:val="auto"/>
                <w:kern w:val="0"/>
                <w:sz w:val="24"/>
                <w:lang w:val="en-US" w:eastAsia="zh-CN"/>
              </w:rPr>
              <w:t>3.</w:t>
            </w:r>
            <w:r>
              <w:rPr>
                <w:rFonts w:hint="eastAsia" w:ascii="Times New Roman" w:hAnsi="Times New Roman" w:cs="宋体"/>
                <w:b/>
                <w:bCs/>
                <w:color w:val="auto"/>
                <w:kern w:val="0"/>
                <w:sz w:val="24"/>
              </w:rPr>
              <w:t>与其他政策符合性分析</w:t>
            </w:r>
          </w:p>
          <w:p w14:paraId="00170913">
            <w:pPr>
              <w:autoSpaceDE w:val="0"/>
              <w:autoSpaceDN w:val="0"/>
              <w:adjustRightInd w:val="0"/>
              <w:snapToGrid w:val="0"/>
              <w:spacing w:line="360" w:lineRule="auto"/>
              <w:ind w:firstLine="480" w:firstLineChars="200"/>
              <w:rPr>
                <w:rFonts w:ascii="Times New Roman" w:hAnsi="Times New Roman" w:cs="宋体"/>
                <w:color w:val="auto"/>
                <w:kern w:val="0"/>
                <w:szCs w:val="21"/>
              </w:rPr>
            </w:pPr>
            <w:r>
              <w:rPr>
                <w:rFonts w:hint="eastAsia" w:ascii="Times New Roman" w:hAnsi="Times New Roman" w:cs="宋体"/>
                <w:color w:val="auto"/>
                <w:kern w:val="0"/>
                <w:sz w:val="24"/>
              </w:rPr>
              <w:t>本项目与其他政策符合性分析见表1-</w:t>
            </w:r>
            <w:r>
              <w:rPr>
                <w:rFonts w:hint="eastAsia" w:ascii="Times New Roman" w:hAnsi="Times New Roman" w:cs="宋体"/>
                <w:color w:val="auto"/>
                <w:kern w:val="0"/>
                <w:sz w:val="24"/>
                <w:lang w:val="en-US" w:eastAsia="zh-CN"/>
              </w:rPr>
              <w:t>4</w:t>
            </w:r>
            <w:r>
              <w:rPr>
                <w:rFonts w:hint="eastAsia" w:ascii="Times New Roman" w:hAnsi="Times New Roman" w:cs="宋体"/>
                <w:color w:val="auto"/>
                <w:kern w:val="0"/>
                <w:sz w:val="24"/>
              </w:rPr>
              <w:t>。</w:t>
            </w:r>
          </w:p>
          <w:p w14:paraId="68717EF9">
            <w:pPr>
              <w:autoSpaceDE w:val="0"/>
              <w:autoSpaceDN w:val="0"/>
              <w:adjustRightInd w:val="0"/>
              <w:snapToGrid w:val="0"/>
              <w:spacing w:line="240" w:lineRule="auto"/>
              <w:jc w:val="center"/>
              <w:rPr>
                <w:rFonts w:ascii="Times New Roman" w:hAnsi="Times New Roman" w:cs="宋体"/>
                <w:b/>
                <w:color w:val="auto"/>
                <w:kern w:val="0"/>
                <w:szCs w:val="21"/>
              </w:rPr>
            </w:pPr>
            <w:r>
              <w:rPr>
                <w:rFonts w:hint="eastAsia" w:ascii="Times New Roman" w:hAnsi="Times New Roman" w:cs="宋体"/>
                <w:b/>
                <w:color w:val="auto"/>
                <w:kern w:val="0"/>
                <w:szCs w:val="21"/>
              </w:rPr>
              <w:t>表1-</w:t>
            </w:r>
            <w:r>
              <w:rPr>
                <w:rFonts w:hint="eastAsia" w:ascii="Times New Roman" w:hAnsi="Times New Roman" w:cs="宋体"/>
                <w:b/>
                <w:color w:val="auto"/>
                <w:kern w:val="0"/>
                <w:szCs w:val="21"/>
                <w:lang w:val="en-US" w:eastAsia="zh-CN"/>
              </w:rPr>
              <w:t>4</w:t>
            </w:r>
            <w:r>
              <w:rPr>
                <w:rFonts w:hint="eastAsia" w:ascii="Times New Roman" w:hAnsi="Times New Roman" w:cs="宋体"/>
                <w:b/>
                <w:color w:val="auto"/>
                <w:kern w:val="0"/>
                <w:szCs w:val="21"/>
              </w:rPr>
              <w:t xml:space="preserve">  其他政策符合性分析</w:t>
            </w:r>
          </w:p>
          <w:tbl>
            <w:tblPr>
              <w:tblStyle w:val="24"/>
              <w:tblW w:w="72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2415"/>
              <w:gridCol w:w="2842"/>
              <w:gridCol w:w="596"/>
            </w:tblGrid>
            <w:tr w14:paraId="1C4EE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426" w:type="dxa"/>
                  <w:vAlign w:val="center"/>
                </w:tcPr>
                <w:p w14:paraId="5F97E39F">
                  <w:pPr>
                    <w:autoSpaceDE w:val="0"/>
                    <w:autoSpaceDN w:val="0"/>
                    <w:adjustRightInd w:val="0"/>
                    <w:snapToGrid w:val="0"/>
                    <w:jc w:val="center"/>
                    <w:rPr>
                      <w:rFonts w:cs="宋体"/>
                      <w:b/>
                      <w:color w:val="auto"/>
                      <w:kern w:val="0"/>
                      <w:szCs w:val="21"/>
                    </w:rPr>
                  </w:pPr>
                  <w:r>
                    <w:rPr>
                      <w:rFonts w:hint="eastAsia" w:ascii="Times New Roman" w:hAnsi="Times New Roman" w:cs="宋体"/>
                      <w:b/>
                      <w:color w:val="auto"/>
                      <w:kern w:val="0"/>
                      <w:szCs w:val="21"/>
                    </w:rPr>
                    <w:t>相关政策</w:t>
                  </w:r>
                </w:p>
              </w:tc>
              <w:tc>
                <w:tcPr>
                  <w:tcW w:w="2415" w:type="dxa"/>
                  <w:vAlign w:val="center"/>
                </w:tcPr>
                <w:p w14:paraId="1720E23E">
                  <w:pPr>
                    <w:autoSpaceDE w:val="0"/>
                    <w:autoSpaceDN w:val="0"/>
                    <w:adjustRightInd w:val="0"/>
                    <w:snapToGrid w:val="0"/>
                    <w:jc w:val="center"/>
                    <w:rPr>
                      <w:rFonts w:cs="宋体"/>
                      <w:b/>
                      <w:color w:val="auto"/>
                      <w:kern w:val="0"/>
                      <w:szCs w:val="21"/>
                    </w:rPr>
                  </w:pPr>
                  <w:r>
                    <w:rPr>
                      <w:rFonts w:hint="eastAsia" w:ascii="Times New Roman" w:hAnsi="Times New Roman" w:cs="宋体"/>
                      <w:b/>
                      <w:color w:val="auto"/>
                      <w:kern w:val="0"/>
                      <w:szCs w:val="21"/>
                    </w:rPr>
                    <w:t>要求</w:t>
                  </w:r>
                </w:p>
              </w:tc>
              <w:tc>
                <w:tcPr>
                  <w:tcW w:w="2842" w:type="dxa"/>
                  <w:vAlign w:val="center"/>
                </w:tcPr>
                <w:p w14:paraId="38E2E539">
                  <w:pPr>
                    <w:autoSpaceDE w:val="0"/>
                    <w:autoSpaceDN w:val="0"/>
                    <w:adjustRightInd w:val="0"/>
                    <w:snapToGrid w:val="0"/>
                    <w:jc w:val="center"/>
                    <w:rPr>
                      <w:rFonts w:cs="宋体"/>
                      <w:b/>
                      <w:color w:val="auto"/>
                      <w:kern w:val="0"/>
                      <w:szCs w:val="21"/>
                    </w:rPr>
                  </w:pPr>
                  <w:r>
                    <w:rPr>
                      <w:rFonts w:hint="eastAsia" w:ascii="Times New Roman" w:hAnsi="Times New Roman" w:cs="宋体"/>
                      <w:b/>
                      <w:color w:val="auto"/>
                      <w:kern w:val="0"/>
                      <w:szCs w:val="21"/>
                    </w:rPr>
                    <w:t>本项目情况</w:t>
                  </w:r>
                </w:p>
              </w:tc>
              <w:tc>
                <w:tcPr>
                  <w:tcW w:w="596" w:type="dxa"/>
                  <w:vAlign w:val="center"/>
                </w:tcPr>
                <w:p w14:paraId="66558EF2">
                  <w:pPr>
                    <w:autoSpaceDE w:val="0"/>
                    <w:autoSpaceDN w:val="0"/>
                    <w:adjustRightInd w:val="0"/>
                    <w:snapToGrid w:val="0"/>
                    <w:jc w:val="center"/>
                    <w:rPr>
                      <w:rFonts w:cs="宋体"/>
                      <w:b/>
                      <w:color w:val="auto"/>
                      <w:kern w:val="0"/>
                      <w:szCs w:val="21"/>
                    </w:rPr>
                  </w:pPr>
                  <w:r>
                    <w:rPr>
                      <w:rFonts w:hint="eastAsia" w:ascii="Times New Roman" w:hAnsi="Times New Roman" w:cs="宋体"/>
                      <w:b/>
                      <w:color w:val="auto"/>
                      <w:kern w:val="0"/>
                      <w:szCs w:val="21"/>
                    </w:rPr>
                    <w:t>符合性</w:t>
                  </w:r>
                </w:p>
              </w:tc>
            </w:tr>
            <w:tr w14:paraId="2A0CB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426" w:type="dxa"/>
                  <w:vAlign w:val="center"/>
                </w:tcPr>
                <w:p w14:paraId="08105518">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《陕西省碧水保卫战2022年工作方案》（陕政办发[2022]8号）</w:t>
                  </w:r>
                </w:p>
              </w:tc>
              <w:tc>
                <w:tcPr>
                  <w:tcW w:w="2415" w:type="dxa"/>
                  <w:vAlign w:val="center"/>
                </w:tcPr>
                <w:p w14:paraId="793D4B11">
                  <w:pPr>
                    <w:autoSpaceDE w:val="0"/>
                    <w:autoSpaceDN w:val="0"/>
                    <w:adjustRightInd w:val="0"/>
                    <w:snapToGrid w:val="0"/>
                    <w:jc w:val="center"/>
                    <w:rPr>
                      <w:color w:val="auto"/>
                      <w:szCs w:val="21"/>
                      <w:shd w:val="clear" w:color="auto" w:fill="FFFFFF"/>
                    </w:rPr>
                  </w:pPr>
                  <w:r>
                    <w:rPr>
                      <w:rFonts w:hint="eastAsia" w:ascii="Times New Roman" w:hAnsi="Times New Roman"/>
                      <w:color w:val="auto"/>
                      <w:szCs w:val="21"/>
                      <w:shd w:val="clear" w:color="auto" w:fill="FFFFFF"/>
                    </w:rPr>
                    <w:t>加强水资源利用。完善再生水利用设施，工业生产、城市杂用等优先使用再生水，不断提高矿区矿井水资源化综合利用水平，适时开展陕北煤炭行业疏干水再生水利用试点工作。</w:t>
                  </w:r>
                </w:p>
              </w:tc>
              <w:tc>
                <w:tcPr>
                  <w:tcW w:w="2842" w:type="dxa"/>
                  <w:vAlign w:val="center"/>
                </w:tcPr>
                <w:p w14:paraId="1901FCCE">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项目</w:t>
                  </w:r>
                  <w:r>
                    <w:rPr>
                      <w:rFonts w:hint="default" w:ascii="Times New Roman" w:hAnsi="Times New Roman" w:eastAsia="宋体" w:cs="宋体"/>
                      <w:bCs/>
                      <w:color w:val="auto"/>
                      <w:kern w:val="0"/>
                      <w:sz w:val="21"/>
                      <w:szCs w:val="21"/>
                      <w:lang w:val="en-US" w:eastAsia="zh-CN"/>
                    </w:rPr>
                    <w:t>生活污</w:t>
                  </w:r>
                  <w:r>
                    <w:rPr>
                      <w:rFonts w:hint="default" w:ascii="Times New Roman" w:hAnsi="Times New Roman" w:eastAsia="宋体" w:cs="宋体"/>
                      <w:bCs/>
                      <w:color w:val="auto"/>
                      <w:kern w:val="0"/>
                      <w:sz w:val="21"/>
                      <w:szCs w:val="21"/>
                      <w:lang w:val="en-US" w:eastAsia="zh-CN" w:bidi="ar-SA"/>
                    </w:rPr>
                    <w:t>水进入化粪池预处理后排入沣西新城大王污水处理厂，处理达标后排入新河</w:t>
                  </w:r>
                  <w:r>
                    <w:rPr>
                      <w:rFonts w:hint="eastAsia" w:ascii="Times New Roman" w:hAnsi="Times New Roman" w:cs="宋体"/>
                      <w:color w:val="auto"/>
                      <w:kern w:val="0"/>
                      <w:szCs w:val="21"/>
                    </w:rPr>
                    <w:t>。</w:t>
                  </w:r>
                </w:p>
              </w:tc>
              <w:tc>
                <w:tcPr>
                  <w:tcW w:w="596" w:type="dxa"/>
                  <w:vAlign w:val="center"/>
                </w:tcPr>
                <w:p w14:paraId="7A1E7762">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符合</w:t>
                  </w:r>
                </w:p>
              </w:tc>
            </w:tr>
            <w:tr w14:paraId="0AD7F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1" w:hRule="atLeast"/>
              </w:trPr>
              <w:tc>
                <w:tcPr>
                  <w:tcW w:w="1426" w:type="dxa"/>
                  <w:vAlign w:val="center"/>
                </w:tcPr>
                <w:p w14:paraId="54D8E507">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《陕西省蓝天保卫战2022年工作方案》（陕政办发[2022]8号）</w:t>
                  </w:r>
                </w:p>
              </w:tc>
              <w:tc>
                <w:tcPr>
                  <w:tcW w:w="2415" w:type="dxa"/>
                  <w:vAlign w:val="center"/>
                </w:tcPr>
                <w:p w14:paraId="0F36F1AA">
                  <w:pPr>
                    <w:autoSpaceDE w:val="0"/>
                    <w:autoSpaceDN w:val="0"/>
                    <w:adjustRightInd w:val="0"/>
                    <w:snapToGrid w:val="0"/>
                    <w:jc w:val="center"/>
                    <w:rPr>
                      <w:color w:val="auto"/>
                      <w:szCs w:val="21"/>
                      <w:shd w:val="clear" w:color="auto" w:fill="FFFFFF"/>
                    </w:rPr>
                  </w:pPr>
                  <w:r>
                    <w:rPr>
                      <w:rFonts w:hint="eastAsia" w:ascii="Times New Roman" w:hAnsi="Times New Roman"/>
                      <w:color w:val="auto"/>
                      <w:szCs w:val="21"/>
                      <w:shd w:val="clear" w:color="auto" w:fill="FFFFFF"/>
                    </w:rPr>
                    <w:t>加强物料堆场扬尘管控。针对铸造、铁合金、焦化、水泥、砖瓦、石灰、耐火材料、有色金属冶炼等行业企业，严格控制物料储存、输送及生产工艺过程无组织排放，粉粒类物料堆放场以及大型煤炭和矿石物料堆场，基本完成抑尘设施建设和物料输送系统封闭改造。严禁露天装卸作业和物料干法作业。</w:t>
                  </w:r>
                </w:p>
              </w:tc>
              <w:tc>
                <w:tcPr>
                  <w:tcW w:w="2842" w:type="dxa"/>
                  <w:vMerge w:val="restart"/>
                  <w:vAlign w:val="center"/>
                </w:tcPr>
                <w:p w14:paraId="453037D1">
                  <w:pPr>
                    <w:autoSpaceDE w:val="0"/>
                    <w:autoSpaceDN w:val="0"/>
                    <w:adjustRightInd w:val="0"/>
                    <w:snapToGrid w:val="0"/>
                    <w:jc w:val="center"/>
                    <w:rPr>
                      <w:rFonts w:hint="default" w:eastAsia="宋体" w:cs="宋体"/>
                      <w:bCs/>
                      <w:color w:val="auto"/>
                      <w:kern w:val="0"/>
                      <w:szCs w:val="21"/>
                      <w:lang w:val="en-US" w:eastAsia="zh-CN"/>
                    </w:rPr>
                  </w:pPr>
                  <w:r>
                    <w:rPr>
                      <w:rFonts w:hint="eastAsia" w:ascii="Times New Roman" w:hAnsi="Times New Roman" w:cs="宋体"/>
                      <w:bCs/>
                      <w:color w:val="auto"/>
                      <w:kern w:val="0"/>
                      <w:szCs w:val="21"/>
                    </w:rPr>
                    <w:t>项目生产车间</w:t>
                  </w:r>
                  <w:r>
                    <w:rPr>
                      <w:rFonts w:hint="eastAsia" w:ascii="Times New Roman" w:hAnsi="Times New Roman" w:cs="宋体"/>
                      <w:bCs/>
                      <w:color w:val="auto"/>
                      <w:kern w:val="0"/>
                      <w:szCs w:val="21"/>
                      <w:lang w:val="en-US" w:eastAsia="zh-CN"/>
                    </w:rPr>
                    <w:t>产生的废气经过“</w:t>
                  </w:r>
                  <w:r>
                    <w:rPr>
                      <w:rFonts w:hint="eastAsia" w:ascii="Times New Roman" w:hAnsi="Times New Roman" w:eastAsia="宋体" w:cs="Times New Roman"/>
                      <w:b w:val="0"/>
                      <w:bCs w:val="0"/>
                      <w:color w:val="auto"/>
                      <w:kern w:val="2"/>
                      <w:sz w:val="21"/>
                      <w:szCs w:val="21"/>
                      <w:vertAlign w:val="baseline"/>
                      <w:lang w:val="en-US" w:eastAsia="zh-CN" w:bidi="ar-SA"/>
                    </w:rPr>
                    <w:t>密闭</w:t>
                  </w:r>
                  <w:r>
                    <w:rPr>
                      <w:rFonts w:hint="default" w:ascii="Times New Roman" w:hAnsi="Times New Roman" w:eastAsia="宋体" w:cs="Times New Roman"/>
                      <w:b w:val="0"/>
                      <w:bCs w:val="0"/>
                      <w:color w:val="auto"/>
                      <w:kern w:val="2"/>
                      <w:sz w:val="21"/>
                      <w:szCs w:val="21"/>
                      <w:vertAlign w:val="baseline"/>
                      <w:lang w:val="en-US" w:eastAsia="zh-CN" w:bidi="ar-SA"/>
                    </w:rPr>
                    <w:t>箱体侧吸</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集尘罩+布袋除尘器</w:t>
                  </w:r>
                  <w:r>
                    <w:rPr>
                      <w:rFonts w:hint="eastAsia" w:ascii="Times New Roman" w:hAnsi="Times New Roman" w:cs="宋体"/>
                      <w:bCs/>
                      <w:color w:val="auto"/>
                      <w:kern w:val="0"/>
                      <w:szCs w:val="21"/>
                      <w:lang w:val="en-US" w:eastAsia="zh-CN"/>
                    </w:rPr>
                    <w:t>+</w:t>
                  </w:r>
                  <w:r>
                    <w:rPr>
                      <w:rFonts w:hint="eastAsia" w:ascii="Times New Roman" w:hAnsi="Times New Roman" w:cs="宋体"/>
                      <w:bCs/>
                      <w:color w:val="auto"/>
                      <w:kern w:val="0"/>
                      <w:szCs w:val="21"/>
                    </w:rPr>
                    <w:t>15m排气筒</w:t>
                  </w:r>
                  <w:r>
                    <w:rPr>
                      <w:rFonts w:hint="eastAsia" w:ascii="Times New Roman" w:hAnsi="Times New Roman" w:cs="宋体"/>
                      <w:bCs/>
                      <w:color w:val="auto"/>
                      <w:kern w:val="0"/>
                      <w:szCs w:val="21"/>
                      <w:lang w:val="en-US" w:eastAsia="zh-CN"/>
                    </w:rPr>
                    <w:t>”后达标排放。</w:t>
                  </w:r>
                </w:p>
              </w:tc>
              <w:tc>
                <w:tcPr>
                  <w:tcW w:w="596" w:type="dxa"/>
                  <w:vAlign w:val="center"/>
                </w:tcPr>
                <w:p w14:paraId="688C35CC">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符合</w:t>
                  </w:r>
                </w:p>
              </w:tc>
            </w:tr>
            <w:tr w14:paraId="1D518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1" w:hRule="atLeast"/>
              </w:trPr>
              <w:tc>
                <w:tcPr>
                  <w:tcW w:w="1426" w:type="dxa"/>
                  <w:vAlign w:val="center"/>
                </w:tcPr>
                <w:p w14:paraId="1E6B193D">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《西安市蓝天保卫战2022年工作方案》（市政办发[2022]18号）</w:t>
                  </w:r>
                </w:p>
              </w:tc>
              <w:tc>
                <w:tcPr>
                  <w:tcW w:w="2415" w:type="dxa"/>
                  <w:vAlign w:val="center"/>
                </w:tcPr>
                <w:p w14:paraId="245B9261">
                  <w:pPr>
                    <w:autoSpaceDE w:val="0"/>
                    <w:autoSpaceDN w:val="0"/>
                    <w:adjustRightInd w:val="0"/>
                    <w:snapToGrid w:val="0"/>
                    <w:jc w:val="center"/>
                    <w:rPr>
                      <w:color w:val="auto"/>
                      <w:szCs w:val="21"/>
                      <w:shd w:val="clear" w:color="auto" w:fill="FFFFFF"/>
                    </w:rPr>
                  </w:pPr>
                  <w:r>
                    <w:rPr>
                      <w:rFonts w:hint="eastAsia" w:ascii="Times New Roman" w:hAnsi="Times New Roman"/>
                      <w:color w:val="auto"/>
                      <w:szCs w:val="21"/>
                      <w:shd w:val="clear" w:color="auto" w:fill="FFFFFF"/>
                    </w:rPr>
                    <w:t>加强物料堆场扬尘管控。针对铸造、铁合金、焦化、水泥、砖瓦、石灰、耐火材料、有色金属冶炼等行业，严格控制物料储存、输送及生产工艺过程无组织排放，粉粒类物料堆放场以及大型煤炭和矿石物料堆场，基本完成抑尘设施建设和物料输送系统封闭改造。严禁露天装卸作业和物料干法作业。</w:t>
                  </w:r>
                </w:p>
              </w:tc>
              <w:tc>
                <w:tcPr>
                  <w:tcW w:w="2842" w:type="dxa"/>
                  <w:vMerge w:val="continue"/>
                  <w:vAlign w:val="center"/>
                </w:tcPr>
                <w:p w14:paraId="6164F039">
                  <w:pPr>
                    <w:autoSpaceDE w:val="0"/>
                    <w:autoSpaceDN w:val="0"/>
                    <w:adjustRightInd w:val="0"/>
                    <w:snapToGrid w:val="0"/>
                    <w:jc w:val="center"/>
                    <w:rPr>
                      <w:rFonts w:cs="宋体"/>
                      <w:bCs/>
                      <w:color w:val="auto"/>
                      <w:kern w:val="0"/>
                      <w:szCs w:val="21"/>
                    </w:rPr>
                  </w:pPr>
                </w:p>
              </w:tc>
              <w:tc>
                <w:tcPr>
                  <w:tcW w:w="596" w:type="dxa"/>
                  <w:vAlign w:val="center"/>
                </w:tcPr>
                <w:p w14:paraId="680C7637">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符合</w:t>
                  </w:r>
                </w:p>
              </w:tc>
            </w:tr>
            <w:tr w14:paraId="65494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5" w:hRule="atLeast"/>
              </w:trPr>
              <w:tc>
                <w:tcPr>
                  <w:tcW w:w="1426" w:type="dxa"/>
                  <w:vAlign w:val="center"/>
                </w:tcPr>
                <w:p w14:paraId="4BBC7D2B">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《西咸新区蓝天保卫战2022年工作实施方案》（陕西咸党政办字[2022]38号）</w:t>
                  </w:r>
                </w:p>
              </w:tc>
              <w:tc>
                <w:tcPr>
                  <w:tcW w:w="2415" w:type="dxa"/>
                  <w:vAlign w:val="center"/>
                </w:tcPr>
                <w:p w14:paraId="7100EF48">
                  <w:pPr>
                    <w:autoSpaceDE w:val="0"/>
                    <w:autoSpaceDN w:val="0"/>
                    <w:adjustRightInd w:val="0"/>
                    <w:snapToGrid w:val="0"/>
                    <w:jc w:val="center"/>
                    <w:rPr>
                      <w:rFonts w:ascii="Times New Roman" w:hAnsi="Times New Roman"/>
                      <w:color w:val="auto"/>
                      <w:szCs w:val="21"/>
                      <w:shd w:val="clear" w:color="auto" w:fill="FFFFFF"/>
                    </w:rPr>
                  </w:pPr>
                  <w:r>
                    <w:rPr>
                      <w:rFonts w:hint="eastAsia" w:ascii="Times New Roman" w:hAnsi="Times New Roman"/>
                      <w:color w:val="auto"/>
                      <w:szCs w:val="21"/>
                      <w:shd w:val="clear" w:color="auto" w:fill="FFFFFF"/>
                    </w:rPr>
                    <w:t>加强工业企业粉尘排放管控。强化工业企业粉粒类物料储存、输送及生产工艺过程粉尘无组织和有组织排放管控，确保达标排放。严禁露天装卸作业和物料干法作业。</w:t>
                  </w:r>
                </w:p>
              </w:tc>
              <w:tc>
                <w:tcPr>
                  <w:tcW w:w="2842" w:type="dxa"/>
                  <w:vMerge w:val="continue"/>
                  <w:vAlign w:val="center"/>
                </w:tcPr>
                <w:p w14:paraId="0DC9A42B">
                  <w:pPr>
                    <w:autoSpaceDE w:val="0"/>
                    <w:autoSpaceDN w:val="0"/>
                    <w:adjustRightInd w:val="0"/>
                    <w:snapToGrid w:val="0"/>
                    <w:jc w:val="center"/>
                    <w:rPr>
                      <w:rFonts w:cs="宋体"/>
                      <w:bCs/>
                      <w:color w:val="auto"/>
                      <w:kern w:val="0"/>
                      <w:szCs w:val="21"/>
                    </w:rPr>
                  </w:pPr>
                </w:p>
              </w:tc>
              <w:tc>
                <w:tcPr>
                  <w:tcW w:w="596" w:type="dxa"/>
                  <w:vAlign w:val="center"/>
                </w:tcPr>
                <w:p w14:paraId="35D6F15B">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符合</w:t>
                  </w:r>
                </w:p>
              </w:tc>
            </w:tr>
            <w:tr w14:paraId="0711A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426" w:type="dxa"/>
                  <w:vAlign w:val="center"/>
                </w:tcPr>
                <w:p w14:paraId="045BC3B6">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《西咸新区碧水保卫战2022年工作实施方案》（陕西咸党政办字[2022]38号）</w:t>
                  </w:r>
                </w:p>
              </w:tc>
              <w:tc>
                <w:tcPr>
                  <w:tcW w:w="2415" w:type="dxa"/>
                  <w:vAlign w:val="center"/>
                </w:tcPr>
                <w:p w14:paraId="1F659E0E">
                  <w:pPr>
                    <w:autoSpaceDE w:val="0"/>
                    <w:autoSpaceDN w:val="0"/>
                    <w:adjustRightInd w:val="0"/>
                    <w:snapToGrid w:val="0"/>
                    <w:jc w:val="center"/>
                    <w:rPr>
                      <w:rFonts w:ascii="Times New Roman" w:hAnsi="Times New Roman"/>
                      <w:color w:val="auto"/>
                      <w:szCs w:val="21"/>
                      <w:shd w:val="clear" w:color="auto" w:fill="FFFFFF"/>
                    </w:rPr>
                  </w:pPr>
                  <w:r>
                    <w:rPr>
                      <w:rFonts w:hint="eastAsia" w:ascii="Times New Roman" w:hAnsi="Times New Roman"/>
                      <w:color w:val="auto"/>
                      <w:szCs w:val="21"/>
                      <w:shd w:val="clear" w:color="auto" w:fill="FFFFFF"/>
                    </w:rPr>
                    <w:t>深入推进工业污染防治。持续推进产业结构调整，坚决遏制</w:t>
                  </w:r>
                  <w:r>
                    <w:rPr>
                      <w:rFonts w:hint="eastAsia" w:ascii="Times New Roman" w:hAnsi="Times New Roman"/>
                      <w:color w:val="auto"/>
                      <w:szCs w:val="21"/>
                      <w:shd w:val="clear" w:color="auto" w:fill="FFFFFF"/>
                      <w:lang w:eastAsia="zh-CN"/>
                    </w:rPr>
                    <w:t>“</w:t>
                  </w:r>
                  <w:r>
                    <w:rPr>
                      <w:rFonts w:hint="eastAsia" w:ascii="Times New Roman" w:hAnsi="Times New Roman"/>
                      <w:color w:val="auto"/>
                      <w:szCs w:val="21"/>
                      <w:shd w:val="clear" w:color="auto" w:fill="FFFFFF"/>
                    </w:rPr>
                    <w:t>两高</w:t>
                  </w:r>
                  <w:r>
                    <w:rPr>
                      <w:rFonts w:hint="eastAsia" w:ascii="Times New Roman" w:hAnsi="Times New Roman"/>
                      <w:color w:val="auto"/>
                      <w:szCs w:val="21"/>
                      <w:shd w:val="clear" w:color="auto" w:fill="FFFFFF"/>
                      <w:lang w:eastAsia="zh-CN"/>
                    </w:rPr>
                    <w:t>”</w:t>
                  </w:r>
                  <w:r>
                    <w:rPr>
                      <w:rFonts w:hint="eastAsia" w:ascii="Times New Roman" w:hAnsi="Times New Roman"/>
                      <w:color w:val="auto"/>
                      <w:szCs w:val="21"/>
                      <w:shd w:val="clear" w:color="auto" w:fill="FFFFFF"/>
                    </w:rPr>
                    <w:t>项目，重点地区严控高污染、高耗水、高耗能项目，</w:t>
                  </w:r>
                </w:p>
                <w:p w14:paraId="52E3D14B">
                  <w:pPr>
                    <w:autoSpaceDE w:val="0"/>
                    <w:autoSpaceDN w:val="0"/>
                    <w:adjustRightInd w:val="0"/>
                    <w:snapToGrid w:val="0"/>
                    <w:jc w:val="center"/>
                    <w:rPr>
                      <w:rFonts w:ascii="Times New Roman" w:hAnsi="Times New Roman"/>
                      <w:color w:val="auto"/>
                      <w:szCs w:val="21"/>
                      <w:shd w:val="clear" w:color="auto" w:fill="FFFFFF"/>
                    </w:rPr>
                  </w:pPr>
                  <w:r>
                    <w:rPr>
                      <w:rFonts w:hint="eastAsia" w:ascii="Times New Roman" w:hAnsi="Times New Roman"/>
                      <w:color w:val="auto"/>
                      <w:szCs w:val="21"/>
                      <w:shd w:val="clear" w:color="auto" w:fill="FFFFFF"/>
                    </w:rPr>
                    <w:t>依法依规淘汰落后产能。严格落实排污许可制度，确保企业持证排污、按证排污。逐步开展火电、化工、有色等行业强制性清洁生产。</w:t>
                  </w:r>
                </w:p>
                <w:p w14:paraId="752BFE9C">
                  <w:pPr>
                    <w:autoSpaceDE w:val="0"/>
                    <w:autoSpaceDN w:val="0"/>
                    <w:adjustRightInd w:val="0"/>
                    <w:snapToGrid w:val="0"/>
                    <w:jc w:val="center"/>
                    <w:rPr>
                      <w:rFonts w:ascii="Times New Roman" w:hAnsi="Times New Roman"/>
                      <w:color w:val="auto"/>
                      <w:szCs w:val="21"/>
                      <w:shd w:val="clear" w:color="auto" w:fill="FFFFFF"/>
                    </w:rPr>
                  </w:pPr>
                  <w:r>
                    <w:rPr>
                      <w:rFonts w:hint="eastAsia" w:ascii="Times New Roman" w:hAnsi="Times New Roman"/>
                      <w:color w:val="auto"/>
                      <w:szCs w:val="21"/>
                      <w:shd w:val="clear" w:color="auto" w:fill="FFFFFF"/>
                    </w:rPr>
                    <w:t>加强水资源利用。完善再生水利用设施，工业生产、城市杂用等有限使用再生水。</w:t>
                  </w:r>
                </w:p>
              </w:tc>
              <w:tc>
                <w:tcPr>
                  <w:tcW w:w="2842" w:type="dxa"/>
                  <w:vAlign w:val="center"/>
                </w:tcPr>
                <w:p w14:paraId="1A2FA6B3">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本项目为水泥制品制造项目，不属于高耗水行业。</w:t>
                  </w:r>
                  <w:r>
                    <w:rPr>
                      <w:rFonts w:hint="default" w:ascii="Times New Roman" w:hAnsi="Times New Roman" w:eastAsia="宋体" w:cs="宋体"/>
                      <w:bCs/>
                      <w:color w:val="auto"/>
                      <w:kern w:val="0"/>
                      <w:sz w:val="21"/>
                      <w:szCs w:val="21"/>
                      <w:lang w:val="en-US" w:eastAsia="zh-CN"/>
                    </w:rPr>
                    <w:t>生活污</w:t>
                  </w:r>
                  <w:r>
                    <w:rPr>
                      <w:rFonts w:hint="default" w:ascii="Times New Roman" w:hAnsi="Times New Roman" w:eastAsia="宋体" w:cs="宋体"/>
                      <w:bCs/>
                      <w:color w:val="auto"/>
                      <w:kern w:val="0"/>
                      <w:sz w:val="21"/>
                      <w:szCs w:val="21"/>
                      <w:lang w:val="en-US" w:eastAsia="zh-CN" w:bidi="ar-SA"/>
                    </w:rPr>
                    <w:t>水进入化粪池预处理后排入沣西新城大王污水处理厂，处理达标后排入新河</w:t>
                  </w:r>
                  <w:r>
                    <w:rPr>
                      <w:rFonts w:hint="eastAsia" w:ascii="Times New Roman" w:hAnsi="Times New Roman" w:cs="宋体"/>
                      <w:color w:val="auto"/>
                      <w:kern w:val="0"/>
                      <w:szCs w:val="21"/>
                    </w:rPr>
                    <w:t>。</w:t>
                  </w:r>
                </w:p>
              </w:tc>
              <w:tc>
                <w:tcPr>
                  <w:tcW w:w="596" w:type="dxa"/>
                  <w:vAlign w:val="center"/>
                </w:tcPr>
                <w:p w14:paraId="09CD5AAC">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符合</w:t>
                  </w:r>
                </w:p>
              </w:tc>
            </w:tr>
            <w:tr w14:paraId="352B8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1" w:hRule="atLeast"/>
              </w:trPr>
              <w:tc>
                <w:tcPr>
                  <w:tcW w:w="1426" w:type="dxa"/>
                  <w:vMerge w:val="restart"/>
                  <w:vAlign w:val="center"/>
                </w:tcPr>
                <w:p w14:paraId="32E2E222">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《西安市大气污染防治条例》（2021年修正）</w:t>
                  </w:r>
                </w:p>
              </w:tc>
              <w:tc>
                <w:tcPr>
                  <w:tcW w:w="2415" w:type="dxa"/>
                  <w:vAlign w:val="center"/>
                </w:tcPr>
                <w:p w14:paraId="37F4171F">
                  <w:pPr>
                    <w:autoSpaceDE w:val="0"/>
                    <w:autoSpaceDN w:val="0"/>
                    <w:adjustRightInd w:val="0"/>
                    <w:snapToGrid w:val="0"/>
                    <w:jc w:val="center"/>
                    <w:rPr>
                      <w:rFonts w:ascii="Times New Roman" w:hAnsi="Times New Roman"/>
                      <w:color w:val="auto"/>
                      <w:szCs w:val="21"/>
                      <w:shd w:val="clear" w:color="auto" w:fill="FFFFFF"/>
                    </w:rPr>
                  </w:pPr>
                  <w:r>
                    <w:rPr>
                      <w:rFonts w:hint="eastAsia" w:ascii="Times New Roman" w:hAnsi="Times New Roman"/>
                      <w:color w:val="auto"/>
                      <w:szCs w:val="21"/>
                      <w:shd w:val="clear" w:color="auto" w:fill="FFFFFF"/>
                    </w:rPr>
                    <w:t>第二十三条 向大气排放污染物的企业事业单位和其他生产经营者应当安装大气污染防治设施并确保正常使用。大气污染防治设施因维修、故障等原因不能正常使用的，向大气排放污染物的企业事业单位和其他生产经营者应当采取限产或停产等措施，确保大气污染物排放达到规定的标准。</w:t>
                  </w:r>
                </w:p>
              </w:tc>
              <w:tc>
                <w:tcPr>
                  <w:tcW w:w="2842" w:type="dxa"/>
                  <w:vAlign w:val="center"/>
                </w:tcPr>
                <w:p w14:paraId="4829DFD5">
                  <w:pPr>
                    <w:autoSpaceDE w:val="0"/>
                    <w:autoSpaceDN w:val="0"/>
                    <w:adjustRightInd w:val="0"/>
                    <w:snapToGrid w:val="0"/>
                    <w:jc w:val="center"/>
                    <w:rPr>
                      <w:rFonts w:ascii="Times New Roman" w:hAnsi="Times New Roman" w:cs="宋体"/>
                      <w:color w:val="auto"/>
                      <w:kern w:val="0"/>
                      <w:szCs w:val="21"/>
                    </w:rPr>
                  </w:pPr>
                  <w:r>
                    <w:rPr>
                      <w:rFonts w:hint="eastAsia" w:ascii="Times New Roman" w:hAnsi="Times New Roman" w:cs="宋体"/>
                      <w:bCs/>
                      <w:color w:val="auto"/>
                      <w:kern w:val="0"/>
                      <w:szCs w:val="21"/>
                    </w:rPr>
                    <w:t>本项目产生的污染物为颗粒物，采取</w:t>
                  </w:r>
                  <w:r>
                    <w:rPr>
                      <w:rFonts w:hint="eastAsia" w:ascii="Times New Roman" w:hAnsi="Times New Roman" w:cs="宋体"/>
                      <w:bCs/>
                      <w:color w:val="auto"/>
                      <w:kern w:val="0"/>
                      <w:szCs w:val="21"/>
                      <w:lang w:val="en-US" w:eastAsia="zh-CN"/>
                    </w:rPr>
                    <w:t>“</w:t>
                  </w:r>
                  <w:r>
                    <w:rPr>
                      <w:rFonts w:hint="eastAsia" w:ascii="Times New Roman" w:hAnsi="Times New Roman" w:eastAsia="宋体" w:cs="Times New Roman"/>
                      <w:b w:val="0"/>
                      <w:bCs w:val="0"/>
                      <w:color w:val="auto"/>
                      <w:kern w:val="2"/>
                      <w:sz w:val="21"/>
                      <w:szCs w:val="21"/>
                      <w:vertAlign w:val="baseline"/>
                      <w:lang w:val="en-US" w:eastAsia="zh-CN" w:bidi="ar-SA"/>
                    </w:rPr>
                    <w:t>密闭</w:t>
                  </w:r>
                  <w:r>
                    <w:rPr>
                      <w:rFonts w:hint="default" w:ascii="Times New Roman" w:hAnsi="Times New Roman" w:eastAsia="宋体" w:cs="Times New Roman"/>
                      <w:b w:val="0"/>
                      <w:bCs w:val="0"/>
                      <w:color w:val="auto"/>
                      <w:kern w:val="2"/>
                      <w:sz w:val="21"/>
                      <w:szCs w:val="21"/>
                      <w:vertAlign w:val="baseline"/>
                      <w:lang w:val="en-US" w:eastAsia="zh-CN" w:bidi="ar-SA"/>
                    </w:rPr>
                    <w:t>箱体侧吸</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集尘罩+布袋除尘器</w:t>
                  </w:r>
                  <w:r>
                    <w:rPr>
                      <w:rFonts w:hint="eastAsia" w:ascii="Times New Roman" w:hAnsi="Times New Roman" w:cs="宋体"/>
                      <w:bCs/>
                      <w:color w:val="auto"/>
                      <w:kern w:val="0"/>
                      <w:sz w:val="21"/>
                      <w:szCs w:val="21"/>
                      <w:lang w:val="en-US" w:eastAsia="zh-CN"/>
                    </w:rPr>
                    <w:t>+15m排气筒</w:t>
                  </w:r>
                  <w:r>
                    <w:rPr>
                      <w:rFonts w:hint="eastAsia" w:ascii="Times New Roman" w:hAnsi="Times New Roman" w:cs="宋体"/>
                      <w:bCs/>
                      <w:color w:val="auto"/>
                      <w:kern w:val="0"/>
                      <w:szCs w:val="21"/>
                      <w:lang w:val="en-US" w:eastAsia="zh-CN"/>
                    </w:rPr>
                    <w:t>”</w:t>
                  </w:r>
                  <w:r>
                    <w:rPr>
                      <w:rFonts w:hint="eastAsia" w:ascii="Times New Roman" w:hAnsi="Times New Roman" w:cs="宋体"/>
                      <w:bCs/>
                      <w:color w:val="auto"/>
                      <w:kern w:val="0"/>
                      <w:szCs w:val="21"/>
                    </w:rPr>
                    <w:t>，处理后粉尘排放满足</w:t>
                  </w:r>
                  <w:r>
                    <w:rPr>
                      <w:rFonts w:hint="eastAsia" w:ascii="Times New Roman" w:hAnsi="Times New Roman" w:cs="宋体"/>
                      <w:color w:val="auto"/>
                      <w:kern w:val="0"/>
                      <w:szCs w:val="21"/>
                    </w:rPr>
                    <w:t>《关中地区重点行业大气污染物排放限值》（DB61/941-2018）表1中水泥仓及其他通风生产设备颗粒物排放浓度限值。当布袋除尘器因维修、故障等原因不能正常使用的，立即停产，待布袋除尘器可正常使用时才可恢复正常生产。</w:t>
                  </w:r>
                </w:p>
              </w:tc>
              <w:tc>
                <w:tcPr>
                  <w:tcW w:w="596" w:type="dxa"/>
                  <w:vAlign w:val="center"/>
                </w:tcPr>
                <w:p w14:paraId="645B0F57">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符合</w:t>
                  </w:r>
                </w:p>
              </w:tc>
            </w:tr>
            <w:tr w14:paraId="3E886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426" w:type="dxa"/>
                  <w:vMerge w:val="continue"/>
                  <w:vAlign w:val="center"/>
                </w:tcPr>
                <w:p w14:paraId="1D56C39F">
                  <w:pPr>
                    <w:autoSpaceDE w:val="0"/>
                    <w:autoSpaceDN w:val="0"/>
                    <w:adjustRightInd w:val="0"/>
                    <w:snapToGrid w:val="0"/>
                    <w:jc w:val="center"/>
                    <w:rPr>
                      <w:rFonts w:ascii="Times New Roman" w:hAnsi="Times New Roman" w:cs="宋体"/>
                      <w:bCs/>
                      <w:color w:val="auto"/>
                      <w:kern w:val="0"/>
                      <w:szCs w:val="21"/>
                    </w:rPr>
                  </w:pPr>
                </w:p>
              </w:tc>
              <w:tc>
                <w:tcPr>
                  <w:tcW w:w="2415" w:type="dxa"/>
                  <w:vAlign w:val="center"/>
                </w:tcPr>
                <w:p w14:paraId="02B993AD">
                  <w:pPr>
                    <w:autoSpaceDE w:val="0"/>
                    <w:autoSpaceDN w:val="0"/>
                    <w:adjustRightInd w:val="0"/>
                    <w:snapToGrid w:val="0"/>
                    <w:jc w:val="center"/>
                    <w:rPr>
                      <w:rFonts w:ascii="Times New Roman" w:hAnsi="Times New Roman"/>
                      <w:color w:val="auto"/>
                      <w:szCs w:val="21"/>
                      <w:shd w:val="clear" w:color="auto" w:fill="FFFFFF"/>
                    </w:rPr>
                  </w:pPr>
                  <w:r>
                    <w:rPr>
                      <w:rFonts w:hint="eastAsia" w:ascii="Times New Roman" w:hAnsi="Times New Roman"/>
                      <w:color w:val="auto"/>
                      <w:szCs w:val="21"/>
                      <w:shd w:val="clear" w:color="auto" w:fill="FFFFFF"/>
                    </w:rPr>
                    <w:t>第二十七条向大气排放污染物的单位应当按照有关规定设置监测点位和采样监测平台，对其所排放的大气污染物进行自行监测或者委托有环境监测资质的单位监测。原始监测记录至少保存三年。</w:t>
                  </w:r>
                </w:p>
              </w:tc>
              <w:tc>
                <w:tcPr>
                  <w:tcW w:w="2842" w:type="dxa"/>
                  <w:vAlign w:val="center"/>
                </w:tcPr>
                <w:p w14:paraId="5327D715">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企业按照环评自行监测的要求，委托有环境监测资质的单位进行监测，并将原始监测记录至少保存三年。</w:t>
                  </w:r>
                </w:p>
              </w:tc>
              <w:tc>
                <w:tcPr>
                  <w:tcW w:w="596" w:type="dxa"/>
                  <w:vAlign w:val="center"/>
                </w:tcPr>
                <w:p w14:paraId="31C6B110">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符合</w:t>
                  </w:r>
                </w:p>
              </w:tc>
            </w:tr>
            <w:tr w14:paraId="12BDD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8" w:hRule="atLeast"/>
              </w:trPr>
              <w:tc>
                <w:tcPr>
                  <w:tcW w:w="1426" w:type="dxa"/>
                  <w:vAlign w:val="center"/>
                </w:tcPr>
                <w:p w14:paraId="6C7F670A">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《非道路移动式道路机械污染防治技术政策》（生态环境部公告2</w:t>
                  </w:r>
                  <w:r>
                    <w:rPr>
                      <w:rFonts w:ascii="Times New Roman" w:hAnsi="Times New Roman" w:cs="宋体"/>
                      <w:bCs/>
                      <w:color w:val="auto"/>
                      <w:kern w:val="0"/>
                      <w:szCs w:val="21"/>
                    </w:rPr>
                    <w:t>018</w:t>
                  </w:r>
                  <w:r>
                    <w:rPr>
                      <w:rFonts w:hint="eastAsia" w:ascii="Times New Roman" w:hAnsi="Times New Roman" w:cs="宋体"/>
                      <w:bCs/>
                      <w:color w:val="auto"/>
                      <w:kern w:val="0"/>
                      <w:szCs w:val="21"/>
                    </w:rPr>
                    <w:t>年第3</w:t>
                  </w:r>
                  <w:r>
                    <w:rPr>
                      <w:rFonts w:ascii="Times New Roman" w:hAnsi="Times New Roman" w:cs="宋体"/>
                      <w:bCs/>
                      <w:color w:val="auto"/>
                      <w:kern w:val="0"/>
                      <w:szCs w:val="21"/>
                    </w:rPr>
                    <w:t>4</w:t>
                  </w:r>
                  <w:r>
                    <w:rPr>
                      <w:rFonts w:hint="eastAsia" w:ascii="Times New Roman" w:hAnsi="Times New Roman" w:cs="宋体"/>
                      <w:bCs/>
                      <w:color w:val="auto"/>
                      <w:kern w:val="0"/>
                      <w:szCs w:val="21"/>
                    </w:rPr>
                    <w:t>号）</w:t>
                  </w:r>
                </w:p>
              </w:tc>
              <w:tc>
                <w:tcPr>
                  <w:tcW w:w="2415" w:type="dxa"/>
                  <w:vAlign w:val="center"/>
                </w:tcPr>
                <w:p w14:paraId="73506FDA">
                  <w:pPr>
                    <w:autoSpaceDE w:val="0"/>
                    <w:autoSpaceDN w:val="0"/>
                    <w:adjustRightInd w:val="0"/>
                    <w:snapToGrid w:val="0"/>
                    <w:jc w:val="center"/>
                    <w:rPr>
                      <w:rFonts w:hint="eastAsia" w:ascii="Times New Roman" w:hAnsi="Times New Roman" w:eastAsia="宋体"/>
                      <w:color w:val="auto"/>
                      <w:szCs w:val="21"/>
                      <w:shd w:val="clear" w:color="auto" w:fill="FFFFFF"/>
                      <w:lang w:eastAsia="zh-CN"/>
                    </w:rPr>
                  </w:pPr>
                  <w:r>
                    <w:rPr>
                      <w:rFonts w:ascii="Times New Roman" w:hAnsi="Times New Roman"/>
                      <w:color w:val="auto"/>
                      <w:szCs w:val="21"/>
                      <w:shd w:val="clear" w:color="auto" w:fill="FFFFFF"/>
                    </w:rPr>
                    <w:t>（1）</w:t>
                  </w:r>
                  <w:r>
                    <w:rPr>
                      <w:rFonts w:hint="eastAsia" w:ascii="Times New Roman" w:hAnsi="Times New Roman"/>
                      <w:color w:val="auto"/>
                      <w:szCs w:val="21"/>
                      <w:shd w:val="clear" w:color="auto" w:fill="FFFFFF"/>
                    </w:rPr>
                    <w:t>加强在用非道路移动机械的排放检测和维修。加强非道路移动机械的维修、保养，使其保持良好的技术状态</w:t>
                  </w:r>
                  <w:r>
                    <w:rPr>
                      <w:rFonts w:hint="eastAsia" w:ascii="Times New Roman" w:hAnsi="Times New Roman"/>
                      <w:color w:val="auto"/>
                      <w:szCs w:val="21"/>
                      <w:shd w:val="clear" w:color="auto" w:fill="FFFFFF"/>
                      <w:lang w:eastAsia="zh-CN"/>
                    </w:rPr>
                    <w:t>；</w:t>
                  </w:r>
                  <w:r>
                    <w:rPr>
                      <w:rFonts w:hint="eastAsia" w:ascii="Times New Roman" w:hAnsi="Times New Roman"/>
                      <w:color w:val="auto"/>
                      <w:szCs w:val="21"/>
                      <w:shd w:val="clear" w:color="auto" w:fill="FFFFFF"/>
                    </w:rPr>
                    <w:t>（2）加强非道路移动机械的噪声控制。禁止任何单位或个人擅自拆除弃用非道路移动机械的消声、隔声和吸声装置，加强对噪声控制装置的维护保养</w:t>
                  </w:r>
                  <w:r>
                    <w:rPr>
                      <w:rFonts w:hint="eastAsia" w:ascii="Times New Roman" w:hAnsi="Times New Roman"/>
                      <w:color w:val="auto"/>
                      <w:szCs w:val="21"/>
                      <w:shd w:val="clear" w:color="auto" w:fill="FFFFFF"/>
                      <w:lang w:eastAsia="zh-CN"/>
                    </w:rPr>
                    <w:t>；</w:t>
                  </w:r>
                  <w:r>
                    <w:rPr>
                      <w:rFonts w:hint="eastAsia" w:ascii="Times New Roman" w:hAnsi="Times New Roman"/>
                      <w:color w:val="auto"/>
                      <w:szCs w:val="21"/>
                      <w:shd w:val="clear" w:color="auto" w:fill="FFFFFF"/>
                    </w:rPr>
                    <w:t>（3）应推广使用E</w:t>
                  </w:r>
                  <w:r>
                    <w:rPr>
                      <w:rFonts w:ascii="Times New Roman" w:hAnsi="Times New Roman"/>
                      <w:color w:val="auto"/>
                      <w:szCs w:val="21"/>
                      <w:shd w:val="clear" w:color="auto" w:fill="FFFFFF"/>
                    </w:rPr>
                    <w:t>FI</w:t>
                  </w:r>
                  <w:r>
                    <w:rPr>
                      <w:rFonts w:hint="eastAsia" w:ascii="Times New Roman" w:hAnsi="Times New Roman"/>
                      <w:color w:val="auto"/>
                      <w:szCs w:val="21"/>
                      <w:shd w:val="clear" w:color="auto" w:fill="FFFFFF"/>
                    </w:rPr>
                    <w:t>，实现空燃比的闭环控制，加装三元催化器（T</w:t>
                  </w:r>
                  <w:r>
                    <w:rPr>
                      <w:rFonts w:ascii="Times New Roman" w:hAnsi="Times New Roman"/>
                      <w:color w:val="auto"/>
                      <w:szCs w:val="21"/>
                      <w:shd w:val="clear" w:color="auto" w:fill="FFFFFF"/>
                    </w:rPr>
                    <w:t>WC</w:t>
                  </w:r>
                  <w:r>
                    <w:rPr>
                      <w:rFonts w:hint="eastAsia" w:ascii="Times New Roman" w:hAnsi="Times New Roman"/>
                      <w:color w:val="auto"/>
                      <w:szCs w:val="21"/>
                      <w:shd w:val="clear" w:color="auto" w:fill="FFFFFF"/>
                    </w:rPr>
                    <w:t>），降低H</w:t>
                  </w:r>
                  <w:r>
                    <w:rPr>
                      <w:rFonts w:ascii="Times New Roman" w:hAnsi="Times New Roman"/>
                      <w:color w:val="auto"/>
                      <w:szCs w:val="21"/>
                      <w:shd w:val="clear" w:color="auto" w:fill="FFFFFF"/>
                    </w:rPr>
                    <w:t>C</w:t>
                  </w:r>
                  <w:r>
                    <w:rPr>
                      <w:rFonts w:hint="eastAsia" w:ascii="Times New Roman" w:hAnsi="Times New Roman"/>
                      <w:color w:val="auto"/>
                      <w:szCs w:val="21"/>
                      <w:shd w:val="clear" w:color="auto" w:fill="FFFFFF"/>
                    </w:rPr>
                    <w:t>、C</w:t>
                  </w:r>
                  <w:r>
                    <w:rPr>
                      <w:rFonts w:ascii="Times New Roman" w:hAnsi="Times New Roman"/>
                      <w:color w:val="auto"/>
                      <w:szCs w:val="21"/>
                      <w:shd w:val="clear" w:color="auto" w:fill="FFFFFF"/>
                    </w:rPr>
                    <w:t>O</w:t>
                  </w:r>
                  <w:r>
                    <w:rPr>
                      <w:rFonts w:hint="eastAsia" w:ascii="Times New Roman" w:hAnsi="Times New Roman"/>
                      <w:color w:val="auto"/>
                      <w:szCs w:val="21"/>
                      <w:shd w:val="clear" w:color="auto" w:fill="FFFFFF"/>
                    </w:rPr>
                    <w:t>和N</w:t>
                  </w:r>
                  <w:r>
                    <w:rPr>
                      <w:rFonts w:ascii="Times New Roman" w:hAnsi="Times New Roman"/>
                      <w:color w:val="auto"/>
                      <w:szCs w:val="21"/>
                      <w:shd w:val="clear" w:color="auto" w:fill="FFFFFF"/>
                    </w:rPr>
                    <w:t>O</w:t>
                  </w:r>
                  <w:r>
                    <w:rPr>
                      <w:rFonts w:ascii="Times New Roman" w:hAnsi="Times New Roman"/>
                      <w:color w:val="auto"/>
                      <w:szCs w:val="21"/>
                      <w:shd w:val="clear" w:color="auto" w:fill="FFFFFF"/>
                      <w:vertAlign w:val="subscript"/>
                    </w:rPr>
                    <w:t>X</w:t>
                  </w:r>
                  <w:r>
                    <w:rPr>
                      <w:rFonts w:hint="eastAsia" w:ascii="Times New Roman" w:hAnsi="Times New Roman"/>
                      <w:color w:val="auto"/>
                      <w:szCs w:val="21"/>
                      <w:shd w:val="clear" w:color="auto" w:fill="FFFFFF"/>
                    </w:rPr>
                    <w:t>的排放</w:t>
                  </w:r>
                  <w:r>
                    <w:rPr>
                      <w:rFonts w:hint="eastAsia" w:ascii="Times New Roman" w:hAnsi="Times New Roman"/>
                      <w:color w:val="auto"/>
                      <w:szCs w:val="21"/>
                      <w:shd w:val="clear" w:color="auto" w:fill="FFFFFF"/>
                      <w:lang w:eastAsia="zh-CN"/>
                    </w:rPr>
                    <w:t>。</w:t>
                  </w:r>
                </w:p>
              </w:tc>
              <w:tc>
                <w:tcPr>
                  <w:tcW w:w="2842" w:type="dxa"/>
                  <w:vAlign w:val="center"/>
                </w:tcPr>
                <w:p w14:paraId="4F3CBCB0">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（1）要求企业加强非道路移动机械的维修、保养，使其保持良好的技术状态</w:t>
                  </w:r>
                  <w:r>
                    <w:rPr>
                      <w:rFonts w:hint="eastAsia" w:ascii="Times New Roman" w:hAnsi="Times New Roman" w:cs="宋体"/>
                      <w:bCs/>
                      <w:color w:val="auto"/>
                      <w:kern w:val="0"/>
                      <w:szCs w:val="21"/>
                      <w:lang w:eastAsia="zh-CN"/>
                    </w:rPr>
                    <w:t>；</w:t>
                  </w:r>
                  <w:r>
                    <w:rPr>
                      <w:rFonts w:hint="eastAsia" w:ascii="Times New Roman" w:hAnsi="Times New Roman" w:cs="宋体"/>
                      <w:bCs/>
                      <w:color w:val="auto"/>
                      <w:kern w:val="0"/>
                      <w:szCs w:val="21"/>
                    </w:rPr>
                    <w:t>（2）禁止企业或个人擅自拆除弃用非道路移动机械的消声、隔声和吸声装置，加强对噪声控制装置的维护保养</w:t>
                  </w:r>
                  <w:r>
                    <w:rPr>
                      <w:rFonts w:hint="eastAsia" w:ascii="Times New Roman" w:hAnsi="Times New Roman" w:cs="宋体"/>
                      <w:bCs/>
                      <w:color w:val="auto"/>
                      <w:kern w:val="0"/>
                      <w:szCs w:val="21"/>
                      <w:lang w:eastAsia="zh-CN"/>
                    </w:rPr>
                    <w:t>；</w:t>
                  </w:r>
                  <w:r>
                    <w:rPr>
                      <w:rFonts w:hint="eastAsia" w:ascii="Times New Roman" w:hAnsi="Times New Roman" w:cs="宋体"/>
                      <w:bCs/>
                      <w:color w:val="auto"/>
                      <w:kern w:val="0"/>
                      <w:szCs w:val="21"/>
                    </w:rPr>
                    <w:t>（3）鼓励企业在有条件的情况下，加装三元催化器（T</w:t>
                  </w:r>
                  <w:r>
                    <w:rPr>
                      <w:rFonts w:ascii="Times New Roman" w:hAnsi="Times New Roman" w:cs="宋体"/>
                      <w:bCs/>
                      <w:color w:val="auto"/>
                      <w:kern w:val="0"/>
                      <w:szCs w:val="21"/>
                    </w:rPr>
                    <w:t>WC</w:t>
                  </w:r>
                  <w:r>
                    <w:rPr>
                      <w:rFonts w:hint="eastAsia" w:ascii="Times New Roman" w:hAnsi="Times New Roman" w:cs="宋体"/>
                      <w:bCs/>
                      <w:color w:val="auto"/>
                      <w:kern w:val="0"/>
                      <w:szCs w:val="21"/>
                    </w:rPr>
                    <w:t>），降低H</w:t>
                  </w:r>
                  <w:r>
                    <w:rPr>
                      <w:rFonts w:ascii="Times New Roman" w:hAnsi="Times New Roman" w:cs="宋体"/>
                      <w:bCs/>
                      <w:color w:val="auto"/>
                      <w:kern w:val="0"/>
                      <w:szCs w:val="21"/>
                    </w:rPr>
                    <w:t>C</w:t>
                  </w:r>
                  <w:r>
                    <w:rPr>
                      <w:rFonts w:hint="eastAsia" w:ascii="Times New Roman" w:hAnsi="Times New Roman" w:cs="宋体"/>
                      <w:bCs/>
                      <w:color w:val="auto"/>
                      <w:kern w:val="0"/>
                      <w:szCs w:val="21"/>
                    </w:rPr>
                    <w:t>、C</w:t>
                  </w:r>
                  <w:r>
                    <w:rPr>
                      <w:rFonts w:ascii="Times New Roman" w:hAnsi="Times New Roman" w:cs="宋体"/>
                      <w:bCs/>
                      <w:color w:val="auto"/>
                      <w:kern w:val="0"/>
                      <w:szCs w:val="21"/>
                    </w:rPr>
                    <w:t>O</w:t>
                  </w:r>
                  <w:r>
                    <w:rPr>
                      <w:rFonts w:hint="eastAsia" w:ascii="Times New Roman" w:hAnsi="Times New Roman" w:cs="宋体"/>
                      <w:bCs/>
                      <w:color w:val="auto"/>
                      <w:kern w:val="0"/>
                      <w:szCs w:val="21"/>
                    </w:rPr>
                    <w:t>和N</w:t>
                  </w:r>
                  <w:r>
                    <w:rPr>
                      <w:rFonts w:ascii="Times New Roman" w:hAnsi="Times New Roman" w:cs="宋体"/>
                      <w:bCs/>
                      <w:color w:val="auto"/>
                      <w:kern w:val="0"/>
                      <w:szCs w:val="21"/>
                    </w:rPr>
                    <w:t>O</w:t>
                  </w:r>
                  <w:r>
                    <w:rPr>
                      <w:rFonts w:ascii="Times New Roman" w:hAnsi="Times New Roman" w:cs="宋体"/>
                      <w:bCs/>
                      <w:color w:val="auto"/>
                      <w:kern w:val="0"/>
                      <w:szCs w:val="21"/>
                      <w:vertAlign w:val="subscript"/>
                    </w:rPr>
                    <w:t>X</w:t>
                  </w:r>
                  <w:r>
                    <w:rPr>
                      <w:rFonts w:hint="eastAsia" w:ascii="Times New Roman" w:hAnsi="Times New Roman" w:cs="宋体"/>
                      <w:bCs/>
                      <w:color w:val="auto"/>
                      <w:kern w:val="0"/>
                      <w:szCs w:val="21"/>
                    </w:rPr>
                    <w:t>的排放。</w:t>
                  </w:r>
                </w:p>
              </w:tc>
              <w:tc>
                <w:tcPr>
                  <w:tcW w:w="596" w:type="dxa"/>
                  <w:vAlign w:val="center"/>
                </w:tcPr>
                <w:p w14:paraId="79D17161">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符合</w:t>
                  </w:r>
                </w:p>
              </w:tc>
            </w:tr>
            <w:tr w14:paraId="3847D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1426" w:type="dxa"/>
                  <w:vAlign w:val="center"/>
                </w:tcPr>
                <w:p w14:paraId="59B31C59">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《西安市机动车和非道路移动机械排气污染防治条例》</w:t>
                  </w:r>
                </w:p>
              </w:tc>
              <w:tc>
                <w:tcPr>
                  <w:tcW w:w="2415" w:type="dxa"/>
                  <w:vAlign w:val="center"/>
                </w:tcPr>
                <w:p w14:paraId="7DFDDE1C">
                  <w:pPr>
                    <w:autoSpaceDE w:val="0"/>
                    <w:autoSpaceDN w:val="0"/>
                    <w:adjustRightInd w:val="0"/>
                    <w:snapToGrid w:val="0"/>
                    <w:jc w:val="center"/>
                    <w:rPr>
                      <w:rFonts w:ascii="Times New Roman" w:hAnsi="Times New Roman"/>
                      <w:color w:val="auto"/>
                      <w:szCs w:val="21"/>
                      <w:shd w:val="clear" w:color="auto" w:fill="FFFFFF"/>
                    </w:rPr>
                  </w:pPr>
                  <w:r>
                    <w:rPr>
                      <w:rFonts w:hint="eastAsia" w:ascii="Times New Roman" w:hAnsi="Times New Roman"/>
                      <w:color w:val="auto"/>
                      <w:szCs w:val="21"/>
                      <w:shd w:val="clear" w:color="auto" w:fill="FFFFFF"/>
                    </w:rPr>
                    <w:t>非道路移动机械所有人或者使用人不得闲置、拆除、破坏、非法改装污染控制装置或者采取临时更换、加装污染控制装置等弄虚作假方式进行污染物排放检验，依法接受相关的监督管理。</w:t>
                  </w:r>
                </w:p>
              </w:tc>
              <w:tc>
                <w:tcPr>
                  <w:tcW w:w="2842" w:type="dxa"/>
                  <w:vAlign w:val="center"/>
                </w:tcPr>
                <w:p w14:paraId="4B02106D">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要求企业</w:t>
                  </w:r>
                  <w:r>
                    <w:rPr>
                      <w:rFonts w:hint="eastAsia" w:ascii="Times New Roman" w:hAnsi="Times New Roman"/>
                      <w:color w:val="auto"/>
                      <w:szCs w:val="21"/>
                      <w:shd w:val="clear" w:color="auto" w:fill="FFFFFF"/>
                    </w:rPr>
                    <w:t>不得闲置、拆除、破坏、非法改装污染控制装置或者采取临时更换、加装污染控制装置等弄虚作假方式进行污染物排放检验，并依法接受相关的监督管理。</w:t>
                  </w:r>
                </w:p>
              </w:tc>
              <w:tc>
                <w:tcPr>
                  <w:tcW w:w="596" w:type="dxa"/>
                  <w:vAlign w:val="center"/>
                </w:tcPr>
                <w:p w14:paraId="7FB43999">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符合</w:t>
                  </w:r>
                </w:p>
              </w:tc>
            </w:tr>
            <w:tr w14:paraId="53FD3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426" w:type="dxa"/>
                  <w:vAlign w:val="center"/>
                </w:tcPr>
                <w:p w14:paraId="51A241F5">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《陕西省</w:t>
                  </w:r>
                  <w:r>
                    <w:rPr>
                      <w:rFonts w:hint="eastAsia" w:ascii="Times New Roman" w:hAnsi="Times New Roman" w:cs="宋体"/>
                      <w:bCs/>
                      <w:color w:val="auto"/>
                      <w:kern w:val="0"/>
                      <w:szCs w:val="21"/>
                      <w:lang w:eastAsia="zh-CN"/>
                    </w:rPr>
                    <w:t>“</w:t>
                  </w:r>
                  <w:r>
                    <w:rPr>
                      <w:rFonts w:hint="eastAsia" w:ascii="Times New Roman" w:hAnsi="Times New Roman" w:cs="宋体"/>
                      <w:bCs/>
                      <w:color w:val="auto"/>
                      <w:kern w:val="0"/>
                      <w:szCs w:val="21"/>
                    </w:rPr>
                    <w:t>十四五</w:t>
                  </w:r>
                  <w:r>
                    <w:rPr>
                      <w:rFonts w:hint="eastAsia" w:ascii="Times New Roman" w:hAnsi="Times New Roman" w:cs="宋体"/>
                      <w:bCs/>
                      <w:color w:val="auto"/>
                      <w:kern w:val="0"/>
                      <w:szCs w:val="21"/>
                      <w:lang w:eastAsia="zh-CN"/>
                    </w:rPr>
                    <w:t>”</w:t>
                  </w:r>
                  <w:r>
                    <w:rPr>
                      <w:rFonts w:hint="eastAsia" w:ascii="Times New Roman" w:hAnsi="Times New Roman" w:cs="宋体"/>
                      <w:bCs/>
                      <w:color w:val="auto"/>
                      <w:kern w:val="0"/>
                      <w:szCs w:val="21"/>
                    </w:rPr>
                    <w:t>生态环境保护规划》（陕政办发[2021]25号）</w:t>
                  </w:r>
                </w:p>
              </w:tc>
              <w:tc>
                <w:tcPr>
                  <w:tcW w:w="2415" w:type="dxa"/>
                  <w:vAlign w:val="center"/>
                </w:tcPr>
                <w:p w14:paraId="4334087A">
                  <w:pPr>
                    <w:autoSpaceDE w:val="0"/>
                    <w:autoSpaceDN w:val="0"/>
                    <w:adjustRightInd w:val="0"/>
                    <w:snapToGrid w:val="0"/>
                    <w:jc w:val="center"/>
                    <w:rPr>
                      <w:color w:val="auto"/>
                      <w:szCs w:val="21"/>
                      <w:shd w:val="clear" w:color="auto" w:fill="FFFFFF"/>
                    </w:rPr>
                  </w:pPr>
                  <w:r>
                    <w:rPr>
                      <w:rFonts w:hint="eastAsia" w:ascii="Times New Roman" w:hAnsi="Times New Roman"/>
                      <w:color w:val="auto"/>
                      <w:szCs w:val="21"/>
                      <w:shd w:val="clear" w:color="auto" w:fill="FFFFFF"/>
                    </w:rPr>
                    <w:t>严格控制焦化、水泥、砖瓦、石灰、耐火材料、有色金属冶炼等行业物料储存、输送、及生产工业过程中无组织排放。大型煤炭、矿石、干散货堆场，全面抑尘设施建设和物料输送系统封闭改造。鼓励有条件的堆场实施全封闭改造。</w:t>
                  </w:r>
                </w:p>
              </w:tc>
              <w:tc>
                <w:tcPr>
                  <w:tcW w:w="2842" w:type="dxa"/>
                  <w:vAlign w:val="center"/>
                </w:tcPr>
                <w:p w14:paraId="0237C35D">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项目原辅料全部储存于密闭车间内或仓库内，物料输送为密闭输送。</w:t>
                  </w:r>
                  <w:r>
                    <w:rPr>
                      <w:rFonts w:hint="eastAsia" w:ascii="Times New Roman" w:hAnsi="Times New Roman" w:cs="宋体"/>
                      <w:bCs/>
                      <w:color w:val="auto"/>
                      <w:kern w:val="0"/>
                      <w:szCs w:val="21"/>
                      <w:lang w:val="en-US" w:eastAsia="zh-CN"/>
                    </w:rPr>
                    <w:t>项目产生的粉尘经过“</w:t>
                  </w:r>
                  <w:r>
                    <w:rPr>
                      <w:rFonts w:hint="eastAsia" w:ascii="Times New Roman" w:hAnsi="Times New Roman" w:eastAsia="宋体" w:cs="Times New Roman"/>
                      <w:b w:val="0"/>
                      <w:bCs w:val="0"/>
                      <w:color w:val="auto"/>
                      <w:kern w:val="2"/>
                      <w:sz w:val="21"/>
                      <w:szCs w:val="21"/>
                      <w:vertAlign w:val="baseline"/>
                      <w:lang w:val="en-US" w:eastAsia="zh-CN" w:bidi="ar-SA"/>
                    </w:rPr>
                    <w:t>密闭</w:t>
                  </w:r>
                  <w:r>
                    <w:rPr>
                      <w:rFonts w:hint="default" w:ascii="Times New Roman" w:hAnsi="Times New Roman" w:eastAsia="宋体" w:cs="Times New Roman"/>
                      <w:b w:val="0"/>
                      <w:bCs w:val="0"/>
                      <w:color w:val="auto"/>
                      <w:kern w:val="2"/>
                      <w:sz w:val="21"/>
                      <w:szCs w:val="21"/>
                      <w:vertAlign w:val="baseline"/>
                      <w:lang w:val="en-US" w:eastAsia="zh-CN" w:bidi="ar-SA"/>
                    </w:rPr>
                    <w:t>箱体侧吸</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集尘罩+布袋除尘器</w:t>
                  </w:r>
                  <w:r>
                    <w:rPr>
                      <w:rFonts w:hint="eastAsia" w:ascii="Times New Roman" w:hAnsi="Times New Roman" w:cs="宋体"/>
                      <w:bCs/>
                      <w:color w:val="auto"/>
                      <w:kern w:val="0"/>
                      <w:sz w:val="21"/>
                      <w:szCs w:val="21"/>
                      <w:lang w:val="en-US" w:eastAsia="zh-CN"/>
                    </w:rPr>
                    <w:t>+15m排气筒</w:t>
                  </w:r>
                  <w:r>
                    <w:rPr>
                      <w:rFonts w:hint="eastAsia" w:ascii="Times New Roman" w:hAnsi="Times New Roman" w:cs="宋体"/>
                      <w:bCs/>
                      <w:color w:val="auto"/>
                      <w:kern w:val="0"/>
                      <w:szCs w:val="21"/>
                      <w:lang w:val="en-US" w:eastAsia="zh-CN"/>
                    </w:rPr>
                    <w:t>”后达标排放</w:t>
                  </w:r>
                  <w:r>
                    <w:rPr>
                      <w:rFonts w:hint="eastAsia" w:ascii="Times New Roman" w:hAnsi="Times New Roman" w:cs="宋体"/>
                      <w:bCs/>
                      <w:color w:val="auto"/>
                      <w:kern w:val="0"/>
                      <w:szCs w:val="21"/>
                    </w:rPr>
                    <w:t>；厂区地面硬化，降低生产及运输过程产生的无组织扬尘。</w:t>
                  </w:r>
                </w:p>
              </w:tc>
              <w:tc>
                <w:tcPr>
                  <w:tcW w:w="596" w:type="dxa"/>
                  <w:vAlign w:val="center"/>
                </w:tcPr>
                <w:p w14:paraId="53319B6B">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符合</w:t>
                  </w:r>
                </w:p>
              </w:tc>
            </w:tr>
            <w:tr w14:paraId="3AB15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6" w:hRule="atLeast"/>
              </w:trPr>
              <w:tc>
                <w:tcPr>
                  <w:tcW w:w="1426" w:type="dxa"/>
                  <w:vAlign w:val="center"/>
                </w:tcPr>
                <w:p w14:paraId="4F095192">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《关于印发大气污染防治行动计划的通知》（国发[2013]37号）</w:t>
                  </w:r>
                </w:p>
              </w:tc>
              <w:tc>
                <w:tcPr>
                  <w:tcW w:w="2415" w:type="dxa"/>
                  <w:vAlign w:val="center"/>
                </w:tcPr>
                <w:p w14:paraId="1BE3CD59">
                  <w:pPr>
                    <w:autoSpaceDE w:val="0"/>
                    <w:autoSpaceDN w:val="0"/>
                    <w:adjustRightInd w:val="0"/>
                    <w:snapToGrid w:val="0"/>
                    <w:jc w:val="center"/>
                    <w:rPr>
                      <w:color w:val="auto"/>
                      <w:szCs w:val="21"/>
                      <w:shd w:val="clear" w:color="auto" w:fill="FFFFFF"/>
                    </w:rPr>
                  </w:pPr>
                  <w:r>
                    <w:rPr>
                      <w:rFonts w:hint="eastAsia" w:ascii="Times New Roman" w:hAnsi="Times New Roman"/>
                      <w:color w:val="auto"/>
                      <w:szCs w:val="21"/>
                      <w:shd w:val="clear" w:color="auto" w:fill="FFFFFF"/>
                    </w:rPr>
                    <w:t>大型煤堆、料堆要实现封闭储存或建设防风抑尘设施。推进城市及周边绿化和防风防沙林建设，扩大城市建成区绿地规模。</w:t>
                  </w:r>
                </w:p>
              </w:tc>
              <w:tc>
                <w:tcPr>
                  <w:tcW w:w="2842" w:type="dxa"/>
                  <w:vAlign w:val="center"/>
                </w:tcPr>
                <w:p w14:paraId="0ADB2214">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项目原辅材料采用袋装或罐装，暂存于</w:t>
                  </w:r>
                  <w:r>
                    <w:rPr>
                      <w:rFonts w:hint="eastAsia" w:ascii="Times New Roman" w:hAnsi="Times New Roman" w:cs="宋体"/>
                      <w:bCs/>
                      <w:color w:val="auto"/>
                      <w:kern w:val="0"/>
                      <w:szCs w:val="21"/>
                      <w:lang w:val="en-US" w:eastAsia="zh-CN"/>
                    </w:rPr>
                    <w:t>厂区的原料区</w:t>
                  </w:r>
                  <w:r>
                    <w:rPr>
                      <w:rFonts w:hint="eastAsia" w:ascii="Times New Roman" w:hAnsi="Times New Roman" w:cs="宋体"/>
                      <w:bCs/>
                      <w:color w:val="auto"/>
                      <w:kern w:val="0"/>
                      <w:szCs w:val="21"/>
                    </w:rPr>
                    <w:t>，水泥粉料采用密闭筒仓储存。</w:t>
                  </w:r>
                </w:p>
              </w:tc>
              <w:tc>
                <w:tcPr>
                  <w:tcW w:w="596" w:type="dxa"/>
                  <w:vAlign w:val="center"/>
                </w:tcPr>
                <w:p w14:paraId="380D6D2E">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符合</w:t>
                  </w:r>
                </w:p>
              </w:tc>
            </w:tr>
            <w:tr w14:paraId="52425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426" w:type="dxa"/>
                  <w:vAlign w:val="center"/>
                </w:tcPr>
                <w:p w14:paraId="4E29EBA2">
                  <w:pPr>
                    <w:autoSpaceDE w:val="0"/>
                    <w:autoSpaceDN w:val="0"/>
                    <w:adjustRightInd w:val="0"/>
                    <w:snapToGrid w:val="0"/>
                    <w:jc w:val="center"/>
                    <w:rPr>
                      <w:rFonts w:cs="宋体"/>
                      <w:bCs/>
                      <w:color w:val="auto"/>
                      <w:kern w:val="0"/>
                      <w:szCs w:val="21"/>
                    </w:rPr>
                  </w:pPr>
                  <w:r>
                    <w:rPr>
                      <w:rFonts w:hint="eastAsia" w:ascii="Times New Roman" w:hAnsi="Times New Roman"/>
                      <w:color w:val="auto"/>
                      <w:szCs w:val="21"/>
                    </w:rPr>
                    <w:t>《中华人民共和国大气污染防治法》（2015年8月29日修订）</w:t>
                  </w:r>
                </w:p>
              </w:tc>
              <w:tc>
                <w:tcPr>
                  <w:tcW w:w="2415" w:type="dxa"/>
                  <w:vAlign w:val="center"/>
                </w:tcPr>
                <w:p w14:paraId="39EBCAD9">
                  <w:pPr>
                    <w:autoSpaceDE w:val="0"/>
                    <w:autoSpaceDN w:val="0"/>
                    <w:adjustRightInd w:val="0"/>
                    <w:snapToGrid w:val="0"/>
                    <w:jc w:val="center"/>
                    <w:rPr>
                      <w:color w:val="auto"/>
                      <w:szCs w:val="21"/>
                      <w:shd w:val="clear" w:color="auto" w:fill="FFFFFF"/>
                    </w:rPr>
                  </w:pPr>
                  <w:r>
                    <w:rPr>
                      <w:rFonts w:hint="eastAsia" w:ascii="Times New Roman" w:hAnsi="Times New Roman"/>
                      <w:color w:val="auto"/>
                      <w:szCs w:val="21"/>
                      <w:shd w:val="clear" w:color="auto" w:fill="FFFFFF"/>
                    </w:rPr>
                    <w:t>第四十八条规定：工业生产企业应当采取密闭、围挡、遮盖、清扫、洒水等措施，减少内部物料的堆存、传输、装卸等环节产生的粉尘和气态污染物的排放。</w:t>
                  </w:r>
                </w:p>
              </w:tc>
              <w:tc>
                <w:tcPr>
                  <w:tcW w:w="2842" w:type="dxa"/>
                  <w:vAlign w:val="center"/>
                </w:tcPr>
                <w:p w14:paraId="207B8B64">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项目原辅材料采用袋装或罐装，暂存于</w:t>
                  </w:r>
                  <w:r>
                    <w:rPr>
                      <w:rFonts w:hint="eastAsia" w:ascii="Times New Roman" w:hAnsi="Times New Roman" w:cs="宋体"/>
                      <w:bCs/>
                      <w:color w:val="auto"/>
                      <w:kern w:val="0"/>
                      <w:szCs w:val="21"/>
                      <w:lang w:val="en-US" w:eastAsia="zh-CN"/>
                    </w:rPr>
                    <w:t>原料区</w:t>
                  </w:r>
                  <w:r>
                    <w:rPr>
                      <w:rFonts w:hint="eastAsia" w:ascii="Times New Roman" w:hAnsi="Times New Roman" w:cs="宋体"/>
                      <w:bCs/>
                      <w:color w:val="auto"/>
                      <w:kern w:val="0"/>
                      <w:szCs w:val="21"/>
                    </w:rPr>
                    <w:t>，水泥粉料采用密闭筒仓储存，所有物料采用密封管道进行输送。</w:t>
                  </w:r>
                </w:p>
              </w:tc>
              <w:tc>
                <w:tcPr>
                  <w:tcW w:w="596" w:type="dxa"/>
                  <w:vAlign w:val="center"/>
                </w:tcPr>
                <w:p w14:paraId="5F3C2D4A">
                  <w:pPr>
                    <w:autoSpaceDE w:val="0"/>
                    <w:autoSpaceDN w:val="0"/>
                    <w:adjustRightInd w:val="0"/>
                    <w:snapToGrid w:val="0"/>
                    <w:jc w:val="center"/>
                    <w:rPr>
                      <w:rFonts w:cs="宋体"/>
                      <w:bCs/>
                      <w:color w:val="auto"/>
                      <w:kern w:val="0"/>
                      <w:szCs w:val="21"/>
                    </w:rPr>
                  </w:pPr>
                  <w:r>
                    <w:rPr>
                      <w:rFonts w:hint="eastAsia" w:ascii="Times New Roman" w:hAnsi="Times New Roman" w:cs="宋体"/>
                      <w:bCs/>
                      <w:color w:val="auto"/>
                      <w:kern w:val="0"/>
                      <w:szCs w:val="21"/>
                    </w:rPr>
                    <w:t>符合</w:t>
                  </w:r>
                </w:p>
              </w:tc>
            </w:tr>
            <w:tr w14:paraId="75202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26" w:type="dxa"/>
                  <w:vMerge w:val="restart"/>
                  <w:vAlign w:val="center"/>
                </w:tcPr>
                <w:p w14:paraId="237D3E5B">
                  <w:pPr>
                    <w:autoSpaceDE w:val="0"/>
                    <w:autoSpaceDN w:val="0"/>
                    <w:adjustRightInd w:val="0"/>
                    <w:snapToGrid w:val="0"/>
                    <w:jc w:val="center"/>
                    <w:rPr>
                      <w:rFonts w:hint="eastAsia" w:ascii="Times New Roman" w:hAnsi="Times New Roman"/>
                      <w:color w:val="auto"/>
                      <w:szCs w:val="21"/>
                      <w:shd w:val="clear" w:color="auto" w:fill="FFFFFF"/>
                    </w:rPr>
                  </w:pPr>
                  <w:r>
                    <w:rPr>
                      <w:rFonts w:hint="eastAsia" w:ascii="Times New Roman" w:hAnsi="Times New Roman"/>
                      <w:color w:val="auto"/>
                      <w:szCs w:val="21"/>
                      <w:shd w:val="clear" w:color="auto" w:fill="FFFFFF"/>
                    </w:rPr>
                    <w:t>《陕西省大气污染治理专项行动方（2023-2027）》</w:t>
                  </w:r>
                </w:p>
              </w:tc>
              <w:tc>
                <w:tcPr>
                  <w:tcW w:w="2415" w:type="dxa"/>
                  <w:vAlign w:val="center"/>
                </w:tcPr>
                <w:p w14:paraId="3C3F885B">
                  <w:pPr>
                    <w:autoSpaceDE w:val="0"/>
                    <w:autoSpaceDN w:val="0"/>
                    <w:adjustRightInd w:val="0"/>
                    <w:snapToGrid w:val="0"/>
                    <w:jc w:val="center"/>
                    <w:rPr>
                      <w:rFonts w:hint="eastAsia" w:ascii="Times New Roman" w:hAnsi="Times New Roman"/>
                      <w:color w:val="auto"/>
                      <w:szCs w:val="21"/>
                      <w:shd w:val="clear" w:color="auto" w:fill="FFFFFF"/>
                    </w:rPr>
                  </w:pPr>
                  <w:r>
                    <w:rPr>
                      <w:rFonts w:hint="eastAsia" w:ascii="Times New Roman" w:hAnsi="Times New Roman"/>
                      <w:color w:val="auto"/>
                      <w:szCs w:val="21"/>
                      <w:shd w:val="clear" w:color="auto" w:fill="FFFFFF"/>
                    </w:rPr>
                    <w:t>能源消费结构调整。到2025年，电能在终端能源消费中的比重提高到27%以上。积极发展非化石能源，关中地区到2025年实现煤炭消费负增长。</w:t>
                  </w:r>
                </w:p>
              </w:tc>
              <w:tc>
                <w:tcPr>
                  <w:tcW w:w="2842" w:type="dxa"/>
                  <w:vAlign w:val="center"/>
                </w:tcPr>
                <w:p w14:paraId="0A9F794E">
                  <w:pPr>
                    <w:autoSpaceDE w:val="0"/>
                    <w:autoSpaceDN w:val="0"/>
                    <w:adjustRightInd w:val="0"/>
                    <w:snapToGrid w:val="0"/>
                    <w:jc w:val="center"/>
                    <w:rPr>
                      <w:rFonts w:hint="eastAsia" w:eastAsia="宋体" w:cs="宋体"/>
                      <w:bCs/>
                      <w:color w:val="auto"/>
                      <w:kern w:val="0"/>
                      <w:szCs w:val="21"/>
                      <w:lang w:eastAsia="zh-CN"/>
                    </w:rPr>
                  </w:pPr>
                  <w:r>
                    <w:rPr>
                      <w:rStyle w:val="27"/>
                      <w:rFonts w:hint="default" w:ascii="Times New Roman" w:hAnsi="Times New Roman" w:cs="Times New Roman"/>
                    </w:rPr>
                    <w:t>本项目使用电能作为能源，不使用煤炭。</w:t>
                  </w:r>
                </w:p>
              </w:tc>
              <w:tc>
                <w:tcPr>
                  <w:tcW w:w="596" w:type="dxa"/>
                  <w:vAlign w:val="center"/>
                </w:tcPr>
                <w:p w14:paraId="62584E43">
                  <w:pPr>
                    <w:autoSpaceDE w:val="0"/>
                    <w:autoSpaceDN w:val="0"/>
                    <w:adjustRightInd w:val="0"/>
                    <w:snapToGrid w:val="0"/>
                    <w:jc w:val="center"/>
                    <w:rPr>
                      <w:rFonts w:hint="eastAsia" w:eastAsia="宋体" w:cs="宋体"/>
                      <w:bCs/>
                      <w:color w:val="auto"/>
                      <w:kern w:val="0"/>
                      <w:szCs w:val="21"/>
                      <w:lang w:val="en-US" w:eastAsia="zh-CN"/>
                    </w:rPr>
                  </w:pPr>
                  <w:r>
                    <w:rPr>
                      <w:rFonts w:hint="eastAsia" w:cs="宋体"/>
                      <w:bCs/>
                      <w:color w:val="auto"/>
                      <w:kern w:val="0"/>
                      <w:szCs w:val="21"/>
                      <w:lang w:val="en-US" w:eastAsia="zh-CN"/>
                    </w:rPr>
                    <w:t>符合</w:t>
                  </w:r>
                </w:p>
              </w:tc>
            </w:tr>
            <w:tr w14:paraId="325DF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26" w:type="dxa"/>
                  <w:vMerge w:val="continue"/>
                  <w:vAlign w:val="center"/>
                </w:tcPr>
                <w:p w14:paraId="7600C191">
                  <w:pPr>
                    <w:autoSpaceDE w:val="0"/>
                    <w:autoSpaceDN w:val="0"/>
                    <w:adjustRightInd w:val="0"/>
                    <w:snapToGrid w:val="0"/>
                    <w:jc w:val="center"/>
                    <w:rPr>
                      <w:rFonts w:hint="eastAsia" w:ascii="Times New Roman" w:hAnsi="Times New Roman"/>
                      <w:color w:val="auto"/>
                      <w:szCs w:val="21"/>
                      <w:shd w:val="clear" w:color="auto" w:fill="FFFFFF"/>
                    </w:rPr>
                  </w:pPr>
                </w:p>
              </w:tc>
              <w:tc>
                <w:tcPr>
                  <w:tcW w:w="2415" w:type="dxa"/>
                  <w:vAlign w:val="center"/>
                </w:tcPr>
                <w:p w14:paraId="5C4F78F2">
                  <w:pPr>
                    <w:autoSpaceDE w:val="0"/>
                    <w:autoSpaceDN w:val="0"/>
                    <w:adjustRightInd w:val="0"/>
                    <w:snapToGrid w:val="0"/>
                    <w:jc w:val="center"/>
                    <w:rPr>
                      <w:rStyle w:val="27"/>
                      <w:rFonts w:hint="eastAsia" w:ascii="Times New Roman" w:hAnsi="Times New Roman" w:cs="Times New Roman"/>
                    </w:rPr>
                  </w:pPr>
                  <w:r>
                    <w:rPr>
                      <w:rStyle w:val="27"/>
                      <w:rFonts w:hint="eastAsia" w:ascii="Times New Roman" w:hAnsi="Times New Roman" w:cs="Times New Roman"/>
                    </w:rPr>
                    <w:t>关中地区严禁新增钢铁、焦化、水泥熟料、平板玻璃、电解铝、氧化铝、煤化工产能，合理控制煤制油气产能规模，严控新增炼油产能。</w:t>
                  </w:r>
                </w:p>
              </w:tc>
              <w:tc>
                <w:tcPr>
                  <w:tcW w:w="2842" w:type="dxa"/>
                  <w:vAlign w:val="center"/>
                </w:tcPr>
                <w:p w14:paraId="4988C091">
                  <w:pPr>
                    <w:autoSpaceDE w:val="0"/>
                    <w:autoSpaceDN w:val="0"/>
                    <w:adjustRightInd w:val="0"/>
                    <w:snapToGrid w:val="0"/>
                    <w:jc w:val="center"/>
                    <w:rPr>
                      <w:rStyle w:val="27"/>
                      <w:rFonts w:hint="default" w:ascii="Times New Roman" w:hAnsi="Times New Roman" w:cs="Times New Roman"/>
                    </w:rPr>
                  </w:pPr>
                  <w:r>
                    <w:rPr>
                      <w:rStyle w:val="27"/>
                      <w:rFonts w:hint="eastAsia" w:ascii="Times New Roman" w:hAnsi="Times New Roman" w:cs="Times New Roman"/>
                      <w:lang w:val="en-US" w:eastAsia="zh-CN"/>
                    </w:rPr>
                    <w:t>本项目属于</w:t>
                  </w:r>
                  <w:r>
                    <w:rPr>
                      <w:rStyle w:val="27"/>
                      <w:rFonts w:hint="eastAsia" w:ascii="Times New Roman" w:hAnsi="Times New Roman" w:cs="Times New Roman"/>
                      <w:lang w:eastAsia="zh-CN"/>
                    </w:rPr>
                    <w:t>“</w:t>
                  </w:r>
                  <w:r>
                    <w:rPr>
                      <w:rStyle w:val="27"/>
                      <w:rFonts w:hint="eastAsia" w:ascii="Times New Roman" w:hAnsi="Times New Roman" w:cs="Times New Roman"/>
                    </w:rPr>
                    <w:t>二十七、非金属矿物制品业30—55石膏、水泥制品及类似制品制造302</w:t>
                  </w:r>
                  <w:r>
                    <w:rPr>
                      <w:rStyle w:val="27"/>
                      <w:rFonts w:hint="eastAsia" w:ascii="Times New Roman" w:hAnsi="Times New Roman" w:cs="Times New Roman"/>
                      <w:lang w:eastAsia="zh-CN"/>
                    </w:rPr>
                    <w:t>”</w:t>
                  </w:r>
                </w:p>
              </w:tc>
              <w:tc>
                <w:tcPr>
                  <w:tcW w:w="596" w:type="dxa"/>
                  <w:vAlign w:val="center"/>
                </w:tcPr>
                <w:p w14:paraId="618EDE05">
                  <w:pPr>
                    <w:autoSpaceDE w:val="0"/>
                    <w:autoSpaceDN w:val="0"/>
                    <w:adjustRightInd w:val="0"/>
                    <w:snapToGrid w:val="0"/>
                    <w:jc w:val="center"/>
                    <w:rPr>
                      <w:rFonts w:hint="default" w:eastAsia="宋体"/>
                      <w:color w:val="auto"/>
                      <w:szCs w:val="21"/>
                      <w:shd w:val="clear" w:color="auto" w:fill="FFFFFF"/>
                      <w:lang w:val="en-US" w:eastAsia="zh-CN"/>
                    </w:rPr>
                  </w:pPr>
                  <w:r>
                    <w:rPr>
                      <w:rFonts w:hint="eastAsia"/>
                      <w:color w:val="auto"/>
                      <w:szCs w:val="21"/>
                      <w:shd w:val="clear" w:color="auto" w:fill="FFFFFF"/>
                      <w:lang w:val="en-US" w:eastAsia="zh-CN"/>
                    </w:rPr>
                    <w:t>符合</w:t>
                  </w:r>
                </w:p>
              </w:tc>
            </w:tr>
            <w:tr w14:paraId="1CE07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26" w:type="dxa"/>
                  <w:vMerge w:val="continue"/>
                  <w:vAlign w:val="center"/>
                </w:tcPr>
                <w:p w14:paraId="1F9F26B1">
                  <w:pPr>
                    <w:autoSpaceDE w:val="0"/>
                    <w:autoSpaceDN w:val="0"/>
                    <w:adjustRightInd w:val="0"/>
                    <w:snapToGrid w:val="0"/>
                    <w:jc w:val="center"/>
                    <w:rPr>
                      <w:color w:val="auto"/>
                      <w:szCs w:val="21"/>
                      <w:shd w:val="clear" w:color="auto" w:fill="FFFFFF"/>
                    </w:rPr>
                  </w:pPr>
                </w:p>
              </w:tc>
              <w:tc>
                <w:tcPr>
                  <w:tcW w:w="2415" w:type="dxa"/>
                  <w:vAlign w:val="center"/>
                </w:tcPr>
                <w:p w14:paraId="50459FCE">
                  <w:pPr>
                    <w:autoSpaceDE w:val="0"/>
                    <w:autoSpaceDN w:val="0"/>
                    <w:adjustRightInd w:val="0"/>
                    <w:snapToGrid w:val="0"/>
                    <w:jc w:val="center"/>
                    <w:rPr>
                      <w:rStyle w:val="27"/>
                      <w:rFonts w:hint="eastAsia" w:ascii="Times New Roman" w:hAnsi="Times New Roman" w:cs="Times New Roman"/>
                    </w:rPr>
                  </w:pPr>
                  <w:r>
                    <w:rPr>
                      <w:rStyle w:val="27"/>
                      <w:rFonts w:hint="eastAsia" w:ascii="Times New Roman" w:hAnsi="Times New Roman" w:cs="Times New Roman"/>
                    </w:rPr>
                    <w:t>关中地区市辖区及开发区范围内新、改、扩建涉气重点行业企业应达到环保绩效A级、绩效引领性水平，西安市咸阳市、渭南市的其他区域应达到环保绩效B级及以上水平。</w:t>
                  </w:r>
                </w:p>
              </w:tc>
              <w:tc>
                <w:tcPr>
                  <w:tcW w:w="2842" w:type="dxa"/>
                  <w:vAlign w:val="center"/>
                </w:tcPr>
                <w:p w14:paraId="3DD153AD">
                  <w:pPr>
                    <w:autoSpaceDE w:val="0"/>
                    <w:autoSpaceDN w:val="0"/>
                    <w:adjustRightInd w:val="0"/>
                    <w:snapToGrid w:val="0"/>
                    <w:jc w:val="center"/>
                    <w:rPr>
                      <w:rStyle w:val="27"/>
                      <w:rFonts w:hint="default" w:ascii="Times New Roman" w:hAnsi="Times New Roman" w:cs="Times New Roman"/>
                      <w:lang w:val="en-US"/>
                    </w:rPr>
                  </w:pPr>
                  <w:r>
                    <w:rPr>
                      <w:rFonts w:hint="default" w:ascii="Times New Roman" w:hAnsi="Times New Roman" w:eastAsia="宋体" w:cs="Times New Roman"/>
                      <w:color w:val="auto"/>
                      <w:spacing w:val="-8"/>
                      <w:sz w:val="21"/>
                      <w:szCs w:val="21"/>
                      <w:lang w:eastAsia="zh-CN"/>
                    </w:rPr>
                    <w:t>本项目为水泥制品制造项目，项目能源使用电能；</w:t>
                  </w:r>
                  <w:r>
                    <w:rPr>
                      <w:rStyle w:val="27"/>
                      <w:rFonts w:hint="default" w:ascii="Times New Roman" w:hAnsi="Times New Roman" w:cs="Times New Roman"/>
                      <w:lang w:val="en-US"/>
                    </w:rPr>
                    <w:t>项目</w:t>
                  </w:r>
                  <w:r>
                    <w:rPr>
                      <w:rStyle w:val="27"/>
                      <w:rFonts w:hint="eastAsia" w:ascii="Times New Roman" w:hAnsi="Times New Roman" w:cs="Times New Roman"/>
                      <w:lang w:val="en-US"/>
                    </w:rPr>
                    <w:t>产生的粉尘经</w:t>
                  </w:r>
                  <w:r>
                    <w:rPr>
                      <w:rFonts w:hint="eastAsia" w:ascii="Times New Roman" w:hAnsi="Times New Roman" w:eastAsia="宋体" w:cs="Times New Roman"/>
                      <w:b w:val="0"/>
                      <w:bCs w:val="0"/>
                      <w:color w:val="auto"/>
                      <w:kern w:val="2"/>
                      <w:sz w:val="21"/>
                      <w:szCs w:val="21"/>
                      <w:vertAlign w:val="baseline"/>
                      <w:lang w:val="en-US" w:eastAsia="zh-CN" w:bidi="ar-SA"/>
                    </w:rPr>
                    <w:t>密闭</w:t>
                  </w:r>
                  <w:r>
                    <w:rPr>
                      <w:rFonts w:hint="default" w:ascii="Times New Roman" w:hAnsi="Times New Roman" w:eastAsia="宋体" w:cs="Times New Roman"/>
                      <w:b w:val="0"/>
                      <w:bCs w:val="0"/>
                      <w:color w:val="auto"/>
                      <w:kern w:val="2"/>
                      <w:sz w:val="21"/>
                      <w:szCs w:val="21"/>
                      <w:vertAlign w:val="baseline"/>
                      <w:lang w:val="en-US" w:eastAsia="zh-CN" w:bidi="ar-SA"/>
                    </w:rPr>
                    <w:t>箱体侧吸</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集尘罩</w:t>
                  </w:r>
                  <w:r>
                    <w:rPr>
                      <w:rStyle w:val="27"/>
                      <w:rFonts w:hint="eastAsia" w:ascii="Times New Roman" w:hAnsi="Times New Roman" w:cs="Times New Roman"/>
                      <w:lang w:val="en-US"/>
                    </w:rPr>
                    <w:t>收集后由管道连接经布袋除尘器处理后尾气经15m高排气筒达标排放</w:t>
                  </w:r>
                  <w:r>
                    <w:rPr>
                      <w:rFonts w:hint="default" w:ascii="Times New Roman" w:hAnsi="Times New Roman" w:eastAsia="宋体" w:cs="Times New Roman"/>
                      <w:color w:val="auto"/>
                      <w:spacing w:val="-8"/>
                      <w:sz w:val="21"/>
                      <w:szCs w:val="21"/>
                      <w:lang w:eastAsia="zh-CN"/>
                    </w:rPr>
                    <w:t>；厂内运输车辆全部达到国五及以上排放标准车辆；厂内非道路移动机械全部达到国三及以上排放标准；项目建成后，建设单位严格按照要求办理排污许可、环保竣工验收、废气</w:t>
                  </w:r>
                  <w:r>
                    <w:rPr>
                      <w:rFonts w:ascii="Times New Roman" w:hAnsi="Times New Roman" w:cs="Times New Roman"/>
                      <w:spacing w:val="9"/>
                      <w:sz w:val="21"/>
                      <w:szCs w:val="21"/>
                    </w:rPr>
                    <w:t>年度监测等资料，建立完善生产管理台账；符合水泥</w:t>
                  </w:r>
                  <w:r>
                    <w:rPr>
                      <w:rFonts w:ascii="Times New Roman" w:hAnsi="Times New Roman" w:cs="Times New Roman"/>
                      <w:spacing w:val="7"/>
                      <w:sz w:val="21"/>
                      <w:szCs w:val="21"/>
                    </w:rPr>
                    <w:t>制品绩效引领指标。</w:t>
                  </w:r>
                </w:p>
              </w:tc>
              <w:tc>
                <w:tcPr>
                  <w:tcW w:w="596" w:type="dxa"/>
                  <w:vAlign w:val="center"/>
                </w:tcPr>
                <w:p w14:paraId="3C68C4BB">
                  <w:pPr>
                    <w:autoSpaceDE w:val="0"/>
                    <w:autoSpaceDN w:val="0"/>
                    <w:adjustRightInd w:val="0"/>
                    <w:snapToGrid w:val="0"/>
                    <w:jc w:val="center"/>
                    <w:rPr>
                      <w:rFonts w:hint="default"/>
                      <w:color w:val="auto"/>
                      <w:szCs w:val="21"/>
                      <w:shd w:val="clear" w:color="auto" w:fill="FFFFFF"/>
                      <w:lang w:val="en-US" w:eastAsia="zh-CN"/>
                    </w:rPr>
                  </w:pPr>
                  <w:r>
                    <w:rPr>
                      <w:rFonts w:hint="eastAsia"/>
                      <w:color w:val="auto"/>
                      <w:szCs w:val="21"/>
                      <w:shd w:val="clear" w:color="auto" w:fill="FFFFFF"/>
                      <w:lang w:val="en-US" w:eastAsia="zh-CN"/>
                    </w:rPr>
                    <w:t>符合</w:t>
                  </w:r>
                </w:p>
              </w:tc>
            </w:tr>
            <w:tr w14:paraId="07A8B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426" w:type="dxa"/>
                  <w:vMerge w:val="restart"/>
                  <w:vAlign w:val="center"/>
                </w:tcPr>
                <w:p w14:paraId="0E8A1948">
                  <w:pPr>
                    <w:autoSpaceDE w:val="0"/>
                    <w:autoSpaceDN w:val="0"/>
                    <w:adjustRightInd w:val="0"/>
                    <w:snapToGrid w:val="0"/>
                    <w:jc w:val="center"/>
                    <w:rPr>
                      <w:rFonts w:hint="default" w:ascii="Times New Roman" w:hAnsi="Times New Roman" w:eastAsia="宋体" w:cs="Times New Roman"/>
                      <w:color w:val="auto"/>
                      <w:spacing w:val="-8"/>
                      <w:sz w:val="21"/>
                      <w:szCs w:val="21"/>
                      <w:lang w:eastAsia="zh-CN"/>
                    </w:rPr>
                  </w:pPr>
                  <w:r>
                    <w:rPr>
                      <w:rFonts w:hint="eastAsia" w:ascii="Times New Roman" w:hAnsi="Times New Roman" w:eastAsia="宋体" w:cs="Times New Roman"/>
                      <w:color w:val="auto"/>
                      <w:spacing w:val="-8"/>
                      <w:sz w:val="21"/>
                      <w:szCs w:val="21"/>
                      <w:lang w:eastAsia="zh-CN"/>
                    </w:rPr>
                    <w:t>《西咸新区大气污染治理专项行动方案（2023-2027）年》</w:t>
                  </w:r>
                </w:p>
              </w:tc>
              <w:tc>
                <w:tcPr>
                  <w:tcW w:w="2415" w:type="dxa"/>
                  <w:vAlign w:val="center"/>
                </w:tcPr>
                <w:p w14:paraId="3555C6DF">
                  <w:pPr>
                    <w:autoSpaceDE w:val="0"/>
                    <w:autoSpaceDN w:val="0"/>
                    <w:adjustRightInd w:val="0"/>
                    <w:snapToGrid w:val="0"/>
                    <w:jc w:val="both"/>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val="en-US" w:eastAsia="zh-CN"/>
                    </w:rPr>
                    <w:t>能源消费结构调整</w:t>
                  </w:r>
                  <w:r>
                    <w:rPr>
                      <w:rFonts w:hint="eastAsia" w:ascii="Times New Roman" w:hAnsi="Times New Roman" w:cs="Times New Roman"/>
                      <w:color w:val="auto"/>
                      <w:spacing w:val="-8"/>
                      <w:sz w:val="21"/>
                      <w:szCs w:val="21"/>
                      <w:lang w:val="en-US" w:eastAsia="zh-CN"/>
                    </w:rPr>
                    <w:t>：（2）</w:t>
                  </w:r>
                  <w:r>
                    <w:rPr>
                      <w:rFonts w:hint="eastAsia" w:ascii="Times New Roman" w:hAnsi="Times New Roman" w:eastAsia="宋体" w:cs="Times New Roman"/>
                      <w:color w:val="auto"/>
                      <w:spacing w:val="-8"/>
                      <w:sz w:val="21"/>
                      <w:szCs w:val="21"/>
                      <w:lang w:eastAsia="zh-CN"/>
                    </w:rPr>
                    <w:t>持续加强煤炭消费总量控制，严禁新上任何涉煤项目</w:t>
                  </w:r>
                  <w:r>
                    <w:rPr>
                      <w:rFonts w:hint="eastAsia" w:ascii="Times New Roman" w:hAnsi="Times New Roman" w:cs="Times New Roman"/>
                      <w:color w:val="auto"/>
                      <w:spacing w:val="-8"/>
                      <w:sz w:val="21"/>
                      <w:szCs w:val="21"/>
                      <w:lang w:eastAsia="zh-CN"/>
                    </w:rPr>
                    <w:t>，</w:t>
                  </w:r>
                  <w:r>
                    <w:rPr>
                      <w:rFonts w:hint="eastAsia" w:ascii="Times New Roman" w:hAnsi="Times New Roman" w:eastAsia="宋体" w:cs="Times New Roman"/>
                      <w:color w:val="auto"/>
                      <w:spacing w:val="-8"/>
                      <w:sz w:val="21"/>
                      <w:szCs w:val="21"/>
                      <w:lang w:eastAsia="zh-CN"/>
                    </w:rPr>
                    <w:t>协调上级逐年减少新区热电企业发电量，持续强化散煤治理。</w:t>
                  </w:r>
                </w:p>
              </w:tc>
              <w:tc>
                <w:tcPr>
                  <w:tcW w:w="2842" w:type="dxa"/>
                  <w:vAlign w:val="center"/>
                </w:tcPr>
                <w:p w14:paraId="4C83803B">
                  <w:pPr>
                    <w:autoSpaceDE w:val="0"/>
                    <w:autoSpaceDN w:val="0"/>
                    <w:adjustRightInd w:val="0"/>
                    <w:snapToGrid w:val="0"/>
                    <w:jc w:val="center"/>
                    <w:rPr>
                      <w:rFonts w:ascii="Times New Roman" w:hAnsi="Times New Roman" w:cs="宋体"/>
                      <w:bCs/>
                      <w:color w:val="auto"/>
                      <w:kern w:val="0"/>
                      <w:szCs w:val="21"/>
                    </w:rPr>
                  </w:pPr>
                  <w:r>
                    <w:rPr>
                      <w:rStyle w:val="27"/>
                      <w:rFonts w:hint="default" w:ascii="Times New Roman" w:hAnsi="Times New Roman" w:cs="Times New Roman"/>
                    </w:rPr>
                    <w:t>本项目使用电能作为能源，不使用煤炭。</w:t>
                  </w:r>
                </w:p>
              </w:tc>
              <w:tc>
                <w:tcPr>
                  <w:tcW w:w="596" w:type="dxa"/>
                  <w:vAlign w:val="center"/>
                </w:tcPr>
                <w:p w14:paraId="3182F957">
                  <w:pPr>
                    <w:autoSpaceDE w:val="0"/>
                    <w:autoSpaceDN w:val="0"/>
                    <w:adjustRightInd w:val="0"/>
                    <w:snapToGrid w:val="0"/>
                    <w:jc w:val="center"/>
                    <w:rPr>
                      <w:rFonts w:ascii="Times New Roman" w:hAnsi="Times New Roman" w:cs="宋体"/>
                      <w:bCs/>
                      <w:color w:val="auto"/>
                      <w:kern w:val="0"/>
                      <w:szCs w:val="21"/>
                    </w:rPr>
                  </w:pPr>
                  <w:r>
                    <w:rPr>
                      <w:rFonts w:hint="eastAsia"/>
                      <w:color w:val="auto"/>
                      <w:szCs w:val="21"/>
                      <w:shd w:val="clear" w:color="auto" w:fill="FFFFFF"/>
                      <w:lang w:val="en-US" w:eastAsia="zh-CN"/>
                    </w:rPr>
                    <w:t>符合</w:t>
                  </w:r>
                </w:p>
              </w:tc>
            </w:tr>
            <w:tr w14:paraId="39559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426" w:type="dxa"/>
                  <w:vMerge w:val="continue"/>
                  <w:vAlign w:val="center"/>
                </w:tcPr>
                <w:p w14:paraId="61660BDB">
                  <w:pPr>
                    <w:autoSpaceDE w:val="0"/>
                    <w:autoSpaceDN w:val="0"/>
                    <w:adjustRightInd w:val="0"/>
                    <w:snapToGrid w:val="0"/>
                    <w:jc w:val="center"/>
                  </w:pPr>
                </w:p>
              </w:tc>
              <w:tc>
                <w:tcPr>
                  <w:tcW w:w="2415" w:type="dxa"/>
                  <w:vAlign w:val="center"/>
                </w:tcPr>
                <w:p w14:paraId="511B7C44">
                  <w:pPr>
                    <w:autoSpaceDE w:val="0"/>
                    <w:autoSpaceDN w:val="0"/>
                    <w:adjustRightInd w:val="0"/>
                    <w:snapToGrid w:val="0"/>
                    <w:jc w:val="center"/>
                    <w:rPr>
                      <w:rFonts w:ascii="Times New Roman" w:hAnsi="Times New Roman" w:cs="宋体"/>
                      <w:bCs/>
                      <w:color w:val="auto"/>
                      <w:kern w:val="0"/>
                      <w:szCs w:val="21"/>
                    </w:rPr>
                  </w:pPr>
                  <w:r>
                    <w:rPr>
                      <w:rFonts w:hint="eastAsia" w:ascii="Times New Roman" w:hAnsi="Times New Roman" w:cs="宋体"/>
                      <w:bCs/>
                      <w:color w:val="auto"/>
                      <w:kern w:val="0"/>
                      <w:szCs w:val="21"/>
                    </w:rPr>
                    <w:t>严格新、改、扩建涉气重点行业绩效评级限制条件新区范围内新、改、扩建涉气重点行业企业应达到环保绩效A级、绩效引领性水平。</w:t>
                  </w:r>
                </w:p>
              </w:tc>
              <w:tc>
                <w:tcPr>
                  <w:tcW w:w="2842" w:type="dxa"/>
                  <w:vAlign w:val="center"/>
                </w:tcPr>
                <w:p w14:paraId="01E1060F">
                  <w:pPr>
                    <w:autoSpaceDE w:val="0"/>
                    <w:autoSpaceDN w:val="0"/>
                    <w:adjustRightInd w:val="0"/>
                    <w:snapToGrid w:val="0"/>
                    <w:jc w:val="center"/>
                    <w:rPr>
                      <w:rFonts w:ascii="Times New Roman" w:hAnsi="Times New Roman" w:cs="宋体"/>
                      <w:bCs/>
                      <w:color w:val="auto"/>
                      <w:kern w:val="0"/>
                      <w:szCs w:val="21"/>
                    </w:rPr>
                  </w:pPr>
                  <w:r>
                    <w:rPr>
                      <w:rFonts w:hint="default" w:ascii="Times New Roman" w:hAnsi="Times New Roman" w:eastAsia="宋体" w:cs="Times New Roman"/>
                      <w:color w:val="auto"/>
                      <w:spacing w:val="-8"/>
                      <w:sz w:val="21"/>
                      <w:szCs w:val="21"/>
                      <w:lang w:eastAsia="zh-CN"/>
                    </w:rPr>
                    <w:t>本项目为水泥制品制造项目，项目能源使用电能；</w:t>
                  </w:r>
                  <w:r>
                    <w:rPr>
                      <w:rStyle w:val="27"/>
                      <w:rFonts w:hint="default" w:ascii="Times New Roman" w:hAnsi="Times New Roman" w:cs="Times New Roman"/>
                      <w:lang w:val="en-US"/>
                    </w:rPr>
                    <w:t>项目</w:t>
                  </w:r>
                  <w:r>
                    <w:rPr>
                      <w:rStyle w:val="27"/>
                      <w:rFonts w:hint="eastAsia" w:ascii="Times New Roman" w:hAnsi="Times New Roman" w:cs="Times New Roman"/>
                      <w:lang w:val="en-US"/>
                    </w:rPr>
                    <w:t>产生的粉尘经</w:t>
                  </w:r>
                  <w:r>
                    <w:rPr>
                      <w:rFonts w:hint="eastAsia" w:ascii="Times New Roman" w:hAnsi="Times New Roman" w:eastAsia="宋体" w:cs="Times New Roman"/>
                      <w:b w:val="0"/>
                      <w:bCs w:val="0"/>
                      <w:color w:val="auto"/>
                      <w:kern w:val="2"/>
                      <w:sz w:val="21"/>
                      <w:szCs w:val="21"/>
                      <w:vertAlign w:val="baseline"/>
                      <w:lang w:val="en-US" w:eastAsia="zh-CN" w:bidi="ar-SA"/>
                    </w:rPr>
                    <w:t>密闭</w:t>
                  </w:r>
                  <w:r>
                    <w:rPr>
                      <w:rFonts w:hint="default" w:ascii="Times New Roman" w:hAnsi="Times New Roman" w:eastAsia="宋体" w:cs="Times New Roman"/>
                      <w:b w:val="0"/>
                      <w:bCs w:val="0"/>
                      <w:color w:val="auto"/>
                      <w:kern w:val="2"/>
                      <w:sz w:val="21"/>
                      <w:szCs w:val="21"/>
                      <w:vertAlign w:val="baseline"/>
                      <w:lang w:val="en-US" w:eastAsia="zh-CN" w:bidi="ar-SA"/>
                    </w:rPr>
                    <w:t>箱体侧吸</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集尘罩</w:t>
                  </w:r>
                  <w:r>
                    <w:rPr>
                      <w:rStyle w:val="27"/>
                      <w:rFonts w:hint="eastAsia" w:ascii="Times New Roman" w:hAnsi="Times New Roman" w:cs="Times New Roman"/>
                      <w:lang w:val="en-US"/>
                    </w:rPr>
                    <w:t>收集后由管道连接经布袋除尘器处理后尾气经15m高排气筒达标排放</w:t>
                  </w:r>
                  <w:r>
                    <w:rPr>
                      <w:rFonts w:hint="default" w:ascii="Times New Roman" w:hAnsi="Times New Roman" w:eastAsia="宋体" w:cs="Times New Roman"/>
                      <w:color w:val="auto"/>
                      <w:spacing w:val="-8"/>
                      <w:sz w:val="21"/>
                      <w:szCs w:val="21"/>
                      <w:lang w:eastAsia="zh-CN"/>
                    </w:rPr>
                    <w:t>；厂内运输车辆全部达到国五及以上排放标准车辆；厂内非道路移动机械全部达到国三及以上排放标准；项目建成后，建设单位严格按照要求办理排污许可、环保竣工验收、废气</w:t>
                  </w:r>
                  <w:r>
                    <w:rPr>
                      <w:rFonts w:ascii="Times New Roman" w:hAnsi="Times New Roman" w:cs="Times New Roman"/>
                      <w:spacing w:val="9"/>
                      <w:sz w:val="21"/>
                      <w:szCs w:val="21"/>
                    </w:rPr>
                    <w:t>年度监测等资料，建立完善生产管理台账；符合水泥</w:t>
                  </w:r>
                  <w:r>
                    <w:rPr>
                      <w:rFonts w:ascii="Times New Roman" w:hAnsi="Times New Roman" w:cs="Times New Roman"/>
                      <w:spacing w:val="7"/>
                      <w:sz w:val="21"/>
                      <w:szCs w:val="21"/>
                    </w:rPr>
                    <w:t>制品绩效引领指标。</w:t>
                  </w:r>
                </w:p>
              </w:tc>
              <w:tc>
                <w:tcPr>
                  <w:tcW w:w="596" w:type="dxa"/>
                  <w:vAlign w:val="center"/>
                </w:tcPr>
                <w:p w14:paraId="4CD5AE71">
                  <w:pPr>
                    <w:autoSpaceDE w:val="0"/>
                    <w:autoSpaceDN w:val="0"/>
                    <w:adjustRightInd w:val="0"/>
                    <w:snapToGrid w:val="0"/>
                    <w:jc w:val="center"/>
                    <w:rPr>
                      <w:rFonts w:ascii="Times New Roman" w:hAnsi="Times New Roman" w:cs="宋体"/>
                      <w:bCs/>
                      <w:color w:val="auto"/>
                      <w:kern w:val="0"/>
                      <w:szCs w:val="21"/>
                    </w:rPr>
                  </w:pPr>
                  <w:r>
                    <w:rPr>
                      <w:rFonts w:hint="eastAsia"/>
                      <w:color w:val="auto"/>
                      <w:szCs w:val="21"/>
                      <w:shd w:val="clear" w:color="auto" w:fill="FFFFFF"/>
                      <w:lang w:val="en-US" w:eastAsia="zh-CN"/>
                    </w:rPr>
                    <w:t>符合</w:t>
                  </w:r>
                </w:p>
              </w:tc>
            </w:tr>
            <w:tr w14:paraId="74813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1426" w:type="dxa"/>
                  <w:vAlign w:val="center"/>
                </w:tcPr>
                <w:p w14:paraId="600C8A43">
                  <w:pPr>
                    <w:autoSpaceDE w:val="0"/>
                    <w:autoSpaceDN w:val="0"/>
                    <w:adjustRightInd w:val="0"/>
                    <w:snapToGrid w:val="0"/>
                    <w:jc w:val="center"/>
                    <w:rPr>
                      <w:rFonts w:hint="eastAsia" w:ascii="Times New Roman" w:hAnsi="Times New Roman" w:eastAsia="宋体" w:cs="宋体"/>
                      <w:bCs/>
                      <w:color w:val="auto"/>
                      <w:kern w:val="0"/>
                      <w:sz w:val="21"/>
                      <w:szCs w:val="21"/>
                      <w:lang w:val="en-US" w:eastAsia="zh-CN" w:bidi="ar-SA"/>
                    </w:rPr>
                  </w:pPr>
                  <w:r>
                    <w:rPr>
                      <w:rFonts w:hint="eastAsia" w:ascii="Times New Roman" w:hAnsi="Times New Roman" w:cs="宋体"/>
                      <w:bCs/>
                      <w:color w:val="auto"/>
                      <w:kern w:val="0"/>
                      <w:szCs w:val="21"/>
                    </w:rPr>
                    <w:t>《西咸新区沣西新城国民经济和社会发展第十四个五年规划和二〇三五年远景目标纲要》</w:t>
                  </w:r>
                </w:p>
              </w:tc>
              <w:tc>
                <w:tcPr>
                  <w:tcW w:w="2415" w:type="dxa"/>
                  <w:vAlign w:val="center"/>
                </w:tcPr>
                <w:p w14:paraId="32B6475D">
                  <w:pPr>
                    <w:autoSpaceDE w:val="0"/>
                    <w:autoSpaceDN w:val="0"/>
                    <w:adjustRightInd w:val="0"/>
                    <w:snapToGrid w:val="0"/>
                    <w:jc w:val="center"/>
                    <w:rPr>
                      <w:rFonts w:hint="eastAsia" w:ascii="Times New Roman" w:hAnsi="Times New Roman" w:eastAsia="宋体" w:cs="宋体"/>
                      <w:bCs/>
                      <w:color w:val="auto"/>
                      <w:kern w:val="0"/>
                      <w:sz w:val="21"/>
                      <w:szCs w:val="21"/>
                      <w:lang w:val="en-US" w:eastAsia="zh-CN" w:bidi="ar-SA"/>
                    </w:rPr>
                  </w:pPr>
                  <w:r>
                    <w:rPr>
                      <w:rFonts w:hint="eastAsia" w:ascii="Times New Roman" w:hAnsi="Times New Roman" w:cs="宋体"/>
                      <w:bCs/>
                      <w:color w:val="auto"/>
                      <w:kern w:val="0"/>
                      <w:szCs w:val="21"/>
                    </w:rPr>
                    <w:t>发展定位：总体形成一个战略定位和四个功能定位相统一协调的</w:t>
                  </w:r>
                  <w:r>
                    <w:rPr>
                      <w:rFonts w:hint="eastAsia" w:ascii="Times New Roman" w:hAnsi="Times New Roman" w:cs="宋体"/>
                      <w:bCs/>
                      <w:color w:val="auto"/>
                      <w:kern w:val="0"/>
                      <w:szCs w:val="21"/>
                      <w:lang w:eastAsia="zh-CN"/>
                    </w:rPr>
                    <w:t>“</w:t>
                  </w:r>
                  <w:r>
                    <w:rPr>
                      <w:rFonts w:hint="eastAsia" w:ascii="Times New Roman" w:hAnsi="Times New Roman" w:cs="宋体"/>
                      <w:bCs/>
                      <w:color w:val="auto"/>
                      <w:kern w:val="0"/>
                      <w:szCs w:val="21"/>
                    </w:rPr>
                    <w:t>1+4</w:t>
                  </w:r>
                  <w:r>
                    <w:rPr>
                      <w:rFonts w:hint="eastAsia" w:ascii="Times New Roman" w:hAnsi="Times New Roman" w:cs="宋体"/>
                      <w:bCs/>
                      <w:color w:val="auto"/>
                      <w:kern w:val="0"/>
                      <w:szCs w:val="21"/>
                      <w:lang w:eastAsia="zh-CN"/>
                    </w:rPr>
                    <w:t>”</w:t>
                  </w:r>
                  <w:r>
                    <w:rPr>
                      <w:rFonts w:hint="eastAsia" w:ascii="Times New Roman" w:hAnsi="Times New Roman" w:cs="宋体"/>
                      <w:bCs/>
                      <w:color w:val="auto"/>
                      <w:kern w:val="0"/>
                      <w:szCs w:val="21"/>
                    </w:rPr>
                    <w:t>发展定位体系。战略定位：高水平科技自立自强创新策源地·高质量创新城市发展方式样板区。功能定位：宜居宜业的科创城。</w:t>
                  </w:r>
                </w:p>
              </w:tc>
              <w:tc>
                <w:tcPr>
                  <w:tcW w:w="2842" w:type="dxa"/>
                  <w:vAlign w:val="center"/>
                </w:tcPr>
                <w:p w14:paraId="2BBAFB65">
                  <w:pPr>
                    <w:autoSpaceDE w:val="0"/>
                    <w:autoSpaceDN w:val="0"/>
                    <w:adjustRightInd w:val="0"/>
                    <w:snapToGrid w:val="0"/>
                    <w:jc w:val="center"/>
                    <w:rPr>
                      <w:rFonts w:hint="eastAsia" w:ascii="Times New Roman" w:hAnsi="Times New Roman" w:eastAsia="宋体" w:cs="宋体"/>
                      <w:bCs/>
                      <w:color w:val="auto"/>
                      <w:kern w:val="0"/>
                      <w:sz w:val="21"/>
                      <w:szCs w:val="21"/>
                      <w:lang w:val="en-US" w:eastAsia="zh-CN" w:bidi="ar-SA"/>
                    </w:rPr>
                  </w:pPr>
                  <w:r>
                    <w:rPr>
                      <w:rFonts w:hint="eastAsia" w:ascii="Times New Roman" w:hAnsi="Times New Roman" w:cs="宋体"/>
                      <w:bCs/>
                      <w:color w:val="auto"/>
                      <w:kern w:val="0"/>
                      <w:szCs w:val="21"/>
                    </w:rPr>
                    <w:t>本项目为水泥制品制造项目，属于制造业企业，与功能定位</w:t>
                  </w:r>
                  <w:r>
                    <w:rPr>
                      <w:rFonts w:hint="eastAsia" w:ascii="Times New Roman" w:hAnsi="Times New Roman" w:cs="宋体"/>
                      <w:bCs/>
                      <w:color w:val="auto"/>
                      <w:kern w:val="0"/>
                      <w:szCs w:val="21"/>
                      <w:lang w:eastAsia="zh-CN"/>
                    </w:rPr>
                    <w:t>“</w:t>
                  </w:r>
                  <w:r>
                    <w:rPr>
                      <w:rFonts w:hint="eastAsia" w:ascii="Times New Roman" w:hAnsi="Times New Roman" w:cs="宋体"/>
                      <w:bCs/>
                      <w:color w:val="auto"/>
                      <w:kern w:val="0"/>
                      <w:szCs w:val="21"/>
                    </w:rPr>
                    <w:t>宜居宜业</w:t>
                  </w:r>
                  <w:r>
                    <w:rPr>
                      <w:rFonts w:hint="eastAsia" w:ascii="Times New Roman" w:hAnsi="Times New Roman" w:cs="宋体"/>
                      <w:bCs/>
                      <w:color w:val="auto"/>
                      <w:kern w:val="0"/>
                      <w:szCs w:val="21"/>
                      <w:lang w:eastAsia="zh-CN"/>
                    </w:rPr>
                    <w:t>”</w:t>
                  </w:r>
                  <w:r>
                    <w:rPr>
                      <w:rFonts w:hint="eastAsia" w:ascii="Times New Roman" w:hAnsi="Times New Roman" w:cs="宋体"/>
                      <w:bCs/>
                      <w:color w:val="auto"/>
                      <w:kern w:val="0"/>
                      <w:szCs w:val="21"/>
                    </w:rPr>
                    <w:t>的创新城相符。</w:t>
                  </w:r>
                </w:p>
              </w:tc>
              <w:tc>
                <w:tcPr>
                  <w:tcW w:w="596" w:type="dxa"/>
                  <w:vAlign w:val="center"/>
                </w:tcPr>
                <w:p w14:paraId="131E5583">
                  <w:pPr>
                    <w:autoSpaceDE w:val="0"/>
                    <w:autoSpaceDN w:val="0"/>
                    <w:adjustRightInd w:val="0"/>
                    <w:snapToGrid w:val="0"/>
                    <w:jc w:val="center"/>
                    <w:rPr>
                      <w:rFonts w:hint="eastAsia" w:ascii="Times New Roman" w:hAnsi="Times New Roman" w:eastAsia="宋体" w:cs="宋体"/>
                      <w:bCs/>
                      <w:color w:val="auto"/>
                      <w:kern w:val="0"/>
                      <w:sz w:val="21"/>
                      <w:szCs w:val="21"/>
                      <w:lang w:val="en-US" w:eastAsia="zh-CN" w:bidi="ar-SA"/>
                    </w:rPr>
                  </w:pPr>
                  <w:r>
                    <w:rPr>
                      <w:rFonts w:hint="eastAsia" w:ascii="Times New Roman" w:hAnsi="Times New Roman" w:cs="宋体"/>
                      <w:bCs/>
                      <w:color w:val="auto"/>
                      <w:kern w:val="0"/>
                      <w:szCs w:val="21"/>
                    </w:rPr>
                    <w:t>符合</w:t>
                  </w:r>
                </w:p>
              </w:tc>
            </w:tr>
          </w:tbl>
          <w:p w14:paraId="6172655A">
            <w:pPr>
              <w:numPr>
                <w:ilvl w:val="0"/>
                <w:numId w:val="0"/>
              </w:numPr>
              <w:autoSpaceDE w:val="0"/>
              <w:autoSpaceDN w:val="0"/>
              <w:adjustRightInd w:val="0"/>
              <w:snapToGrid w:val="0"/>
              <w:spacing w:line="360" w:lineRule="auto"/>
              <w:rPr>
                <w:rFonts w:ascii="Times New Roman" w:hAnsi="Times New Roman" w:cs="宋体"/>
                <w:b/>
                <w:bCs/>
                <w:color w:val="auto"/>
                <w:kern w:val="0"/>
                <w:sz w:val="24"/>
              </w:rPr>
            </w:pPr>
            <w:r>
              <w:rPr>
                <w:rFonts w:hint="eastAsia" w:ascii="Times New Roman" w:hAnsi="Times New Roman" w:cs="宋体"/>
                <w:b/>
                <w:bCs/>
                <w:color w:val="auto"/>
                <w:kern w:val="0"/>
                <w:sz w:val="24"/>
                <w:lang w:val="en-US" w:eastAsia="zh-CN"/>
              </w:rPr>
              <w:t>4.</w:t>
            </w:r>
            <w:r>
              <w:rPr>
                <w:rFonts w:hint="eastAsia" w:ascii="Times New Roman" w:hAnsi="Times New Roman" w:cs="宋体"/>
                <w:b/>
                <w:bCs/>
                <w:color w:val="auto"/>
                <w:kern w:val="0"/>
                <w:sz w:val="24"/>
              </w:rPr>
              <w:t>选址可行性分析</w:t>
            </w:r>
          </w:p>
          <w:p w14:paraId="37E193B8">
            <w:pPr>
              <w:autoSpaceDE w:val="0"/>
              <w:autoSpaceDN w:val="0"/>
              <w:adjustRightInd w:val="0"/>
              <w:snapToGrid w:val="0"/>
              <w:spacing w:line="360" w:lineRule="auto"/>
              <w:ind w:firstLine="480" w:firstLineChars="200"/>
              <w:rPr>
                <w:rFonts w:hint="eastAsia" w:ascii="Times New Roman" w:hAnsi="Times New Roman" w:cs="宋体"/>
                <w:color w:val="auto"/>
                <w:kern w:val="0"/>
                <w:sz w:val="24"/>
                <w:u w:val="none"/>
              </w:rPr>
            </w:pPr>
            <w:r>
              <w:rPr>
                <w:rFonts w:hint="default" w:ascii="Times New Roman" w:hAnsi="Times New Roman" w:cs="Times New Roman"/>
                <w:color w:val="auto"/>
                <w:sz w:val="24"/>
                <w:szCs w:val="24"/>
              </w:rPr>
              <w:t>本项目位于</w:t>
            </w:r>
            <w:r>
              <w:rPr>
                <w:rFonts w:hint="eastAsia" w:ascii="Times New Roman" w:hAnsi="Times New Roman" w:eastAsia="宋体" w:cs="Times New Roman"/>
                <w:sz w:val="24"/>
                <w:szCs w:val="24"/>
                <w:lang w:val="en-US" w:eastAsia="zh-CN"/>
              </w:rPr>
              <w:t>陕西省西咸新区沣西新城大王街办西宝路6号（见附图一）</w:t>
            </w:r>
            <w:r>
              <w:rPr>
                <w:rFonts w:hint="eastAsia" w:ascii="Times New Roman" w:hAnsi="Times New Roman" w:cs="宋体"/>
                <w:color w:val="auto"/>
                <w:kern w:val="0"/>
                <w:sz w:val="24"/>
              </w:rPr>
              <w:t>，项目占地</w:t>
            </w:r>
            <w:r>
              <w:rPr>
                <w:rFonts w:hint="eastAsia" w:ascii="Times New Roman" w:hAnsi="Times New Roman" w:cs="宋体"/>
                <w:color w:val="auto"/>
                <w:kern w:val="0"/>
                <w:sz w:val="24"/>
                <w:lang w:val="en-US" w:eastAsia="zh-CN"/>
              </w:rPr>
              <w:t>面积为1400㎡</w:t>
            </w:r>
            <w:r>
              <w:rPr>
                <w:rFonts w:hint="eastAsia" w:ascii="Times New Roman" w:hAnsi="Times New Roman" w:cs="宋体"/>
                <w:color w:val="auto"/>
                <w:kern w:val="0"/>
                <w:sz w:val="24"/>
              </w:rPr>
              <w:t>，</w:t>
            </w:r>
            <w:r>
              <w:rPr>
                <w:rFonts w:hint="eastAsia" w:ascii="Times New Roman" w:hAnsi="Times New Roman" w:cs="宋体"/>
                <w:color w:val="auto"/>
                <w:kern w:val="0"/>
                <w:sz w:val="24"/>
                <w:u w:val="none"/>
              </w:rPr>
              <w:t>中心地理坐标为</w:t>
            </w:r>
            <w:r>
              <w:rPr>
                <w:rFonts w:hint="default" w:ascii="Times New Roman" w:hAnsi="Times New Roman" w:eastAsia="宋体" w:cs="Times New Roman"/>
                <w:sz w:val="24"/>
                <w:szCs w:val="24"/>
                <w:u w:val="none"/>
                <w:lang w:val="en-US" w:eastAsia="zh-CN"/>
              </w:rPr>
              <w:t>经度：108°38′18.</w:t>
            </w:r>
            <w:r>
              <w:rPr>
                <w:rFonts w:hint="eastAsia" w:ascii="Times New Roman" w:hAnsi="Times New Roman" w:cs="Times New Roman"/>
                <w:sz w:val="24"/>
                <w:szCs w:val="24"/>
                <w:u w:val="none"/>
                <w:lang w:val="en-US" w:eastAsia="zh-CN"/>
              </w:rPr>
              <w:t>190</w:t>
            </w:r>
            <w:r>
              <w:rPr>
                <w:rFonts w:hint="default" w:ascii="Times New Roman" w:hAnsi="Times New Roman" w:eastAsia="宋体" w:cs="Times New Roman"/>
                <w:sz w:val="24"/>
                <w:szCs w:val="24"/>
                <w:u w:val="none"/>
                <w:lang w:val="en-US" w:eastAsia="zh-CN"/>
              </w:rPr>
              <w:t>″，纬度：34°11′3</w:t>
            </w:r>
            <w:r>
              <w:rPr>
                <w:rFonts w:hint="eastAsia" w:ascii="Times New Roman" w:hAnsi="Times New Roman" w:cs="Times New Roman"/>
                <w:sz w:val="24"/>
                <w:szCs w:val="24"/>
                <w:u w:val="none"/>
                <w:lang w:val="en-US" w:eastAsia="zh-CN"/>
              </w:rPr>
              <w:t>4.007</w:t>
            </w:r>
            <w:r>
              <w:rPr>
                <w:rFonts w:hint="default" w:ascii="Times New Roman" w:hAnsi="Times New Roman" w:eastAsia="宋体" w:cs="Times New Roman"/>
                <w:sz w:val="24"/>
                <w:szCs w:val="24"/>
                <w:u w:val="none"/>
                <w:lang w:val="en-US" w:eastAsia="zh-CN"/>
              </w:rPr>
              <w:t>″</w:t>
            </w:r>
            <w:r>
              <w:rPr>
                <w:rFonts w:hint="eastAsia" w:ascii="Times New Roman" w:hAnsi="Times New Roman" w:cs="宋体"/>
                <w:color w:val="auto"/>
                <w:kern w:val="0"/>
                <w:sz w:val="24"/>
                <w:u w:val="none"/>
              </w:rPr>
              <w:t>。</w:t>
            </w:r>
          </w:p>
          <w:p w14:paraId="0116927C">
            <w:pPr>
              <w:autoSpaceDE w:val="0"/>
              <w:autoSpaceDN w:val="0"/>
              <w:adjustRightInd w:val="0"/>
              <w:snapToGrid w:val="0"/>
              <w:spacing w:line="360" w:lineRule="auto"/>
              <w:ind w:firstLine="480" w:firstLineChars="200"/>
              <w:rPr>
                <w:rFonts w:hint="default" w:ascii="Times New Roman" w:hAnsi="Times New Roman" w:eastAsia="宋体" w:cs="宋体"/>
                <w:color w:val="auto"/>
                <w:kern w:val="0"/>
                <w:sz w:val="24"/>
                <w:lang w:val="en-US"/>
              </w:rPr>
            </w:pPr>
            <w:r>
              <w:rPr>
                <w:rFonts w:hint="eastAsia" w:ascii="Times New Roman" w:hAnsi="Times New Roman" w:cs="宋体"/>
                <w:color w:val="auto"/>
                <w:kern w:val="0"/>
                <w:sz w:val="24"/>
              </w:rPr>
              <w:t>本项目租赁现有空厂房和场地进行建设，不占用新的土地资源</w:t>
            </w:r>
            <w:r>
              <w:rPr>
                <w:rFonts w:hint="eastAsia" w:ascii="Times New Roman" w:hAnsi="Times New Roman" w:cs="宋体"/>
                <w:color w:val="auto"/>
                <w:kern w:val="0"/>
                <w:sz w:val="24"/>
                <w:lang w:eastAsia="zh-CN"/>
              </w:rPr>
              <w:t>。</w:t>
            </w:r>
            <w:r>
              <w:rPr>
                <w:rFonts w:hint="eastAsia" w:ascii="Times New Roman" w:hAnsi="Times New Roman" w:cs="宋体"/>
                <w:color w:val="auto"/>
                <w:kern w:val="0"/>
                <w:sz w:val="24"/>
              </w:rPr>
              <w:t>该用地性质为工业用地（土地类型见附件</w:t>
            </w:r>
            <w:r>
              <w:rPr>
                <w:rFonts w:hint="eastAsia" w:ascii="Times New Roman" w:hAnsi="Times New Roman" w:cs="宋体"/>
                <w:color w:val="auto"/>
                <w:kern w:val="0"/>
                <w:sz w:val="24"/>
                <w:lang w:val="en-US" w:eastAsia="zh-CN"/>
              </w:rPr>
              <w:t>四</w:t>
            </w:r>
            <w:r>
              <w:rPr>
                <w:rFonts w:hint="eastAsia" w:ascii="Times New Roman" w:hAnsi="Times New Roman" w:cs="宋体"/>
                <w:color w:val="auto"/>
                <w:kern w:val="0"/>
                <w:sz w:val="24"/>
              </w:rPr>
              <w:t>，租赁合同见附件</w:t>
            </w:r>
            <w:r>
              <w:rPr>
                <w:rFonts w:hint="eastAsia" w:ascii="Times New Roman" w:hAnsi="Times New Roman" w:cs="宋体"/>
                <w:color w:val="auto"/>
                <w:kern w:val="0"/>
                <w:sz w:val="24"/>
                <w:lang w:val="en-US" w:eastAsia="zh-CN"/>
              </w:rPr>
              <w:t>五</w:t>
            </w:r>
            <w:r>
              <w:rPr>
                <w:rFonts w:hint="eastAsia" w:ascii="Times New Roman" w:hAnsi="Times New Roman" w:cs="宋体"/>
                <w:color w:val="auto"/>
                <w:kern w:val="0"/>
                <w:sz w:val="24"/>
              </w:rPr>
              <w:t>）。</w:t>
            </w:r>
            <w:r>
              <w:rPr>
                <w:rFonts w:hint="eastAsia" w:ascii="Times New Roman" w:hAnsi="Times New Roman" w:cs="宋体"/>
                <w:color w:val="auto"/>
                <w:kern w:val="0"/>
                <w:sz w:val="24"/>
                <w:lang w:val="en-US" w:eastAsia="zh-CN"/>
              </w:rPr>
              <w:t>本</w:t>
            </w:r>
            <w:r>
              <w:rPr>
                <w:rFonts w:hint="eastAsia" w:ascii="Times New Roman" w:hAnsi="Times New Roman" w:eastAsia="宋体" w:cs="宋体"/>
                <w:color w:val="auto"/>
                <w:kern w:val="0"/>
                <w:sz w:val="24"/>
                <w:lang w:val="en-US" w:eastAsia="zh-CN"/>
              </w:rPr>
              <w:t>项目东临西安海天建材有限公司料场，南临西安海天建材有限公司，西邻赵世军空场地，北邻沣西新城鑫邦博新型材料厂</w:t>
            </w:r>
            <w:r>
              <w:rPr>
                <w:rFonts w:hint="eastAsia" w:ascii="Times New Roman" w:hAnsi="Times New Roman" w:cs="宋体"/>
                <w:color w:val="auto"/>
                <w:kern w:val="0"/>
                <w:sz w:val="24"/>
              </w:rPr>
              <w:t>（</w:t>
            </w:r>
            <w:r>
              <w:rPr>
                <w:rFonts w:hint="eastAsia" w:ascii="Times New Roman" w:hAnsi="Times New Roman" w:cs="宋体"/>
                <w:color w:val="auto"/>
                <w:kern w:val="0"/>
                <w:sz w:val="24"/>
                <w:lang w:val="en-US" w:eastAsia="zh-CN"/>
              </w:rPr>
              <w:t>见附图二</w:t>
            </w:r>
            <w:r>
              <w:rPr>
                <w:rFonts w:hint="eastAsia" w:ascii="Times New Roman" w:hAnsi="Times New Roman" w:cs="宋体"/>
                <w:color w:val="auto"/>
                <w:kern w:val="0"/>
                <w:sz w:val="24"/>
              </w:rPr>
              <w:t>）</w:t>
            </w:r>
            <w:r>
              <w:rPr>
                <w:rFonts w:hint="eastAsia" w:ascii="Times New Roman" w:hAnsi="Times New Roman" w:eastAsia="宋体" w:cs="宋体"/>
                <w:color w:val="auto"/>
                <w:kern w:val="0"/>
                <w:sz w:val="24"/>
                <w:lang w:val="en-US" w:eastAsia="zh-CN"/>
              </w:rPr>
              <w:t>。</w:t>
            </w:r>
          </w:p>
          <w:p w14:paraId="1FFC48B5">
            <w:pPr>
              <w:autoSpaceDE w:val="0"/>
              <w:autoSpaceDN w:val="0"/>
              <w:adjustRightInd w:val="0"/>
              <w:snapToGrid w:val="0"/>
              <w:spacing w:line="360" w:lineRule="auto"/>
              <w:ind w:firstLine="480" w:firstLineChars="200"/>
              <w:rPr>
                <w:rFonts w:ascii="Times New Roman" w:hAnsi="Times New Roman" w:cs="宋体"/>
                <w:color w:val="auto"/>
                <w:kern w:val="0"/>
                <w:sz w:val="24"/>
              </w:rPr>
            </w:pPr>
            <w:r>
              <w:rPr>
                <w:rFonts w:hint="eastAsia" w:ascii="Times New Roman" w:hAnsi="Times New Roman" w:cs="宋体"/>
                <w:color w:val="auto"/>
                <w:kern w:val="0"/>
                <w:sz w:val="24"/>
              </w:rPr>
              <w:t>根据现场勘察，项目选址不涉及基本农田保护区、自然保护区、风景名胜区、饮用水水源保护区和生态保护红线，不在国家、地方规划的重点生态功能区的敏感区域内。</w:t>
            </w:r>
            <w:r>
              <w:rPr>
                <w:rFonts w:hint="eastAsia" w:ascii="Times New Roman" w:hAnsi="Times New Roman" w:cs="宋体"/>
                <w:color w:val="auto"/>
                <w:sz w:val="24"/>
                <w:lang w:bidi="ar"/>
              </w:rPr>
              <w:t>在严格落实评价中提出的各项污染防治措施，加强环保设施的运行维护和管理，并落实环境风险防范措施后，项目废气、废水、噪声、固体废物均可长期稳定达标排放或妥善处置，环境风险可接受，不会改变评价区现有环境功能，对周围环境影响可接受。</w:t>
            </w:r>
          </w:p>
          <w:p w14:paraId="22CEAFD2">
            <w:pPr>
              <w:autoSpaceDE w:val="0"/>
              <w:autoSpaceDN w:val="0"/>
              <w:adjustRightInd w:val="0"/>
              <w:snapToGrid w:val="0"/>
              <w:spacing w:line="360" w:lineRule="auto"/>
              <w:ind w:firstLine="480" w:firstLineChars="200"/>
              <w:rPr>
                <w:rFonts w:ascii="Times New Roman" w:hAnsi="Times New Roman" w:cs="宋体"/>
                <w:color w:val="auto"/>
                <w:kern w:val="0"/>
                <w:sz w:val="24"/>
              </w:rPr>
            </w:pPr>
            <w:r>
              <w:rPr>
                <w:rFonts w:hint="eastAsia" w:ascii="Times New Roman" w:hAnsi="Times New Roman" w:cs="宋体"/>
                <w:color w:val="auto"/>
                <w:kern w:val="0"/>
                <w:sz w:val="24"/>
              </w:rPr>
              <w:t>综上所述，从环境保护角度分析，项目选址是可行的。</w:t>
            </w:r>
          </w:p>
          <w:p w14:paraId="410E2257">
            <w:pPr>
              <w:autoSpaceDE w:val="0"/>
              <w:autoSpaceDN w:val="0"/>
              <w:adjustRightInd w:val="0"/>
              <w:snapToGrid w:val="0"/>
              <w:spacing w:line="360" w:lineRule="auto"/>
              <w:rPr>
                <w:rFonts w:hint="eastAsia" w:ascii="Times New Roman" w:hAnsi="Times New Roman" w:cs="宋体"/>
                <w:color w:val="auto"/>
                <w:kern w:val="0"/>
                <w:sz w:val="24"/>
              </w:rPr>
            </w:pPr>
          </w:p>
        </w:tc>
      </w:tr>
    </w:tbl>
    <w:p w14:paraId="4ACA4301">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jc w:val="center"/>
        <w:textAlignment w:val="auto"/>
        <w:outlineLvl w:val="0"/>
        <w:rPr>
          <w:rFonts w:hint="eastAsia" w:ascii="Times New Roman" w:hAnsi="Times New Roman" w:eastAsia="黑体" w:cs="Times New Roman"/>
          <w:snapToGrid w:val="0"/>
          <w:color w:val="auto"/>
          <w:sz w:val="30"/>
          <w:szCs w:val="30"/>
        </w:rPr>
      </w:pPr>
      <w:bookmarkStart w:id="3" w:name="_Toc17013"/>
      <w:bookmarkStart w:id="4" w:name="_Toc24336"/>
      <w:r>
        <w:rPr>
          <w:rFonts w:hint="eastAsia" w:ascii="Times New Roman" w:hAnsi="Times New Roman" w:eastAsia="黑体" w:cs="Times New Roman"/>
          <w:snapToGrid w:val="0"/>
          <w:color w:val="auto"/>
          <w:sz w:val="30"/>
          <w:szCs w:val="30"/>
        </w:rPr>
        <w:t>二、建设项目工程分析</w:t>
      </w:r>
      <w:bookmarkEnd w:id="3"/>
      <w:bookmarkEnd w:id="4"/>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728"/>
      </w:tblGrid>
      <w:tr w14:paraId="1189D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tcPr>
          <w:p w14:paraId="12C2D23B">
            <w:pPr>
              <w:rPr>
                <w:rFonts w:hint="eastAsia" w:ascii="Times New Roman" w:hAnsi="Times New Roman" w:cs="宋体"/>
                <w:color w:val="auto"/>
                <w:sz w:val="24"/>
                <w:szCs w:val="24"/>
              </w:rPr>
            </w:pPr>
          </w:p>
          <w:p w14:paraId="69756328">
            <w:pPr>
              <w:rPr>
                <w:rFonts w:hint="eastAsia" w:ascii="Times New Roman" w:hAnsi="Times New Roman" w:cs="宋体"/>
                <w:color w:val="auto"/>
                <w:sz w:val="24"/>
                <w:szCs w:val="24"/>
              </w:rPr>
            </w:pPr>
          </w:p>
          <w:p w14:paraId="278A28F1">
            <w:pPr>
              <w:rPr>
                <w:rFonts w:hint="eastAsia" w:ascii="Times New Roman" w:hAnsi="Times New Roman" w:cs="宋体"/>
                <w:color w:val="auto"/>
                <w:sz w:val="24"/>
                <w:szCs w:val="24"/>
              </w:rPr>
            </w:pPr>
          </w:p>
          <w:p w14:paraId="65AED75B">
            <w:pPr>
              <w:rPr>
                <w:rFonts w:hint="eastAsia" w:ascii="Times New Roman" w:hAnsi="Times New Roman" w:cs="宋体"/>
                <w:color w:val="auto"/>
                <w:sz w:val="24"/>
                <w:szCs w:val="24"/>
              </w:rPr>
            </w:pPr>
          </w:p>
          <w:p w14:paraId="1644A2E0">
            <w:pPr>
              <w:rPr>
                <w:rFonts w:hint="eastAsia" w:ascii="Times New Roman" w:hAnsi="Times New Roman" w:cs="宋体"/>
                <w:color w:val="auto"/>
                <w:sz w:val="24"/>
                <w:szCs w:val="24"/>
              </w:rPr>
            </w:pPr>
          </w:p>
          <w:p w14:paraId="6CFDCC1F">
            <w:pPr>
              <w:rPr>
                <w:rFonts w:hint="eastAsia" w:ascii="Times New Roman" w:hAnsi="Times New Roman" w:cs="宋体"/>
                <w:color w:val="auto"/>
                <w:sz w:val="24"/>
                <w:szCs w:val="24"/>
              </w:rPr>
            </w:pPr>
          </w:p>
          <w:p w14:paraId="2D1D7EED">
            <w:pPr>
              <w:rPr>
                <w:rFonts w:hint="eastAsia" w:ascii="Times New Roman" w:hAnsi="Times New Roman" w:cs="宋体"/>
                <w:color w:val="auto"/>
                <w:sz w:val="24"/>
                <w:szCs w:val="24"/>
              </w:rPr>
            </w:pPr>
          </w:p>
          <w:p w14:paraId="3E7DDEB0">
            <w:pPr>
              <w:rPr>
                <w:rFonts w:hint="eastAsia" w:ascii="Times New Roman" w:hAnsi="Times New Roman" w:cs="宋体"/>
                <w:color w:val="auto"/>
                <w:sz w:val="24"/>
                <w:szCs w:val="24"/>
              </w:rPr>
            </w:pPr>
          </w:p>
          <w:p w14:paraId="61E8F4E5">
            <w:pPr>
              <w:rPr>
                <w:rFonts w:hint="eastAsia" w:ascii="Times New Roman" w:hAnsi="Times New Roman" w:cs="宋体"/>
                <w:color w:val="auto"/>
                <w:sz w:val="24"/>
                <w:szCs w:val="24"/>
              </w:rPr>
            </w:pPr>
          </w:p>
          <w:p w14:paraId="4C6C5A0E">
            <w:pPr>
              <w:rPr>
                <w:rFonts w:hint="eastAsia" w:ascii="Times New Roman" w:hAnsi="Times New Roman" w:cs="宋体"/>
                <w:color w:val="auto"/>
                <w:sz w:val="24"/>
                <w:szCs w:val="24"/>
              </w:rPr>
            </w:pPr>
          </w:p>
          <w:p w14:paraId="7B464D07">
            <w:pPr>
              <w:rPr>
                <w:rFonts w:hint="eastAsia" w:ascii="Times New Roman" w:hAnsi="Times New Roman" w:cs="宋体"/>
                <w:color w:val="auto"/>
                <w:sz w:val="24"/>
                <w:szCs w:val="24"/>
              </w:rPr>
            </w:pPr>
          </w:p>
          <w:p w14:paraId="2ADE37D5">
            <w:pPr>
              <w:rPr>
                <w:rFonts w:hint="eastAsia" w:ascii="Times New Roman" w:hAnsi="Times New Roman" w:cs="宋体"/>
                <w:color w:val="auto"/>
                <w:sz w:val="24"/>
                <w:szCs w:val="24"/>
              </w:rPr>
            </w:pPr>
          </w:p>
          <w:p w14:paraId="38A5E164">
            <w:pPr>
              <w:rPr>
                <w:rFonts w:hint="eastAsia" w:ascii="Times New Roman" w:hAnsi="Times New Roman" w:cs="宋体"/>
                <w:color w:val="auto"/>
                <w:sz w:val="24"/>
                <w:szCs w:val="24"/>
              </w:rPr>
            </w:pPr>
          </w:p>
          <w:p w14:paraId="76E85C7D">
            <w:pPr>
              <w:rPr>
                <w:rFonts w:hint="eastAsia" w:ascii="Times New Roman" w:hAnsi="Times New Roman" w:cs="宋体"/>
                <w:color w:val="auto"/>
                <w:sz w:val="24"/>
                <w:szCs w:val="24"/>
              </w:rPr>
            </w:pPr>
          </w:p>
          <w:p w14:paraId="7C53CEBE">
            <w:pPr>
              <w:rPr>
                <w:rFonts w:hint="eastAsia" w:ascii="Times New Roman" w:hAnsi="Times New Roman" w:cs="宋体"/>
                <w:color w:val="auto"/>
                <w:sz w:val="24"/>
                <w:szCs w:val="24"/>
              </w:rPr>
            </w:pPr>
          </w:p>
          <w:p w14:paraId="20760A42">
            <w:pPr>
              <w:rPr>
                <w:rFonts w:hint="eastAsia" w:ascii="Times New Roman" w:hAnsi="Times New Roman" w:cs="宋体"/>
                <w:color w:val="auto"/>
                <w:sz w:val="24"/>
                <w:szCs w:val="24"/>
              </w:rPr>
            </w:pPr>
          </w:p>
          <w:p w14:paraId="622ABE92">
            <w:pPr>
              <w:jc w:val="center"/>
              <w:rPr>
                <w:rFonts w:hint="eastAsia" w:ascii="Times New Roman" w:hAnsi="Times New Roman" w:cs="宋体"/>
                <w:snapToGrid w:val="0"/>
                <w:color w:val="auto"/>
                <w:szCs w:val="24"/>
                <w:vertAlign w:val="baseline"/>
              </w:rPr>
            </w:pPr>
            <w:r>
              <w:rPr>
                <w:rFonts w:hint="eastAsia" w:ascii="Times New Roman" w:hAnsi="Times New Roman" w:cs="宋体"/>
                <w:color w:val="auto"/>
                <w:sz w:val="24"/>
                <w:szCs w:val="24"/>
              </w:rPr>
              <w:t>建设内容</w:t>
            </w:r>
          </w:p>
        </w:tc>
        <w:tc>
          <w:tcPr>
            <w:tcW w:w="7728" w:type="dxa"/>
            <w:tcBorders>
              <w:tl2br w:val="nil"/>
              <w:tr2bl w:val="nil"/>
            </w:tcBorders>
          </w:tcPr>
          <w:p w14:paraId="799E777C">
            <w:pPr>
              <w:adjustRightInd w:val="0"/>
              <w:snapToGrid w:val="0"/>
              <w:spacing w:line="360" w:lineRule="auto"/>
              <w:rPr>
                <w:rFonts w:ascii="Times New Roman" w:hAnsi="Times New Roman" w:cs="宋体"/>
                <w:b/>
                <w:bCs/>
                <w:color w:val="auto"/>
                <w:sz w:val="24"/>
              </w:rPr>
            </w:pPr>
            <w:r>
              <w:rPr>
                <w:rFonts w:hint="eastAsia" w:ascii="Times New Roman" w:hAnsi="Times New Roman" w:cs="宋体"/>
                <w:b/>
                <w:bCs/>
                <w:color w:val="auto"/>
                <w:sz w:val="24"/>
                <w:lang w:val="en-US" w:eastAsia="zh-CN"/>
              </w:rPr>
              <w:t>1.</w:t>
            </w:r>
            <w:r>
              <w:rPr>
                <w:rFonts w:hint="eastAsia" w:ascii="Times New Roman" w:hAnsi="Times New Roman" w:cs="宋体"/>
                <w:b/>
                <w:bCs/>
                <w:color w:val="auto"/>
                <w:sz w:val="24"/>
              </w:rPr>
              <w:t>项目概况</w:t>
            </w:r>
          </w:p>
          <w:p w14:paraId="610E4243">
            <w:pPr>
              <w:adjustRightInd w:val="0"/>
              <w:snapToGrid w:val="0"/>
              <w:spacing w:line="360" w:lineRule="auto"/>
              <w:ind w:firstLine="480" w:firstLineChars="200"/>
              <w:rPr>
                <w:rFonts w:hint="eastAsia" w:ascii="Times New Roman" w:hAnsi="Times New Roman" w:eastAsia="宋体" w:cs="宋体"/>
                <w:bCs/>
                <w:color w:val="auto"/>
                <w:sz w:val="24"/>
                <w:lang w:eastAsia="zh-CN"/>
              </w:rPr>
            </w:pPr>
            <w:r>
              <w:rPr>
                <w:rFonts w:hint="eastAsia" w:ascii="Times New Roman" w:hAnsi="Times New Roman" w:eastAsia="宋体" w:cs="Times New Roman"/>
                <w:sz w:val="24"/>
                <w:szCs w:val="24"/>
                <w:lang w:val="en-US" w:eastAsia="zh-CN"/>
              </w:rPr>
              <w:t>陕西金丰家易平建材有限公司</w:t>
            </w:r>
            <w:r>
              <w:rPr>
                <w:rFonts w:hint="eastAsia" w:ascii="Times New Roman" w:hAnsi="Times New Roman" w:eastAsia="宋体" w:cs="Times New Roman"/>
                <w:sz w:val="24"/>
                <w:szCs w:val="24"/>
              </w:rPr>
              <w:t>（营业</w:t>
            </w:r>
            <w:r>
              <w:rPr>
                <w:rFonts w:hint="eastAsia" w:ascii="Times New Roman" w:hAnsi="Times New Roman" w:cs="宋体"/>
                <w:bCs/>
                <w:color w:val="auto"/>
                <w:sz w:val="24"/>
              </w:rPr>
              <w:t>执照见附件</w:t>
            </w:r>
            <w:r>
              <w:rPr>
                <w:rFonts w:hint="eastAsia" w:ascii="Times New Roman" w:hAnsi="Times New Roman" w:cs="宋体"/>
                <w:bCs/>
                <w:color w:val="auto"/>
                <w:sz w:val="24"/>
                <w:lang w:val="en-US" w:eastAsia="zh-CN"/>
              </w:rPr>
              <w:t>二</w:t>
            </w:r>
            <w:r>
              <w:rPr>
                <w:rFonts w:hint="eastAsia" w:ascii="Times New Roman" w:hAnsi="Times New Roman" w:cs="宋体"/>
                <w:bCs/>
                <w:color w:val="auto"/>
                <w:sz w:val="24"/>
              </w:rPr>
              <w:t>）</w:t>
            </w:r>
            <w:r>
              <w:rPr>
                <w:rFonts w:hint="eastAsia" w:ascii="Times New Roman" w:hAnsi="Times New Roman" w:eastAsia="宋体" w:cs="Times New Roman"/>
                <w:sz w:val="24"/>
                <w:szCs w:val="24"/>
                <w:lang w:val="en-US" w:eastAsia="zh-CN"/>
              </w:rPr>
              <w:t>陕西省西咸新区沣西新城大王街办西宝路6号</w:t>
            </w:r>
            <w:r>
              <w:rPr>
                <w:rFonts w:hint="eastAsia" w:ascii="Times New Roman" w:hAnsi="Times New Roman" w:cs="宋体"/>
                <w:bCs/>
                <w:color w:val="auto"/>
                <w:sz w:val="24"/>
              </w:rPr>
              <w:t>，</w:t>
            </w:r>
            <w:r>
              <w:rPr>
                <w:rFonts w:hint="eastAsia" w:ascii="Times New Roman" w:hAnsi="Times New Roman" w:cs="宋体"/>
                <w:bCs/>
                <w:color w:val="auto"/>
                <w:sz w:val="24"/>
                <w:lang w:val="en-US" w:eastAsia="zh-CN"/>
              </w:rPr>
              <w:t>租赁钢结构厂房</w:t>
            </w:r>
            <w:r>
              <w:rPr>
                <w:rFonts w:hint="eastAsia" w:ascii="Times New Roman" w:hAnsi="Times New Roman" w:eastAsia="宋体" w:cs="宋体"/>
                <w:bCs/>
                <w:color w:val="auto"/>
                <w:sz w:val="24"/>
                <w:lang w:val="en-US" w:eastAsia="zh-CN"/>
              </w:rPr>
              <w:t>，</w:t>
            </w:r>
            <w:r>
              <w:rPr>
                <w:rFonts w:hint="eastAsia" w:ascii="Times New Roman" w:hAnsi="Times New Roman" w:cs="宋体"/>
                <w:bCs/>
                <w:color w:val="auto"/>
                <w:sz w:val="24"/>
                <w:lang w:val="en-US" w:eastAsia="zh-CN"/>
              </w:rPr>
              <w:t>办公室2间以及宿舍2间，</w:t>
            </w:r>
            <w:r>
              <w:rPr>
                <w:rFonts w:hint="eastAsia" w:ascii="Times New Roman" w:hAnsi="Times New Roman" w:cs="宋体"/>
                <w:color w:val="auto"/>
                <w:kern w:val="0"/>
                <w:sz w:val="24"/>
              </w:rPr>
              <w:t>该用地性质为工业用地（土地类型见附件</w:t>
            </w:r>
            <w:r>
              <w:rPr>
                <w:rFonts w:hint="eastAsia" w:ascii="Times New Roman" w:hAnsi="Times New Roman" w:cs="宋体"/>
                <w:color w:val="auto"/>
                <w:kern w:val="0"/>
                <w:sz w:val="24"/>
                <w:lang w:val="en-US" w:eastAsia="zh-CN"/>
              </w:rPr>
              <w:t>四</w:t>
            </w:r>
            <w:r>
              <w:rPr>
                <w:rFonts w:hint="eastAsia" w:ascii="Times New Roman" w:hAnsi="Times New Roman" w:cs="宋体"/>
                <w:color w:val="auto"/>
                <w:kern w:val="0"/>
                <w:sz w:val="24"/>
              </w:rPr>
              <w:t>，租赁合同见附件</w:t>
            </w:r>
            <w:r>
              <w:rPr>
                <w:rFonts w:hint="eastAsia" w:ascii="Times New Roman" w:hAnsi="Times New Roman" w:cs="宋体"/>
                <w:color w:val="auto"/>
                <w:kern w:val="0"/>
                <w:sz w:val="24"/>
                <w:lang w:val="en-US" w:eastAsia="zh-CN"/>
              </w:rPr>
              <w:t>五</w:t>
            </w:r>
            <w:r>
              <w:rPr>
                <w:rFonts w:hint="eastAsia" w:ascii="Times New Roman" w:hAnsi="Times New Roman" w:cs="宋体"/>
                <w:color w:val="auto"/>
                <w:kern w:val="0"/>
                <w:sz w:val="24"/>
              </w:rPr>
              <w:t>）</w:t>
            </w:r>
            <w:r>
              <w:rPr>
                <w:rFonts w:hint="eastAsia" w:ascii="Times New Roman" w:hAnsi="Times New Roman" w:cs="宋体"/>
                <w:bCs/>
                <w:color w:val="auto"/>
                <w:sz w:val="24"/>
                <w:lang w:val="en-US" w:eastAsia="zh-CN"/>
              </w:rPr>
              <w:t>。</w:t>
            </w:r>
            <w:r>
              <w:rPr>
                <w:rFonts w:hint="eastAsia" w:ascii="Times New Roman" w:hAnsi="Times New Roman" w:eastAsia="宋体" w:cs="宋体"/>
                <w:bCs/>
                <w:color w:val="auto"/>
                <w:sz w:val="24"/>
                <w:lang w:val="en-US" w:eastAsia="zh-CN"/>
              </w:rPr>
              <w:t>新建</w:t>
            </w:r>
            <w:r>
              <w:rPr>
                <w:rFonts w:hint="eastAsia" w:ascii="Times New Roman" w:hAnsi="Times New Roman" w:cs="宋体"/>
                <w:bCs/>
                <w:color w:val="auto"/>
                <w:sz w:val="24"/>
                <w:lang w:val="en-US" w:eastAsia="zh-CN"/>
              </w:rPr>
              <w:t>1</w:t>
            </w:r>
            <w:r>
              <w:rPr>
                <w:rFonts w:hint="eastAsia" w:ascii="Times New Roman" w:hAnsi="Times New Roman" w:eastAsia="宋体" w:cs="宋体"/>
                <w:bCs/>
                <w:color w:val="auto"/>
                <w:sz w:val="24"/>
                <w:lang w:val="en-US" w:eastAsia="zh-CN"/>
              </w:rPr>
              <w:t>条生产线，生产腻子粉、石膏粉、砂浆</w:t>
            </w:r>
            <w:r>
              <w:rPr>
                <w:rFonts w:hint="eastAsia" w:ascii="Times New Roman" w:hAnsi="Times New Roman" w:cs="宋体"/>
                <w:bCs/>
                <w:color w:val="auto"/>
                <w:sz w:val="24"/>
                <w:lang w:val="en-US" w:eastAsia="zh-CN"/>
              </w:rPr>
              <w:t>，</w:t>
            </w:r>
            <w:r>
              <w:rPr>
                <w:rFonts w:hint="eastAsia" w:ascii="Times New Roman" w:hAnsi="Times New Roman" w:eastAsia="宋体" w:cs="宋体"/>
                <w:bCs/>
                <w:color w:val="auto"/>
                <w:sz w:val="24"/>
                <w:lang w:val="en-US" w:eastAsia="zh-CN"/>
              </w:rPr>
              <w:t>购置料仓、搅拌机等设备及其配套设施。项目于2023年8月30</w:t>
            </w:r>
            <w:r>
              <w:rPr>
                <w:rFonts w:hint="eastAsia" w:ascii="Times New Roman" w:hAnsi="Times New Roman" w:eastAsia="宋体" w:cs="宋体"/>
                <w:bCs/>
                <w:color w:val="auto"/>
                <w:sz w:val="24"/>
              </w:rPr>
              <w:t>日取得陕西省西咸新区沣西新城管理委员会</w:t>
            </w:r>
            <w:r>
              <w:rPr>
                <w:rFonts w:hint="eastAsia" w:ascii="Times New Roman" w:hAnsi="Times New Roman" w:eastAsia="宋体" w:cs="宋体"/>
                <w:bCs/>
                <w:color w:val="auto"/>
                <w:sz w:val="24"/>
                <w:lang w:val="en-US" w:eastAsia="zh-CN"/>
              </w:rPr>
              <w:t>出具</w:t>
            </w:r>
            <w:r>
              <w:rPr>
                <w:rFonts w:hint="eastAsia" w:ascii="Times New Roman" w:hAnsi="Times New Roman" w:eastAsia="宋体" w:cs="宋体"/>
                <w:bCs/>
                <w:color w:val="auto"/>
                <w:sz w:val="24"/>
              </w:rPr>
              <w:t>的</w:t>
            </w:r>
            <w:r>
              <w:rPr>
                <w:rFonts w:hint="eastAsia" w:ascii="Times New Roman" w:hAnsi="Times New Roman" w:eastAsia="宋体" w:cs="宋体"/>
                <w:bCs/>
                <w:color w:val="auto"/>
                <w:sz w:val="24"/>
                <w:lang w:eastAsia="zh-CN"/>
              </w:rPr>
              <w:t>《</w:t>
            </w:r>
            <w:r>
              <w:rPr>
                <w:rFonts w:hint="default" w:ascii="Times New Roman" w:hAnsi="Times New Roman" w:eastAsia="宋体" w:cs="宋体"/>
                <w:bCs/>
                <w:color w:val="auto"/>
                <w:sz w:val="24"/>
                <w:lang w:eastAsia="zh-CN"/>
              </w:rPr>
              <w:t>三</w:t>
            </w:r>
            <w:r>
              <w:rPr>
                <w:rFonts w:hint="default" w:ascii="Times New Roman" w:hAnsi="Times New Roman" w:eastAsia="宋体" w:cs="Times New Roman"/>
                <w:sz w:val="24"/>
                <w:szCs w:val="24"/>
                <w:lang w:eastAsia="zh-CN"/>
              </w:rPr>
              <w:t>强新型</w:t>
            </w:r>
            <w:r>
              <w:rPr>
                <w:rFonts w:hint="eastAsia" w:ascii="Times New Roman" w:hAnsi="Times New Roman" w:eastAsia="宋体" w:cs="Times New Roman"/>
                <w:sz w:val="24"/>
                <w:szCs w:val="24"/>
                <w:lang w:val="en-US" w:eastAsia="zh-CN"/>
              </w:rPr>
              <w:t>建筑材料生产线项目备案确认书</w:t>
            </w:r>
            <w:r>
              <w:rPr>
                <w:rFonts w:hint="eastAsia" w:ascii="Times New Roman" w:hAnsi="Times New Roman" w:eastAsia="宋体" w:cs="宋体"/>
                <w:bCs/>
                <w:color w:val="auto"/>
                <w:sz w:val="24"/>
                <w:lang w:eastAsia="zh-CN"/>
              </w:rPr>
              <w:t>》</w:t>
            </w:r>
            <w:r>
              <w:rPr>
                <w:rFonts w:hint="eastAsia" w:ascii="Times New Roman" w:hAnsi="Times New Roman" w:eastAsia="宋体" w:cs="宋体"/>
                <w:bCs/>
                <w:color w:val="auto"/>
                <w:sz w:val="24"/>
              </w:rPr>
              <w:t>备案文件</w:t>
            </w:r>
            <w:r>
              <w:rPr>
                <w:rFonts w:hint="eastAsia" w:ascii="Times New Roman" w:hAnsi="Times New Roman" w:cs="宋体"/>
                <w:bCs/>
                <w:color w:val="auto"/>
                <w:sz w:val="24"/>
                <w:lang w:eastAsia="zh-CN"/>
              </w:rPr>
              <w:t>，</w:t>
            </w:r>
            <w:r>
              <w:rPr>
                <w:rFonts w:hint="eastAsia" w:ascii="Times New Roman" w:hAnsi="Times New Roman" w:cs="宋体"/>
                <w:bCs/>
                <w:color w:val="auto"/>
                <w:sz w:val="24"/>
                <w:lang w:val="en-US" w:eastAsia="zh-CN"/>
              </w:rPr>
              <w:t>项目代码</w:t>
            </w:r>
            <w:r>
              <w:rPr>
                <w:rFonts w:hint="default" w:ascii="Times New Roman" w:hAnsi="Times New Roman" w:eastAsia="宋体" w:cs="Times New Roman"/>
                <w:sz w:val="24"/>
                <w:szCs w:val="24"/>
                <w:lang w:val="en-US" w:eastAsia="zh-CN"/>
              </w:rPr>
              <w:t>2308-611205-04-05-539123</w:t>
            </w:r>
            <w:r>
              <w:rPr>
                <w:rFonts w:hint="eastAsia" w:ascii="Times New Roman" w:hAnsi="Times New Roman" w:eastAsia="宋体" w:cs="宋体"/>
                <w:bCs/>
                <w:color w:val="auto"/>
                <w:sz w:val="24"/>
              </w:rPr>
              <w:t>（附件</w:t>
            </w:r>
            <w:r>
              <w:rPr>
                <w:rFonts w:hint="eastAsia" w:ascii="Times New Roman" w:hAnsi="Times New Roman" w:cs="宋体"/>
                <w:bCs/>
                <w:color w:val="auto"/>
                <w:sz w:val="24"/>
                <w:lang w:val="en-US" w:eastAsia="zh-CN"/>
              </w:rPr>
              <w:t>二</w:t>
            </w:r>
            <w:r>
              <w:rPr>
                <w:rFonts w:hint="eastAsia" w:ascii="Times New Roman" w:hAnsi="Times New Roman" w:eastAsia="宋体" w:cs="宋体"/>
                <w:bCs/>
                <w:color w:val="auto"/>
                <w:sz w:val="24"/>
              </w:rPr>
              <w:t>）</w:t>
            </w:r>
            <w:r>
              <w:rPr>
                <w:rFonts w:hint="eastAsia" w:ascii="Times New Roman" w:hAnsi="Times New Roman" w:eastAsia="宋体" w:cs="宋体"/>
                <w:bCs/>
                <w:color w:val="auto"/>
                <w:sz w:val="24"/>
                <w:lang w:eastAsia="zh-CN"/>
              </w:rPr>
              <w:t>。</w:t>
            </w:r>
          </w:p>
          <w:p w14:paraId="7D0BF8B9">
            <w:pPr>
              <w:adjustRightInd w:val="0"/>
              <w:snapToGrid w:val="0"/>
              <w:spacing w:line="360" w:lineRule="auto"/>
              <w:ind w:firstLine="480" w:firstLineChars="200"/>
              <w:rPr>
                <w:rFonts w:hint="eastAsia" w:ascii="Times New Roman" w:hAnsi="Times New Roman" w:cs="宋体"/>
                <w:color w:val="auto"/>
                <w:sz w:val="24"/>
              </w:rPr>
            </w:pPr>
            <w:r>
              <w:rPr>
                <w:rFonts w:hint="eastAsia" w:ascii="Times New Roman" w:hAnsi="Times New Roman" w:cs="宋体"/>
                <w:bCs/>
                <w:color w:val="auto"/>
                <w:sz w:val="24"/>
              </w:rPr>
              <w:t>根据《中华人民共和国环境保护法》《中华人民共和国环境影响评价法》《建设项目环境保护管理条例》等有关法律法规要求，该项目应进行环境影响评价。对照《建设项目环境影响评价分类管理名录》（2021年版），本项目属于</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rPr>
              <w:t>二十七、非金属矿物制品业30—55石膏、水泥制品及类似制品制造302</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rPr>
              <w:t>—商品混凝土；砼结构构件制造；水泥制品制造</w:t>
            </w:r>
            <w:r>
              <w:rPr>
                <w:rFonts w:hint="eastAsia" w:ascii="Times New Roman" w:hAnsi="Times New Roman" w:cs="宋体"/>
                <w:color w:val="auto"/>
                <w:sz w:val="24"/>
                <w:szCs w:val="24"/>
                <w:lang w:eastAsia="zh-CN"/>
              </w:rPr>
              <w:t>，</w:t>
            </w:r>
            <w:r>
              <w:rPr>
                <w:rFonts w:hint="eastAsia" w:ascii="Times New Roman" w:hAnsi="Times New Roman" w:cs="宋体"/>
                <w:color w:val="auto"/>
                <w:sz w:val="24"/>
                <w:lang w:val="en-US" w:eastAsia="zh-CN"/>
              </w:rPr>
              <w:t>因此</w:t>
            </w:r>
            <w:r>
              <w:rPr>
                <w:rFonts w:hint="eastAsia" w:ascii="Times New Roman" w:hAnsi="Times New Roman" w:cs="宋体"/>
                <w:color w:val="auto"/>
                <w:sz w:val="24"/>
              </w:rPr>
              <w:t>本项目应编制环境影响报告表。</w:t>
            </w:r>
          </w:p>
          <w:p w14:paraId="331F6945">
            <w:pPr>
              <w:adjustRightInd w:val="0"/>
              <w:snapToGrid w:val="0"/>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14:textFill>
                  <w14:solidFill>
                    <w14:schemeClr w14:val="tx1"/>
                  </w14:solidFill>
                </w14:textFill>
              </w:rPr>
              <w:t>月，受</w:t>
            </w:r>
            <w:r>
              <w:rPr>
                <w:rFonts w:hint="eastAsia" w:ascii="Times New Roman" w:hAnsi="Times New Roman" w:eastAsia="宋体" w:cs="Times New Roman"/>
                <w:sz w:val="24"/>
                <w:szCs w:val="24"/>
                <w:lang w:val="en-US" w:eastAsia="zh-CN"/>
              </w:rPr>
              <w:t>陕西金丰家易平建材有限公司</w:t>
            </w:r>
            <w:r>
              <w:rPr>
                <w:rFonts w:hint="default" w:ascii="Times New Roman" w:hAnsi="Times New Roman" w:cs="Times New Roman"/>
                <w:color w:val="000000" w:themeColor="text1"/>
                <w:sz w:val="24"/>
                <w14:textFill>
                  <w14:solidFill>
                    <w14:schemeClr w14:val="tx1"/>
                  </w14:solidFill>
                </w14:textFill>
              </w:rPr>
              <w:t>委托，我公司组织工程技术人员进行了现场调查，研读了有关政策与技术文件，在收集现有资料的基础上，通过综合整理和认真分析研究，编制完成了该项目环境影响报告表。为项目环保设计、业主环保设施运行管理、当地生态环境行政管理部门进行环境管理提供科学依据。</w:t>
            </w:r>
          </w:p>
          <w:p w14:paraId="15E769D0">
            <w:pPr>
              <w:adjustRightInd w:val="0"/>
              <w:snapToGrid w:val="0"/>
              <w:spacing w:line="360" w:lineRule="auto"/>
              <w:rPr>
                <w:rFonts w:ascii="Times New Roman" w:hAnsi="Times New Roman" w:cs="宋体"/>
                <w:b/>
                <w:color w:val="auto"/>
                <w:sz w:val="24"/>
              </w:rPr>
            </w:pPr>
            <w:r>
              <w:rPr>
                <w:rFonts w:hint="eastAsia" w:ascii="Times New Roman" w:hAnsi="Times New Roman" w:cs="宋体"/>
                <w:b/>
                <w:color w:val="auto"/>
                <w:sz w:val="24"/>
                <w:lang w:val="en-US" w:eastAsia="zh-CN"/>
              </w:rPr>
              <w:t>2.</w:t>
            </w:r>
            <w:r>
              <w:rPr>
                <w:rFonts w:hint="default" w:ascii="Times New Roman" w:hAnsi="Times New Roman" w:cs="Times New Roman"/>
                <w:b/>
                <w:bCs/>
                <w:sz w:val="24"/>
              </w:rPr>
              <w:t>项目基本情况</w:t>
            </w:r>
          </w:p>
          <w:p w14:paraId="782569E6">
            <w:pPr>
              <w:adjustRightInd w:val="0"/>
              <w:snapToGrid w:val="0"/>
              <w:spacing w:line="360" w:lineRule="auto"/>
              <w:ind w:firstLine="240" w:firstLineChars="1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（1）项目名称：</w:t>
            </w:r>
            <w:r>
              <w:rPr>
                <w:rFonts w:hint="default" w:ascii="Times New Roman" w:hAnsi="Times New Roman" w:eastAsia="宋体" w:cs="Times New Roman"/>
                <w:sz w:val="24"/>
                <w:szCs w:val="24"/>
                <w:lang w:eastAsia="zh-CN"/>
              </w:rPr>
              <w:t>三强新型</w:t>
            </w:r>
            <w:r>
              <w:rPr>
                <w:rFonts w:hint="eastAsia" w:ascii="Times New Roman" w:hAnsi="Times New Roman" w:eastAsia="宋体" w:cs="Times New Roman"/>
                <w:sz w:val="24"/>
                <w:szCs w:val="24"/>
                <w:lang w:val="en-US" w:eastAsia="zh-CN"/>
              </w:rPr>
              <w:t>建筑材料生产线项目</w:t>
            </w:r>
          </w:p>
          <w:p w14:paraId="65C994FB">
            <w:pPr>
              <w:adjustRightInd w:val="0"/>
              <w:snapToGrid w:val="0"/>
              <w:spacing w:line="360" w:lineRule="auto"/>
              <w:ind w:firstLine="240" w:firstLineChars="100"/>
              <w:rPr>
                <w:rFonts w:hint="default" w:ascii="Times New Roman" w:hAnsi="Times New Roman" w:cs="Times New Roman"/>
                <w:sz w:val="24"/>
              </w:rPr>
            </w:pPr>
            <w:r>
              <w:rPr>
                <w:rFonts w:hint="default" w:ascii="Times New Roman" w:hAnsi="Times New Roman" w:cs="Times New Roman"/>
                <w:sz w:val="24"/>
              </w:rPr>
              <w:t>（2）建设单位：</w:t>
            </w:r>
            <w:r>
              <w:rPr>
                <w:rFonts w:hint="eastAsia" w:ascii="Times New Roman" w:hAnsi="Times New Roman" w:eastAsia="宋体" w:cs="Times New Roman"/>
                <w:sz w:val="24"/>
                <w:szCs w:val="24"/>
                <w:lang w:val="en-US" w:eastAsia="zh-CN"/>
              </w:rPr>
              <w:t>陕西金丰家易平建材有限公司</w:t>
            </w:r>
          </w:p>
          <w:p w14:paraId="278642CE">
            <w:pPr>
              <w:adjustRightInd w:val="0"/>
              <w:snapToGrid w:val="0"/>
              <w:spacing w:line="360" w:lineRule="auto"/>
              <w:ind w:firstLine="240" w:firstLineChars="100"/>
              <w:rPr>
                <w:rFonts w:hint="default" w:ascii="Times New Roman" w:hAnsi="Times New Roman" w:cs="Times New Roman"/>
                <w:sz w:val="24"/>
              </w:rPr>
            </w:pPr>
            <w:r>
              <w:rPr>
                <w:rFonts w:hint="default" w:ascii="Times New Roman" w:hAnsi="Times New Roman" w:cs="Times New Roman"/>
                <w:sz w:val="24"/>
              </w:rPr>
              <w:t>（3）建设性质：新建</w:t>
            </w:r>
          </w:p>
          <w:p w14:paraId="68A47B33">
            <w:pPr>
              <w:adjustRightInd w:val="0"/>
              <w:snapToGrid w:val="0"/>
              <w:spacing w:line="360" w:lineRule="auto"/>
              <w:ind w:firstLine="240" w:firstLineChars="100"/>
              <w:rPr>
                <w:rFonts w:hint="default" w:ascii="Times New Roman" w:hAnsi="Times New Roman" w:cs="Times New Roman"/>
                <w:sz w:val="24"/>
              </w:rPr>
            </w:pPr>
            <w:r>
              <w:rPr>
                <w:rFonts w:hint="default" w:ascii="Times New Roman" w:hAnsi="Times New Roman" w:cs="Times New Roman"/>
                <w:sz w:val="24"/>
              </w:rPr>
              <w:t>（4）建设地点：</w:t>
            </w:r>
            <w:r>
              <w:rPr>
                <w:rFonts w:hint="default" w:ascii="Times New Roman" w:hAnsi="Times New Roman" w:eastAsia="宋体" w:cs="Times New Roman"/>
                <w:sz w:val="24"/>
                <w:szCs w:val="24"/>
              </w:rPr>
              <w:t>陕西省西咸新区</w:t>
            </w:r>
            <w:r>
              <w:rPr>
                <w:rFonts w:hint="eastAsia" w:ascii="Times New Roman" w:hAnsi="Times New Roman" w:eastAsia="宋体" w:cs="Times New Roman"/>
                <w:sz w:val="24"/>
                <w:szCs w:val="24"/>
                <w:lang w:val="en-US" w:eastAsia="zh-CN"/>
              </w:rPr>
              <w:t>沣</w:t>
            </w:r>
            <w:r>
              <w:rPr>
                <w:rFonts w:hint="default" w:ascii="Times New Roman" w:hAnsi="Times New Roman" w:eastAsia="宋体" w:cs="Times New Roman"/>
                <w:sz w:val="24"/>
                <w:szCs w:val="24"/>
                <w:lang w:eastAsia="zh-CN"/>
              </w:rPr>
              <w:t>西</w:t>
            </w:r>
            <w:r>
              <w:rPr>
                <w:rFonts w:hint="default" w:ascii="Times New Roman" w:hAnsi="Times New Roman" w:eastAsia="宋体" w:cs="Times New Roman"/>
                <w:sz w:val="24"/>
                <w:szCs w:val="24"/>
              </w:rPr>
              <w:t>新城</w:t>
            </w:r>
            <w:r>
              <w:rPr>
                <w:rFonts w:hint="eastAsia" w:ascii="Times New Roman" w:hAnsi="Times New Roman" w:cs="Times New Roman"/>
                <w:sz w:val="24"/>
                <w:szCs w:val="24"/>
                <w:lang w:eastAsia="zh-CN"/>
              </w:rPr>
              <w:t>大王街办</w:t>
            </w:r>
            <w:r>
              <w:rPr>
                <w:rFonts w:hint="default" w:ascii="Times New Roman" w:hAnsi="Times New Roman" w:eastAsia="宋体" w:cs="Times New Roman"/>
                <w:sz w:val="24"/>
                <w:szCs w:val="24"/>
              </w:rPr>
              <w:t>大王西村西宝路6号</w:t>
            </w:r>
            <w:r>
              <w:rPr>
                <w:rFonts w:hint="eastAsia" w:ascii="Times New Roman" w:hAnsi="Times New Roman" w:cs="Times New Roman"/>
                <w:sz w:val="24"/>
                <w:lang w:eastAsia="zh-CN"/>
              </w:rPr>
              <w:t>，</w:t>
            </w:r>
            <w:r>
              <w:rPr>
                <w:rFonts w:hint="eastAsia" w:ascii="Times New Roman" w:hAnsi="Times New Roman" w:cs="宋体"/>
                <w:color w:val="auto"/>
                <w:kern w:val="0"/>
                <w:sz w:val="24"/>
                <w:u w:val="none"/>
              </w:rPr>
              <w:t>中心地理坐标为</w:t>
            </w:r>
            <w:r>
              <w:rPr>
                <w:rFonts w:hint="default" w:ascii="Times New Roman" w:hAnsi="Times New Roman" w:eastAsia="宋体" w:cs="Times New Roman"/>
                <w:sz w:val="24"/>
                <w:szCs w:val="24"/>
                <w:u w:val="none"/>
                <w:lang w:val="en-US" w:eastAsia="zh-CN"/>
              </w:rPr>
              <w:t>经度：108°38′18.</w:t>
            </w:r>
            <w:r>
              <w:rPr>
                <w:rFonts w:hint="eastAsia" w:ascii="Times New Roman" w:hAnsi="Times New Roman" w:cs="Times New Roman"/>
                <w:sz w:val="24"/>
                <w:szCs w:val="24"/>
                <w:u w:val="none"/>
                <w:lang w:val="en-US" w:eastAsia="zh-CN"/>
              </w:rPr>
              <w:t>190</w:t>
            </w:r>
            <w:r>
              <w:rPr>
                <w:rFonts w:hint="default" w:ascii="Times New Roman" w:hAnsi="Times New Roman" w:eastAsia="宋体" w:cs="Times New Roman"/>
                <w:sz w:val="24"/>
                <w:szCs w:val="24"/>
                <w:u w:val="none"/>
                <w:lang w:val="en-US" w:eastAsia="zh-CN"/>
              </w:rPr>
              <w:t>″，纬度：34°11′3</w:t>
            </w:r>
            <w:r>
              <w:rPr>
                <w:rFonts w:hint="eastAsia" w:ascii="Times New Roman" w:hAnsi="Times New Roman" w:cs="Times New Roman"/>
                <w:sz w:val="24"/>
                <w:szCs w:val="24"/>
                <w:u w:val="none"/>
                <w:lang w:val="en-US" w:eastAsia="zh-CN"/>
              </w:rPr>
              <w:t>4.007</w:t>
            </w:r>
            <w:r>
              <w:rPr>
                <w:rFonts w:hint="default" w:ascii="Times New Roman" w:hAnsi="Times New Roman" w:eastAsia="宋体" w:cs="Times New Roman"/>
                <w:sz w:val="24"/>
                <w:szCs w:val="24"/>
                <w:u w:val="none"/>
                <w:lang w:val="en-US" w:eastAsia="zh-CN"/>
              </w:rPr>
              <w:t>″</w:t>
            </w:r>
            <w:r>
              <w:rPr>
                <w:rFonts w:hint="eastAsia" w:ascii="Times New Roman" w:hAnsi="Times New Roman" w:cs="Times New Roman"/>
                <w:sz w:val="24"/>
                <w:szCs w:val="24"/>
                <w:u w:val="none"/>
                <w:lang w:val="en-US" w:eastAsia="zh-CN"/>
              </w:rPr>
              <w:t>。</w:t>
            </w:r>
            <w:r>
              <w:rPr>
                <w:rFonts w:hint="default" w:ascii="Times New Roman" w:hAnsi="Times New Roman" w:cs="Times New Roman"/>
                <w:color w:val="000000"/>
                <w:sz w:val="24"/>
              </w:rPr>
              <w:t>建设项目</w:t>
            </w:r>
            <w:r>
              <w:rPr>
                <w:rFonts w:hint="default" w:ascii="Times New Roman" w:hAnsi="Times New Roman" w:cs="Times New Roman"/>
                <w:color w:val="000000"/>
                <w:sz w:val="24"/>
                <w:shd w:val="clear" w:color="auto" w:fill="FFFFFF"/>
              </w:rPr>
              <w:t>地理位</w:t>
            </w:r>
            <w:r>
              <w:rPr>
                <w:rFonts w:hint="default" w:ascii="Times New Roman" w:hAnsi="Times New Roman" w:cs="Times New Roman"/>
                <w:sz w:val="24"/>
                <w:shd w:val="clear" w:color="auto" w:fill="FFFFFF"/>
              </w:rPr>
              <w:t>置详见附图一。</w:t>
            </w:r>
          </w:p>
          <w:p w14:paraId="6239AE4F">
            <w:pPr>
              <w:adjustRightInd w:val="0"/>
              <w:snapToGrid w:val="0"/>
              <w:spacing w:line="360" w:lineRule="auto"/>
              <w:ind w:firstLine="240" w:firstLineChars="100"/>
              <w:rPr>
                <w:rFonts w:hint="default" w:ascii="Times New Roman" w:hAnsi="Times New Roman" w:cs="Times New Roman"/>
                <w:sz w:val="24"/>
              </w:rPr>
            </w:pPr>
            <w:r>
              <w:rPr>
                <w:rFonts w:hint="default" w:ascii="Times New Roman" w:hAnsi="Times New Roman" w:cs="Times New Roman"/>
                <w:sz w:val="24"/>
              </w:rPr>
              <w:t>（5）总投资：5</w:t>
            </w:r>
            <w:r>
              <w:rPr>
                <w:rFonts w:hint="eastAsia" w:ascii="Times New Roman" w:hAnsi="Times New Roman" w:cs="Times New Roman"/>
                <w:sz w:val="24"/>
                <w:lang w:val="en-US" w:eastAsia="zh-CN"/>
              </w:rPr>
              <w:t>0</w:t>
            </w:r>
            <w:r>
              <w:rPr>
                <w:rFonts w:hint="default" w:ascii="Times New Roman" w:hAnsi="Times New Roman" w:cs="Times New Roman"/>
                <w:sz w:val="24"/>
              </w:rPr>
              <w:t>万元</w:t>
            </w:r>
          </w:p>
          <w:p w14:paraId="0D75E26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宋体"/>
                <w:b/>
                <w:color w:val="auto"/>
                <w:sz w:val="24"/>
                <w:lang w:val="en-US" w:eastAsia="zh-CN"/>
              </w:rPr>
            </w:pPr>
            <w:r>
              <w:rPr>
                <w:rFonts w:hint="eastAsia" w:ascii="Times New Roman" w:hAnsi="Times New Roman" w:cs="Times New Roman"/>
                <w:b/>
                <w:bCs/>
                <w:sz w:val="24"/>
                <w:lang w:val="en-US" w:eastAsia="zh-CN"/>
              </w:rPr>
              <w:t>3.</w:t>
            </w:r>
            <w:r>
              <w:rPr>
                <w:rFonts w:hint="default" w:ascii="Times New Roman" w:hAnsi="Times New Roman" w:cs="Times New Roman"/>
                <w:b/>
                <w:bCs/>
                <w:sz w:val="24"/>
              </w:rPr>
              <w:t>项目建设内容与规模</w:t>
            </w:r>
          </w:p>
          <w:p w14:paraId="2DD40235">
            <w:pPr>
              <w:pStyle w:val="20"/>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w:t>
            </w:r>
            <w:r>
              <w:rPr>
                <w:rFonts w:hint="default" w:ascii="Times New Roman" w:hAnsi="Times New Roman" w:cs="Times New Roman"/>
                <w:sz w:val="24"/>
              </w:rPr>
              <w:t>项目组成</w:t>
            </w:r>
          </w:p>
          <w:p w14:paraId="370AB368">
            <w:pPr>
              <w:pStyle w:val="34"/>
              <w:pageBreakBefore w:val="0"/>
              <w:wordWrap/>
              <w:overflowPunct w:val="0"/>
              <w:topLinePunct w:val="0"/>
              <w:bidi w:val="0"/>
              <w:spacing w:before="1" w:line="360" w:lineRule="auto"/>
              <w:ind w:left="107" w:firstLine="480" w:firstLineChars="200"/>
              <w:rPr>
                <w:rFonts w:hint="eastAsia"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本项目钢结构生产车间，建设</w:t>
            </w:r>
            <w:r>
              <w:rPr>
                <w:rFonts w:hint="eastAsia" w:ascii="Times New Roman" w:hAnsi="Times New Roman" w:eastAsia="宋体" w:cs="Times New Roman"/>
                <w:snapToGrid w:val="0"/>
                <w:color w:val="auto"/>
                <w:kern w:val="0"/>
                <w:sz w:val="24"/>
                <w:szCs w:val="21"/>
                <w:lang w:val="en-US" w:eastAsia="zh-CN" w:bidi="ar-SA"/>
              </w:rPr>
              <w:t>产腻子粉、石膏粉、砂浆</w:t>
            </w:r>
            <w:r>
              <w:rPr>
                <w:rFonts w:hint="default" w:ascii="Times New Roman" w:hAnsi="Times New Roman" w:eastAsia="宋体" w:cs="Times New Roman"/>
                <w:snapToGrid w:val="0"/>
                <w:color w:val="auto"/>
                <w:kern w:val="0"/>
                <w:sz w:val="24"/>
                <w:szCs w:val="21"/>
                <w:lang w:val="en-US" w:eastAsia="zh-CN" w:bidi="ar-SA"/>
              </w:rPr>
              <w:t>生产线1条，同时配套相应的辅助设施和环保设施。项目建成后规模为：年产2300吨腻子粉、2000吨石膏粉、650吨砂浆。</w:t>
            </w:r>
            <w:r>
              <w:rPr>
                <w:rFonts w:hint="eastAsia" w:ascii="Times New Roman" w:hAnsi="Times New Roman" w:eastAsia="宋体" w:cs="Times New Roman"/>
                <w:snapToGrid w:val="0"/>
                <w:color w:val="auto"/>
                <w:kern w:val="0"/>
                <w:sz w:val="24"/>
                <w:szCs w:val="21"/>
                <w:lang w:val="en-US" w:eastAsia="zh-CN" w:bidi="ar-SA"/>
              </w:rPr>
              <w:t>项目组成具体见表2-1。</w:t>
            </w:r>
          </w:p>
          <w:p w14:paraId="6400CBD9">
            <w:pPr>
              <w:pStyle w:val="20"/>
              <w:spacing w:line="360" w:lineRule="auto"/>
              <w:ind w:left="0" w:leftChars="0" w:firstLine="480" w:firstLineChars="200"/>
              <w:rPr>
                <w:rFonts w:hint="default" w:ascii="Times New Roman" w:hAnsi="Times New Roman" w:cs="Times New Roman"/>
                <w:sz w:val="24"/>
              </w:rPr>
            </w:pPr>
            <w:r>
              <w:rPr>
                <w:rFonts w:hint="default" w:ascii="Times New Roman" w:hAnsi="Times New Roman" w:cs="Times New Roman"/>
                <w:sz w:val="24"/>
              </w:rPr>
              <w:t>本项目组成见表2-</w:t>
            </w:r>
            <w:r>
              <w:rPr>
                <w:rFonts w:hint="eastAsia" w:ascii="Times New Roman" w:hAnsi="Times New Roman" w:cs="Times New Roman"/>
                <w:sz w:val="24"/>
                <w:lang w:val="en-US" w:eastAsia="zh-CN"/>
              </w:rPr>
              <w:t>1</w:t>
            </w:r>
            <w:r>
              <w:rPr>
                <w:rFonts w:hint="default" w:ascii="Times New Roman" w:hAnsi="Times New Roman" w:cs="Times New Roman"/>
                <w:sz w:val="24"/>
              </w:rPr>
              <w:t>。</w:t>
            </w:r>
          </w:p>
          <w:p w14:paraId="74DE2C97">
            <w:pPr>
              <w:adjustRightInd w:val="0"/>
              <w:snapToGrid w:val="0"/>
              <w:ind w:firstLine="422" w:firstLineChars="200"/>
              <w:jc w:val="center"/>
              <w:rPr>
                <w:rFonts w:hint="default" w:ascii="Times New Roman" w:hAnsi="Times New Roman" w:cs="Times New Roman"/>
                <w:b/>
                <w:bCs/>
                <w:szCs w:val="21"/>
              </w:rPr>
            </w:pPr>
            <w:r>
              <w:rPr>
                <w:rFonts w:hint="default" w:ascii="Times New Roman" w:hAnsi="Times New Roman" w:cs="Times New Roman"/>
                <w:b/>
                <w:bCs/>
                <w:szCs w:val="21"/>
              </w:rPr>
              <w:t>表2-</w:t>
            </w:r>
            <w:r>
              <w:rPr>
                <w:rFonts w:hint="eastAsia" w:ascii="Times New Roman" w:hAnsi="Times New Roman" w:cs="Times New Roman"/>
                <w:b/>
                <w:bCs/>
                <w:szCs w:val="21"/>
                <w:lang w:val="en-US" w:eastAsia="zh-CN"/>
              </w:rPr>
              <w:t>1</w:t>
            </w:r>
            <w:r>
              <w:rPr>
                <w:rFonts w:hint="default" w:ascii="Times New Roman" w:hAnsi="Times New Roman" w:cs="Times New Roman"/>
                <w:b/>
                <w:bCs/>
                <w:szCs w:val="21"/>
              </w:rPr>
              <w:t xml:space="preserve"> </w:t>
            </w:r>
            <w:r>
              <w:rPr>
                <w:rFonts w:hint="eastAsia" w:ascii="Times New Roman" w:hAnsi="Times New Roman" w:cs="Times New Roman"/>
                <w:b/>
                <w:bCs/>
                <w:szCs w:val="21"/>
                <w:lang w:val="en-US" w:eastAsia="zh-CN"/>
              </w:rPr>
              <w:t xml:space="preserve"> </w:t>
            </w:r>
            <w:r>
              <w:rPr>
                <w:rFonts w:hint="default" w:ascii="Times New Roman" w:hAnsi="Times New Roman" w:cs="Times New Roman"/>
                <w:b/>
                <w:bCs/>
                <w:szCs w:val="21"/>
              </w:rPr>
              <w:t>项目组成一览表</w:t>
            </w:r>
          </w:p>
          <w:tbl>
            <w:tblPr>
              <w:tblStyle w:val="24"/>
              <w:tblW w:w="75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65"/>
              <w:gridCol w:w="610"/>
              <w:gridCol w:w="4481"/>
              <w:gridCol w:w="1416"/>
            </w:tblGrid>
            <w:tr w14:paraId="12131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620" w:type="dxa"/>
                  <w:gridSpan w:val="3"/>
                  <w:vAlign w:val="center"/>
                </w:tcPr>
                <w:p w14:paraId="719E79E1">
                  <w:pPr>
                    <w:widowControl/>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项目组成</w:t>
                  </w:r>
                </w:p>
              </w:tc>
              <w:tc>
                <w:tcPr>
                  <w:tcW w:w="4481" w:type="dxa"/>
                  <w:vAlign w:val="center"/>
                </w:tcPr>
                <w:p w14:paraId="11A92B04">
                  <w:pPr>
                    <w:widowControl/>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工程实际建设内容</w:t>
                  </w:r>
                </w:p>
              </w:tc>
              <w:tc>
                <w:tcPr>
                  <w:tcW w:w="1416" w:type="dxa"/>
                  <w:vAlign w:val="center"/>
                </w:tcPr>
                <w:p w14:paraId="701408A4">
                  <w:pPr>
                    <w:widowControl/>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备注</w:t>
                  </w:r>
                </w:p>
              </w:tc>
            </w:tr>
            <w:tr w14:paraId="5D31D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45" w:type="dxa"/>
                  <w:vAlign w:val="center"/>
                </w:tcPr>
                <w:p w14:paraId="5266E9CC">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主体</w:t>
                  </w:r>
                </w:p>
                <w:p w14:paraId="26639338">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975" w:type="dxa"/>
                  <w:gridSpan w:val="2"/>
                  <w:vAlign w:val="center"/>
                </w:tcPr>
                <w:p w14:paraId="67339392">
                  <w:pPr>
                    <w:widowControl/>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生产</w:t>
                  </w:r>
                  <w:r>
                    <w:rPr>
                      <w:rFonts w:hint="eastAsia" w:ascii="Times New Roman" w:hAnsi="Times New Roman" w:cs="Times New Roman"/>
                      <w:sz w:val="21"/>
                      <w:szCs w:val="21"/>
                      <w:lang w:val="en-US" w:eastAsia="zh-CN"/>
                    </w:rPr>
                    <w:t>区</w:t>
                  </w:r>
                </w:p>
              </w:tc>
              <w:tc>
                <w:tcPr>
                  <w:tcW w:w="4481" w:type="dxa"/>
                  <w:vAlign w:val="center"/>
                </w:tcPr>
                <w:p w14:paraId="6700226F">
                  <w:pPr>
                    <w:widowControl/>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位于厂房西侧</w:t>
                  </w:r>
                  <w:r>
                    <w:rPr>
                      <w:rFonts w:hint="default" w:ascii="Times New Roman" w:hAnsi="Times New Roman" w:cs="Times New Roman"/>
                      <w:bCs/>
                      <w:color w:val="auto"/>
                      <w:kern w:val="0"/>
                      <w:sz w:val="21"/>
                      <w:szCs w:val="21"/>
                      <w:vertAlign w:val="baseline"/>
                      <w:lang w:eastAsia="zh-CN"/>
                    </w:rPr>
                    <w:t>，</w:t>
                  </w:r>
                  <w:r>
                    <w:rPr>
                      <w:rFonts w:hint="eastAsia" w:ascii="Times New Roman" w:hAnsi="Times New Roman" w:cs="Times New Roman"/>
                      <w:bCs/>
                      <w:color w:val="auto"/>
                      <w:kern w:val="0"/>
                      <w:sz w:val="21"/>
                      <w:szCs w:val="21"/>
                      <w:vertAlign w:val="baseline"/>
                      <w:lang w:val="en-US" w:eastAsia="zh-CN"/>
                    </w:rPr>
                    <w:t>新建一条生产线，生产设备有料仓、搅拌机、包装机等，用于生产石膏粉、腻子粉、砂浆</w:t>
                  </w:r>
                </w:p>
              </w:tc>
              <w:tc>
                <w:tcPr>
                  <w:tcW w:w="1416" w:type="dxa"/>
                  <w:vAlign w:val="center"/>
                </w:tcPr>
                <w:p w14:paraId="2466DD2E">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租赁已建成生产车间</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新上生产设备</w:t>
                  </w:r>
                </w:p>
              </w:tc>
            </w:tr>
            <w:tr w14:paraId="53148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5" w:type="dxa"/>
                  <w:vAlign w:val="center"/>
                </w:tcPr>
                <w:p w14:paraId="49E79813">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辅助</w:t>
                  </w:r>
                </w:p>
                <w:p w14:paraId="07726105">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975" w:type="dxa"/>
                  <w:gridSpan w:val="2"/>
                  <w:vAlign w:val="center"/>
                </w:tcPr>
                <w:p w14:paraId="2B2B5779">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办公区</w:t>
                  </w:r>
                </w:p>
              </w:tc>
              <w:tc>
                <w:tcPr>
                  <w:tcW w:w="4481" w:type="dxa"/>
                  <w:vAlign w:val="center"/>
                </w:tcPr>
                <w:p w14:paraId="35F8E3ED">
                  <w:pPr>
                    <w:widowControl/>
                    <w:jc w:val="center"/>
                    <w:rPr>
                      <w:rFonts w:hint="default" w:ascii="Times New Roman" w:hAnsi="Times New Roman" w:eastAsia="宋体" w:cs="Times New Roman"/>
                      <w:sz w:val="21"/>
                      <w:szCs w:val="21"/>
                      <w:lang w:eastAsia="zh-CN"/>
                    </w:rPr>
                  </w:pPr>
                  <w:r>
                    <w:rPr>
                      <w:rFonts w:hint="default" w:ascii="Times New Roman" w:hAnsi="Times New Roman" w:cs="Times New Roman"/>
                      <w:bCs/>
                      <w:color w:val="auto"/>
                      <w:kern w:val="0"/>
                      <w:sz w:val="21"/>
                      <w:szCs w:val="21"/>
                      <w:lang w:val="en-US" w:eastAsia="zh-CN"/>
                    </w:rPr>
                    <w:t>2间，</w:t>
                  </w:r>
                  <w:r>
                    <w:rPr>
                      <w:rFonts w:hint="default" w:ascii="Times New Roman" w:hAnsi="Times New Roman" w:cs="Times New Roman"/>
                      <w:bCs/>
                      <w:color w:val="auto"/>
                      <w:kern w:val="0"/>
                      <w:sz w:val="21"/>
                      <w:szCs w:val="21"/>
                    </w:rPr>
                    <w:t>砖混结构，为日常办公、会议、活动培训等</w:t>
                  </w:r>
                  <w:r>
                    <w:rPr>
                      <w:rFonts w:hint="default" w:ascii="Times New Roman" w:hAnsi="Times New Roman" w:cs="Times New Roman"/>
                      <w:bCs/>
                      <w:color w:val="auto"/>
                      <w:kern w:val="0"/>
                      <w:sz w:val="21"/>
                      <w:szCs w:val="21"/>
                      <w:lang w:eastAsia="zh-CN"/>
                    </w:rPr>
                    <w:t>。</w:t>
                  </w:r>
                </w:p>
              </w:tc>
              <w:tc>
                <w:tcPr>
                  <w:tcW w:w="1416" w:type="dxa"/>
                  <w:vAlign w:val="center"/>
                </w:tcPr>
                <w:p w14:paraId="4ACDAA64">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租赁已建成办公楼</w:t>
                  </w:r>
                </w:p>
              </w:tc>
            </w:tr>
            <w:tr w14:paraId="26FE2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45" w:type="dxa"/>
                  <w:vMerge w:val="restart"/>
                  <w:vAlign w:val="center"/>
                </w:tcPr>
                <w:p w14:paraId="41A1C202">
                  <w:pPr>
                    <w:widowControl/>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储运</w:t>
                  </w:r>
                </w:p>
                <w:p w14:paraId="6DF285C1">
                  <w:pPr>
                    <w:widowControl/>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工程</w:t>
                  </w:r>
                </w:p>
              </w:tc>
              <w:tc>
                <w:tcPr>
                  <w:tcW w:w="975" w:type="dxa"/>
                  <w:gridSpan w:val="2"/>
                  <w:vAlign w:val="center"/>
                </w:tcPr>
                <w:p w14:paraId="3FF5442E">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原料堆放区</w:t>
                  </w:r>
                </w:p>
              </w:tc>
              <w:tc>
                <w:tcPr>
                  <w:tcW w:w="4481" w:type="dxa"/>
                  <w:vAlign w:val="center"/>
                </w:tcPr>
                <w:p w14:paraId="32414101">
                  <w:pPr>
                    <w:widowControl/>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vertAlign w:val="baseline"/>
                      <w:lang w:val="en-US" w:eastAsia="zh-CN"/>
                    </w:rPr>
                    <w:t>位于厂房北侧及东侧，</w:t>
                  </w:r>
                  <w:r>
                    <w:rPr>
                      <w:rFonts w:hint="eastAsia" w:ascii="Times New Roman" w:hAnsi="Times New Roman" w:cs="Times New Roman"/>
                      <w:bCs/>
                      <w:color w:val="auto"/>
                      <w:kern w:val="0"/>
                      <w:sz w:val="21"/>
                      <w:szCs w:val="21"/>
                      <w:vertAlign w:val="baseline"/>
                      <w:lang w:val="en-US" w:eastAsia="zh-CN"/>
                    </w:rPr>
                    <w:t>用于存放生产所需要的密封袋装原辅材料</w:t>
                  </w:r>
                </w:p>
              </w:tc>
              <w:tc>
                <w:tcPr>
                  <w:tcW w:w="1416" w:type="dxa"/>
                  <w:vAlign w:val="center"/>
                </w:tcPr>
                <w:p w14:paraId="4C51187B">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生产厂房内</w:t>
                  </w:r>
                </w:p>
              </w:tc>
            </w:tr>
            <w:tr w14:paraId="4BD97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45" w:type="dxa"/>
                  <w:vMerge w:val="continue"/>
                  <w:vAlign w:val="center"/>
                </w:tcPr>
                <w:p w14:paraId="6BF6AD97">
                  <w:pPr>
                    <w:widowControl/>
                    <w:jc w:val="center"/>
                    <w:rPr>
                      <w:rFonts w:hint="default" w:ascii="Times New Roman" w:hAnsi="Times New Roman" w:cs="Times New Roman"/>
                      <w:color w:val="000000"/>
                      <w:sz w:val="21"/>
                      <w:szCs w:val="21"/>
                    </w:rPr>
                  </w:pPr>
                </w:p>
              </w:tc>
              <w:tc>
                <w:tcPr>
                  <w:tcW w:w="975" w:type="dxa"/>
                  <w:gridSpan w:val="2"/>
                  <w:vAlign w:val="center"/>
                </w:tcPr>
                <w:p w14:paraId="7CD685E1">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成品堆放区</w:t>
                  </w:r>
                </w:p>
              </w:tc>
              <w:tc>
                <w:tcPr>
                  <w:tcW w:w="4481" w:type="dxa"/>
                  <w:vAlign w:val="center"/>
                </w:tcPr>
                <w:p w14:paraId="6FCE7395">
                  <w:pPr>
                    <w:widowControl/>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vertAlign w:val="baseline"/>
                      <w:lang w:val="en-US" w:eastAsia="zh-CN"/>
                    </w:rPr>
                    <w:t>位于厂房东侧，</w:t>
                  </w:r>
                  <w:r>
                    <w:rPr>
                      <w:rFonts w:hint="eastAsia" w:ascii="Times New Roman" w:hAnsi="Times New Roman" w:cs="Times New Roman"/>
                      <w:bCs/>
                      <w:color w:val="auto"/>
                      <w:kern w:val="0"/>
                      <w:sz w:val="21"/>
                      <w:szCs w:val="21"/>
                      <w:vertAlign w:val="baseline"/>
                      <w:lang w:val="en-US" w:eastAsia="zh-CN"/>
                    </w:rPr>
                    <w:t>用于存放生产的密封袋装的石膏粉、腻子粉、砂浆</w:t>
                  </w:r>
                </w:p>
              </w:tc>
              <w:tc>
                <w:tcPr>
                  <w:tcW w:w="1416" w:type="dxa"/>
                  <w:vAlign w:val="center"/>
                </w:tcPr>
                <w:p w14:paraId="3DC1A4B2">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生产厂房内</w:t>
                  </w:r>
                </w:p>
              </w:tc>
            </w:tr>
            <w:tr w14:paraId="6B1EC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45" w:type="dxa"/>
                  <w:vMerge w:val="restart"/>
                  <w:vAlign w:val="center"/>
                </w:tcPr>
                <w:p w14:paraId="3A207916">
                  <w:pPr>
                    <w:widowControl/>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公用</w:t>
                  </w:r>
                </w:p>
                <w:p w14:paraId="14FD948F">
                  <w:pPr>
                    <w:widowControl/>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工程</w:t>
                  </w:r>
                </w:p>
              </w:tc>
              <w:tc>
                <w:tcPr>
                  <w:tcW w:w="975" w:type="dxa"/>
                  <w:gridSpan w:val="2"/>
                  <w:vAlign w:val="center"/>
                </w:tcPr>
                <w:p w14:paraId="25768041">
                  <w:pPr>
                    <w:widowControl/>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给排水</w:t>
                  </w:r>
                </w:p>
              </w:tc>
              <w:tc>
                <w:tcPr>
                  <w:tcW w:w="4481" w:type="dxa"/>
                  <w:vAlign w:val="center"/>
                </w:tcPr>
                <w:p w14:paraId="2706C231">
                  <w:pPr>
                    <w:adjustRightInd w:val="0"/>
                    <w:snapToGrid w:val="0"/>
                    <w:jc w:val="center"/>
                    <w:rPr>
                      <w:rFonts w:hint="default" w:ascii="Times New Roman" w:hAnsi="Times New Roman" w:cs="Times New Roman"/>
                      <w:sz w:val="21"/>
                      <w:szCs w:val="21"/>
                    </w:rPr>
                  </w:pPr>
                  <w:r>
                    <w:rPr>
                      <w:rFonts w:hint="default" w:ascii="Times New Roman" w:hAnsi="Times New Roman" w:cs="Times New Roman"/>
                      <w:bCs/>
                      <w:color w:val="auto"/>
                      <w:kern w:val="0"/>
                      <w:sz w:val="21"/>
                      <w:szCs w:val="21"/>
                    </w:rPr>
                    <w:t>由市政供水</w:t>
                  </w:r>
                </w:p>
              </w:tc>
              <w:tc>
                <w:tcPr>
                  <w:tcW w:w="1416" w:type="dxa"/>
                  <w:vAlign w:val="center"/>
                </w:tcPr>
                <w:p w14:paraId="612AF51F">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依托原有</w:t>
                  </w:r>
                </w:p>
              </w:tc>
            </w:tr>
            <w:tr w14:paraId="64082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Merge w:val="continue"/>
                  <w:vAlign w:val="center"/>
                </w:tcPr>
                <w:p w14:paraId="692F8154">
                  <w:pPr>
                    <w:widowControl/>
                    <w:spacing w:line="360" w:lineRule="exact"/>
                    <w:jc w:val="center"/>
                    <w:rPr>
                      <w:rFonts w:hint="default" w:ascii="Times New Roman" w:hAnsi="Times New Roman" w:cs="Times New Roman"/>
                      <w:color w:val="000000"/>
                      <w:sz w:val="21"/>
                      <w:szCs w:val="21"/>
                    </w:rPr>
                  </w:pPr>
                </w:p>
              </w:tc>
              <w:tc>
                <w:tcPr>
                  <w:tcW w:w="975" w:type="dxa"/>
                  <w:gridSpan w:val="2"/>
                  <w:vAlign w:val="center"/>
                </w:tcPr>
                <w:p w14:paraId="0608AE12">
                  <w:pPr>
                    <w:widowControl/>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供电</w:t>
                  </w:r>
                </w:p>
              </w:tc>
              <w:tc>
                <w:tcPr>
                  <w:tcW w:w="4481" w:type="dxa"/>
                  <w:vAlign w:val="center"/>
                </w:tcPr>
                <w:p w14:paraId="4AD1A058">
                  <w:pPr>
                    <w:adjustRightInd w:val="0"/>
                    <w:snapToGrid w:val="0"/>
                    <w:jc w:val="center"/>
                    <w:rPr>
                      <w:rFonts w:hint="default" w:ascii="Times New Roman" w:hAnsi="Times New Roman" w:cs="Times New Roman"/>
                      <w:sz w:val="21"/>
                      <w:szCs w:val="21"/>
                    </w:rPr>
                  </w:pPr>
                  <w:r>
                    <w:rPr>
                      <w:rFonts w:hint="default" w:ascii="Times New Roman" w:hAnsi="Times New Roman" w:cs="Times New Roman"/>
                      <w:bCs/>
                      <w:color w:val="auto"/>
                      <w:kern w:val="0"/>
                      <w:sz w:val="21"/>
                      <w:szCs w:val="21"/>
                    </w:rPr>
                    <w:t>由市政供电网络供给</w:t>
                  </w:r>
                </w:p>
              </w:tc>
              <w:tc>
                <w:tcPr>
                  <w:tcW w:w="1416" w:type="dxa"/>
                  <w:vAlign w:val="center"/>
                </w:tcPr>
                <w:p w14:paraId="66B8E18F">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依托原有</w:t>
                  </w:r>
                </w:p>
              </w:tc>
            </w:tr>
            <w:tr w14:paraId="2E87B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45" w:type="dxa"/>
                  <w:vMerge w:val="restart"/>
                  <w:vAlign w:val="center"/>
                </w:tcPr>
                <w:p w14:paraId="50AA2460">
                  <w:pPr>
                    <w:widowControl/>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环保工程</w:t>
                  </w:r>
                </w:p>
              </w:tc>
              <w:tc>
                <w:tcPr>
                  <w:tcW w:w="975" w:type="dxa"/>
                  <w:gridSpan w:val="2"/>
                  <w:vAlign w:val="center"/>
                </w:tcPr>
                <w:p w14:paraId="60D04F25">
                  <w:pPr>
                    <w:widowControl/>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4481" w:type="dxa"/>
                  <w:vAlign w:val="center"/>
                </w:tcPr>
                <w:p w14:paraId="66B95160">
                  <w:pPr>
                    <w:widowControl/>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本项目产生的废气（颗粒物）经密闭</w:t>
                  </w:r>
                  <w:r>
                    <w:rPr>
                      <w:rFonts w:hint="default" w:ascii="Times New Roman" w:hAnsi="Times New Roman" w:cs="Times New Roman"/>
                      <w:color w:val="000000" w:themeColor="text1"/>
                      <w:sz w:val="21"/>
                      <w:szCs w:val="21"/>
                      <w:lang w:val="en-US" w:eastAsia="zh-CN"/>
                      <w14:textFill>
                        <w14:solidFill>
                          <w14:schemeClr w14:val="tx1"/>
                        </w14:solidFill>
                      </w14:textFill>
                    </w:rPr>
                    <w:t>箱体侧吸</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集尘罩</w:t>
                  </w:r>
                  <w:r>
                    <w:rPr>
                      <w:rFonts w:hint="eastAsia" w:ascii="Times New Roman" w:hAnsi="Times New Roman" w:cs="Times New Roman"/>
                      <w:color w:val="000000" w:themeColor="text1"/>
                      <w:sz w:val="21"/>
                      <w:szCs w:val="21"/>
                      <w:lang w:val="en-US" w:eastAsia="zh-CN"/>
                      <w14:textFill>
                        <w14:solidFill>
                          <w14:schemeClr w14:val="tx1"/>
                        </w14:solidFill>
                      </w14:textFill>
                    </w:rPr>
                    <w:t>收集后经过布袋除尘器处理后，通过15m排气筒排放</w:t>
                  </w:r>
                </w:p>
              </w:tc>
              <w:tc>
                <w:tcPr>
                  <w:tcW w:w="1416" w:type="dxa"/>
                  <w:vAlign w:val="center"/>
                </w:tcPr>
                <w:p w14:paraId="5AA7F49B">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新建</w:t>
                  </w:r>
                </w:p>
              </w:tc>
            </w:tr>
            <w:tr w14:paraId="4E0B1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645" w:type="dxa"/>
                  <w:vMerge w:val="continue"/>
                  <w:vAlign w:val="center"/>
                </w:tcPr>
                <w:p w14:paraId="41A1BBA6">
                  <w:pPr>
                    <w:widowControl/>
                    <w:spacing w:line="360" w:lineRule="exact"/>
                    <w:jc w:val="center"/>
                    <w:rPr>
                      <w:rFonts w:hint="default" w:ascii="Times New Roman" w:hAnsi="Times New Roman" w:cs="Times New Roman"/>
                      <w:sz w:val="21"/>
                      <w:szCs w:val="21"/>
                    </w:rPr>
                  </w:pPr>
                </w:p>
              </w:tc>
              <w:tc>
                <w:tcPr>
                  <w:tcW w:w="975" w:type="dxa"/>
                  <w:gridSpan w:val="2"/>
                  <w:vAlign w:val="center"/>
                </w:tcPr>
                <w:p w14:paraId="2AA649EA">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4481" w:type="dxa"/>
                  <w:vAlign w:val="center"/>
                </w:tcPr>
                <w:p w14:paraId="135EA466">
                  <w:pPr>
                    <w:widowControl/>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bCs/>
                      <w:color w:val="auto"/>
                      <w:kern w:val="0"/>
                      <w:sz w:val="21"/>
                      <w:szCs w:val="21"/>
                      <w:lang w:val="en-US" w:eastAsia="zh-CN"/>
                    </w:rPr>
                    <w:t>厂区内实行“</w:t>
                  </w:r>
                  <w:r>
                    <w:rPr>
                      <w:rFonts w:hint="default" w:ascii="Times New Roman" w:hAnsi="Times New Roman" w:cs="Times New Roman"/>
                      <w:bCs/>
                      <w:color w:val="auto"/>
                      <w:kern w:val="0"/>
                      <w:sz w:val="21"/>
                      <w:szCs w:val="21"/>
                      <w:lang w:val="en-US" w:eastAsia="zh-CN"/>
                    </w:rPr>
                    <w:t>雨污分流</w:t>
                  </w:r>
                  <w:r>
                    <w:rPr>
                      <w:rFonts w:hint="eastAsia" w:ascii="Times New Roman" w:hAnsi="Times New Roman" w:cs="Times New Roman"/>
                      <w:bCs/>
                      <w:color w:val="auto"/>
                      <w:kern w:val="0"/>
                      <w:sz w:val="21"/>
                      <w:szCs w:val="21"/>
                      <w:lang w:val="en-US" w:eastAsia="zh-CN"/>
                    </w:rPr>
                    <w:t>”</w:t>
                  </w:r>
                  <w:r>
                    <w:rPr>
                      <w:rFonts w:hint="default" w:ascii="Times New Roman" w:hAnsi="Times New Roman" w:cs="Times New Roman"/>
                      <w:bCs/>
                      <w:color w:val="auto"/>
                      <w:kern w:val="0"/>
                      <w:sz w:val="21"/>
                      <w:szCs w:val="21"/>
                      <w:lang w:val="en-US" w:eastAsia="zh-CN"/>
                    </w:rPr>
                    <w:t>，雨水进入市政雨水管道；生活污水进入化粪池预处理后排入沣西新城大王污水处理厂</w:t>
                  </w:r>
                  <w:r>
                    <w:rPr>
                      <w:rFonts w:hint="eastAsia" w:ascii="Times New Roman" w:hAnsi="Times New Roman" w:cs="Times New Roman"/>
                      <w:bCs/>
                      <w:color w:val="auto"/>
                      <w:kern w:val="0"/>
                      <w:sz w:val="21"/>
                      <w:szCs w:val="21"/>
                      <w:lang w:val="en-US" w:eastAsia="zh-CN"/>
                    </w:rPr>
                    <w:t>，</w:t>
                  </w:r>
                  <w:r>
                    <w:rPr>
                      <w:rFonts w:hint="default" w:ascii="Times New Roman" w:hAnsi="Times New Roman" w:cs="Times New Roman"/>
                      <w:bCs/>
                      <w:color w:val="auto"/>
                      <w:kern w:val="0"/>
                      <w:sz w:val="21"/>
                      <w:szCs w:val="21"/>
                      <w:lang w:val="en-US" w:eastAsia="zh-CN"/>
                    </w:rPr>
                    <w:t>处理达标后排入新河</w:t>
                  </w:r>
                </w:p>
              </w:tc>
              <w:tc>
                <w:tcPr>
                  <w:tcW w:w="1416" w:type="dxa"/>
                  <w:vAlign w:val="center"/>
                </w:tcPr>
                <w:p w14:paraId="6DC25C3F">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依托原有</w:t>
                  </w:r>
                </w:p>
              </w:tc>
            </w:tr>
            <w:tr w14:paraId="4B320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45" w:type="dxa"/>
                  <w:vMerge w:val="continue"/>
                  <w:vAlign w:val="center"/>
                </w:tcPr>
                <w:p w14:paraId="5578204F">
                  <w:pPr>
                    <w:widowControl/>
                    <w:spacing w:line="360" w:lineRule="exact"/>
                    <w:jc w:val="center"/>
                    <w:rPr>
                      <w:rFonts w:hint="default" w:ascii="Times New Roman" w:hAnsi="Times New Roman" w:cs="Times New Roman"/>
                      <w:sz w:val="21"/>
                      <w:szCs w:val="21"/>
                    </w:rPr>
                  </w:pPr>
                </w:p>
              </w:tc>
              <w:tc>
                <w:tcPr>
                  <w:tcW w:w="975" w:type="dxa"/>
                  <w:gridSpan w:val="2"/>
                  <w:vAlign w:val="center"/>
                </w:tcPr>
                <w:p w14:paraId="7E004293">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4481" w:type="dxa"/>
                  <w:vAlign w:val="center"/>
                </w:tcPr>
                <w:p w14:paraId="437FEF76">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lang w:val="en-US" w:eastAsia="zh-CN"/>
                    </w:rPr>
                    <w:t>选用低噪声设备、安装基础减振基座、房体隔声、安装风机隔音罩、距离衰减、合理布局、绿化降噪、强化生产管理等降噪措施</w:t>
                  </w:r>
                </w:p>
              </w:tc>
              <w:tc>
                <w:tcPr>
                  <w:tcW w:w="1416" w:type="dxa"/>
                  <w:vAlign w:val="center"/>
                </w:tcPr>
                <w:p w14:paraId="2975FEF1">
                  <w:pPr>
                    <w:widowControl/>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新建</w:t>
                  </w:r>
                </w:p>
              </w:tc>
            </w:tr>
            <w:tr w14:paraId="7DF5C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45" w:type="dxa"/>
                  <w:vMerge w:val="continue"/>
                  <w:vAlign w:val="center"/>
                </w:tcPr>
                <w:p w14:paraId="0AF30FF7">
                  <w:pPr>
                    <w:widowControl/>
                    <w:spacing w:line="360" w:lineRule="exact"/>
                    <w:jc w:val="center"/>
                    <w:rPr>
                      <w:rFonts w:hint="default" w:ascii="Times New Roman" w:hAnsi="Times New Roman" w:cs="Times New Roman"/>
                      <w:sz w:val="21"/>
                      <w:szCs w:val="21"/>
                    </w:rPr>
                  </w:pPr>
                </w:p>
              </w:tc>
              <w:tc>
                <w:tcPr>
                  <w:tcW w:w="365" w:type="dxa"/>
                  <w:vMerge w:val="restart"/>
                  <w:vAlign w:val="center"/>
                </w:tcPr>
                <w:p w14:paraId="600130AF">
                  <w:pPr>
                    <w:widowControl/>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固废</w:t>
                  </w:r>
                  <w:r>
                    <w:rPr>
                      <w:rFonts w:hint="eastAsia" w:ascii="Times New Roman" w:hAnsi="Times New Roman" w:cs="Times New Roman"/>
                      <w:sz w:val="21"/>
                      <w:szCs w:val="21"/>
                      <w:lang w:val="en-US" w:eastAsia="zh-CN"/>
                    </w:rPr>
                    <w:t>治理</w:t>
                  </w:r>
                </w:p>
              </w:tc>
              <w:tc>
                <w:tcPr>
                  <w:tcW w:w="610" w:type="dxa"/>
                  <w:vAlign w:val="center"/>
                </w:tcPr>
                <w:p w14:paraId="7B461E89">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生活</w:t>
                  </w:r>
                </w:p>
                <w:p w14:paraId="1784570C">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垃圾</w:t>
                  </w:r>
                </w:p>
              </w:tc>
              <w:tc>
                <w:tcPr>
                  <w:tcW w:w="4481" w:type="dxa"/>
                  <w:vAlign w:val="center"/>
                </w:tcPr>
                <w:p w14:paraId="6D3A30B8">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设置生活垃圾收集点，生活垃圾分类收集后交由环卫部门定期清运处理</w:t>
                  </w:r>
                </w:p>
              </w:tc>
              <w:tc>
                <w:tcPr>
                  <w:tcW w:w="1416" w:type="dxa"/>
                  <w:vAlign w:val="center"/>
                </w:tcPr>
                <w:p w14:paraId="6C5EDCDB">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新建</w:t>
                  </w:r>
                </w:p>
              </w:tc>
            </w:tr>
            <w:tr w14:paraId="0CC42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45" w:type="dxa"/>
                  <w:vMerge w:val="continue"/>
                  <w:vAlign w:val="center"/>
                </w:tcPr>
                <w:p w14:paraId="35FA84BC">
                  <w:pPr>
                    <w:widowControl/>
                    <w:spacing w:line="360" w:lineRule="exact"/>
                    <w:jc w:val="center"/>
                    <w:rPr>
                      <w:rFonts w:hint="default" w:ascii="Times New Roman" w:hAnsi="Times New Roman" w:cs="Times New Roman"/>
                      <w:sz w:val="21"/>
                      <w:szCs w:val="21"/>
                    </w:rPr>
                  </w:pPr>
                </w:p>
              </w:tc>
              <w:tc>
                <w:tcPr>
                  <w:tcW w:w="365" w:type="dxa"/>
                  <w:vMerge w:val="continue"/>
                  <w:vAlign w:val="center"/>
                </w:tcPr>
                <w:p w14:paraId="79B31CFF">
                  <w:pPr>
                    <w:widowControl/>
                    <w:jc w:val="center"/>
                    <w:rPr>
                      <w:rFonts w:hint="default" w:ascii="Times New Roman" w:hAnsi="Times New Roman" w:cs="Times New Roman"/>
                      <w:sz w:val="21"/>
                      <w:szCs w:val="21"/>
                    </w:rPr>
                  </w:pPr>
                </w:p>
              </w:tc>
              <w:tc>
                <w:tcPr>
                  <w:tcW w:w="610" w:type="dxa"/>
                  <w:vAlign w:val="center"/>
                </w:tcPr>
                <w:p w14:paraId="6B7A2B8F">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一般工业固体废物</w:t>
                  </w:r>
                </w:p>
              </w:tc>
              <w:tc>
                <w:tcPr>
                  <w:tcW w:w="4481" w:type="dxa"/>
                  <w:vAlign w:val="center"/>
                </w:tcPr>
                <w:p w14:paraId="1E360C9C">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Cs/>
                      <w:color w:val="auto"/>
                      <w:kern w:val="0"/>
                      <w:sz w:val="21"/>
                      <w:szCs w:val="21"/>
                      <w:lang w:val="en-US" w:eastAsia="zh-CN"/>
                    </w:rPr>
                    <w:t>在厂房东北侧</w:t>
                  </w:r>
                  <w:r>
                    <w:rPr>
                      <w:rFonts w:hint="default" w:ascii="Times New Roman" w:hAnsi="Times New Roman" w:cs="Times New Roman"/>
                      <w:bCs/>
                      <w:color w:val="auto"/>
                      <w:kern w:val="0"/>
                      <w:sz w:val="21"/>
                      <w:szCs w:val="21"/>
                    </w:rPr>
                    <w:t>设置一般固废暂存点。</w:t>
                  </w:r>
                  <w:r>
                    <w:rPr>
                      <w:rFonts w:hint="eastAsia" w:ascii="Times New Roman" w:hAnsi="Times New Roman" w:cs="Times New Roman"/>
                      <w:bCs/>
                      <w:color w:val="auto"/>
                      <w:kern w:val="0"/>
                      <w:sz w:val="21"/>
                      <w:szCs w:val="21"/>
                      <w:lang w:val="en-US" w:eastAsia="zh-CN"/>
                    </w:rPr>
                    <w:t>废包装袋</w:t>
                  </w:r>
                  <w:r>
                    <w:rPr>
                      <w:rFonts w:hint="default" w:ascii="Times New Roman" w:hAnsi="Times New Roman" w:cs="Times New Roman"/>
                      <w:bCs/>
                      <w:color w:val="auto"/>
                      <w:kern w:val="0"/>
                      <w:sz w:val="21"/>
                      <w:szCs w:val="21"/>
                      <w:lang w:val="en-US" w:eastAsia="zh-CN"/>
                    </w:rPr>
                    <w:t>收集后堆存一般固体废物暂存间</w:t>
                  </w:r>
                  <w:r>
                    <w:rPr>
                      <w:rFonts w:hint="eastAsia" w:ascii="Times New Roman" w:hAnsi="Times New Roman" w:cs="Times New Roman"/>
                      <w:bCs/>
                      <w:color w:val="auto"/>
                      <w:kern w:val="0"/>
                      <w:sz w:val="21"/>
                      <w:szCs w:val="21"/>
                      <w:lang w:val="en-US" w:eastAsia="zh-CN"/>
                    </w:rPr>
                    <w:t>，定期外售物资回收公司综合利用；</w:t>
                  </w:r>
                  <w:r>
                    <w:rPr>
                      <w:rFonts w:hint="eastAsia" w:ascii="Times New Roman" w:hAnsi="Times New Roman" w:cs="Times New Roman"/>
                      <w:bCs/>
                      <w:color w:val="auto"/>
                      <w:kern w:val="0"/>
                      <w:sz w:val="21"/>
                      <w:szCs w:val="21"/>
                    </w:rPr>
                    <w:t>废布袋</w:t>
                  </w:r>
                  <w:r>
                    <w:rPr>
                      <w:rFonts w:hint="default" w:ascii="Times New Roman" w:hAnsi="Times New Roman" w:cs="Times New Roman"/>
                      <w:bCs/>
                      <w:color w:val="auto"/>
                      <w:kern w:val="0"/>
                      <w:sz w:val="21"/>
                      <w:szCs w:val="21"/>
                      <w:lang w:val="en-US" w:eastAsia="zh-CN"/>
                    </w:rPr>
                    <w:t>收集后堆存一般固体废物暂存间</w:t>
                  </w:r>
                  <w:r>
                    <w:rPr>
                      <w:rFonts w:hint="eastAsia" w:ascii="Times New Roman" w:hAnsi="Times New Roman" w:cs="Times New Roman"/>
                      <w:bCs/>
                      <w:color w:val="auto"/>
                      <w:kern w:val="0"/>
                      <w:sz w:val="21"/>
                      <w:szCs w:val="21"/>
                      <w:lang w:val="en-US" w:eastAsia="zh-CN"/>
                    </w:rPr>
                    <w:t>，定期</w:t>
                  </w:r>
                  <w:r>
                    <w:rPr>
                      <w:rFonts w:hint="eastAsia" w:ascii="Times New Roman" w:hAnsi="Times New Roman" w:cs="Times New Roman"/>
                      <w:bCs/>
                      <w:color w:val="auto"/>
                      <w:kern w:val="0"/>
                      <w:sz w:val="21"/>
                      <w:szCs w:val="21"/>
                    </w:rPr>
                    <w:t>外售物资回收公司综合利用</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除尘器收集的粉尘返回生产工序回用</w:t>
                  </w:r>
                  <w:r>
                    <w:rPr>
                      <w:rFonts w:hint="eastAsia" w:ascii="Times New Roman" w:hAnsi="Times New Roman" w:cs="Times New Roman"/>
                      <w:bCs/>
                      <w:color w:val="auto"/>
                      <w:kern w:val="0"/>
                      <w:sz w:val="21"/>
                      <w:szCs w:val="21"/>
                      <w:lang w:eastAsia="zh-CN"/>
                    </w:rPr>
                    <w:t>。</w:t>
                  </w:r>
                </w:p>
              </w:tc>
              <w:tc>
                <w:tcPr>
                  <w:tcW w:w="1416" w:type="dxa"/>
                  <w:vAlign w:val="center"/>
                </w:tcPr>
                <w:p w14:paraId="4EB0F6A9">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新建</w:t>
                  </w:r>
                </w:p>
              </w:tc>
            </w:tr>
            <w:tr w14:paraId="2C5AD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Merge w:val="continue"/>
                  <w:vAlign w:val="center"/>
                </w:tcPr>
                <w:p w14:paraId="000680D9">
                  <w:pPr>
                    <w:widowControl/>
                    <w:spacing w:line="360" w:lineRule="exact"/>
                    <w:jc w:val="center"/>
                    <w:rPr>
                      <w:rFonts w:hint="default" w:ascii="Times New Roman" w:hAnsi="Times New Roman" w:cs="Times New Roman"/>
                      <w:sz w:val="21"/>
                      <w:szCs w:val="21"/>
                    </w:rPr>
                  </w:pPr>
                </w:p>
              </w:tc>
              <w:tc>
                <w:tcPr>
                  <w:tcW w:w="365" w:type="dxa"/>
                  <w:vMerge w:val="continue"/>
                  <w:vAlign w:val="center"/>
                </w:tcPr>
                <w:p w14:paraId="21352A9D">
                  <w:pPr>
                    <w:widowControl/>
                    <w:jc w:val="center"/>
                    <w:rPr>
                      <w:rFonts w:hint="default" w:ascii="Times New Roman" w:hAnsi="Times New Roman" w:cs="Times New Roman"/>
                      <w:sz w:val="21"/>
                      <w:szCs w:val="21"/>
                    </w:rPr>
                  </w:pPr>
                </w:p>
              </w:tc>
              <w:tc>
                <w:tcPr>
                  <w:tcW w:w="610" w:type="dxa"/>
                  <w:vAlign w:val="center"/>
                </w:tcPr>
                <w:p w14:paraId="2F3CC60D">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危险</w:t>
                  </w:r>
                </w:p>
                <w:p w14:paraId="0755988C">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废物</w:t>
                  </w:r>
                </w:p>
              </w:tc>
              <w:tc>
                <w:tcPr>
                  <w:tcW w:w="4481" w:type="dxa"/>
                  <w:vAlign w:val="center"/>
                </w:tcPr>
                <w:p w14:paraId="02A9E6EB">
                  <w:pPr>
                    <w:widowControl/>
                    <w:jc w:val="center"/>
                    <w:rPr>
                      <w:rFonts w:hint="default" w:ascii="Times New Roman" w:hAnsi="Times New Roman" w:cs="Times New Roman"/>
                      <w:sz w:val="21"/>
                      <w:szCs w:val="21"/>
                    </w:rPr>
                  </w:pPr>
                  <w:r>
                    <w:rPr>
                      <w:rFonts w:hint="eastAsia" w:ascii="Times New Roman" w:hAnsi="Times New Roman" w:cs="Times New Roman"/>
                      <w:bCs/>
                      <w:color w:val="auto"/>
                      <w:kern w:val="0"/>
                      <w:sz w:val="21"/>
                      <w:szCs w:val="21"/>
                      <w:lang w:val="en-US" w:eastAsia="zh-CN"/>
                    </w:rPr>
                    <w:t>在厂房东北侧设置</w:t>
                  </w:r>
                  <w:r>
                    <w:rPr>
                      <w:rFonts w:hint="default" w:ascii="Times New Roman" w:hAnsi="Times New Roman" w:cs="Times New Roman"/>
                      <w:bCs/>
                      <w:color w:val="auto"/>
                      <w:kern w:val="0"/>
                      <w:sz w:val="21"/>
                      <w:szCs w:val="21"/>
                    </w:rPr>
                    <w:t>危废</w:t>
                  </w:r>
                  <w:r>
                    <w:rPr>
                      <w:rFonts w:hint="eastAsia" w:ascii="Times New Roman" w:hAnsi="Times New Roman" w:cs="Times New Roman"/>
                      <w:bCs/>
                      <w:color w:val="auto"/>
                      <w:kern w:val="0"/>
                      <w:sz w:val="21"/>
                      <w:szCs w:val="21"/>
                      <w:lang w:val="en-US" w:eastAsia="zh-CN"/>
                    </w:rPr>
                    <w:t>贮存库</w:t>
                  </w:r>
                  <w:r>
                    <w:rPr>
                      <w:rFonts w:hint="default" w:ascii="Times New Roman" w:hAnsi="Times New Roman" w:cs="Times New Roman"/>
                      <w:bCs/>
                      <w:color w:val="auto"/>
                      <w:kern w:val="0"/>
                      <w:sz w:val="21"/>
                      <w:szCs w:val="21"/>
                    </w:rPr>
                    <w:t>，将废机油收集后暂存区</w:t>
                  </w:r>
                  <w:r>
                    <w:rPr>
                      <w:rFonts w:hint="eastAsia" w:ascii="Times New Roman" w:hAnsi="Times New Roman" w:cs="Times New Roman"/>
                      <w:bCs/>
                      <w:color w:val="auto"/>
                      <w:kern w:val="0"/>
                      <w:sz w:val="21"/>
                      <w:szCs w:val="21"/>
                      <w:lang w:eastAsia="zh-CN"/>
                    </w:rPr>
                    <w:t>危废贮存库</w:t>
                  </w:r>
                  <w:r>
                    <w:rPr>
                      <w:rFonts w:hint="default" w:ascii="Times New Roman" w:hAnsi="Times New Roman" w:cs="Times New Roman"/>
                      <w:bCs/>
                      <w:color w:val="auto"/>
                      <w:kern w:val="0"/>
                      <w:sz w:val="21"/>
                      <w:szCs w:val="21"/>
                    </w:rPr>
                    <w:t>，定期交由具有危废处置资质的单位处置。</w:t>
                  </w:r>
                </w:p>
              </w:tc>
              <w:tc>
                <w:tcPr>
                  <w:tcW w:w="1416" w:type="dxa"/>
                  <w:vAlign w:val="center"/>
                </w:tcPr>
                <w:p w14:paraId="55711847">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新建</w:t>
                  </w:r>
                </w:p>
              </w:tc>
            </w:tr>
            <w:tr w14:paraId="7472B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45" w:type="dxa"/>
                  <w:vAlign w:val="center"/>
                </w:tcPr>
                <w:p w14:paraId="14DB3C93">
                  <w:pPr>
                    <w:widowControl/>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依托工程</w:t>
                  </w:r>
                </w:p>
              </w:tc>
              <w:tc>
                <w:tcPr>
                  <w:tcW w:w="5456" w:type="dxa"/>
                  <w:gridSpan w:val="3"/>
                  <w:vAlign w:val="center"/>
                </w:tcPr>
                <w:p w14:paraId="7B5DE789">
                  <w:pPr>
                    <w:widowControl/>
                    <w:jc w:val="center"/>
                    <w:rPr>
                      <w:rFonts w:hint="default"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本项目供水、供电依托原有设施，</w:t>
                  </w:r>
                  <w:r>
                    <w:rPr>
                      <w:rFonts w:hint="default" w:ascii="Times New Roman" w:hAnsi="Times New Roman" w:cs="Times New Roman"/>
                      <w:bCs/>
                      <w:color w:val="auto"/>
                      <w:kern w:val="0"/>
                      <w:sz w:val="21"/>
                      <w:szCs w:val="21"/>
                      <w:lang w:val="en-US" w:eastAsia="zh-CN"/>
                    </w:rPr>
                    <w:t>生活污水进入化粪池预处理后排入沣西新城大王污水处理厂</w:t>
                  </w:r>
                  <w:r>
                    <w:rPr>
                      <w:rFonts w:hint="eastAsia" w:ascii="Times New Roman" w:hAnsi="Times New Roman" w:cs="Times New Roman"/>
                      <w:bCs/>
                      <w:color w:val="auto"/>
                      <w:kern w:val="0"/>
                      <w:sz w:val="21"/>
                      <w:szCs w:val="21"/>
                      <w:lang w:val="en-US" w:eastAsia="zh-CN"/>
                    </w:rPr>
                    <w:t>，</w:t>
                  </w:r>
                  <w:r>
                    <w:rPr>
                      <w:rFonts w:hint="default" w:ascii="Times New Roman" w:hAnsi="Times New Roman" w:cs="Times New Roman"/>
                      <w:bCs/>
                      <w:color w:val="auto"/>
                      <w:kern w:val="0"/>
                      <w:sz w:val="21"/>
                      <w:szCs w:val="21"/>
                      <w:lang w:val="en-US" w:eastAsia="zh-CN"/>
                    </w:rPr>
                    <w:t>处理达标后排入新河</w:t>
                  </w:r>
                </w:p>
              </w:tc>
              <w:tc>
                <w:tcPr>
                  <w:tcW w:w="1416" w:type="dxa"/>
                  <w:vAlign w:val="center"/>
                </w:tcPr>
                <w:p w14:paraId="0C263C07">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依托原有</w:t>
                  </w:r>
                </w:p>
              </w:tc>
            </w:tr>
          </w:tbl>
          <w:p w14:paraId="7A3D6876">
            <w:pPr>
              <w:adjustRightInd w:val="0"/>
              <w:snapToGrid w:val="0"/>
              <w:spacing w:line="360" w:lineRule="auto"/>
              <w:ind w:firstLine="480" w:firstLineChars="200"/>
              <w:rPr>
                <w:rFonts w:hint="default"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w:t>
            </w:r>
            <w:r>
              <w:rPr>
                <w:rFonts w:hint="eastAsia" w:ascii="Times New Roman" w:hAnsi="Times New Roman" w:cs="Times New Roman"/>
                <w:b w:val="0"/>
                <w:bCs w:val="0"/>
                <w:sz w:val="24"/>
                <w:lang w:val="en-US" w:eastAsia="zh-CN"/>
              </w:rPr>
              <w:t>2</w:t>
            </w:r>
            <w:r>
              <w:rPr>
                <w:rFonts w:hint="eastAsia"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lang w:eastAsia="zh-CN"/>
              </w:rPr>
              <w:t>主要生产设备</w:t>
            </w:r>
          </w:p>
          <w:p w14:paraId="6CB6BD15">
            <w:pPr>
              <w:adjustRightInd w:val="0"/>
              <w:snapToGrid w:val="0"/>
              <w:spacing w:line="360" w:lineRule="auto"/>
              <w:ind w:firstLine="480" w:firstLineChars="200"/>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eastAsia="zh-CN"/>
              </w:rPr>
              <w:t>本项目主要生产设备见表</w:t>
            </w:r>
            <w:r>
              <w:rPr>
                <w:rFonts w:hint="default" w:ascii="Times New Roman" w:hAnsi="Times New Roman" w:eastAsia="宋体" w:cs="Times New Roman"/>
                <w:b w:val="0"/>
                <w:bCs w:val="0"/>
                <w:sz w:val="24"/>
                <w:lang w:val="en-US" w:eastAsia="zh-CN"/>
              </w:rPr>
              <w:t>2-</w:t>
            </w:r>
            <w:r>
              <w:rPr>
                <w:rFonts w:hint="eastAsia" w:ascii="Times New Roman" w:hAnsi="Times New Roman" w:cs="Times New Roman"/>
                <w:b w:val="0"/>
                <w:bCs w:val="0"/>
                <w:sz w:val="24"/>
                <w:lang w:val="en-US" w:eastAsia="zh-CN"/>
              </w:rPr>
              <w:t>2</w:t>
            </w:r>
            <w:r>
              <w:rPr>
                <w:rFonts w:hint="default" w:ascii="Times New Roman" w:hAnsi="Times New Roman" w:eastAsia="宋体" w:cs="Times New Roman"/>
                <w:b w:val="0"/>
                <w:bCs w:val="0"/>
                <w:sz w:val="24"/>
                <w:lang w:eastAsia="zh-CN"/>
              </w:rPr>
              <w:t>。</w:t>
            </w:r>
          </w:p>
          <w:p w14:paraId="6C6BE0D2">
            <w:pPr>
              <w:pStyle w:val="35"/>
              <w:tabs>
                <w:tab w:val="left" w:pos="1041"/>
              </w:tabs>
              <w:jc w:val="center"/>
              <w:rPr>
                <w:rFonts w:hint="default" w:ascii="Times New Roman" w:hAnsi="Times New Roman" w:cs="Times New Roman"/>
                <w:b/>
                <w:szCs w:val="21"/>
              </w:rPr>
            </w:pPr>
            <w:r>
              <w:rPr>
                <w:rFonts w:hint="default" w:ascii="Times New Roman" w:hAnsi="Times New Roman" w:cs="Times New Roman"/>
                <w:b/>
                <w:szCs w:val="21"/>
              </w:rPr>
              <w:t>表</w:t>
            </w:r>
            <w:r>
              <w:rPr>
                <w:rFonts w:hint="default" w:ascii="Times New Roman" w:hAnsi="Times New Roman" w:eastAsia="Times New Roman" w:cs="Times New Roman"/>
                <w:b/>
                <w:szCs w:val="21"/>
              </w:rPr>
              <w:t>2</w:t>
            </w:r>
            <w:r>
              <w:rPr>
                <w:rFonts w:hint="default" w:ascii="Times New Roman" w:hAnsi="Times New Roman" w:cs="Times New Roman"/>
                <w:b/>
                <w:szCs w:val="21"/>
                <w:lang w:val="en-US"/>
              </w:rPr>
              <w:t>-</w:t>
            </w:r>
            <w:r>
              <w:rPr>
                <w:rFonts w:hint="eastAsia" w:ascii="Times New Roman" w:hAnsi="Times New Roman" w:cs="Times New Roman"/>
                <w:b/>
                <w:szCs w:val="21"/>
                <w:lang w:val="en-US" w:eastAsia="zh-CN"/>
              </w:rPr>
              <w:t>2</w:t>
            </w:r>
            <w:r>
              <w:rPr>
                <w:rFonts w:hint="default" w:ascii="Times New Roman" w:hAnsi="Times New Roman" w:cs="Times New Roman"/>
                <w:b/>
                <w:szCs w:val="21"/>
                <w:lang w:val="en-US"/>
              </w:rPr>
              <w:t xml:space="preserve">  主要</w:t>
            </w:r>
            <w:r>
              <w:rPr>
                <w:rFonts w:hint="default" w:ascii="Times New Roman" w:hAnsi="Times New Roman" w:cs="Times New Roman"/>
                <w:b/>
                <w:szCs w:val="21"/>
              </w:rPr>
              <w:t>生产设备一览表</w:t>
            </w:r>
          </w:p>
          <w:tbl>
            <w:tblPr>
              <w:tblStyle w:val="25"/>
              <w:tblW w:w="67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201"/>
              <w:gridCol w:w="1393"/>
              <w:gridCol w:w="969"/>
              <w:gridCol w:w="1465"/>
            </w:tblGrid>
            <w:tr w14:paraId="542D1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tl2br w:val="nil"/>
                    <w:tr2bl w:val="nil"/>
                  </w:tcBorders>
                  <w:noWrap/>
                  <w:vAlign w:val="center"/>
                </w:tcPr>
                <w:p w14:paraId="668A3288">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2201" w:type="dxa"/>
                  <w:tcBorders>
                    <w:tl2br w:val="nil"/>
                    <w:tr2bl w:val="nil"/>
                  </w:tcBorders>
                  <w:noWrap/>
                  <w:vAlign w:val="center"/>
                </w:tcPr>
                <w:p w14:paraId="27BD33BD">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设备名称</w:t>
                  </w:r>
                </w:p>
              </w:tc>
              <w:tc>
                <w:tcPr>
                  <w:tcW w:w="1393" w:type="dxa"/>
                  <w:tcBorders>
                    <w:tl2br w:val="nil"/>
                    <w:tr2bl w:val="nil"/>
                  </w:tcBorders>
                  <w:noWrap/>
                  <w:vAlign w:val="center"/>
                </w:tcPr>
                <w:p w14:paraId="300249F1">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设备型号</w:t>
                  </w:r>
                </w:p>
              </w:tc>
              <w:tc>
                <w:tcPr>
                  <w:tcW w:w="969" w:type="dxa"/>
                  <w:tcBorders>
                    <w:tl2br w:val="nil"/>
                    <w:tr2bl w:val="nil"/>
                  </w:tcBorders>
                  <w:noWrap/>
                  <w:vAlign w:val="center"/>
                </w:tcPr>
                <w:p w14:paraId="2979DD35">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单位</w:t>
                  </w:r>
                </w:p>
              </w:tc>
              <w:tc>
                <w:tcPr>
                  <w:tcW w:w="1465" w:type="dxa"/>
                  <w:tcBorders>
                    <w:tl2br w:val="nil"/>
                    <w:tr2bl w:val="nil"/>
                  </w:tcBorders>
                  <w:noWrap/>
                  <w:vAlign w:val="center"/>
                </w:tcPr>
                <w:p w14:paraId="19933627">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数量</w:t>
                  </w:r>
                </w:p>
              </w:tc>
            </w:tr>
            <w:tr w14:paraId="2B516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tl2br w:val="nil"/>
                    <w:tr2bl w:val="nil"/>
                  </w:tcBorders>
                  <w:noWrap/>
                  <w:vAlign w:val="center"/>
                </w:tcPr>
                <w:p w14:paraId="5606A097">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201" w:type="dxa"/>
                  <w:tcBorders>
                    <w:tl2br w:val="nil"/>
                    <w:tr2bl w:val="nil"/>
                  </w:tcBorders>
                  <w:noWrap/>
                  <w:vAlign w:val="center"/>
                </w:tcPr>
                <w:p w14:paraId="53C69D1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料仓</w:t>
                  </w:r>
                </w:p>
              </w:tc>
              <w:tc>
                <w:tcPr>
                  <w:tcW w:w="1393" w:type="dxa"/>
                  <w:tcBorders>
                    <w:tl2br w:val="nil"/>
                    <w:tr2bl w:val="nil"/>
                  </w:tcBorders>
                  <w:noWrap/>
                  <w:vAlign w:val="center"/>
                </w:tcPr>
                <w:p w14:paraId="3AC471B2">
                  <w:pPr>
                    <w:pStyle w:val="21"/>
                    <w:spacing w:before="0" w:beforeAutospacing="0" w:after="0" w:afterAutospacing="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969" w:type="dxa"/>
                  <w:tcBorders>
                    <w:tl2br w:val="nil"/>
                    <w:tr2bl w:val="nil"/>
                  </w:tcBorders>
                  <w:noWrap/>
                  <w:vAlign w:val="center"/>
                </w:tcPr>
                <w:p w14:paraId="4FBAD3B9">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台</w:t>
                  </w:r>
                </w:p>
              </w:tc>
              <w:tc>
                <w:tcPr>
                  <w:tcW w:w="1465" w:type="dxa"/>
                  <w:tcBorders>
                    <w:tl2br w:val="nil"/>
                    <w:tr2bl w:val="nil"/>
                  </w:tcBorders>
                  <w:noWrap/>
                  <w:vAlign w:val="center"/>
                </w:tcPr>
                <w:p w14:paraId="1374445C">
                  <w:pPr>
                    <w:pStyle w:val="21"/>
                    <w:spacing w:before="0" w:beforeAutospacing="0" w:after="0" w:afterAutospacing="0" w:line="24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color w:val="auto"/>
                      <w:sz w:val="21"/>
                      <w:szCs w:val="21"/>
                      <w:lang w:val="en-US" w:eastAsia="zh-CN"/>
                    </w:rPr>
                    <w:t>4（3用一备）</w:t>
                  </w:r>
                </w:p>
              </w:tc>
            </w:tr>
            <w:tr w14:paraId="15973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57" w:type="dxa"/>
                  <w:tcBorders>
                    <w:tl2br w:val="nil"/>
                    <w:tr2bl w:val="nil"/>
                  </w:tcBorders>
                  <w:noWrap/>
                  <w:vAlign w:val="center"/>
                </w:tcPr>
                <w:p w14:paraId="268F7648">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201" w:type="dxa"/>
                  <w:tcBorders>
                    <w:tl2br w:val="nil"/>
                    <w:tr2bl w:val="nil"/>
                  </w:tcBorders>
                  <w:noWrap/>
                  <w:vAlign w:val="center"/>
                </w:tcPr>
                <w:p w14:paraId="7AE90BC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搅拌机</w:t>
                  </w:r>
                </w:p>
              </w:tc>
              <w:tc>
                <w:tcPr>
                  <w:tcW w:w="1393" w:type="dxa"/>
                  <w:tcBorders>
                    <w:tl2br w:val="nil"/>
                    <w:tr2bl w:val="nil"/>
                  </w:tcBorders>
                  <w:noWrap/>
                  <w:vAlign w:val="center"/>
                </w:tcPr>
                <w:p w14:paraId="61726A0E">
                  <w:pPr>
                    <w:pStyle w:val="21"/>
                    <w:spacing w:before="0" w:beforeAutospacing="0" w:after="0" w:afterAutospacing="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969" w:type="dxa"/>
                  <w:tcBorders>
                    <w:tl2br w:val="nil"/>
                    <w:tr2bl w:val="nil"/>
                  </w:tcBorders>
                  <w:noWrap/>
                  <w:vAlign w:val="center"/>
                </w:tcPr>
                <w:p w14:paraId="71DE3DB3">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台</w:t>
                  </w:r>
                </w:p>
              </w:tc>
              <w:tc>
                <w:tcPr>
                  <w:tcW w:w="1465" w:type="dxa"/>
                  <w:tcBorders>
                    <w:tl2br w:val="nil"/>
                    <w:tr2bl w:val="nil"/>
                  </w:tcBorders>
                  <w:noWrap/>
                  <w:vAlign w:val="center"/>
                </w:tcPr>
                <w:p w14:paraId="73B9416C">
                  <w:pPr>
                    <w:pStyle w:val="21"/>
                    <w:spacing w:before="0" w:beforeAutospacing="0" w:after="0" w:afterAutospacing="0" w:line="240" w:lineRule="auto"/>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4（3用一备）</w:t>
                  </w:r>
                </w:p>
              </w:tc>
            </w:tr>
            <w:tr w14:paraId="009CE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tl2br w:val="nil"/>
                    <w:tr2bl w:val="nil"/>
                  </w:tcBorders>
                  <w:shd w:val="clear" w:color="auto" w:fill="auto"/>
                  <w:noWrap/>
                  <w:vAlign w:val="center"/>
                </w:tcPr>
                <w:p w14:paraId="64D2D30E">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w:t>
                  </w:r>
                </w:p>
              </w:tc>
              <w:tc>
                <w:tcPr>
                  <w:tcW w:w="2201" w:type="dxa"/>
                  <w:tcBorders>
                    <w:tl2br w:val="nil"/>
                    <w:tr2bl w:val="nil"/>
                  </w:tcBorders>
                  <w:shd w:val="clear" w:color="auto" w:fill="auto"/>
                  <w:noWrap/>
                  <w:vAlign w:val="center"/>
                </w:tcPr>
                <w:p w14:paraId="5FF7404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提升机</w:t>
                  </w:r>
                </w:p>
              </w:tc>
              <w:tc>
                <w:tcPr>
                  <w:tcW w:w="1393" w:type="dxa"/>
                  <w:tcBorders>
                    <w:tl2br w:val="nil"/>
                    <w:tr2bl w:val="nil"/>
                  </w:tcBorders>
                  <w:shd w:val="clear" w:color="auto" w:fill="auto"/>
                  <w:noWrap/>
                  <w:vAlign w:val="center"/>
                </w:tcPr>
                <w:p w14:paraId="20C52F9F">
                  <w:pPr>
                    <w:pStyle w:val="21"/>
                    <w:spacing w:before="0" w:beforeAutospacing="0" w:after="0" w:afterAutospacing="0"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w:t>
                  </w:r>
                </w:p>
              </w:tc>
              <w:tc>
                <w:tcPr>
                  <w:tcW w:w="969" w:type="dxa"/>
                  <w:tcBorders>
                    <w:tl2br w:val="nil"/>
                    <w:tr2bl w:val="nil"/>
                  </w:tcBorders>
                  <w:shd w:val="clear" w:color="auto" w:fill="auto"/>
                  <w:noWrap/>
                  <w:vAlign w:val="center"/>
                </w:tcPr>
                <w:p w14:paraId="346A6DBF">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台</w:t>
                  </w:r>
                </w:p>
              </w:tc>
              <w:tc>
                <w:tcPr>
                  <w:tcW w:w="1465" w:type="dxa"/>
                  <w:tcBorders>
                    <w:tl2br w:val="nil"/>
                    <w:tr2bl w:val="nil"/>
                  </w:tcBorders>
                  <w:shd w:val="clear" w:color="auto" w:fill="auto"/>
                  <w:noWrap/>
                  <w:vAlign w:val="center"/>
                </w:tcPr>
                <w:p w14:paraId="70EC95AE">
                  <w:pPr>
                    <w:pStyle w:val="21"/>
                    <w:spacing w:before="0" w:beforeAutospacing="0" w:after="0" w:afterAutospacing="0"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color w:val="auto"/>
                      <w:sz w:val="21"/>
                      <w:szCs w:val="21"/>
                      <w:lang w:val="en-US" w:eastAsia="zh-CN"/>
                    </w:rPr>
                    <w:t>4（3用一备）</w:t>
                  </w:r>
                </w:p>
              </w:tc>
            </w:tr>
            <w:tr w14:paraId="0B3CA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tl2br w:val="nil"/>
                    <w:tr2bl w:val="nil"/>
                  </w:tcBorders>
                  <w:shd w:val="clear" w:color="auto" w:fill="auto"/>
                  <w:noWrap/>
                  <w:vAlign w:val="center"/>
                </w:tcPr>
                <w:p w14:paraId="0C1717C4">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w:t>
                  </w:r>
                </w:p>
              </w:tc>
              <w:tc>
                <w:tcPr>
                  <w:tcW w:w="2201" w:type="dxa"/>
                  <w:tcBorders>
                    <w:tl2br w:val="nil"/>
                    <w:tr2bl w:val="nil"/>
                  </w:tcBorders>
                  <w:shd w:val="clear" w:color="auto" w:fill="auto"/>
                  <w:noWrap/>
                  <w:vAlign w:val="bottom"/>
                </w:tcPr>
                <w:p w14:paraId="4EF2EBD9">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气</w:t>
                  </w:r>
                  <w:r>
                    <w:rPr>
                      <w:rFonts w:hint="eastAsia"/>
                    </w:rPr>
                    <w:t>泵</w:t>
                  </w:r>
                </w:p>
              </w:tc>
              <w:tc>
                <w:tcPr>
                  <w:tcW w:w="1393" w:type="dxa"/>
                  <w:tcBorders>
                    <w:tl2br w:val="nil"/>
                    <w:tr2bl w:val="nil"/>
                  </w:tcBorders>
                  <w:shd w:val="clear" w:color="auto" w:fill="auto"/>
                  <w:noWrap/>
                  <w:vAlign w:val="center"/>
                </w:tcPr>
                <w:p w14:paraId="268334E3">
                  <w:pPr>
                    <w:pStyle w:val="21"/>
                    <w:spacing w:before="0" w:beforeAutospacing="0" w:after="0" w:afterAutospacing="0"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w:t>
                  </w:r>
                </w:p>
              </w:tc>
              <w:tc>
                <w:tcPr>
                  <w:tcW w:w="969" w:type="dxa"/>
                  <w:tcBorders>
                    <w:tl2br w:val="nil"/>
                    <w:tr2bl w:val="nil"/>
                  </w:tcBorders>
                  <w:shd w:val="clear" w:color="auto" w:fill="auto"/>
                  <w:noWrap/>
                  <w:vAlign w:val="center"/>
                </w:tcPr>
                <w:p w14:paraId="1243EA9B">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台</w:t>
                  </w:r>
                </w:p>
              </w:tc>
              <w:tc>
                <w:tcPr>
                  <w:tcW w:w="1465" w:type="dxa"/>
                  <w:tcBorders>
                    <w:tl2br w:val="nil"/>
                    <w:tr2bl w:val="nil"/>
                  </w:tcBorders>
                  <w:shd w:val="clear" w:color="auto" w:fill="auto"/>
                  <w:noWrap/>
                  <w:vAlign w:val="center"/>
                </w:tcPr>
                <w:p w14:paraId="741D1A9B">
                  <w:pPr>
                    <w:pStyle w:val="21"/>
                    <w:spacing w:before="0" w:beforeAutospacing="0" w:after="0" w:afterAutospacing="0" w:line="240" w:lineRule="auto"/>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rPr>
                    <w:t>1</w:t>
                  </w:r>
                </w:p>
              </w:tc>
            </w:tr>
            <w:tr w14:paraId="19159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tl2br w:val="nil"/>
                    <w:tr2bl w:val="nil"/>
                  </w:tcBorders>
                  <w:shd w:val="clear" w:color="auto" w:fill="auto"/>
                  <w:noWrap/>
                  <w:vAlign w:val="center"/>
                </w:tcPr>
                <w:p w14:paraId="5A30D307">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p>
              </w:tc>
              <w:tc>
                <w:tcPr>
                  <w:tcW w:w="2201" w:type="dxa"/>
                  <w:tcBorders>
                    <w:tl2br w:val="nil"/>
                    <w:tr2bl w:val="nil"/>
                  </w:tcBorders>
                  <w:shd w:val="clear" w:color="auto" w:fill="auto"/>
                  <w:noWrap/>
                  <w:vAlign w:val="center"/>
                </w:tcPr>
                <w:p w14:paraId="7FE190A0">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叉车</w:t>
                  </w:r>
                </w:p>
              </w:tc>
              <w:tc>
                <w:tcPr>
                  <w:tcW w:w="1393" w:type="dxa"/>
                  <w:tcBorders>
                    <w:tl2br w:val="nil"/>
                    <w:tr2bl w:val="nil"/>
                  </w:tcBorders>
                  <w:shd w:val="clear" w:color="auto" w:fill="auto"/>
                  <w:noWrap/>
                  <w:vAlign w:val="center"/>
                </w:tcPr>
                <w:p w14:paraId="5859059C">
                  <w:pPr>
                    <w:pStyle w:val="21"/>
                    <w:spacing w:before="0" w:beforeAutospacing="0" w:after="0" w:afterAutospacing="0" w:line="240" w:lineRule="auto"/>
                    <w:jc w:val="center"/>
                    <w:rPr>
                      <w:rFonts w:hint="default" w:ascii="Times New Roman" w:hAnsi="Times New Roman" w:eastAsia="宋体" w:cs="Times New Roman"/>
                      <w:b/>
                      <w:bCs/>
                      <w:kern w:val="0"/>
                      <w:sz w:val="21"/>
                      <w:szCs w:val="21"/>
                      <w:lang w:val="en-US" w:eastAsia="zh-CN" w:bidi="ar-SA"/>
                    </w:rPr>
                  </w:pPr>
                  <w:r>
                    <w:rPr>
                      <w:rFonts w:hint="default" w:ascii="Times New Roman" w:hAnsi="Times New Roman" w:cs="Times New Roman"/>
                      <w:b w:val="0"/>
                      <w:bCs w:val="0"/>
                      <w:sz w:val="21"/>
                      <w:szCs w:val="21"/>
                      <w:vertAlign w:val="baseline"/>
                      <w:lang w:val="en-US" w:eastAsia="zh-CN"/>
                    </w:rPr>
                    <w:t>35-Q9K</w:t>
                  </w:r>
                </w:p>
              </w:tc>
              <w:tc>
                <w:tcPr>
                  <w:tcW w:w="969" w:type="dxa"/>
                  <w:tcBorders>
                    <w:tl2br w:val="nil"/>
                    <w:tr2bl w:val="nil"/>
                  </w:tcBorders>
                  <w:shd w:val="clear" w:color="auto" w:fill="auto"/>
                  <w:noWrap/>
                  <w:vAlign w:val="center"/>
                </w:tcPr>
                <w:p w14:paraId="51934B73">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辆</w:t>
                  </w:r>
                </w:p>
              </w:tc>
              <w:tc>
                <w:tcPr>
                  <w:tcW w:w="1465" w:type="dxa"/>
                  <w:tcBorders>
                    <w:tl2br w:val="nil"/>
                    <w:tr2bl w:val="nil"/>
                  </w:tcBorders>
                  <w:shd w:val="clear" w:color="auto" w:fill="auto"/>
                  <w:noWrap/>
                  <w:vAlign w:val="center"/>
                </w:tcPr>
                <w:p w14:paraId="45ACBA3E">
                  <w:pPr>
                    <w:pStyle w:val="21"/>
                    <w:spacing w:before="0" w:beforeAutospacing="0" w:after="0" w:afterAutospacing="0"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rPr>
                    <w:t>2</w:t>
                  </w:r>
                </w:p>
              </w:tc>
            </w:tr>
          </w:tbl>
          <w:p w14:paraId="71C19287">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w:t>
            </w:r>
            <w:r>
              <w:rPr>
                <w:rFonts w:hint="eastAsia" w:ascii="Times New Roman" w:hAnsi="Times New Roman" w:cs="Times New Roman"/>
                <w:b w:val="0"/>
                <w:bCs w:val="0"/>
                <w:sz w:val="24"/>
                <w:lang w:val="en-US" w:eastAsia="zh-CN"/>
              </w:rPr>
              <w:t>3</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主要原辅材料消耗</w:t>
            </w:r>
          </w:p>
          <w:p w14:paraId="10AC10E1">
            <w:pPr>
              <w:adjustRightInd w:val="0"/>
              <w:snapToGrid w:val="0"/>
              <w:spacing w:line="360" w:lineRule="auto"/>
              <w:ind w:firstLine="480" w:firstLineChars="200"/>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eastAsia="zh-CN"/>
              </w:rPr>
              <w:t>本项目主要原辅材料消耗详见表</w:t>
            </w:r>
            <w:r>
              <w:rPr>
                <w:rFonts w:hint="default" w:ascii="Times New Roman" w:hAnsi="Times New Roman" w:eastAsia="宋体" w:cs="Times New Roman"/>
                <w:b w:val="0"/>
                <w:bCs w:val="0"/>
                <w:sz w:val="24"/>
                <w:lang w:val="en-US" w:eastAsia="zh-CN"/>
              </w:rPr>
              <w:t>2-</w:t>
            </w:r>
            <w:r>
              <w:rPr>
                <w:rFonts w:hint="eastAsia" w:ascii="Times New Roman" w:hAnsi="Times New Roman" w:cs="Times New Roman"/>
                <w:b w:val="0"/>
                <w:bCs w:val="0"/>
                <w:sz w:val="24"/>
                <w:lang w:val="en-US" w:eastAsia="zh-CN"/>
              </w:rPr>
              <w:t>3</w:t>
            </w:r>
            <w:r>
              <w:rPr>
                <w:rFonts w:hint="default" w:ascii="Times New Roman" w:hAnsi="Times New Roman" w:eastAsia="宋体" w:cs="Times New Roman"/>
                <w:b w:val="0"/>
                <w:bCs w:val="0"/>
                <w:sz w:val="24"/>
                <w:lang w:eastAsia="zh-CN"/>
              </w:rPr>
              <w:t>。</w:t>
            </w:r>
          </w:p>
          <w:p w14:paraId="59A4DD35">
            <w:pPr>
              <w:pStyle w:val="35"/>
              <w:tabs>
                <w:tab w:val="left" w:pos="1041"/>
              </w:tabs>
              <w:jc w:val="center"/>
              <w:rPr>
                <w:rFonts w:hint="default" w:ascii="Times New Roman" w:hAnsi="Times New Roman" w:cs="Times New Roman"/>
                <w:b/>
                <w:szCs w:val="21"/>
              </w:rPr>
            </w:pPr>
            <w:r>
              <w:rPr>
                <w:rFonts w:hint="default" w:ascii="Times New Roman" w:hAnsi="Times New Roman" w:cs="Times New Roman"/>
                <w:b/>
                <w:szCs w:val="21"/>
              </w:rPr>
              <w:t>表2-</w:t>
            </w:r>
            <w:r>
              <w:rPr>
                <w:rFonts w:hint="eastAsia" w:ascii="Times New Roman" w:hAnsi="Times New Roman" w:cs="Times New Roman"/>
                <w:b/>
                <w:szCs w:val="21"/>
                <w:lang w:val="en-US" w:eastAsia="zh-CN"/>
              </w:rPr>
              <w:t>3</w:t>
            </w:r>
            <w:r>
              <w:rPr>
                <w:rFonts w:hint="default" w:ascii="Times New Roman" w:hAnsi="Times New Roman" w:cs="Times New Roman"/>
                <w:b/>
                <w:szCs w:val="21"/>
                <w:lang w:val="en-US"/>
              </w:rPr>
              <w:t xml:space="preserve">  主要</w:t>
            </w:r>
            <w:r>
              <w:rPr>
                <w:rFonts w:hint="default" w:ascii="Times New Roman" w:hAnsi="Times New Roman" w:cs="Times New Roman"/>
                <w:b/>
                <w:szCs w:val="21"/>
              </w:rPr>
              <w:t>原辅材料</w:t>
            </w:r>
            <w:r>
              <w:rPr>
                <w:rFonts w:hint="eastAsia" w:ascii="Times New Roman" w:hAnsi="Times New Roman" w:cs="Times New Roman"/>
                <w:b/>
                <w:szCs w:val="21"/>
                <w:lang w:val="en-US" w:eastAsia="zh-CN"/>
              </w:rPr>
              <w:t>及能源</w:t>
            </w:r>
            <w:r>
              <w:rPr>
                <w:rFonts w:hint="default" w:ascii="Times New Roman" w:hAnsi="Times New Roman" w:cs="Times New Roman"/>
                <w:b/>
                <w:szCs w:val="21"/>
              </w:rPr>
              <w:t>消耗一览表</w:t>
            </w:r>
          </w:p>
          <w:tbl>
            <w:tblPr>
              <w:tblStyle w:val="24"/>
              <w:tblW w:w="75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211"/>
              <w:gridCol w:w="1350"/>
              <w:gridCol w:w="1537"/>
              <w:gridCol w:w="1377"/>
              <w:gridCol w:w="1389"/>
            </w:tblGrid>
            <w:tr w14:paraId="5B85C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noWrap w:val="0"/>
                  <w:vAlign w:val="center"/>
                </w:tcPr>
                <w:p w14:paraId="5B819014">
                  <w:pPr>
                    <w:pStyle w:val="36"/>
                    <w:spacing w:line="240" w:lineRule="auto"/>
                    <w:jc w:val="center"/>
                    <w:rPr>
                      <w:rFonts w:hint="default" w:ascii="Times New Roman" w:hAnsi="Times New Roman" w:cs="Times New Roman" w:eastAsiaTheme="minorEastAsia"/>
                      <w:b/>
                      <w:bCs/>
                      <w:kern w:val="2"/>
                      <w:sz w:val="21"/>
                      <w:szCs w:val="21"/>
                      <w:vertAlign w:val="baseline"/>
                      <w:lang w:val="en-US" w:eastAsia="zh-CN" w:bidi="ar-SA"/>
                    </w:rPr>
                  </w:pPr>
                  <w:r>
                    <w:rPr>
                      <w:rFonts w:hint="default" w:ascii="Times New Roman" w:hAnsi="Times New Roman" w:cs="Times New Roman" w:eastAsiaTheme="minorEastAsia"/>
                      <w:b/>
                      <w:bCs/>
                      <w:kern w:val="2"/>
                      <w:sz w:val="21"/>
                      <w:szCs w:val="21"/>
                      <w:vertAlign w:val="baseline"/>
                      <w:lang w:val="en-US" w:eastAsia="zh-CN" w:bidi="ar-SA"/>
                    </w:rPr>
                    <w:t>序号</w:t>
                  </w:r>
                </w:p>
              </w:tc>
              <w:tc>
                <w:tcPr>
                  <w:tcW w:w="1211" w:type="dxa"/>
                  <w:tcBorders>
                    <w:tl2br w:val="nil"/>
                    <w:tr2bl w:val="nil"/>
                  </w:tcBorders>
                  <w:noWrap w:val="0"/>
                  <w:vAlign w:val="center"/>
                </w:tcPr>
                <w:p w14:paraId="1CE470D4">
                  <w:pPr>
                    <w:pStyle w:val="36"/>
                    <w:spacing w:line="240" w:lineRule="auto"/>
                    <w:jc w:val="center"/>
                    <w:rPr>
                      <w:rFonts w:hint="default" w:ascii="Times New Roman" w:hAnsi="Times New Roman" w:cs="Times New Roman" w:eastAsiaTheme="minorEastAsia"/>
                      <w:b/>
                      <w:bCs/>
                      <w:kern w:val="2"/>
                      <w:sz w:val="21"/>
                      <w:szCs w:val="21"/>
                      <w:vertAlign w:val="baseline"/>
                      <w:lang w:val="en-US" w:eastAsia="zh-CN" w:bidi="ar-SA"/>
                    </w:rPr>
                  </w:pPr>
                  <w:r>
                    <w:rPr>
                      <w:rFonts w:hint="default" w:ascii="Times New Roman" w:hAnsi="Times New Roman" w:cs="Times New Roman" w:eastAsiaTheme="minorEastAsia"/>
                      <w:b/>
                      <w:bCs/>
                      <w:kern w:val="2"/>
                      <w:sz w:val="21"/>
                      <w:szCs w:val="21"/>
                      <w:vertAlign w:val="baseline"/>
                      <w:lang w:val="en-US" w:eastAsia="zh-CN" w:bidi="ar-SA"/>
                    </w:rPr>
                    <w:t>名称</w:t>
                  </w:r>
                </w:p>
              </w:tc>
              <w:tc>
                <w:tcPr>
                  <w:tcW w:w="1350" w:type="dxa"/>
                  <w:tcBorders>
                    <w:tl2br w:val="nil"/>
                    <w:tr2bl w:val="nil"/>
                  </w:tcBorders>
                  <w:noWrap w:val="0"/>
                  <w:vAlign w:val="center"/>
                </w:tcPr>
                <w:p w14:paraId="7E03398C">
                  <w:pPr>
                    <w:pStyle w:val="36"/>
                    <w:spacing w:line="240" w:lineRule="auto"/>
                    <w:jc w:val="center"/>
                    <w:rPr>
                      <w:rFonts w:hint="default" w:ascii="Times New Roman" w:hAnsi="Times New Roman" w:cs="Times New Roman" w:eastAsiaTheme="minorEastAsia"/>
                      <w:b/>
                      <w:bCs/>
                      <w:kern w:val="2"/>
                      <w:sz w:val="21"/>
                      <w:szCs w:val="21"/>
                      <w:vertAlign w:val="baseline"/>
                      <w:lang w:val="en-US" w:eastAsia="zh-CN" w:bidi="ar-SA"/>
                    </w:rPr>
                  </w:pPr>
                  <w:r>
                    <w:rPr>
                      <w:rFonts w:hint="default" w:ascii="Times New Roman" w:hAnsi="Times New Roman" w:cs="Times New Roman" w:eastAsiaTheme="minorEastAsia"/>
                      <w:b/>
                      <w:bCs/>
                      <w:kern w:val="2"/>
                      <w:sz w:val="21"/>
                      <w:szCs w:val="21"/>
                      <w:vertAlign w:val="baseline"/>
                      <w:lang w:val="en-US" w:eastAsia="zh-CN" w:bidi="ar-SA"/>
                    </w:rPr>
                    <w:t>年用量</w:t>
                  </w:r>
                </w:p>
              </w:tc>
              <w:tc>
                <w:tcPr>
                  <w:tcW w:w="1537" w:type="dxa"/>
                  <w:tcBorders>
                    <w:tl2br w:val="nil"/>
                    <w:tr2bl w:val="nil"/>
                  </w:tcBorders>
                  <w:noWrap w:val="0"/>
                  <w:vAlign w:val="center"/>
                </w:tcPr>
                <w:p w14:paraId="4D92ECE7">
                  <w:pPr>
                    <w:pStyle w:val="36"/>
                    <w:spacing w:line="240" w:lineRule="auto"/>
                    <w:jc w:val="center"/>
                    <w:rPr>
                      <w:rFonts w:hint="default" w:ascii="Times New Roman" w:hAnsi="Times New Roman" w:cs="Times New Roman" w:eastAsiaTheme="minorEastAsia"/>
                      <w:b/>
                      <w:bCs/>
                      <w:kern w:val="2"/>
                      <w:sz w:val="21"/>
                      <w:szCs w:val="21"/>
                      <w:vertAlign w:val="baseline"/>
                      <w:lang w:val="en-US" w:eastAsia="zh-CN" w:bidi="ar-SA"/>
                    </w:rPr>
                  </w:pPr>
                  <w:r>
                    <w:rPr>
                      <w:rFonts w:hint="default" w:ascii="Times New Roman" w:hAnsi="Times New Roman" w:cs="Times New Roman" w:eastAsiaTheme="minorEastAsia"/>
                      <w:b/>
                      <w:bCs/>
                      <w:kern w:val="2"/>
                      <w:sz w:val="21"/>
                      <w:szCs w:val="21"/>
                      <w:vertAlign w:val="baseline"/>
                      <w:lang w:val="en-US" w:eastAsia="zh-CN" w:bidi="ar-SA"/>
                    </w:rPr>
                    <w:t>使用工序</w:t>
                  </w:r>
                </w:p>
              </w:tc>
              <w:tc>
                <w:tcPr>
                  <w:tcW w:w="1377" w:type="dxa"/>
                  <w:tcBorders>
                    <w:tl2br w:val="nil"/>
                    <w:tr2bl w:val="nil"/>
                  </w:tcBorders>
                  <w:noWrap w:val="0"/>
                  <w:vAlign w:val="center"/>
                </w:tcPr>
                <w:p w14:paraId="55B1676D">
                  <w:pPr>
                    <w:pStyle w:val="36"/>
                    <w:spacing w:line="240" w:lineRule="auto"/>
                    <w:jc w:val="center"/>
                    <w:rPr>
                      <w:rFonts w:hint="default" w:ascii="Times New Roman" w:hAnsi="Times New Roman" w:cs="Times New Roman" w:eastAsiaTheme="minorEastAsia"/>
                      <w:b/>
                      <w:bCs/>
                      <w:kern w:val="2"/>
                      <w:sz w:val="21"/>
                      <w:szCs w:val="21"/>
                      <w:vertAlign w:val="baseline"/>
                      <w:lang w:val="en-US" w:eastAsia="zh-CN" w:bidi="ar-SA"/>
                    </w:rPr>
                  </w:pPr>
                  <w:r>
                    <w:rPr>
                      <w:rFonts w:hint="eastAsia" w:ascii="Times New Roman" w:cs="Times New Roman" w:eastAsiaTheme="minorEastAsia"/>
                      <w:b/>
                      <w:bCs/>
                      <w:kern w:val="2"/>
                      <w:sz w:val="21"/>
                      <w:szCs w:val="21"/>
                      <w:vertAlign w:val="baseline"/>
                      <w:lang w:val="en-US" w:eastAsia="zh-CN" w:bidi="ar-SA"/>
                    </w:rPr>
                    <w:t>储存</w:t>
                  </w:r>
                </w:p>
              </w:tc>
              <w:tc>
                <w:tcPr>
                  <w:tcW w:w="1389" w:type="dxa"/>
                  <w:tcBorders>
                    <w:tl2br w:val="nil"/>
                    <w:tr2bl w:val="nil"/>
                  </w:tcBorders>
                  <w:noWrap w:val="0"/>
                  <w:vAlign w:val="center"/>
                </w:tcPr>
                <w:p w14:paraId="0BE2720D">
                  <w:pPr>
                    <w:pStyle w:val="36"/>
                    <w:spacing w:line="240" w:lineRule="auto"/>
                    <w:jc w:val="center"/>
                    <w:rPr>
                      <w:rFonts w:hint="default" w:ascii="Times New Roman" w:hAnsi="Times New Roman" w:cs="Times New Roman" w:eastAsiaTheme="minorEastAsia"/>
                      <w:b/>
                      <w:bCs/>
                      <w:kern w:val="2"/>
                      <w:sz w:val="21"/>
                      <w:szCs w:val="21"/>
                      <w:vertAlign w:val="baseline"/>
                      <w:lang w:val="en-US" w:eastAsia="zh-CN" w:bidi="ar-SA"/>
                    </w:rPr>
                  </w:pPr>
                  <w:r>
                    <w:rPr>
                      <w:rFonts w:hint="default" w:ascii="Times New Roman" w:hAnsi="Times New Roman" w:cs="Times New Roman" w:eastAsiaTheme="minorEastAsia"/>
                      <w:b/>
                      <w:bCs/>
                      <w:kern w:val="2"/>
                      <w:sz w:val="21"/>
                      <w:szCs w:val="21"/>
                      <w:vertAlign w:val="baseline"/>
                      <w:lang w:val="en-US" w:eastAsia="zh-CN" w:bidi="ar-SA"/>
                    </w:rPr>
                    <w:t>来源</w:t>
                  </w:r>
                </w:p>
              </w:tc>
            </w:tr>
            <w:tr w14:paraId="3B517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noWrap w:val="0"/>
                  <w:vAlign w:val="center"/>
                </w:tcPr>
                <w:p w14:paraId="7C91C1AD">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w:t>
                  </w:r>
                </w:p>
              </w:tc>
              <w:tc>
                <w:tcPr>
                  <w:tcW w:w="1211" w:type="dxa"/>
                  <w:tcBorders>
                    <w:tl2br w:val="nil"/>
                    <w:tr2bl w:val="nil"/>
                  </w:tcBorders>
                  <w:noWrap w:val="0"/>
                  <w:vAlign w:val="center"/>
                </w:tcPr>
                <w:p w14:paraId="7745009D">
                  <w:pPr>
                    <w:pStyle w:val="36"/>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rPr>
                    <w:t>大白粉</w:t>
                  </w:r>
                </w:p>
              </w:tc>
              <w:tc>
                <w:tcPr>
                  <w:tcW w:w="1350" w:type="dxa"/>
                  <w:tcBorders>
                    <w:tl2br w:val="nil"/>
                    <w:tr2bl w:val="nil"/>
                  </w:tcBorders>
                  <w:noWrap w:val="0"/>
                  <w:vAlign w:val="center"/>
                </w:tcPr>
                <w:p w14:paraId="01EC5E40">
                  <w:pPr>
                    <w:widowControl/>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4000</w:t>
                  </w:r>
                  <w:r>
                    <w:rPr>
                      <w:rFonts w:hint="default" w:ascii="Times New Roman" w:hAnsi="Times New Roman" w:cs="Times New Roman"/>
                      <w:kern w:val="2"/>
                      <w:sz w:val="21"/>
                      <w:szCs w:val="21"/>
                      <w:lang w:val="en-US" w:eastAsia="zh-CN" w:bidi="ar-SA"/>
                    </w:rPr>
                    <w:t>t</w:t>
                  </w:r>
                </w:p>
              </w:tc>
              <w:tc>
                <w:tcPr>
                  <w:tcW w:w="1537" w:type="dxa"/>
                  <w:tcBorders>
                    <w:tl2br w:val="nil"/>
                    <w:tr2bl w:val="nil"/>
                  </w:tcBorders>
                  <w:noWrap w:val="0"/>
                  <w:vAlign w:val="center"/>
                </w:tcPr>
                <w:p w14:paraId="5A7C886F">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料仓</w:t>
                  </w:r>
                </w:p>
              </w:tc>
              <w:tc>
                <w:tcPr>
                  <w:tcW w:w="1377" w:type="dxa"/>
                  <w:tcBorders>
                    <w:tl2br w:val="nil"/>
                    <w:tr2bl w:val="nil"/>
                  </w:tcBorders>
                  <w:noWrap w:val="0"/>
                  <w:vAlign w:val="center"/>
                </w:tcPr>
                <w:p w14:paraId="1E3D3417">
                  <w:pPr>
                    <w:pStyle w:val="17"/>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bCs/>
                      <w:color w:val="auto"/>
                      <w:kern w:val="0"/>
                      <w:sz w:val="21"/>
                      <w:szCs w:val="21"/>
                      <w:vertAlign w:val="baseline"/>
                      <w:lang w:val="en-US" w:eastAsia="zh-CN"/>
                    </w:rPr>
                    <w:t>密封袋装</w:t>
                  </w:r>
                </w:p>
              </w:tc>
              <w:tc>
                <w:tcPr>
                  <w:tcW w:w="1389" w:type="dxa"/>
                  <w:tcBorders>
                    <w:tl2br w:val="nil"/>
                    <w:tr2bl w:val="nil"/>
                  </w:tcBorders>
                  <w:noWrap w:val="0"/>
                  <w:vAlign w:val="center"/>
                </w:tcPr>
                <w:p w14:paraId="77470BCA">
                  <w:pPr>
                    <w:pStyle w:val="36"/>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外购</w:t>
                  </w:r>
                </w:p>
              </w:tc>
            </w:tr>
            <w:tr w14:paraId="1B85E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noWrap w:val="0"/>
                  <w:vAlign w:val="center"/>
                </w:tcPr>
                <w:p w14:paraId="280310C1">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w:t>
                  </w:r>
                </w:p>
              </w:tc>
              <w:tc>
                <w:tcPr>
                  <w:tcW w:w="1211" w:type="dxa"/>
                  <w:tcBorders>
                    <w:tl2br w:val="nil"/>
                    <w:tr2bl w:val="nil"/>
                  </w:tcBorders>
                  <w:noWrap w:val="0"/>
                  <w:vAlign w:val="center"/>
                </w:tcPr>
                <w:p w14:paraId="3D78C2E9">
                  <w:pPr>
                    <w:pStyle w:val="36"/>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rPr>
                    <w:t>灰钙</w:t>
                  </w:r>
                </w:p>
              </w:tc>
              <w:tc>
                <w:tcPr>
                  <w:tcW w:w="1350" w:type="dxa"/>
                  <w:tcBorders>
                    <w:tl2br w:val="nil"/>
                    <w:tr2bl w:val="nil"/>
                  </w:tcBorders>
                  <w:noWrap w:val="0"/>
                  <w:vAlign w:val="center"/>
                </w:tcPr>
                <w:p w14:paraId="5E38015D">
                  <w:pPr>
                    <w:widowControl/>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7.5</w:t>
                  </w:r>
                  <w:r>
                    <w:rPr>
                      <w:rFonts w:hint="default" w:ascii="Times New Roman" w:hAnsi="Times New Roman" w:cs="Times New Roman"/>
                      <w:kern w:val="2"/>
                      <w:sz w:val="21"/>
                      <w:szCs w:val="21"/>
                      <w:lang w:val="en-US" w:eastAsia="zh-CN" w:bidi="ar-SA"/>
                    </w:rPr>
                    <w:t>t</w:t>
                  </w:r>
                </w:p>
              </w:tc>
              <w:tc>
                <w:tcPr>
                  <w:tcW w:w="1537" w:type="dxa"/>
                  <w:tcBorders>
                    <w:tl2br w:val="nil"/>
                    <w:tr2bl w:val="nil"/>
                  </w:tcBorders>
                  <w:noWrap w:val="0"/>
                  <w:vAlign w:val="center"/>
                </w:tcPr>
                <w:p w14:paraId="6A5899DD">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料仓</w:t>
                  </w:r>
                </w:p>
              </w:tc>
              <w:tc>
                <w:tcPr>
                  <w:tcW w:w="1377" w:type="dxa"/>
                  <w:tcBorders>
                    <w:tl2br w:val="nil"/>
                    <w:tr2bl w:val="nil"/>
                  </w:tcBorders>
                  <w:noWrap w:val="0"/>
                  <w:vAlign w:val="center"/>
                </w:tcPr>
                <w:p w14:paraId="6D2529C6">
                  <w:pPr>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bCs/>
                      <w:color w:val="auto"/>
                      <w:kern w:val="0"/>
                      <w:sz w:val="21"/>
                      <w:szCs w:val="21"/>
                      <w:vertAlign w:val="baseline"/>
                      <w:lang w:val="en-US" w:eastAsia="zh-CN"/>
                    </w:rPr>
                    <w:t>密封袋装</w:t>
                  </w:r>
                </w:p>
              </w:tc>
              <w:tc>
                <w:tcPr>
                  <w:tcW w:w="1389" w:type="dxa"/>
                  <w:tcBorders>
                    <w:tl2br w:val="nil"/>
                    <w:tr2bl w:val="nil"/>
                  </w:tcBorders>
                  <w:noWrap w:val="0"/>
                  <w:vAlign w:val="center"/>
                </w:tcPr>
                <w:p w14:paraId="5A72FEE6">
                  <w:pPr>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外购</w:t>
                  </w:r>
                </w:p>
              </w:tc>
            </w:tr>
            <w:tr w14:paraId="239D2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noWrap w:val="0"/>
                  <w:vAlign w:val="center"/>
                </w:tcPr>
                <w:p w14:paraId="4B500E2B">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w:t>
                  </w:r>
                </w:p>
              </w:tc>
              <w:tc>
                <w:tcPr>
                  <w:tcW w:w="1211" w:type="dxa"/>
                  <w:tcBorders>
                    <w:tl2br w:val="nil"/>
                    <w:tr2bl w:val="nil"/>
                  </w:tcBorders>
                  <w:noWrap w:val="0"/>
                  <w:vAlign w:val="center"/>
                </w:tcPr>
                <w:p w14:paraId="4A26F41C">
                  <w:pPr>
                    <w:pStyle w:val="36"/>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rPr>
                    <w:t>胶粉</w:t>
                  </w:r>
                </w:p>
              </w:tc>
              <w:tc>
                <w:tcPr>
                  <w:tcW w:w="1350" w:type="dxa"/>
                  <w:tcBorders>
                    <w:tl2br w:val="nil"/>
                    <w:tr2bl w:val="nil"/>
                  </w:tcBorders>
                  <w:noWrap w:val="0"/>
                  <w:vAlign w:val="center"/>
                </w:tcPr>
                <w:p w14:paraId="377BA219">
                  <w:pPr>
                    <w:widowControl/>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0.5</w:t>
                  </w:r>
                  <w:r>
                    <w:rPr>
                      <w:rFonts w:hint="default" w:ascii="Times New Roman" w:hAnsi="Times New Roman" w:cs="Times New Roman"/>
                      <w:kern w:val="2"/>
                      <w:sz w:val="21"/>
                      <w:szCs w:val="21"/>
                      <w:lang w:val="en-US" w:eastAsia="zh-CN" w:bidi="ar-SA"/>
                    </w:rPr>
                    <w:t>t</w:t>
                  </w:r>
                </w:p>
              </w:tc>
              <w:tc>
                <w:tcPr>
                  <w:tcW w:w="1537" w:type="dxa"/>
                  <w:tcBorders>
                    <w:tl2br w:val="nil"/>
                    <w:tr2bl w:val="nil"/>
                  </w:tcBorders>
                  <w:noWrap w:val="0"/>
                  <w:vAlign w:val="center"/>
                </w:tcPr>
                <w:p w14:paraId="0250FB02">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混合搅拌</w:t>
                  </w:r>
                </w:p>
              </w:tc>
              <w:tc>
                <w:tcPr>
                  <w:tcW w:w="1377" w:type="dxa"/>
                  <w:tcBorders>
                    <w:tl2br w:val="nil"/>
                    <w:tr2bl w:val="nil"/>
                  </w:tcBorders>
                  <w:noWrap w:val="0"/>
                  <w:vAlign w:val="center"/>
                </w:tcPr>
                <w:p w14:paraId="54058D9D">
                  <w:pPr>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bCs/>
                      <w:color w:val="auto"/>
                      <w:kern w:val="0"/>
                      <w:sz w:val="21"/>
                      <w:szCs w:val="21"/>
                      <w:vertAlign w:val="baseline"/>
                      <w:lang w:val="en-US" w:eastAsia="zh-CN"/>
                    </w:rPr>
                    <w:t>密封袋装</w:t>
                  </w:r>
                </w:p>
              </w:tc>
              <w:tc>
                <w:tcPr>
                  <w:tcW w:w="1389" w:type="dxa"/>
                  <w:tcBorders>
                    <w:tl2br w:val="nil"/>
                    <w:tr2bl w:val="nil"/>
                  </w:tcBorders>
                  <w:noWrap w:val="0"/>
                  <w:vAlign w:val="center"/>
                </w:tcPr>
                <w:p w14:paraId="377769E3">
                  <w:pPr>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外购</w:t>
                  </w:r>
                </w:p>
              </w:tc>
            </w:tr>
            <w:tr w14:paraId="3DC14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noWrap w:val="0"/>
                  <w:vAlign w:val="center"/>
                </w:tcPr>
                <w:p w14:paraId="16DE0882">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w:t>
                  </w:r>
                </w:p>
              </w:tc>
              <w:tc>
                <w:tcPr>
                  <w:tcW w:w="1211" w:type="dxa"/>
                  <w:tcBorders>
                    <w:tl2br w:val="nil"/>
                    <w:tr2bl w:val="nil"/>
                  </w:tcBorders>
                  <w:noWrap w:val="0"/>
                  <w:vAlign w:val="center"/>
                </w:tcPr>
                <w:p w14:paraId="4AA6C982">
                  <w:pPr>
                    <w:pStyle w:val="36"/>
                    <w:spacing w:before="31" w:after="31" w:line="240" w:lineRule="auto"/>
                    <w:ind w:left="0" w:leftChars="0" w:firstLine="0" w:firstLineChars="0"/>
                    <w:jc w:val="center"/>
                    <w:rPr>
                      <w:rFonts w:hint="default" w:ascii="Times New Roman" w:hAnsi="Times New Roman" w:eastAsia="宋体" w:cs="Times New Roman"/>
                      <w:kern w:val="0"/>
                      <w:sz w:val="21"/>
                      <w:szCs w:val="21"/>
                      <w:highlight w:val="red"/>
                      <w:lang w:val="en-US" w:eastAsia="zh-CN" w:bidi="ar-SA"/>
                    </w:rPr>
                  </w:pPr>
                  <w:r>
                    <w:rPr>
                      <w:rFonts w:hint="default" w:ascii="Times New Roman" w:hAnsi="Times New Roman" w:cs="Times New Roman"/>
                      <w:kern w:val="2"/>
                      <w:sz w:val="21"/>
                      <w:szCs w:val="21"/>
                    </w:rPr>
                    <w:t>沙子</w:t>
                  </w:r>
                </w:p>
              </w:tc>
              <w:tc>
                <w:tcPr>
                  <w:tcW w:w="1350" w:type="dxa"/>
                  <w:tcBorders>
                    <w:tl2br w:val="nil"/>
                    <w:tr2bl w:val="nil"/>
                  </w:tcBorders>
                  <w:noWrap w:val="0"/>
                  <w:vAlign w:val="center"/>
                </w:tcPr>
                <w:p w14:paraId="0393B68E">
                  <w:pPr>
                    <w:widowControl/>
                    <w:spacing w:line="240" w:lineRule="auto"/>
                    <w:jc w:val="center"/>
                    <w:textAlignment w:val="center"/>
                    <w:rPr>
                      <w:rFonts w:hint="default" w:ascii="Times New Roman" w:hAnsi="Times New Roman" w:eastAsia="宋体" w:cs="Times New Roman"/>
                      <w:kern w:val="2"/>
                      <w:sz w:val="21"/>
                      <w:szCs w:val="21"/>
                      <w:highlight w:val="red"/>
                      <w:lang w:val="en-US" w:eastAsia="zh-CN" w:bidi="ar-SA"/>
                    </w:rPr>
                  </w:pPr>
                  <w:r>
                    <w:rPr>
                      <w:rFonts w:hint="default" w:ascii="Times New Roman" w:hAnsi="Times New Roman" w:cs="Times New Roman"/>
                      <w:sz w:val="21"/>
                      <w:szCs w:val="21"/>
                    </w:rPr>
                    <w:t>755</w:t>
                  </w:r>
                  <w:r>
                    <w:rPr>
                      <w:rFonts w:hint="default" w:ascii="Times New Roman" w:hAnsi="Times New Roman" w:cs="Times New Roman"/>
                      <w:kern w:val="2"/>
                      <w:sz w:val="21"/>
                      <w:szCs w:val="21"/>
                      <w:lang w:val="en-US" w:eastAsia="zh-CN" w:bidi="ar-SA"/>
                    </w:rPr>
                    <w:t>t</w:t>
                  </w:r>
                </w:p>
              </w:tc>
              <w:tc>
                <w:tcPr>
                  <w:tcW w:w="1537" w:type="dxa"/>
                  <w:tcBorders>
                    <w:tl2br w:val="nil"/>
                    <w:tr2bl w:val="nil"/>
                  </w:tcBorders>
                  <w:noWrap w:val="0"/>
                  <w:vAlign w:val="center"/>
                </w:tcPr>
                <w:p w14:paraId="0164CA54">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料仓</w:t>
                  </w:r>
                </w:p>
              </w:tc>
              <w:tc>
                <w:tcPr>
                  <w:tcW w:w="1377" w:type="dxa"/>
                  <w:tcBorders>
                    <w:tl2br w:val="nil"/>
                    <w:tr2bl w:val="nil"/>
                  </w:tcBorders>
                  <w:noWrap w:val="0"/>
                  <w:vAlign w:val="center"/>
                </w:tcPr>
                <w:p w14:paraId="4444E200">
                  <w:pPr>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bCs/>
                      <w:color w:val="auto"/>
                      <w:kern w:val="0"/>
                      <w:sz w:val="21"/>
                      <w:szCs w:val="21"/>
                      <w:vertAlign w:val="baseline"/>
                      <w:lang w:val="en-US" w:eastAsia="zh-CN"/>
                    </w:rPr>
                    <w:t>密封袋装</w:t>
                  </w:r>
                </w:p>
              </w:tc>
              <w:tc>
                <w:tcPr>
                  <w:tcW w:w="1389" w:type="dxa"/>
                  <w:tcBorders>
                    <w:tl2br w:val="nil"/>
                    <w:tr2bl w:val="nil"/>
                  </w:tcBorders>
                  <w:noWrap w:val="0"/>
                  <w:vAlign w:val="center"/>
                </w:tcPr>
                <w:p w14:paraId="5A5473E3">
                  <w:pPr>
                    <w:spacing w:before="31" w:after="31" w:line="240" w:lineRule="auto"/>
                    <w:ind w:left="0" w:leftChars="0" w:firstLine="0" w:firstLineChars="0"/>
                    <w:jc w:val="center"/>
                    <w:rPr>
                      <w:rFonts w:hint="default" w:ascii="Times New Roman" w:hAnsi="Times New Roman" w:eastAsia="宋体" w:cs="Times New Roman"/>
                      <w:kern w:val="0"/>
                      <w:sz w:val="21"/>
                      <w:szCs w:val="21"/>
                      <w:highlight w:val="red"/>
                      <w:lang w:val="en-US" w:eastAsia="zh-CN" w:bidi="ar-SA"/>
                    </w:rPr>
                  </w:pPr>
                  <w:r>
                    <w:rPr>
                      <w:rFonts w:hint="default" w:ascii="Times New Roman" w:hAnsi="Times New Roman" w:cs="Times New Roman"/>
                      <w:kern w:val="0"/>
                      <w:sz w:val="21"/>
                      <w:szCs w:val="21"/>
                      <w:lang w:val="en-US" w:eastAsia="zh-CN" w:bidi="ar-SA"/>
                    </w:rPr>
                    <w:t>外购</w:t>
                  </w:r>
                </w:p>
              </w:tc>
            </w:tr>
            <w:tr w14:paraId="103E8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noWrap w:val="0"/>
                  <w:vAlign w:val="center"/>
                </w:tcPr>
                <w:p w14:paraId="26816682">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p>
              </w:tc>
              <w:tc>
                <w:tcPr>
                  <w:tcW w:w="1211" w:type="dxa"/>
                  <w:tcBorders>
                    <w:tl2br w:val="nil"/>
                    <w:tr2bl w:val="nil"/>
                  </w:tcBorders>
                  <w:noWrap w:val="0"/>
                  <w:vAlign w:val="center"/>
                </w:tcPr>
                <w:p w14:paraId="3A297B7A">
                  <w:pPr>
                    <w:pStyle w:val="36"/>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2"/>
                      <w:sz w:val="21"/>
                      <w:szCs w:val="21"/>
                    </w:rPr>
                    <w:t>水泥</w:t>
                  </w:r>
                </w:p>
              </w:tc>
              <w:tc>
                <w:tcPr>
                  <w:tcW w:w="1350" w:type="dxa"/>
                  <w:tcBorders>
                    <w:tl2br w:val="nil"/>
                    <w:tr2bl w:val="nil"/>
                  </w:tcBorders>
                  <w:noWrap w:val="0"/>
                  <w:vAlign w:val="center"/>
                </w:tcPr>
                <w:p w14:paraId="3FE62753">
                  <w:pPr>
                    <w:widowControl/>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31</w:t>
                  </w:r>
                  <w:r>
                    <w:rPr>
                      <w:rFonts w:hint="default" w:ascii="Times New Roman" w:hAnsi="Times New Roman" w:cs="Times New Roman"/>
                      <w:kern w:val="2"/>
                      <w:sz w:val="21"/>
                      <w:szCs w:val="21"/>
                      <w:lang w:val="en-US" w:eastAsia="zh-CN" w:bidi="ar-SA"/>
                    </w:rPr>
                    <w:t>t</w:t>
                  </w:r>
                </w:p>
              </w:tc>
              <w:tc>
                <w:tcPr>
                  <w:tcW w:w="1537" w:type="dxa"/>
                  <w:tcBorders>
                    <w:tl2br w:val="nil"/>
                    <w:tr2bl w:val="nil"/>
                  </w:tcBorders>
                  <w:noWrap w:val="0"/>
                  <w:vAlign w:val="center"/>
                </w:tcPr>
                <w:p w14:paraId="162ACCFE">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料仓</w:t>
                  </w:r>
                </w:p>
              </w:tc>
              <w:tc>
                <w:tcPr>
                  <w:tcW w:w="1377" w:type="dxa"/>
                  <w:tcBorders>
                    <w:tl2br w:val="nil"/>
                    <w:tr2bl w:val="nil"/>
                  </w:tcBorders>
                  <w:noWrap w:val="0"/>
                  <w:vAlign w:val="center"/>
                </w:tcPr>
                <w:p w14:paraId="4611CAFB">
                  <w:pPr>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bCs/>
                      <w:color w:val="auto"/>
                      <w:kern w:val="0"/>
                      <w:sz w:val="21"/>
                      <w:szCs w:val="21"/>
                      <w:vertAlign w:val="baseline"/>
                      <w:lang w:val="en-US" w:eastAsia="zh-CN"/>
                    </w:rPr>
                    <w:t>密封袋装</w:t>
                  </w:r>
                </w:p>
              </w:tc>
              <w:tc>
                <w:tcPr>
                  <w:tcW w:w="1389" w:type="dxa"/>
                  <w:tcBorders>
                    <w:tl2br w:val="nil"/>
                    <w:tr2bl w:val="nil"/>
                  </w:tcBorders>
                  <w:noWrap w:val="0"/>
                  <w:vAlign w:val="center"/>
                </w:tcPr>
                <w:p w14:paraId="2D659B40">
                  <w:pPr>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外购</w:t>
                  </w:r>
                </w:p>
              </w:tc>
            </w:tr>
            <w:tr w14:paraId="40517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noWrap w:val="0"/>
                  <w:vAlign w:val="center"/>
                </w:tcPr>
                <w:p w14:paraId="58F80AAA">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w:t>
                  </w:r>
                </w:p>
              </w:tc>
              <w:tc>
                <w:tcPr>
                  <w:tcW w:w="1211" w:type="dxa"/>
                  <w:tcBorders>
                    <w:tl2br w:val="nil"/>
                    <w:tr2bl w:val="nil"/>
                  </w:tcBorders>
                  <w:shd w:val="clear" w:color="auto" w:fill="auto"/>
                  <w:noWrap w:val="0"/>
                  <w:vAlign w:val="center"/>
                </w:tcPr>
                <w:p w14:paraId="40352B2C">
                  <w:pPr>
                    <w:pStyle w:val="36"/>
                    <w:spacing w:before="31" w:after="31"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0"/>
                      <w:sz w:val="21"/>
                      <w:szCs w:val="21"/>
                      <w:lang w:val="en-US" w:eastAsia="zh-CN" w:bidi="ar-SA"/>
                    </w:rPr>
                    <w:t>纤维素</w:t>
                  </w:r>
                </w:p>
              </w:tc>
              <w:tc>
                <w:tcPr>
                  <w:tcW w:w="1350" w:type="dxa"/>
                  <w:tcBorders>
                    <w:tl2br w:val="nil"/>
                    <w:tr2bl w:val="nil"/>
                  </w:tcBorders>
                  <w:shd w:val="clear" w:color="auto" w:fill="auto"/>
                  <w:noWrap w:val="0"/>
                  <w:vAlign w:val="center"/>
                </w:tcPr>
                <w:p w14:paraId="5DC767C7">
                  <w:pPr>
                    <w:widowControl/>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1200t</w:t>
                  </w:r>
                </w:p>
              </w:tc>
              <w:tc>
                <w:tcPr>
                  <w:tcW w:w="1537" w:type="dxa"/>
                  <w:tcBorders>
                    <w:tl2br w:val="nil"/>
                    <w:tr2bl w:val="nil"/>
                  </w:tcBorders>
                  <w:shd w:val="clear" w:color="auto" w:fill="auto"/>
                  <w:noWrap w:val="0"/>
                  <w:vAlign w:val="center"/>
                </w:tcPr>
                <w:p w14:paraId="678350A9">
                  <w:pPr>
                    <w:pStyle w:val="17"/>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混合搅拌</w:t>
                  </w:r>
                </w:p>
              </w:tc>
              <w:tc>
                <w:tcPr>
                  <w:tcW w:w="1377" w:type="dxa"/>
                  <w:tcBorders>
                    <w:tl2br w:val="nil"/>
                    <w:tr2bl w:val="nil"/>
                  </w:tcBorders>
                  <w:shd w:val="clear" w:color="auto" w:fill="auto"/>
                  <w:noWrap w:val="0"/>
                  <w:vAlign w:val="center"/>
                </w:tcPr>
                <w:p w14:paraId="7B18F9AD">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bCs/>
                      <w:color w:val="auto"/>
                      <w:kern w:val="0"/>
                      <w:sz w:val="21"/>
                      <w:szCs w:val="21"/>
                      <w:vertAlign w:val="baseline"/>
                      <w:lang w:val="en-US" w:eastAsia="zh-CN"/>
                    </w:rPr>
                    <w:t>密封袋装</w:t>
                  </w:r>
                </w:p>
              </w:tc>
              <w:tc>
                <w:tcPr>
                  <w:tcW w:w="1389" w:type="dxa"/>
                  <w:tcBorders>
                    <w:tl2br w:val="nil"/>
                    <w:tr2bl w:val="nil"/>
                  </w:tcBorders>
                  <w:shd w:val="clear" w:color="auto" w:fill="auto"/>
                  <w:noWrap w:val="0"/>
                  <w:vAlign w:val="center"/>
                </w:tcPr>
                <w:p w14:paraId="5BDFC036">
                  <w:pPr>
                    <w:spacing w:before="31" w:after="31" w:line="240" w:lineRule="auto"/>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kern w:val="0"/>
                      <w:sz w:val="21"/>
                      <w:szCs w:val="21"/>
                      <w:lang w:val="en-US" w:eastAsia="zh-CN" w:bidi="ar-SA"/>
                    </w:rPr>
                    <w:t>外购</w:t>
                  </w:r>
                </w:p>
              </w:tc>
            </w:tr>
            <w:tr w14:paraId="75F2E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shd w:val="clear" w:color="auto" w:fill="auto"/>
                  <w:noWrap w:val="0"/>
                  <w:vAlign w:val="center"/>
                </w:tcPr>
                <w:p w14:paraId="751C0F47">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7</w:t>
                  </w:r>
                </w:p>
              </w:tc>
              <w:tc>
                <w:tcPr>
                  <w:tcW w:w="1211" w:type="dxa"/>
                  <w:tcBorders>
                    <w:tl2br w:val="nil"/>
                    <w:tr2bl w:val="nil"/>
                  </w:tcBorders>
                  <w:shd w:val="clear" w:color="auto" w:fill="auto"/>
                  <w:noWrap w:val="0"/>
                  <w:vAlign w:val="center"/>
                </w:tcPr>
                <w:p w14:paraId="05C3531A">
                  <w:pPr>
                    <w:pStyle w:val="36"/>
                    <w:spacing w:before="31" w:after="31"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润滑油</w:t>
                  </w:r>
                </w:p>
              </w:tc>
              <w:tc>
                <w:tcPr>
                  <w:tcW w:w="1350" w:type="dxa"/>
                  <w:tcBorders>
                    <w:tl2br w:val="nil"/>
                    <w:tr2bl w:val="nil"/>
                  </w:tcBorders>
                  <w:shd w:val="clear" w:color="auto" w:fill="auto"/>
                  <w:noWrap w:val="0"/>
                  <w:vAlign w:val="center"/>
                </w:tcPr>
                <w:p w14:paraId="1A0E3836">
                  <w:pPr>
                    <w:widowControl/>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50kg</w:t>
                  </w:r>
                </w:p>
              </w:tc>
              <w:tc>
                <w:tcPr>
                  <w:tcW w:w="1537" w:type="dxa"/>
                  <w:tcBorders>
                    <w:tl2br w:val="nil"/>
                    <w:tr2bl w:val="nil"/>
                  </w:tcBorders>
                  <w:shd w:val="clear" w:color="auto" w:fill="auto"/>
                  <w:noWrap w:val="0"/>
                  <w:vAlign w:val="center"/>
                </w:tcPr>
                <w:p w14:paraId="2577BC05">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设备维护</w:t>
                  </w:r>
                </w:p>
              </w:tc>
              <w:tc>
                <w:tcPr>
                  <w:tcW w:w="1377" w:type="dxa"/>
                  <w:tcBorders>
                    <w:tl2br w:val="nil"/>
                    <w:tr2bl w:val="nil"/>
                  </w:tcBorders>
                  <w:shd w:val="clear" w:color="auto" w:fill="auto"/>
                  <w:noWrap w:val="0"/>
                  <w:vAlign w:val="center"/>
                </w:tcPr>
                <w:p w14:paraId="49FC7CB0">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桶装</w:t>
                  </w:r>
                </w:p>
              </w:tc>
              <w:tc>
                <w:tcPr>
                  <w:tcW w:w="1389" w:type="dxa"/>
                  <w:tcBorders>
                    <w:tl2br w:val="nil"/>
                    <w:tr2bl w:val="nil"/>
                  </w:tcBorders>
                  <w:shd w:val="clear" w:color="auto" w:fill="auto"/>
                  <w:noWrap w:val="0"/>
                  <w:vAlign w:val="center"/>
                </w:tcPr>
                <w:p w14:paraId="0E5BA27E">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rPr>
                    <w:t>外购</w:t>
                  </w:r>
                </w:p>
              </w:tc>
            </w:tr>
            <w:tr w14:paraId="22D4C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shd w:val="clear" w:color="auto" w:fill="auto"/>
                  <w:noWrap w:val="0"/>
                  <w:vAlign w:val="center"/>
                </w:tcPr>
                <w:p w14:paraId="5E99D585">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8</w:t>
                  </w:r>
                </w:p>
              </w:tc>
              <w:tc>
                <w:tcPr>
                  <w:tcW w:w="1211" w:type="dxa"/>
                  <w:tcBorders>
                    <w:tl2br w:val="nil"/>
                    <w:tr2bl w:val="nil"/>
                  </w:tcBorders>
                  <w:shd w:val="clear" w:color="auto" w:fill="auto"/>
                  <w:noWrap w:val="0"/>
                  <w:vAlign w:val="center"/>
                </w:tcPr>
                <w:p w14:paraId="6FD18C98">
                  <w:pPr>
                    <w:pStyle w:val="36"/>
                    <w:spacing w:before="31" w:after="31"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2"/>
                      <w:sz w:val="21"/>
                      <w:szCs w:val="21"/>
                      <w:lang w:val="en-US" w:eastAsia="zh-CN" w:bidi="ar-SA"/>
                    </w:rPr>
                    <w:t>水</w:t>
                  </w:r>
                </w:p>
              </w:tc>
              <w:tc>
                <w:tcPr>
                  <w:tcW w:w="1350" w:type="dxa"/>
                  <w:tcBorders>
                    <w:tl2br w:val="nil"/>
                    <w:tr2bl w:val="nil"/>
                  </w:tcBorders>
                  <w:shd w:val="clear" w:color="auto" w:fill="auto"/>
                  <w:noWrap w:val="0"/>
                  <w:vAlign w:val="center"/>
                </w:tcPr>
                <w:p w14:paraId="42D3E926">
                  <w:pPr>
                    <w:widowControl/>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200m³</w:t>
                  </w:r>
                </w:p>
              </w:tc>
              <w:tc>
                <w:tcPr>
                  <w:tcW w:w="1537" w:type="dxa"/>
                  <w:tcBorders>
                    <w:tl2br w:val="nil"/>
                    <w:tr2bl w:val="nil"/>
                  </w:tcBorders>
                  <w:shd w:val="clear" w:color="auto" w:fill="auto"/>
                  <w:noWrap w:val="0"/>
                  <w:vAlign w:val="center"/>
                </w:tcPr>
                <w:p w14:paraId="1025CD96">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生活</w:t>
                  </w:r>
                </w:p>
              </w:tc>
              <w:tc>
                <w:tcPr>
                  <w:tcW w:w="1377" w:type="dxa"/>
                  <w:tcBorders>
                    <w:tl2br w:val="nil"/>
                    <w:tr2bl w:val="nil"/>
                  </w:tcBorders>
                  <w:shd w:val="clear" w:color="auto" w:fill="auto"/>
                  <w:noWrap w:val="0"/>
                  <w:vAlign w:val="center"/>
                </w:tcPr>
                <w:p w14:paraId="56F76DE3">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1389" w:type="dxa"/>
                  <w:tcBorders>
                    <w:tl2br w:val="nil"/>
                    <w:tr2bl w:val="nil"/>
                  </w:tcBorders>
                  <w:shd w:val="clear" w:color="auto" w:fill="auto"/>
                  <w:noWrap w:val="0"/>
                  <w:vAlign w:val="center"/>
                </w:tcPr>
                <w:p w14:paraId="2A727663">
                  <w:pPr>
                    <w:adjustRightInd w:val="0"/>
                    <w:snapToGrid w:val="0"/>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Cs/>
                      <w:color w:val="auto"/>
                      <w:kern w:val="0"/>
                      <w:sz w:val="21"/>
                      <w:szCs w:val="21"/>
                    </w:rPr>
                    <w:t>由市政供水</w:t>
                  </w:r>
                </w:p>
              </w:tc>
            </w:tr>
            <w:tr w14:paraId="31881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713" w:type="dxa"/>
                  <w:tcBorders>
                    <w:tl2br w:val="nil"/>
                    <w:tr2bl w:val="nil"/>
                  </w:tcBorders>
                  <w:noWrap w:val="0"/>
                  <w:vAlign w:val="center"/>
                </w:tcPr>
                <w:p w14:paraId="6CCD4073">
                  <w:pPr>
                    <w:pStyle w:val="17"/>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p>
              </w:tc>
              <w:tc>
                <w:tcPr>
                  <w:tcW w:w="1211" w:type="dxa"/>
                  <w:tcBorders>
                    <w:tl2br w:val="nil"/>
                    <w:tr2bl w:val="nil"/>
                  </w:tcBorders>
                  <w:shd w:val="clear" w:color="auto" w:fill="auto"/>
                  <w:noWrap w:val="0"/>
                  <w:vAlign w:val="center"/>
                </w:tcPr>
                <w:p w14:paraId="3F0A9B3D">
                  <w:pPr>
                    <w:pStyle w:val="36"/>
                    <w:spacing w:before="31" w:after="31"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电</w:t>
                  </w:r>
                </w:p>
              </w:tc>
              <w:tc>
                <w:tcPr>
                  <w:tcW w:w="1350" w:type="dxa"/>
                  <w:tcBorders>
                    <w:tl2br w:val="nil"/>
                    <w:tr2bl w:val="nil"/>
                  </w:tcBorders>
                  <w:shd w:val="clear" w:color="auto" w:fill="auto"/>
                  <w:noWrap w:val="0"/>
                  <w:vAlign w:val="center"/>
                </w:tcPr>
                <w:p w14:paraId="173D8F1E">
                  <w:pPr>
                    <w:widowControl/>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50000度</w:t>
                  </w:r>
                </w:p>
              </w:tc>
              <w:tc>
                <w:tcPr>
                  <w:tcW w:w="1537" w:type="dxa"/>
                  <w:tcBorders>
                    <w:tl2br w:val="nil"/>
                    <w:tr2bl w:val="nil"/>
                  </w:tcBorders>
                  <w:shd w:val="clear" w:color="auto" w:fill="auto"/>
                  <w:noWrap w:val="0"/>
                  <w:vAlign w:val="center"/>
                </w:tcPr>
                <w:p w14:paraId="5C0AC126">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生活、生产</w:t>
                  </w:r>
                </w:p>
              </w:tc>
              <w:tc>
                <w:tcPr>
                  <w:tcW w:w="1377" w:type="dxa"/>
                  <w:tcBorders>
                    <w:tl2br w:val="nil"/>
                    <w:tr2bl w:val="nil"/>
                  </w:tcBorders>
                  <w:shd w:val="clear" w:color="auto" w:fill="auto"/>
                  <w:noWrap w:val="0"/>
                  <w:vAlign w:val="center"/>
                </w:tcPr>
                <w:p w14:paraId="60BFFA91">
                  <w:pPr>
                    <w:pStyle w:val="17"/>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1389" w:type="dxa"/>
                  <w:tcBorders>
                    <w:tl2br w:val="nil"/>
                    <w:tr2bl w:val="nil"/>
                  </w:tcBorders>
                  <w:shd w:val="clear" w:color="auto" w:fill="auto"/>
                  <w:noWrap w:val="0"/>
                  <w:vAlign w:val="center"/>
                </w:tcPr>
                <w:p w14:paraId="37F5C4F2">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color w:val="auto"/>
                      <w:kern w:val="0"/>
                      <w:sz w:val="21"/>
                      <w:szCs w:val="21"/>
                    </w:rPr>
                    <w:t>由市政供电网络供给</w:t>
                  </w:r>
                </w:p>
              </w:tc>
            </w:tr>
          </w:tbl>
          <w:p w14:paraId="12BC0FC3">
            <w:pPr>
              <w:pStyle w:val="2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kern w:val="2"/>
                <w:sz w:val="24"/>
                <w:szCs w:val="22"/>
                <w:lang w:val="en-US" w:eastAsia="zh-CN" w:bidi="ar-SA"/>
              </w:rPr>
            </w:pPr>
            <w:r>
              <w:rPr>
                <w:rFonts w:hint="eastAsia" w:ascii="Times New Roman" w:hAnsi="Times New Roman" w:eastAsia="宋体" w:cs="Times New Roman"/>
                <w:b w:val="0"/>
                <w:bCs w:val="0"/>
                <w:kern w:val="2"/>
                <w:sz w:val="24"/>
                <w:szCs w:val="22"/>
                <w:lang w:val="en-US" w:eastAsia="zh-CN" w:bidi="ar-SA"/>
              </w:rPr>
              <w:t>①水泥：粉状水硬性无机胶凝材料，</w:t>
            </w:r>
            <w:r>
              <w:rPr>
                <w:rFonts w:hint="default" w:ascii="Times New Roman" w:hAnsi="Times New Roman" w:eastAsia="宋体" w:cs="Times New Roman"/>
                <w:b w:val="0"/>
                <w:bCs w:val="0"/>
                <w:kern w:val="2"/>
                <w:sz w:val="24"/>
                <w:szCs w:val="22"/>
                <w:lang w:val="en-US" w:eastAsia="zh-CN" w:bidi="ar-SA"/>
              </w:rPr>
              <w:t>由硅酸盐水泥</w:t>
            </w:r>
            <w:r>
              <w:rPr>
                <w:rFonts w:hint="default" w:ascii="Times New Roman" w:hAnsi="Times New Roman" w:eastAsia="宋体" w:cs="Times New Roman"/>
                <w:b w:val="0"/>
                <w:bCs w:val="0"/>
                <w:kern w:val="2"/>
                <w:sz w:val="24"/>
                <w:szCs w:val="22"/>
                <w:lang w:val="en-US" w:eastAsia="zh-CN" w:bidi="ar-SA"/>
              </w:rPr>
              <w:fldChar w:fldCharType="begin"/>
            </w:r>
            <w:r>
              <w:rPr>
                <w:rFonts w:hint="default" w:ascii="Times New Roman" w:hAnsi="Times New Roman" w:eastAsia="宋体" w:cs="Times New Roman"/>
                <w:b w:val="0"/>
                <w:bCs w:val="0"/>
                <w:kern w:val="2"/>
                <w:sz w:val="24"/>
                <w:szCs w:val="22"/>
                <w:lang w:val="en-US" w:eastAsia="zh-CN" w:bidi="ar-SA"/>
              </w:rPr>
              <w:instrText xml:space="preserve"> HYPERLINK "http://baike.so.com/doc/-.html" \t "_blank" </w:instrText>
            </w:r>
            <w:r>
              <w:rPr>
                <w:rFonts w:hint="default" w:ascii="Times New Roman" w:hAnsi="Times New Roman" w:eastAsia="宋体" w:cs="Times New Roman"/>
                <w:b w:val="0"/>
                <w:bCs w:val="0"/>
                <w:kern w:val="2"/>
                <w:sz w:val="24"/>
                <w:szCs w:val="22"/>
                <w:lang w:val="en-US" w:eastAsia="zh-CN" w:bidi="ar-SA"/>
              </w:rPr>
              <w:fldChar w:fldCharType="separate"/>
            </w:r>
            <w:r>
              <w:rPr>
                <w:rFonts w:hint="default" w:ascii="Times New Roman" w:hAnsi="Times New Roman" w:eastAsia="宋体" w:cs="Times New Roman"/>
                <w:b w:val="0"/>
                <w:bCs w:val="0"/>
                <w:kern w:val="2"/>
                <w:sz w:val="24"/>
                <w:szCs w:val="22"/>
                <w:lang w:val="en-US" w:eastAsia="zh-CN" w:bidi="ar-SA"/>
              </w:rPr>
              <w:t>熟料</w:t>
            </w:r>
            <w:r>
              <w:rPr>
                <w:rFonts w:hint="default" w:ascii="Times New Roman" w:hAnsi="Times New Roman" w:eastAsia="宋体" w:cs="Times New Roman"/>
                <w:b w:val="0"/>
                <w:bCs w:val="0"/>
                <w:kern w:val="2"/>
                <w:sz w:val="24"/>
                <w:szCs w:val="22"/>
                <w:lang w:val="en-US" w:eastAsia="zh-CN" w:bidi="ar-SA"/>
              </w:rPr>
              <w:fldChar w:fldCharType="end"/>
            </w:r>
            <w:r>
              <w:rPr>
                <w:rFonts w:hint="default" w:ascii="Times New Roman" w:hAnsi="Times New Roman" w:eastAsia="宋体" w:cs="Times New Roman"/>
                <w:b w:val="0"/>
                <w:bCs w:val="0"/>
                <w:kern w:val="2"/>
                <w:sz w:val="24"/>
                <w:szCs w:val="22"/>
                <w:lang w:val="en-US" w:eastAsia="zh-CN" w:bidi="ar-SA"/>
              </w:rPr>
              <w:t>、5%-20%的混合材料及适量石膏磨细制成的</w:t>
            </w:r>
            <w:r>
              <w:rPr>
                <w:rFonts w:hint="default" w:ascii="Times New Roman" w:hAnsi="Times New Roman" w:eastAsia="宋体" w:cs="Times New Roman"/>
                <w:b w:val="0"/>
                <w:bCs w:val="0"/>
                <w:kern w:val="2"/>
                <w:sz w:val="24"/>
                <w:szCs w:val="22"/>
                <w:lang w:val="en-US" w:eastAsia="zh-CN" w:bidi="ar-SA"/>
              </w:rPr>
              <w:fldChar w:fldCharType="begin"/>
            </w:r>
            <w:r>
              <w:rPr>
                <w:rFonts w:hint="default" w:ascii="Times New Roman" w:hAnsi="Times New Roman" w:eastAsia="宋体" w:cs="Times New Roman"/>
                <w:b w:val="0"/>
                <w:bCs w:val="0"/>
                <w:kern w:val="2"/>
                <w:sz w:val="24"/>
                <w:szCs w:val="22"/>
                <w:lang w:val="en-US" w:eastAsia="zh-CN" w:bidi="ar-SA"/>
              </w:rPr>
              <w:instrText xml:space="preserve"> HYPERLINK "http://baike.so.com/doc/-.html" \t "_blank" </w:instrText>
            </w:r>
            <w:r>
              <w:rPr>
                <w:rFonts w:hint="default" w:ascii="Times New Roman" w:hAnsi="Times New Roman" w:eastAsia="宋体" w:cs="Times New Roman"/>
                <w:b w:val="0"/>
                <w:bCs w:val="0"/>
                <w:kern w:val="2"/>
                <w:sz w:val="24"/>
                <w:szCs w:val="22"/>
                <w:lang w:val="en-US" w:eastAsia="zh-CN" w:bidi="ar-SA"/>
              </w:rPr>
              <w:fldChar w:fldCharType="separate"/>
            </w:r>
            <w:r>
              <w:rPr>
                <w:rFonts w:hint="default" w:ascii="Times New Roman" w:hAnsi="Times New Roman" w:eastAsia="宋体" w:cs="Times New Roman"/>
                <w:b w:val="0"/>
                <w:bCs w:val="0"/>
                <w:kern w:val="2"/>
                <w:sz w:val="24"/>
                <w:szCs w:val="22"/>
                <w:lang w:val="en-US" w:eastAsia="zh-CN" w:bidi="ar-SA"/>
              </w:rPr>
              <w:t>水硬性胶凝材料</w:t>
            </w:r>
            <w:r>
              <w:rPr>
                <w:rFonts w:hint="default" w:ascii="Times New Roman" w:hAnsi="Times New Roman" w:eastAsia="宋体" w:cs="Times New Roman"/>
                <w:b w:val="0"/>
                <w:bCs w:val="0"/>
                <w:kern w:val="2"/>
                <w:sz w:val="24"/>
                <w:szCs w:val="22"/>
                <w:lang w:val="en-US" w:eastAsia="zh-CN" w:bidi="ar-SA"/>
              </w:rPr>
              <w:fldChar w:fldCharType="end"/>
            </w:r>
            <w:r>
              <w:rPr>
                <w:rFonts w:hint="default" w:ascii="Times New Roman" w:hAnsi="Times New Roman" w:eastAsia="宋体" w:cs="Times New Roman"/>
                <w:b w:val="0"/>
                <w:bCs w:val="0"/>
                <w:kern w:val="2"/>
                <w:sz w:val="24"/>
                <w:szCs w:val="22"/>
                <w:lang w:val="en-US" w:eastAsia="zh-CN" w:bidi="ar-SA"/>
              </w:rPr>
              <w:t>。具有强度高、水化热大，抗冻性好、干缩小，</w:t>
            </w:r>
            <w:r>
              <w:rPr>
                <w:rFonts w:hint="default" w:ascii="Times New Roman" w:hAnsi="Times New Roman" w:eastAsia="宋体" w:cs="Times New Roman"/>
                <w:b w:val="0"/>
                <w:bCs w:val="0"/>
                <w:kern w:val="2"/>
                <w:sz w:val="24"/>
                <w:szCs w:val="22"/>
                <w:lang w:val="en-US" w:eastAsia="zh-CN" w:bidi="ar-SA"/>
              </w:rPr>
              <w:fldChar w:fldCharType="begin"/>
            </w:r>
            <w:r>
              <w:rPr>
                <w:rFonts w:hint="default" w:ascii="Times New Roman" w:hAnsi="Times New Roman" w:eastAsia="宋体" w:cs="Times New Roman"/>
                <w:b w:val="0"/>
                <w:bCs w:val="0"/>
                <w:kern w:val="2"/>
                <w:sz w:val="24"/>
                <w:szCs w:val="22"/>
                <w:lang w:val="en-US" w:eastAsia="zh-CN" w:bidi="ar-SA"/>
              </w:rPr>
              <w:instrText xml:space="preserve"> HYPERLINK "http://baike.so.com/doc/-.html" \t "_blank" </w:instrText>
            </w:r>
            <w:r>
              <w:rPr>
                <w:rFonts w:hint="default" w:ascii="Times New Roman" w:hAnsi="Times New Roman" w:eastAsia="宋体" w:cs="Times New Roman"/>
                <w:b w:val="0"/>
                <w:bCs w:val="0"/>
                <w:kern w:val="2"/>
                <w:sz w:val="24"/>
                <w:szCs w:val="22"/>
                <w:lang w:val="en-US" w:eastAsia="zh-CN" w:bidi="ar-SA"/>
              </w:rPr>
              <w:fldChar w:fldCharType="separate"/>
            </w:r>
            <w:r>
              <w:rPr>
                <w:rFonts w:hint="default" w:ascii="Times New Roman" w:hAnsi="Times New Roman" w:eastAsia="宋体" w:cs="Times New Roman"/>
                <w:b w:val="0"/>
                <w:bCs w:val="0"/>
                <w:kern w:val="2"/>
                <w:sz w:val="24"/>
                <w:szCs w:val="22"/>
                <w:lang w:val="en-US" w:eastAsia="zh-CN" w:bidi="ar-SA"/>
              </w:rPr>
              <w:t>耐磨性</w:t>
            </w:r>
            <w:r>
              <w:rPr>
                <w:rFonts w:hint="default" w:ascii="Times New Roman" w:hAnsi="Times New Roman" w:eastAsia="宋体" w:cs="Times New Roman"/>
                <w:b w:val="0"/>
                <w:bCs w:val="0"/>
                <w:kern w:val="2"/>
                <w:sz w:val="24"/>
                <w:szCs w:val="22"/>
                <w:lang w:val="en-US" w:eastAsia="zh-CN" w:bidi="ar-SA"/>
              </w:rPr>
              <w:fldChar w:fldCharType="end"/>
            </w:r>
            <w:r>
              <w:rPr>
                <w:rFonts w:hint="default" w:ascii="Times New Roman" w:hAnsi="Times New Roman" w:eastAsia="宋体" w:cs="Times New Roman"/>
                <w:b w:val="0"/>
                <w:bCs w:val="0"/>
                <w:kern w:val="2"/>
                <w:sz w:val="24"/>
                <w:szCs w:val="22"/>
                <w:lang w:val="en-US" w:eastAsia="zh-CN" w:bidi="ar-SA"/>
              </w:rPr>
              <w:t>较好、抗碳化性较好、耐腐蚀性差、不耐高温的特性。</w:t>
            </w:r>
          </w:p>
          <w:p w14:paraId="6EE11E9C">
            <w:pPr>
              <w:pStyle w:val="2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 w:val="0"/>
                <w:bCs w:val="0"/>
                <w:kern w:val="2"/>
                <w:sz w:val="24"/>
                <w:szCs w:val="22"/>
                <w:lang w:val="en-US" w:eastAsia="zh-CN" w:bidi="ar-SA"/>
              </w:rPr>
            </w:pPr>
            <w:r>
              <w:rPr>
                <w:rFonts w:hint="eastAsia" w:ascii="Times New Roman" w:hAnsi="Times New Roman" w:eastAsia="宋体" w:cs="Times New Roman"/>
                <w:b w:val="0"/>
                <w:bCs w:val="0"/>
                <w:kern w:val="2"/>
                <w:sz w:val="24"/>
                <w:szCs w:val="22"/>
                <w:lang w:val="en-US" w:eastAsia="zh-CN" w:bidi="ar-SA"/>
              </w:rPr>
              <w:t>②灰钙：主要成分是Ca</w:t>
            </w:r>
            <w:r>
              <w:rPr>
                <w:rFonts w:hint="eastAsia" w:ascii="Times New Roman" w:hAnsi="Times New Roman" w:cs="Times New Roman"/>
                <w:b w:val="0"/>
                <w:bCs w:val="0"/>
                <w:kern w:val="2"/>
                <w:sz w:val="24"/>
                <w:szCs w:val="22"/>
                <w:lang w:val="en-US" w:eastAsia="zh-CN" w:bidi="ar-SA"/>
              </w:rPr>
              <w:t>（</w:t>
            </w:r>
            <w:r>
              <w:rPr>
                <w:rFonts w:hint="eastAsia" w:ascii="Times New Roman" w:hAnsi="Times New Roman" w:eastAsia="宋体" w:cs="Times New Roman"/>
                <w:b w:val="0"/>
                <w:bCs w:val="0"/>
                <w:kern w:val="2"/>
                <w:sz w:val="24"/>
                <w:szCs w:val="22"/>
                <w:lang w:val="en-US" w:eastAsia="zh-CN" w:bidi="ar-SA"/>
              </w:rPr>
              <w:t>OH</w:t>
            </w:r>
            <w:r>
              <w:rPr>
                <w:rFonts w:hint="eastAsia" w:ascii="Times New Roman" w:hAnsi="Times New Roman" w:cs="Times New Roman"/>
                <w:b w:val="0"/>
                <w:bCs w:val="0"/>
                <w:kern w:val="2"/>
                <w:sz w:val="24"/>
                <w:szCs w:val="22"/>
                <w:lang w:val="en-US" w:eastAsia="zh-CN" w:bidi="ar-SA"/>
              </w:rPr>
              <w:t>）</w:t>
            </w:r>
            <w:r>
              <w:rPr>
                <w:rFonts w:hint="eastAsia" w:ascii="Times New Roman" w:hAnsi="Times New Roman" w:eastAsia="宋体" w:cs="Times New Roman"/>
                <w:b w:val="0"/>
                <w:bCs w:val="0"/>
                <w:kern w:val="2"/>
                <w:sz w:val="24"/>
                <w:szCs w:val="22"/>
                <w:vertAlign w:val="subscript"/>
                <w:lang w:val="en-US" w:eastAsia="zh-CN" w:bidi="ar-SA"/>
              </w:rPr>
              <w:t>2</w:t>
            </w:r>
            <w:r>
              <w:rPr>
                <w:rFonts w:hint="eastAsia" w:ascii="Times New Roman" w:hAnsi="Times New Roman" w:eastAsia="宋体" w:cs="Times New Roman"/>
                <w:b w:val="0"/>
                <w:bCs w:val="0"/>
                <w:kern w:val="2"/>
                <w:sz w:val="24"/>
                <w:szCs w:val="22"/>
                <w:lang w:val="en-US" w:eastAsia="zh-CN" w:bidi="ar-SA"/>
              </w:rPr>
              <w:t>、CaO和少量CaCO</w:t>
            </w:r>
            <w:r>
              <w:rPr>
                <w:rFonts w:hint="eastAsia" w:ascii="Times New Roman" w:hAnsi="Times New Roman" w:eastAsia="宋体" w:cs="Times New Roman"/>
                <w:b w:val="0"/>
                <w:bCs w:val="0"/>
                <w:kern w:val="2"/>
                <w:sz w:val="24"/>
                <w:szCs w:val="22"/>
                <w:vertAlign w:val="subscript"/>
                <w:lang w:val="en-US" w:eastAsia="zh-CN" w:bidi="ar-SA"/>
              </w:rPr>
              <w:t>3</w:t>
            </w:r>
            <w:r>
              <w:rPr>
                <w:rFonts w:hint="eastAsia" w:ascii="Times New Roman" w:hAnsi="Times New Roman" w:eastAsia="宋体" w:cs="Times New Roman"/>
                <w:b w:val="0"/>
                <w:bCs w:val="0"/>
                <w:kern w:val="2"/>
                <w:sz w:val="24"/>
                <w:szCs w:val="22"/>
                <w:lang w:val="en-US" w:eastAsia="zh-CN" w:bidi="ar-SA"/>
              </w:rPr>
              <w:t>的混合物，是石灰的精加工产品。</w:t>
            </w:r>
          </w:p>
          <w:p w14:paraId="3A817E34">
            <w:pPr>
              <w:pStyle w:val="2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 w:val="0"/>
                <w:bCs w:val="0"/>
                <w:kern w:val="2"/>
                <w:sz w:val="24"/>
                <w:szCs w:val="22"/>
                <w:lang w:val="en-US" w:eastAsia="zh-CN" w:bidi="ar-SA"/>
              </w:rPr>
            </w:pPr>
            <w:r>
              <w:rPr>
                <w:rFonts w:hint="eastAsia" w:ascii="Times New Roman" w:hAnsi="Times New Roman" w:cs="Times New Roman"/>
                <w:b w:val="0"/>
                <w:bCs w:val="0"/>
                <w:kern w:val="2"/>
                <w:sz w:val="24"/>
                <w:szCs w:val="22"/>
                <w:lang w:val="en-US" w:eastAsia="zh-CN" w:bidi="ar-SA"/>
              </w:rPr>
              <w:t>③</w:t>
            </w:r>
            <w:r>
              <w:rPr>
                <w:rFonts w:hint="eastAsia" w:ascii="Times New Roman" w:hAnsi="Times New Roman" w:eastAsia="宋体" w:cs="Times New Roman"/>
                <w:b w:val="0"/>
                <w:bCs w:val="0"/>
                <w:kern w:val="2"/>
                <w:sz w:val="24"/>
                <w:szCs w:val="22"/>
                <w:lang w:val="en-US" w:eastAsia="zh-CN" w:bidi="ar-SA"/>
              </w:rPr>
              <w:t>胶粉：水溶性白色或者类白色可流动性粉末，为乙烯、醋酸乙烯酯的共聚物，具有极突出的粘结强度，提高砂浆的柔性并有较长之开放时间，赋予砂浆优良的耐碱性，改善砂浆的粘附性粘合性、抗折强度、防水性、可塑性、耐磨性能和施工性外，在柔性抗裂砂浆中更具有较强的柔韧性。</w:t>
            </w:r>
          </w:p>
          <w:p w14:paraId="54694EE4">
            <w:pPr>
              <w:pStyle w:val="2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kern w:val="2"/>
                <w:sz w:val="24"/>
                <w:szCs w:val="22"/>
                <w:lang w:val="en-US" w:eastAsia="zh-CN" w:bidi="ar-SA"/>
              </w:rPr>
            </w:pPr>
            <w:r>
              <w:rPr>
                <w:rFonts w:hint="eastAsia" w:ascii="Times New Roman" w:hAnsi="Times New Roman" w:cs="Times New Roman"/>
                <w:b w:val="0"/>
                <w:bCs w:val="0"/>
                <w:kern w:val="2"/>
                <w:sz w:val="24"/>
                <w:szCs w:val="22"/>
                <w:lang w:val="en-US" w:eastAsia="zh-CN" w:bidi="ar-SA"/>
              </w:rPr>
              <w:t>④</w:t>
            </w:r>
            <w:r>
              <w:rPr>
                <w:rFonts w:hint="eastAsia" w:ascii="Times New Roman" w:hAnsi="Times New Roman" w:eastAsia="宋体" w:cs="Times New Roman"/>
                <w:b w:val="0"/>
                <w:bCs w:val="0"/>
                <w:kern w:val="2"/>
                <w:sz w:val="24"/>
                <w:szCs w:val="22"/>
                <w:lang w:val="en-US" w:eastAsia="zh-CN" w:bidi="ar-SA"/>
              </w:rPr>
              <w:t>大白粉：主要成分是碳酸钙（Ca</w:t>
            </w:r>
            <w:r>
              <w:rPr>
                <w:rFonts w:hint="eastAsia" w:ascii="Times New Roman" w:hAnsi="Times New Roman" w:cs="Times New Roman"/>
                <w:b w:val="0"/>
                <w:bCs w:val="0"/>
                <w:kern w:val="2"/>
                <w:sz w:val="24"/>
                <w:szCs w:val="22"/>
                <w:lang w:val="en-US" w:eastAsia="zh-CN" w:bidi="ar-SA"/>
              </w:rPr>
              <w:t>CO</w:t>
            </w:r>
            <w:r>
              <w:rPr>
                <w:rFonts w:hint="eastAsia" w:ascii="Times New Roman" w:hAnsi="Times New Roman" w:cs="Times New Roman"/>
                <w:b w:val="0"/>
                <w:bCs w:val="0"/>
                <w:kern w:val="2"/>
                <w:sz w:val="24"/>
                <w:szCs w:val="22"/>
                <w:vertAlign w:val="subscript"/>
                <w:lang w:val="en-US" w:eastAsia="zh-CN" w:bidi="ar-SA"/>
              </w:rPr>
              <w:t>3</w:t>
            </w:r>
            <w:r>
              <w:rPr>
                <w:rFonts w:hint="eastAsia" w:ascii="Times New Roman" w:hAnsi="Times New Roman" w:eastAsia="宋体" w:cs="Times New Roman"/>
                <w:b w:val="0"/>
                <w:bCs w:val="0"/>
                <w:kern w:val="2"/>
                <w:sz w:val="24"/>
                <w:szCs w:val="22"/>
                <w:lang w:val="en-US" w:eastAsia="zh-CN" w:bidi="ar-SA"/>
              </w:rPr>
              <w:t>）</w:t>
            </w:r>
            <w:r>
              <w:rPr>
                <w:rFonts w:hint="eastAsia" w:ascii="Times New Roman" w:hAnsi="Times New Roman" w:cs="Times New Roman"/>
                <w:b w:val="0"/>
                <w:bCs w:val="0"/>
                <w:kern w:val="2"/>
                <w:sz w:val="24"/>
                <w:szCs w:val="22"/>
                <w:lang w:val="en-US" w:eastAsia="zh-CN" w:bidi="ar-SA"/>
              </w:rPr>
              <w:t>，</w:t>
            </w:r>
            <w:r>
              <w:rPr>
                <w:rFonts w:hint="eastAsia" w:ascii="Times New Roman" w:hAnsi="Times New Roman" w:eastAsia="宋体" w:cs="Times New Roman"/>
                <w:b w:val="0"/>
                <w:bCs w:val="0"/>
                <w:kern w:val="2"/>
                <w:sz w:val="24"/>
                <w:szCs w:val="22"/>
                <w:lang w:val="en-US" w:eastAsia="zh-CN" w:bidi="ar-SA"/>
              </w:rPr>
              <w:t>是一种无机化合物，俗称灰石、石灰石、石粉、大理石等。碳酸钙呈中性，难溶于水，溶于</w:t>
            </w:r>
            <w:r>
              <w:rPr>
                <w:rFonts w:hint="default" w:ascii="Times New Roman" w:hAnsi="Times New Roman" w:eastAsia="宋体" w:cs="Times New Roman"/>
                <w:b w:val="0"/>
                <w:bCs w:val="0"/>
                <w:kern w:val="2"/>
                <w:sz w:val="24"/>
                <w:szCs w:val="22"/>
                <w:lang w:val="en-US" w:eastAsia="zh-CN" w:bidi="ar-SA"/>
              </w:rPr>
              <w:fldChar w:fldCharType="begin"/>
            </w:r>
            <w:r>
              <w:rPr>
                <w:rFonts w:hint="default" w:ascii="Times New Roman" w:hAnsi="Times New Roman" w:eastAsia="宋体" w:cs="Times New Roman"/>
                <w:b w:val="0"/>
                <w:bCs w:val="0"/>
                <w:kern w:val="2"/>
                <w:sz w:val="24"/>
                <w:szCs w:val="22"/>
                <w:lang w:val="en-US" w:eastAsia="zh-CN" w:bidi="ar-SA"/>
              </w:rPr>
              <w:instrText xml:space="preserve"> HYPERLINK "https://baike.so.com/doc/1244651-7124863.html" \t "https://baike.so.com/doc/_blank" </w:instrText>
            </w:r>
            <w:r>
              <w:rPr>
                <w:rFonts w:hint="default" w:ascii="Times New Roman" w:hAnsi="Times New Roman" w:eastAsia="宋体" w:cs="Times New Roman"/>
                <w:b w:val="0"/>
                <w:bCs w:val="0"/>
                <w:kern w:val="2"/>
                <w:sz w:val="24"/>
                <w:szCs w:val="22"/>
                <w:lang w:val="en-US" w:eastAsia="zh-CN" w:bidi="ar-SA"/>
              </w:rPr>
              <w:fldChar w:fldCharType="separate"/>
            </w:r>
            <w:r>
              <w:rPr>
                <w:rFonts w:hint="default" w:ascii="Times New Roman" w:hAnsi="Times New Roman" w:eastAsia="宋体" w:cs="Times New Roman"/>
                <w:b w:val="0"/>
                <w:bCs w:val="0"/>
                <w:kern w:val="2"/>
                <w:sz w:val="24"/>
                <w:szCs w:val="22"/>
                <w:lang w:val="en-US" w:eastAsia="zh-CN" w:bidi="ar-SA"/>
              </w:rPr>
              <w:t>盐酸</w:t>
            </w:r>
            <w:r>
              <w:rPr>
                <w:rFonts w:hint="default" w:ascii="Times New Roman" w:hAnsi="Times New Roman" w:eastAsia="宋体" w:cs="Times New Roman"/>
                <w:b w:val="0"/>
                <w:bCs w:val="0"/>
                <w:kern w:val="2"/>
                <w:sz w:val="24"/>
                <w:szCs w:val="22"/>
                <w:lang w:val="en-US" w:eastAsia="zh-CN" w:bidi="ar-SA"/>
              </w:rPr>
              <w:fldChar w:fldCharType="end"/>
            </w:r>
            <w:r>
              <w:rPr>
                <w:rFonts w:hint="default" w:ascii="Times New Roman" w:hAnsi="Times New Roman" w:eastAsia="宋体" w:cs="Times New Roman"/>
                <w:b w:val="0"/>
                <w:bCs w:val="0"/>
                <w:kern w:val="2"/>
                <w:sz w:val="24"/>
                <w:szCs w:val="22"/>
                <w:lang w:val="en-US" w:eastAsia="zh-CN" w:bidi="ar-SA"/>
              </w:rPr>
              <w:t>。它是</w:t>
            </w:r>
            <w:r>
              <w:rPr>
                <w:rFonts w:hint="default" w:ascii="Times New Roman" w:hAnsi="Times New Roman" w:eastAsia="宋体" w:cs="Times New Roman"/>
                <w:b w:val="0"/>
                <w:bCs w:val="0"/>
                <w:kern w:val="2"/>
                <w:sz w:val="24"/>
                <w:szCs w:val="22"/>
                <w:lang w:val="en-US" w:eastAsia="zh-CN" w:bidi="ar-SA"/>
              </w:rPr>
              <w:fldChar w:fldCharType="begin"/>
            </w:r>
            <w:r>
              <w:rPr>
                <w:rFonts w:hint="default" w:ascii="Times New Roman" w:hAnsi="Times New Roman" w:eastAsia="宋体" w:cs="Times New Roman"/>
                <w:b w:val="0"/>
                <w:bCs w:val="0"/>
                <w:kern w:val="2"/>
                <w:sz w:val="24"/>
                <w:szCs w:val="22"/>
                <w:lang w:val="en-US" w:eastAsia="zh-CN" w:bidi="ar-SA"/>
              </w:rPr>
              <w:instrText xml:space="preserve"> HYPERLINK "https://baike.so.com/doc/2315349-2449117.html" \t "https://baike.so.com/doc/_blank" </w:instrText>
            </w:r>
            <w:r>
              <w:rPr>
                <w:rFonts w:hint="default" w:ascii="Times New Roman" w:hAnsi="Times New Roman" w:eastAsia="宋体" w:cs="Times New Roman"/>
                <w:b w:val="0"/>
                <w:bCs w:val="0"/>
                <w:kern w:val="2"/>
                <w:sz w:val="24"/>
                <w:szCs w:val="22"/>
                <w:lang w:val="en-US" w:eastAsia="zh-CN" w:bidi="ar-SA"/>
              </w:rPr>
              <w:fldChar w:fldCharType="separate"/>
            </w:r>
            <w:r>
              <w:rPr>
                <w:rFonts w:hint="default" w:ascii="Times New Roman" w:hAnsi="Times New Roman" w:eastAsia="宋体" w:cs="Times New Roman"/>
                <w:b w:val="0"/>
                <w:bCs w:val="0"/>
                <w:kern w:val="2"/>
                <w:sz w:val="24"/>
                <w:szCs w:val="22"/>
                <w:lang w:val="en-US" w:eastAsia="zh-CN" w:bidi="ar-SA"/>
              </w:rPr>
              <w:t>地球</w:t>
            </w:r>
            <w:r>
              <w:rPr>
                <w:rFonts w:hint="default" w:ascii="Times New Roman" w:hAnsi="Times New Roman" w:eastAsia="宋体" w:cs="Times New Roman"/>
                <w:b w:val="0"/>
                <w:bCs w:val="0"/>
                <w:kern w:val="2"/>
                <w:sz w:val="24"/>
                <w:szCs w:val="22"/>
                <w:lang w:val="en-US" w:eastAsia="zh-CN" w:bidi="ar-SA"/>
              </w:rPr>
              <w:fldChar w:fldCharType="end"/>
            </w:r>
            <w:r>
              <w:rPr>
                <w:rFonts w:hint="default" w:ascii="Times New Roman" w:hAnsi="Times New Roman" w:eastAsia="宋体" w:cs="Times New Roman"/>
                <w:b w:val="0"/>
                <w:bCs w:val="0"/>
                <w:kern w:val="2"/>
                <w:sz w:val="24"/>
                <w:szCs w:val="22"/>
                <w:lang w:val="en-US" w:eastAsia="zh-CN" w:bidi="ar-SA"/>
              </w:rPr>
              <w:t>上常见物质之一，存在于霰石、方解石、白垩、石灰岩、</w:t>
            </w:r>
            <w:r>
              <w:rPr>
                <w:rFonts w:hint="default" w:ascii="Times New Roman" w:hAnsi="Times New Roman" w:eastAsia="宋体" w:cs="Times New Roman"/>
                <w:b w:val="0"/>
                <w:bCs w:val="0"/>
                <w:kern w:val="2"/>
                <w:sz w:val="24"/>
                <w:szCs w:val="22"/>
                <w:lang w:val="en-US" w:eastAsia="zh-CN" w:bidi="ar-SA"/>
              </w:rPr>
              <w:fldChar w:fldCharType="begin"/>
            </w:r>
            <w:r>
              <w:rPr>
                <w:rFonts w:hint="default" w:ascii="Times New Roman" w:hAnsi="Times New Roman" w:eastAsia="宋体" w:cs="Times New Roman"/>
                <w:b w:val="0"/>
                <w:bCs w:val="0"/>
                <w:kern w:val="2"/>
                <w:sz w:val="24"/>
                <w:szCs w:val="22"/>
                <w:lang w:val="en-US" w:eastAsia="zh-CN" w:bidi="ar-SA"/>
              </w:rPr>
              <w:instrText xml:space="preserve"> HYPERLINK "https://baike.so.com/doc/1110216-1174697.html" \t "https://baike.so.com/doc/_blank" </w:instrText>
            </w:r>
            <w:r>
              <w:rPr>
                <w:rFonts w:hint="default" w:ascii="Times New Roman" w:hAnsi="Times New Roman" w:eastAsia="宋体" w:cs="Times New Roman"/>
                <w:b w:val="0"/>
                <w:bCs w:val="0"/>
                <w:kern w:val="2"/>
                <w:sz w:val="24"/>
                <w:szCs w:val="22"/>
                <w:lang w:val="en-US" w:eastAsia="zh-CN" w:bidi="ar-SA"/>
              </w:rPr>
              <w:fldChar w:fldCharType="separate"/>
            </w:r>
            <w:r>
              <w:rPr>
                <w:rFonts w:hint="default" w:ascii="Times New Roman" w:hAnsi="Times New Roman" w:eastAsia="宋体" w:cs="Times New Roman"/>
                <w:b w:val="0"/>
                <w:bCs w:val="0"/>
                <w:kern w:val="2"/>
                <w:sz w:val="24"/>
                <w:szCs w:val="22"/>
                <w:lang w:val="en-US" w:eastAsia="zh-CN" w:bidi="ar-SA"/>
              </w:rPr>
              <w:t>大理石</w:t>
            </w:r>
            <w:r>
              <w:rPr>
                <w:rFonts w:hint="default" w:ascii="Times New Roman" w:hAnsi="Times New Roman" w:eastAsia="宋体" w:cs="Times New Roman"/>
                <w:b w:val="0"/>
                <w:bCs w:val="0"/>
                <w:kern w:val="2"/>
                <w:sz w:val="24"/>
                <w:szCs w:val="22"/>
                <w:lang w:val="en-US" w:eastAsia="zh-CN" w:bidi="ar-SA"/>
              </w:rPr>
              <w:fldChar w:fldCharType="end"/>
            </w:r>
            <w:r>
              <w:rPr>
                <w:rFonts w:hint="default" w:ascii="Times New Roman" w:hAnsi="Times New Roman" w:eastAsia="宋体" w:cs="Times New Roman"/>
                <w:b w:val="0"/>
                <w:bCs w:val="0"/>
                <w:kern w:val="2"/>
                <w:sz w:val="24"/>
                <w:szCs w:val="22"/>
                <w:lang w:val="en-US" w:eastAsia="zh-CN" w:bidi="ar-SA"/>
              </w:rPr>
              <w:t>、石灰华等岩石内，亦为动物骨骼或外壳的主要成分。碳酸钙也是重要的建筑材料，工业上用途甚广。</w:t>
            </w:r>
          </w:p>
          <w:p w14:paraId="64674078">
            <w:pPr>
              <w:pStyle w:val="2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 w:val="0"/>
                <w:bCs w:val="0"/>
                <w:kern w:val="2"/>
                <w:sz w:val="24"/>
                <w:szCs w:val="22"/>
                <w:lang w:val="en-US" w:eastAsia="zh-CN" w:bidi="ar-SA"/>
              </w:rPr>
            </w:pPr>
            <w:r>
              <w:rPr>
                <w:rFonts w:hint="eastAsia" w:ascii="Times New Roman" w:hAnsi="Times New Roman" w:cs="Times New Roman"/>
                <w:b w:val="0"/>
                <w:bCs w:val="0"/>
                <w:kern w:val="2"/>
                <w:sz w:val="24"/>
                <w:szCs w:val="22"/>
                <w:lang w:val="en-US" w:eastAsia="zh-CN" w:bidi="ar-SA"/>
              </w:rPr>
              <w:t>⑤</w:t>
            </w:r>
            <w:r>
              <w:rPr>
                <w:rFonts w:hint="eastAsia" w:ascii="Times New Roman" w:hAnsi="Times New Roman" w:eastAsia="宋体" w:cs="Times New Roman"/>
                <w:b w:val="0"/>
                <w:bCs w:val="0"/>
                <w:kern w:val="2"/>
                <w:sz w:val="24"/>
                <w:szCs w:val="22"/>
                <w:lang w:val="en-US" w:eastAsia="zh-CN" w:bidi="ar-SA"/>
              </w:rPr>
              <w:t>纤维素：</w:t>
            </w:r>
            <w:r>
              <w:rPr>
                <w:rFonts w:hint="default" w:ascii="Times New Roman" w:hAnsi="Times New Roman" w:eastAsia="宋体" w:cs="Times New Roman"/>
                <w:b w:val="0"/>
                <w:bCs w:val="0"/>
                <w:kern w:val="2"/>
                <w:sz w:val="24"/>
                <w:szCs w:val="22"/>
                <w:lang w:val="en-US" w:eastAsia="zh-CN" w:bidi="ar-SA"/>
              </w:rPr>
              <w:t>羧甲基纤维素钠，俗称纤维素、羧甲基纤维素、</w:t>
            </w:r>
            <w:r>
              <w:rPr>
                <w:rFonts w:hint="eastAsia" w:ascii="Times New Roman" w:hAnsi="Times New Roman" w:cs="Times New Roman"/>
                <w:b w:val="0"/>
                <w:bCs w:val="0"/>
                <w:kern w:val="2"/>
                <w:sz w:val="24"/>
                <w:szCs w:val="22"/>
                <w:lang w:val="en-US" w:eastAsia="zh-CN" w:bidi="ar-SA"/>
              </w:rPr>
              <w:t>CMC</w:t>
            </w:r>
            <w:r>
              <w:rPr>
                <w:rFonts w:hint="default" w:ascii="Times New Roman" w:hAnsi="Times New Roman" w:eastAsia="宋体" w:cs="Times New Roman"/>
                <w:b w:val="0"/>
                <w:bCs w:val="0"/>
                <w:kern w:val="2"/>
                <w:sz w:val="24"/>
                <w:szCs w:val="22"/>
                <w:lang w:val="en-US" w:eastAsia="zh-CN" w:bidi="ar-SA"/>
              </w:rPr>
              <w:t>等多种称呼，是可再生取之不尽用之不竭的化工原料，广泛地用于纺织，印染，石油钻探，造纸，陶瓷，合成洗涤，日用化工，石墨制品，铅笔制造，卷烟，涂料，建筑用胶等行业</w:t>
            </w:r>
            <w:r>
              <w:rPr>
                <w:rFonts w:hint="eastAsia" w:ascii="Times New Roman" w:hAnsi="Times New Roman" w:cs="Times New Roman"/>
                <w:b w:val="0"/>
                <w:bCs w:val="0"/>
                <w:kern w:val="2"/>
                <w:sz w:val="24"/>
                <w:szCs w:val="22"/>
                <w:lang w:val="en-US" w:eastAsia="zh-CN" w:bidi="ar-SA"/>
              </w:rPr>
              <w:t>。外</w:t>
            </w:r>
            <w:r>
              <w:rPr>
                <w:rFonts w:hint="default" w:ascii="Times New Roman" w:hAnsi="Times New Roman" w:eastAsia="宋体" w:cs="Times New Roman"/>
                <w:b w:val="0"/>
                <w:bCs w:val="0"/>
                <w:kern w:val="2"/>
                <w:sz w:val="24"/>
                <w:szCs w:val="22"/>
                <w:lang w:val="en-US" w:eastAsia="zh-CN" w:bidi="ar-SA"/>
              </w:rPr>
              <w:t>观为白色或微黄色絮状纤维粉末或白色粉末，无嗅无味，无毒；易溶于冷水或热水，形成具有一定粘度的透明溶液。溶液为中性或微碱性，不溶于乙醇、乙醚、异丙醇、</w:t>
            </w:r>
            <w:r>
              <w:rPr>
                <w:rFonts w:hint="default" w:ascii="Times New Roman" w:hAnsi="Times New Roman" w:eastAsia="宋体" w:cs="Times New Roman"/>
                <w:b w:val="0"/>
                <w:bCs w:val="0"/>
                <w:kern w:val="2"/>
                <w:sz w:val="24"/>
                <w:szCs w:val="22"/>
                <w:lang w:val="en-US" w:eastAsia="zh-CN" w:bidi="ar-SA"/>
              </w:rPr>
              <w:fldChar w:fldCharType="begin"/>
            </w:r>
            <w:r>
              <w:rPr>
                <w:rFonts w:hint="default" w:ascii="Times New Roman" w:hAnsi="Times New Roman" w:eastAsia="宋体" w:cs="Times New Roman"/>
                <w:b w:val="0"/>
                <w:bCs w:val="0"/>
                <w:kern w:val="2"/>
                <w:sz w:val="24"/>
                <w:szCs w:val="22"/>
                <w:lang w:val="en-US" w:eastAsia="zh-CN" w:bidi="ar-SA"/>
              </w:rPr>
              <w:instrText xml:space="preserve"> HYPERLINK "https://baike.so.com/doc/252057.html" \t "https://baike.so.com/doc/_blank" </w:instrText>
            </w:r>
            <w:r>
              <w:rPr>
                <w:rFonts w:hint="default" w:ascii="Times New Roman" w:hAnsi="Times New Roman" w:eastAsia="宋体" w:cs="Times New Roman"/>
                <w:b w:val="0"/>
                <w:bCs w:val="0"/>
                <w:kern w:val="2"/>
                <w:sz w:val="24"/>
                <w:szCs w:val="22"/>
                <w:lang w:val="en-US" w:eastAsia="zh-CN" w:bidi="ar-SA"/>
              </w:rPr>
              <w:fldChar w:fldCharType="separate"/>
            </w:r>
            <w:r>
              <w:rPr>
                <w:rFonts w:hint="default" w:ascii="Times New Roman" w:hAnsi="Times New Roman" w:eastAsia="宋体" w:cs="Times New Roman"/>
                <w:b w:val="0"/>
                <w:bCs w:val="0"/>
                <w:kern w:val="2"/>
                <w:sz w:val="24"/>
                <w:szCs w:val="22"/>
                <w:lang w:val="en-US" w:eastAsia="zh-CN" w:bidi="ar-SA"/>
              </w:rPr>
              <w:t>丙酮</w:t>
            </w:r>
            <w:r>
              <w:rPr>
                <w:rFonts w:hint="default" w:ascii="Times New Roman" w:hAnsi="Times New Roman" w:eastAsia="宋体" w:cs="Times New Roman"/>
                <w:b w:val="0"/>
                <w:bCs w:val="0"/>
                <w:kern w:val="2"/>
                <w:sz w:val="24"/>
                <w:szCs w:val="22"/>
                <w:lang w:val="en-US" w:eastAsia="zh-CN" w:bidi="ar-SA"/>
              </w:rPr>
              <w:fldChar w:fldCharType="end"/>
            </w:r>
            <w:r>
              <w:rPr>
                <w:rFonts w:hint="default" w:ascii="Times New Roman" w:hAnsi="Times New Roman" w:eastAsia="宋体" w:cs="Times New Roman"/>
                <w:b w:val="0"/>
                <w:bCs w:val="0"/>
                <w:kern w:val="2"/>
                <w:sz w:val="24"/>
                <w:szCs w:val="22"/>
                <w:lang w:val="en-US" w:eastAsia="zh-CN" w:bidi="ar-SA"/>
              </w:rPr>
              <w:t>等有机溶剂，可溶于含水60%的乙醇或丙酮溶液。有吸湿性，对光热稳定，粘度随温度升高而降低，溶液在</w:t>
            </w:r>
            <w:r>
              <w:rPr>
                <w:rFonts w:hint="eastAsia" w:ascii="Times New Roman" w:hAnsi="Times New Roman" w:cs="Times New Roman"/>
                <w:b w:val="0"/>
                <w:bCs w:val="0"/>
                <w:kern w:val="2"/>
                <w:sz w:val="24"/>
                <w:szCs w:val="22"/>
                <w:lang w:val="en-US" w:eastAsia="zh-CN" w:bidi="ar-SA"/>
              </w:rPr>
              <w:t>pH值</w:t>
            </w:r>
            <w:r>
              <w:rPr>
                <w:rFonts w:hint="default" w:ascii="Times New Roman" w:hAnsi="Times New Roman" w:eastAsia="宋体" w:cs="Times New Roman"/>
                <w:b w:val="0"/>
                <w:bCs w:val="0"/>
                <w:kern w:val="2"/>
                <w:sz w:val="24"/>
                <w:szCs w:val="22"/>
                <w:lang w:val="en-US" w:eastAsia="zh-CN" w:bidi="ar-SA"/>
              </w:rPr>
              <w:t>2～10稳定，PH低于2，有固体析出，PH值高于10粘度降低。变色温度227℃，炭化温度252℃，2%水溶液</w:t>
            </w:r>
            <w:r>
              <w:rPr>
                <w:rFonts w:hint="default" w:ascii="Times New Roman" w:hAnsi="Times New Roman" w:eastAsia="宋体" w:cs="Times New Roman"/>
                <w:b w:val="0"/>
                <w:bCs w:val="0"/>
                <w:kern w:val="2"/>
                <w:sz w:val="24"/>
                <w:szCs w:val="22"/>
                <w:lang w:val="en-US" w:eastAsia="zh-CN" w:bidi="ar-SA"/>
              </w:rPr>
              <w:fldChar w:fldCharType="begin"/>
            </w:r>
            <w:r>
              <w:rPr>
                <w:rFonts w:hint="default" w:ascii="Times New Roman" w:hAnsi="Times New Roman" w:eastAsia="宋体" w:cs="Times New Roman"/>
                <w:b w:val="0"/>
                <w:bCs w:val="0"/>
                <w:kern w:val="2"/>
                <w:sz w:val="24"/>
                <w:szCs w:val="22"/>
                <w:lang w:val="en-US" w:eastAsia="zh-CN" w:bidi="ar-SA"/>
              </w:rPr>
              <w:instrText xml:space="preserve"> HYPERLINK "https://baike.so.com/doc/2534749.html" \t "https://baike.so.com/doc/_blank" </w:instrText>
            </w:r>
            <w:r>
              <w:rPr>
                <w:rFonts w:hint="default" w:ascii="Times New Roman" w:hAnsi="Times New Roman" w:eastAsia="宋体" w:cs="Times New Roman"/>
                <w:b w:val="0"/>
                <w:bCs w:val="0"/>
                <w:kern w:val="2"/>
                <w:sz w:val="24"/>
                <w:szCs w:val="22"/>
                <w:lang w:val="en-US" w:eastAsia="zh-CN" w:bidi="ar-SA"/>
              </w:rPr>
              <w:fldChar w:fldCharType="separate"/>
            </w:r>
            <w:r>
              <w:rPr>
                <w:rFonts w:hint="default" w:ascii="Times New Roman" w:hAnsi="Times New Roman" w:eastAsia="宋体" w:cs="Times New Roman"/>
                <w:b w:val="0"/>
                <w:bCs w:val="0"/>
                <w:kern w:val="2"/>
                <w:sz w:val="24"/>
                <w:szCs w:val="22"/>
                <w:lang w:val="en-US" w:eastAsia="zh-CN" w:bidi="ar-SA"/>
              </w:rPr>
              <w:t>表面张力</w:t>
            </w:r>
            <w:r>
              <w:rPr>
                <w:rFonts w:hint="default" w:ascii="Times New Roman" w:hAnsi="Times New Roman" w:eastAsia="宋体" w:cs="Times New Roman"/>
                <w:b w:val="0"/>
                <w:bCs w:val="0"/>
                <w:kern w:val="2"/>
                <w:sz w:val="24"/>
                <w:szCs w:val="22"/>
                <w:lang w:val="en-US" w:eastAsia="zh-CN" w:bidi="ar-SA"/>
              </w:rPr>
              <w:fldChar w:fldCharType="end"/>
            </w:r>
            <w:r>
              <w:rPr>
                <w:rFonts w:hint="default" w:ascii="Times New Roman" w:hAnsi="Times New Roman" w:eastAsia="宋体" w:cs="Times New Roman"/>
                <w:b w:val="0"/>
                <w:bCs w:val="0"/>
                <w:kern w:val="2"/>
                <w:sz w:val="24"/>
                <w:szCs w:val="22"/>
                <w:lang w:val="en-US" w:eastAsia="zh-CN" w:bidi="ar-SA"/>
              </w:rPr>
              <w:t>71mn/n。</w:t>
            </w:r>
          </w:p>
          <w:p w14:paraId="159F61E3">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w:t>
            </w:r>
            <w:r>
              <w:rPr>
                <w:rFonts w:hint="eastAsia" w:ascii="Times New Roman" w:hAnsi="Times New Roman" w:cs="Times New Roman"/>
                <w:sz w:val="24"/>
                <w:lang w:val="en-US" w:eastAsia="zh-CN"/>
              </w:rPr>
              <w:t>4</w:t>
            </w:r>
            <w:r>
              <w:rPr>
                <w:rFonts w:hint="default" w:ascii="Times New Roman" w:hAnsi="Times New Roman" w:cs="Times New Roman"/>
                <w:sz w:val="24"/>
              </w:rPr>
              <w:t>）产品方案</w:t>
            </w:r>
          </w:p>
          <w:p w14:paraId="1129BFF5">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本项目主要产品方案见表2-</w:t>
            </w:r>
            <w:r>
              <w:rPr>
                <w:rFonts w:hint="eastAsia" w:ascii="Times New Roman" w:hAnsi="Times New Roman" w:cs="Times New Roman"/>
                <w:sz w:val="24"/>
                <w:lang w:val="en-US" w:eastAsia="zh-CN"/>
              </w:rPr>
              <w:t>4</w:t>
            </w:r>
            <w:r>
              <w:rPr>
                <w:rFonts w:hint="default" w:ascii="Times New Roman" w:hAnsi="Times New Roman" w:cs="Times New Roman"/>
                <w:sz w:val="24"/>
              </w:rPr>
              <w:t>。</w:t>
            </w:r>
          </w:p>
          <w:p w14:paraId="5809022E">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2-4</w:t>
            </w:r>
            <w:r>
              <w:rPr>
                <w:rFonts w:hint="default" w:ascii="Times New Roman" w:hAnsi="Times New Roman" w:cs="Times New Roman"/>
                <w:b/>
                <w:bCs/>
                <w:sz w:val="21"/>
                <w:szCs w:val="21"/>
                <w:lang w:val="en-US" w:eastAsia="zh-CN"/>
              </w:rPr>
              <w:t xml:space="preserve">  产品方案及规模</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93"/>
              <w:gridCol w:w="1815"/>
              <w:gridCol w:w="2693"/>
            </w:tblGrid>
            <w:tr w14:paraId="4229B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8" w:type="dxa"/>
                  <w:tcBorders>
                    <w:tl2br w:val="nil"/>
                    <w:tr2bl w:val="nil"/>
                  </w:tcBorders>
                </w:tcPr>
                <w:p w14:paraId="1CF108CC">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1993" w:type="dxa"/>
                  <w:tcBorders>
                    <w:tl2br w:val="nil"/>
                    <w:tr2bl w:val="nil"/>
                  </w:tcBorders>
                </w:tcPr>
                <w:p w14:paraId="2E0779C9">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产品方案</w:t>
                  </w:r>
                </w:p>
              </w:tc>
              <w:tc>
                <w:tcPr>
                  <w:tcW w:w="1815" w:type="dxa"/>
                  <w:tcBorders>
                    <w:tl2br w:val="nil"/>
                    <w:tr2bl w:val="nil"/>
                  </w:tcBorders>
                </w:tcPr>
                <w:p w14:paraId="61D8F623">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年产量</w:t>
                  </w:r>
                </w:p>
              </w:tc>
              <w:tc>
                <w:tcPr>
                  <w:tcW w:w="2693" w:type="dxa"/>
                  <w:tcBorders>
                    <w:tl2br w:val="nil"/>
                    <w:tr2bl w:val="nil"/>
                  </w:tcBorders>
                  <w:vAlign w:val="top"/>
                </w:tcPr>
                <w:p w14:paraId="0DEB470A">
                  <w:pPr>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cs="Times New Roman"/>
                      <w:b/>
                      <w:bCs/>
                      <w:sz w:val="21"/>
                      <w:szCs w:val="21"/>
                      <w:vertAlign w:val="baseline"/>
                      <w:lang w:val="en-US" w:eastAsia="zh-CN"/>
                    </w:rPr>
                    <w:t>规格</w:t>
                  </w:r>
                </w:p>
              </w:tc>
            </w:tr>
            <w:tr w14:paraId="27FB5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58" w:type="dxa"/>
                  <w:tcBorders>
                    <w:tl2br w:val="nil"/>
                    <w:tr2bl w:val="nil"/>
                  </w:tcBorders>
                </w:tcPr>
                <w:p w14:paraId="73A8FD59">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1993" w:type="dxa"/>
                  <w:tcBorders>
                    <w:tl2br w:val="nil"/>
                    <w:tr2bl w:val="nil"/>
                  </w:tcBorders>
                </w:tcPr>
                <w:p w14:paraId="1C96615C">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腻子粉</w:t>
                  </w:r>
                </w:p>
              </w:tc>
              <w:tc>
                <w:tcPr>
                  <w:tcW w:w="1815" w:type="dxa"/>
                  <w:tcBorders>
                    <w:tl2br w:val="nil"/>
                    <w:tr2bl w:val="nil"/>
                  </w:tcBorders>
                </w:tcPr>
                <w:p w14:paraId="1D67823C">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2300t</w:t>
                  </w:r>
                </w:p>
              </w:tc>
              <w:tc>
                <w:tcPr>
                  <w:tcW w:w="2693" w:type="dxa"/>
                  <w:tcBorders>
                    <w:tl2br w:val="nil"/>
                    <w:tr2bl w:val="nil"/>
                  </w:tcBorders>
                  <w:vAlign w:val="top"/>
                </w:tcPr>
                <w:p w14:paraId="2C373FA9">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密封袋装</w:t>
                  </w:r>
                  <w:r>
                    <w:rPr>
                      <w:rFonts w:hint="default" w:ascii="Times New Roman" w:hAnsi="Times New Roman" w:cs="Times New Roman"/>
                      <w:b w:val="0"/>
                      <w:bCs w:val="0"/>
                      <w:sz w:val="21"/>
                      <w:szCs w:val="21"/>
                      <w:vertAlign w:val="baseline"/>
                      <w:lang w:val="en-US" w:eastAsia="zh-CN"/>
                    </w:rPr>
                    <w:t>12.5kg-40kg</w:t>
                  </w:r>
                </w:p>
              </w:tc>
            </w:tr>
            <w:tr w14:paraId="751B8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58" w:type="dxa"/>
                  <w:tcBorders>
                    <w:tl2br w:val="nil"/>
                    <w:tr2bl w:val="nil"/>
                  </w:tcBorders>
                </w:tcPr>
                <w:p w14:paraId="21EA225F">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1993" w:type="dxa"/>
                  <w:tcBorders>
                    <w:tl2br w:val="nil"/>
                    <w:tr2bl w:val="nil"/>
                  </w:tcBorders>
                </w:tcPr>
                <w:p w14:paraId="691799C4">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石膏粉</w:t>
                  </w:r>
                </w:p>
              </w:tc>
              <w:tc>
                <w:tcPr>
                  <w:tcW w:w="1815" w:type="dxa"/>
                  <w:tcBorders>
                    <w:tl2br w:val="nil"/>
                    <w:tr2bl w:val="nil"/>
                  </w:tcBorders>
                </w:tcPr>
                <w:p w14:paraId="033B18CE">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2000t</w:t>
                  </w:r>
                </w:p>
              </w:tc>
              <w:tc>
                <w:tcPr>
                  <w:tcW w:w="2693" w:type="dxa"/>
                  <w:tcBorders>
                    <w:tl2br w:val="nil"/>
                    <w:tr2bl w:val="nil"/>
                  </w:tcBorders>
                  <w:vAlign w:val="top"/>
                </w:tcPr>
                <w:p w14:paraId="583ED556">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密封袋装</w:t>
                  </w:r>
                  <w:r>
                    <w:rPr>
                      <w:rFonts w:hint="default" w:ascii="Times New Roman" w:hAnsi="Times New Roman" w:cs="Times New Roman"/>
                      <w:b w:val="0"/>
                      <w:bCs w:val="0"/>
                      <w:sz w:val="21"/>
                      <w:szCs w:val="21"/>
                      <w:vertAlign w:val="baseline"/>
                      <w:lang w:val="en-US" w:eastAsia="zh-CN"/>
                    </w:rPr>
                    <w:t>40kg-50kg</w:t>
                  </w:r>
                </w:p>
              </w:tc>
            </w:tr>
            <w:tr w14:paraId="78EA5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58" w:type="dxa"/>
                  <w:tcBorders>
                    <w:tl2br w:val="nil"/>
                    <w:tr2bl w:val="nil"/>
                  </w:tcBorders>
                </w:tcPr>
                <w:p w14:paraId="0D7CEA3C">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1993" w:type="dxa"/>
                  <w:tcBorders>
                    <w:tl2br w:val="nil"/>
                    <w:tr2bl w:val="nil"/>
                  </w:tcBorders>
                </w:tcPr>
                <w:p w14:paraId="0BDFF8E1">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砂浆</w:t>
                  </w:r>
                </w:p>
              </w:tc>
              <w:tc>
                <w:tcPr>
                  <w:tcW w:w="1815" w:type="dxa"/>
                  <w:tcBorders>
                    <w:tl2br w:val="nil"/>
                    <w:tr2bl w:val="nil"/>
                  </w:tcBorders>
                </w:tcPr>
                <w:p w14:paraId="02A08D71">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650t</w:t>
                  </w:r>
                </w:p>
              </w:tc>
              <w:tc>
                <w:tcPr>
                  <w:tcW w:w="2693" w:type="dxa"/>
                  <w:tcBorders>
                    <w:tl2br w:val="nil"/>
                    <w:tr2bl w:val="nil"/>
                  </w:tcBorders>
                  <w:vAlign w:val="top"/>
                </w:tcPr>
                <w:p w14:paraId="28D7CAC2">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密封袋装</w:t>
                  </w:r>
                  <w:r>
                    <w:rPr>
                      <w:rFonts w:hint="default" w:ascii="Times New Roman" w:hAnsi="Times New Roman" w:cs="Times New Roman"/>
                      <w:b w:val="0"/>
                      <w:bCs w:val="0"/>
                      <w:sz w:val="21"/>
                      <w:szCs w:val="21"/>
                      <w:vertAlign w:val="baseline"/>
                      <w:lang w:val="en-US" w:eastAsia="zh-CN"/>
                    </w:rPr>
                    <w:t>25kg</w:t>
                  </w:r>
                </w:p>
              </w:tc>
            </w:tr>
          </w:tbl>
          <w:p w14:paraId="2556F1B4">
            <w:pPr>
              <w:pStyle w:val="2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2"/>
                <w:lang w:val="en-US" w:eastAsia="zh-CN" w:bidi="zh-CN"/>
              </w:rPr>
            </w:pPr>
            <w:r>
              <w:rPr>
                <w:rFonts w:hint="eastAsia" w:ascii="Times New Roman" w:hAnsi="Times New Roman" w:eastAsia="宋体" w:cs="Times New Roman"/>
                <w:kern w:val="2"/>
                <w:sz w:val="24"/>
                <w:szCs w:val="22"/>
                <w:lang w:val="en-US" w:eastAsia="zh-CN" w:bidi="zh-CN"/>
              </w:rPr>
              <w:t>（5）</w:t>
            </w:r>
            <w:r>
              <w:rPr>
                <w:rFonts w:hint="default" w:ascii="Times New Roman" w:hAnsi="Times New Roman" w:eastAsia="宋体" w:cs="Times New Roman"/>
                <w:kern w:val="2"/>
                <w:sz w:val="24"/>
                <w:szCs w:val="22"/>
                <w:lang w:val="en-US" w:eastAsia="zh-CN" w:bidi="zh-CN"/>
              </w:rPr>
              <w:t>公用工程</w:t>
            </w:r>
          </w:p>
          <w:p w14:paraId="4C316176">
            <w:pPr>
              <w:pStyle w:val="35"/>
              <w:spacing w:line="360" w:lineRule="auto"/>
              <w:ind w:right="86" w:firstLine="480" w:firstLineChars="200"/>
              <w:rPr>
                <w:rFonts w:hint="default" w:ascii="Times New Roman" w:hAnsi="Times New Roman" w:cs="Times New Roman"/>
                <w:sz w:val="24"/>
                <w:lang w:val="en-US"/>
              </w:rPr>
            </w:pPr>
            <w:r>
              <w:rPr>
                <w:rFonts w:hint="default" w:ascii="Times New Roman" w:hAnsi="Times New Roman" w:cs="Times New Roman"/>
                <w:sz w:val="24"/>
                <w:lang w:val="en-US"/>
              </w:rPr>
              <w:t>项目给水由市政供水系统供给，用水</w:t>
            </w:r>
            <w:r>
              <w:rPr>
                <w:rFonts w:hint="eastAsia" w:ascii="Times New Roman" w:hAnsi="Times New Roman" w:cs="Times New Roman"/>
                <w:sz w:val="24"/>
                <w:lang w:val="en-US" w:eastAsia="zh-CN"/>
              </w:rPr>
              <w:t>为</w:t>
            </w:r>
            <w:r>
              <w:rPr>
                <w:rFonts w:hint="default" w:ascii="Times New Roman" w:hAnsi="Times New Roman" w:cs="Times New Roman"/>
                <w:sz w:val="24"/>
                <w:lang w:val="en-US"/>
              </w:rPr>
              <w:t>生活用水。</w:t>
            </w:r>
          </w:p>
          <w:p w14:paraId="6687E79E">
            <w:pPr>
              <w:pStyle w:val="35"/>
              <w:spacing w:line="360" w:lineRule="auto"/>
              <w:ind w:right="86" w:firstLine="480" w:firstLineChars="200"/>
              <w:rPr>
                <w:rFonts w:hint="default" w:ascii="Times New Roman" w:hAnsi="Times New Roman" w:cs="Times New Roman"/>
                <w:sz w:val="24"/>
                <w:lang w:val="en-US"/>
              </w:rPr>
            </w:pPr>
            <w:r>
              <w:rPr>
                <w:rFonts w:hint="eastAsia" w:ascii="Times New Roman" w:hAnsi="Times New Roman" w:cs="Times New Roman"/>
                <w:sz w:val="24"/>
                <w:lang w:val="en-US" w:eastAsia="zh-CN"/>
              </w:rPr>
              <w:t>①</w:t>
            </w:r>
            <w:r>
              <w:rPr>
                <w:rFonts w:hint="default" w:ascii="Times New Roman" w:hAnsi="Times New Roman" w:cs="Times New Roman"/>
                <w:sz w:val="24"/>
                <w:lang w:val="en-US"/>
              </w:rPr>
              <w:t>用水</w:t>
            </w:r>
          </w:p>
          <w:p w14:paraId="5285A04B">
            <w:pPr>
              <w:pStyle w:val="35"/>
              <w:spacing w:line="360" w:lineRule="auto"/>
              <w:ind w:right="86" w:firstLine="480" w:firstLineChars="200"/>
              <w:rPr>
                <w:rFonts w:hint="default" w:ascii="Times New Roman" w:hAnsi="Times New Roman" w:cs="Times New Roman"/>
                <w:snapToGrid w:val="0"/>
                <w:sz w:val="24"/>
                <w:lang w:val="en-US"/>
              </w:rPr>
            </w:pPr>
            <w:r>
              <w:rPr>
                <w:rFonts w:hint="default" w:ascii="Times New Roman" w:hAnsi="Times New Roman" w:cs="Times New Roman"/>
                <w:sz w:val="24"/>
                <w:lang w:val="en-US"/>
              </w:rPr>
              <w:t>本项目劳动定员</w:t>
            </w:r>
            <w:r>
              <w:rPr>
                <w:rFonts w:hint="eastAsia" w:ascii="Times New Roman" w:hAnsi="Times New Roman" w:cs="Times New Roman"/>
                <w:sz w:val="24"/>
                <w:lang w:val="en-US" w:eastAsia="zh-CN"/>
              </w:rPr>
              <w:t>20</w:t>
            </w:r>
            <w:r>
              <w:rPr>
                <w:rFonts w:hint="default" w:ascii="Times New Roman" w:hAnsi="Times New Roman" w:cs="Times New Roman"/>
                <w:sz w:val="24"/>
                <w:lang w:val="en-US"/>
              </w:rPr>
              <w:t>人，无食堂，</w:t>
            </w:r>
            <w:r>
              <w:rPr>
                <w:rFonts w:hint="eastAsia" w:ascii="Times New Roman" w:hAnsi="Times New Roman" w:cs="宋体"/>
                <w:color w:val="auto"/>
                <w:sz w:val="24"/>
              </w:rPr>
              <w:t>生活用水主要为职工盥洗用水。</w:t>
            </w:r>
            <w:r>
              <w:rPr>
                <w:rFonts w:hint="default" w:ascii="Times New Roman" w:hAnsi="Times New Roman" w:cs="Times New Roman"/>
                <w:sz w:val="24"/>
              </w:rPr>
              <w:t>参照</w:t>
            </w:r>
            <w:r>
              <w:rPr>
                <w:rFonts w:hint="default" w:ascii="Times New Roman" w:hAnsi="Times New Roman" w:cs="Times New Roman"/>
                <w:sz w:val="24"/>
                <w:shd w:val="clear" w:color="auto" w:fill="FFFFFF"/>
                <w:lang w:val="zh-TW" w:eastAsia="zh-TW" w:bidi="ar"/>
              </w:rPr>
              <w:t>《陕西省行业用水定额》</w:t>
            </w:r>
            <w:r>
              <w:rPr>
                <w:rFonts w:hint="default" w:ascii="Times New Roman" w:hAnsi="Times New Roman" w:cs="Times New Roman"/>
                <w:sz w:val="24"/>
                <w:shd w:val="clear" w:color="auto" w:fill="FFFFFF"/>
                <w:lang w:bidi="ar"/>
              </w:rPr>
              <w:t>（DB61/T</w:t>
            </w:r>
            <w:r>
              <w:rPr>
                <w:rFonts w:hint="default" w:ascii="Times New Roman" w:hAnsi="Times New Roman" w:cs="Times New Roman"/>
                <w:sz w:val="24"/>
                <w:shd w:val="clear" w:color="auto" w:fill="FFFFFF"/>
                <w:lang w:val="zh-TW" w:eastAsia="zh-TW" w:bidi="ar"/>
              </w:rPr>
              <w:t>943-20</w:t>
            </w:r>
            <w:r>
              <w:rPr>
                <w:rFonts w:hint="default" w:ascii="Times New Roman" w:hAnsi="Times New Roman" w:cs="Times New Roman"/>
                <w:sz w:val="24"/>
                <w:shd w:val="clear" w:color="auto" w:fill="FFFFFF"/>
                <w:lang w:val="en-US" w:bidi="ar"/>
              </w:rPr>
              <w:t>20</w:t>
            </w:r>
            <w:r>
              <w:rPr>
                <w:rFonts w:hint="default" w:ascii="Times New Roman" w:hAnsi="Times New Roman" w:cs="Times New Roman"/>
                <w:sz w:val="24"/>
                <w:shd w:val="clear" w:color="auto" w:fill="FFFFFF"/>
                <w:lang w:bidi="ar"/>
              </w:rPr>
              <w:t>），生活用水量按</w:t>
            </w:r>
            <w:r>
              <w:rPr>
                <w:rFonts w:hint="eastAsia" w:ascii="Times New Roman" w:hAnsi="Times New Roman" w:cs="Times New Roman"/>
                <w:sz w:val="24"/>
                <w:shd w:val="clear" w:color="auto" w:fill="FFFFFF"/>
                <w:lang w:val="en-US" w:eastAsia="zh-CN" w:bidi="ar"/>
              </w:rPr>
              <w:t>5</w:t>
            </w:r>
            <w:r>
              <w:rPr>
                <w:rFonts w:hint="default" w:ascii="Times New Roman" w:hAnsi="Times New Roman" w:cs="Times New Roman"/>
                <w:sz w:val="24"/>
                <w:shd w:val="clear" w:color="auto" w:fill="FFFFFF"/>
                <w:lang w:val="en-US" w:bidi="ar"/>
              </w:rPr>
              <w:t>0</w:t>
            </w:r>
            <w:r>
              <w:rPr>
                <w:rFonts w:hint="default" w:ascii="Times New Roman" w:hAnsi="Times New Roman" w:cs="Times New Roman"/>
                <w:snapToGrid w:val="0"/>
                <w:color w:val="000000"/>
                <w:sz w:val="24"/>
              </w:rPr>
              <w:t>L/人·d</w:t>
            </w:r>
            <w:r>
              <w:rPr>
                <w:rFonts w:hint="default" w:ascii="Times New Roman" w:hAnsi="Times New Roman" w:cs="Times New Roman"/>
                <w:snapToGrid w:val="0"/>
                <w:sz w:val="24"/>
              </w:rPr>
              <w:t>计，年工作</w:t>
            </w:r>
            <w:r>
              <w:rPr>
                <w:rFonts w:hint="eastAsia" w:ascii="Times New Roman" w:hAnsi="Times New Roman" w:cs="Times New Roman"/>
                <w:snapToGrid w:val="0"/>
                <w:sz w:val="24"/>
                <w:lang w:val="en-US" w:eastAsia="zh-CN"/>
              </w:rPr>
              <w:t>2</w:t>
            </w:r>
            <w:r>
              <w:rPr>
                <w:rFonts w:hint="default" w:ascii="Times New Roman" w:hAnsi="Times New Roman" w:cs="Times New Roman"/>
                <w:snapToGrid w:val="0"/>
                <w:sz w:val="24"/>
                <w:lang w:val="en-US"/>
              </w:rPr>
              <w:t>00天，</w:t>
            </w:r>
            <w:r>
              <w:rPr>
                <w:rFonts w:hint="default" w:ascii="Times New Roman" w:hAnsi="Times New Roman" w:cs="Times New Roman"/>
                <w:snapToGrid w:val="0"/>
                <w:sz w:val="24"/>
              </w:rPr>
              <w:t>则项目职工生活用水量为</w:t>
            </w:r>
            <w:r>
              <w:rPr>
                <w:rFonts w:hint="eastAsia" w:ascii="Times New Roman" w:hAnsi="Times New Roman" w:cs="Times New Roman"/>
                <w:snapToGrid w:val="0"/>
                <w:color w:val="000000"/>
                <w:sz w:val="24"/>
                <w:lang w:val="en-US" w:eastAsia="zh-CN"/>
              </w:rPr>
              <w:t>1</w:t>
            </w:r>
            <w:r>
              <w:rPr>
                <w:rFonts w:hint="default" w:ascii="Times New Roman" w:hAnsi="Times New Roman" w:cs="Times New Roman"/>
                <w:snapToGrid w:val="0"/>
                <w:color w:val="000000"/>
                <w:sz w:val="24"/>
                <w:lang w:val="en-US"/>
              </w:rPr>
              <w:t>m</w:t>
            </w:r>
            <w:r>
              <w:rPr>
                <w:rFonts w:hint="default" w:ascii="Times New Roman" w:hAnsi="Times New Roman" w:cs="Times New Roman"/>
                <w:snapToGrid w:val="0"/>
                <w:color w:val="000000"/>
                <w:sz w:val="24"/>
                <w:vertAlign w:val="superscript"/>
                <w:lang w:val="en-US"/>
              </w:rPr>
              <w:t>3</w:t>
            </w:r>
            <w:r>
              <w:rPr>
                <w:rFonts w:hint="default" w:ascii="Times New Roman" w:hAnsi="Times New Roman" w:cs="Times New Roman"/>
                <w:snapToGrid w:val="0"/>
                <w:color w:val="000000"/>
                <w:sz w:val="24"/>
                <w:lang w:val="en-US"/>
              </w:rPr>
              <w:t>/d（</w:t>
            </w:r>
            <w:r>
              <w:rPr>
                <w:rFonts w:hint="eastAsia" w:ascii="Times New Roman" w:hAnsi="Times New Roman" w:cs="Times New Roman"/>
                <w:snapToGrid w:val="0"/>
                <w:color w:val="000000"/>
                <w:sz w:val="24"/>
                <w:lang w:val="en-US" w:eastAsia="zh-CN"/>
              </w:rPr>
              <w:t>200</w:t>
            </w:r>
            <w:r>
              <w:rPr>
                <w:rFonts w:hint="default" w:ascii="Times New Roman" w:hAnsi="Times New Roman" w:cs="Times New Roman"/>
                <w:snapToGrid w:val="0"/>
                <w:color w:val="000000"/>
                <w:sz w:val="24"/>
                <w:lang w:val="en-US"/>
              </w:rPr>
              <w:t>m</w:t>
            </w:r>
            <w:r>
              <w:rPr>
                <w:rFonts w:hint="default" w:ascii="Times New Roman" w:hAnsi="Times New Roman" w:cs="Times New Roman"/>
                <w:snapToGrid w:val="0"/>
                <w:color w:val="000000"/>
                <w:sz w:val="24"/>
                <w:vertAlign w:val="superscript"/>
                <w:lang w:val="en-US"/>
              </w:rPr>
              <w:t>3</w:t>
            </w:r>
            <w:r>
              <w:rPr>
                <w:rFonts w:hint="default" w:ascii="Times New Roman" w:hAnsi="Times New Roman" w:cs="Times New Roman"/>
                <w:snapToGrid w:val="0"/>
                <w:color w:val="000000"/>
                <w:sz w:val="24"/>
                <w:lang w:val="en-US"/>
              </w:rPr>
              <w:t>/a）</w:t>
            </w:r>
            <w:r>
              <w:rPr>
                <w:rFonts w:hint="default" w:ascii="Times New Roman" w:hAnsi="Times New Roman" w:cs="Times New Roman"/>
                <w:snapToGrid w:val="0"/>
                <w:sz w:val="24"/>
                <w:lang w:val="en-US"/>
              </w:rPr>
              <w:t>。</w:t>
            </w:r>
          </w:p>
          <w:p w14:paraId="17C34EB6">
            <w:pPr>
              <w:pStyle w:val="35"/>
              <w:spacing w:line="360" w:lineRule="auto"/>
              <w:ind w:right="86" w:firstLine="480" w:firstLineChars="200"/>
              <w:rPr>
                <w:rFonts w:hint="default" w:ascii="Times New Roman" w:hAnsi="Times New Roman" w:cs="Times New Roman"/>
                <w:sz w:val="24"/>
                <w:lang w:val="en-US"/>
              </w:rPr>
            </w:pPr>
            <w:r>
              <w:rPr>
                <w:rFonts w:hint="eastAsia" w:ascii="Times New Roman" w:hAnsi="Times New Roman" w:cs="Times New Roman"/>
                <w:sz w:val="24"/>
                <w:lang w:val="en-US" w:eastAsia="zh-CN"/>
              </w:rPr>
              <w:t>②</w:t>
            </w:r>
            <w:r>
              <w:rPr>
                <w:rFonts w:hint="default" w:ascii="Times New Roman" w:hAnsi="Times New Roman" w:cs="Times New Roman"/>
                <w:sz w:val="24"/>
                <w:lang w:val="en-US"/>
              </w:rPr>
              <w:t>排水</w:t>
            </w:r>
          </w:p>
          <w:p w14:paraId="0B7C325E">
            <w:pPr>
              <w:pStyle w:val="35"/>
              <w:numPr>
                <w:ilvl w:val="0"/>
                <w:numId w:val="0"/>
              </w:numPr>
              <w:spacing w:line="360" w:lineRule="auto"/>
              <w:ind w:right="86" w:rightChars="0" w:firstLine="480" w:firstLineChars="200"/>
              <w:rPr>
                <w:rFonts w:hint="eastAsia" w:ascii="Times New Roman" w:hAnsi="Times New Roman" w:cs="Times New Roman"/>
                <w:sz w:val="24"/>
                <w:lang w:eastAsia="zh-CN"/>
              </w:rPr>
            </w:pPr>
            <w:r>
              <w:rPr>
                <w:rFonts w:hint="default" w:ascii="Times New Roman" w:hAnsi="Times New Roman" w:cs="Times New Roman"/>
                <w:color w:val="000000" w:themeColor="text1"/>
                <w:sz w:val="24"/>
                <w14:textFill>
                  <w14:solidFill>
                    <w14:schemeClr w14:val="tx1"/>
                  </w14:solidFill>
                </w14:textFill>
              </w:rPr>
              <w:t>生活污</w:t>
            </w:r>
            <w:r>
              <w:rPr>
                <w:rFonts w:hint="default" w:ascii="Times New Roman" w:hAnsi="Times New Roman" w:cs="Times New Roman"/>
                <w:sz w:val="24"/>
              </w:rPr>
              <w:t>水</w:t>
            </w:r>
            <w:r>
              <w:rPr>
                <w:rFonts w:hint="default" w:ascii="Times New Roman" w:hAnsi="Times New Roman" w:cs="Times New Roman"/>
                <w:color w:val="000000"/>
                <w:sz w:val="24"/>
              </w:rPr>
              <w:t>年排放量按用水量的80%计，则生活污水年排放量为</w:t>
            </w:r>
            <w:r>
              <w:rPr>
                <w:rFonts w:hint="eastAsia" w:ascii="Times New Roman" w:hAnsi="Times New Roman" w:cs="Times New Roman"/>
                <w:snapToGrid w:val="0"/>
                <w:color w:val="000000"/>
                <w:sz w:val="24"/>
                <w:lang w:val="en-US" w:eastAsia="zh-CN"/>
              </w:rPr>
              <w:t>0.8</w:t>
            </w:r>
            <w:r>
              <w:rPr>
                <w:rFonts w:hint="default" w:ascii="Times New Roman" w:hAnsi="Times New Roman" w:cs="Times New Roman"/>
                <w:snapToGrid w:val="0"/>
                <w:color w:val="000000"/>
                <w:sz w:val="24"/>
              </w:rPr>
              <w:t>m</w:t>
            </w:r>
            <w:r>
              <w:rPr>
                <w:rFonts w:hint="default" w:ascii="Times New Roman" w:hAnsi="Times New Roman" w:cs="Times New Roman"/>
                <w:snapToGrid w:val="0"/>
                <w:color w:val="000000"/>
                <w:sz w:val="24"/>
                <w:vertAlign w:val="superscript"/>
              </w:rPr>
              <w:t>3</w:t>
            </w:r>
            <w:r>
              <w:rPr>
                <w:rFonts w:hint="default" w:ascii="Times New Roman" w:hAnsi="Times New Roman" w:cs="Times New Roman"/>
                <w:snapToGrid w:val="0"/>
                <w:color w:val="000000"/>
                <w:sz w:val="24"/>
              </w:rPr>
              <w:t>/d</w:t>
            </w:r>
            <w:r>
              <w:rPr>
                <w:rFonts w:hint="default" w:ascii="Times New Roman" w:hAnsi="Times New Roman" w:cs="Times New Roman"/>
                <w:color w:val="000000"/>
                <w:sz w:val="24"/>
              </w:rPr>
              <w:t>（</w:t>
            </w:r>
            <w:r>
              <w:rPr>
                <w:rFonts w:hint="eastAsia" w:ascii="Times New Roman" w:hAnsi="Times New Roman" w:cs="Times New Roman"/>
                <w:color w:val="000000"/>
                <w:sz w:val="24"/>
                <w:lang w:val="en-US" w:eastAsia="zh-CN"/>
              </w:rPr>
              <w:t>160</w:t>
            </w:r>
            <w:r>
              <w:rPr>
                <w:rFonts w:hint="default" w:ascii="Times New Roman" w:hAnsi="Times New Roman" w:cs="Times New Roman"/>
                <w:color w:val="000000"/>
                <w:sz w:val="24"/>
              </w:rPr>
              <w:t>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/a）</w:t>
            </w:r>
            <w:r>
              <w:rPr>
                <w:rFonts w:hint="default" w:ascii="Times New Roman" w:hAnsi="Times New Roman" w:cs="Times New Roman"/>
                <w:sz w:val="24"/>
              </w:rPr>
              <w:t>，生活污水进入化粪池预处理后排入沣西新城大王污水处理厂</w:t>
            </w:r>
            <w:r>
              <w:rPr>
                <w:rFonts w:hint="eastAsia" w:ascii="Times New Roman" w:hAnsi="Times New Roman" w:cs="Times New Roman"/>
                <w:sz w:val="24"/>
                <w:lang w:eastAsia="zh-CN"/>
              </w:rPr>
              <w:t>，</w:t>
            </w:r>
            <w:r>
              <w:rPr>
                <w:rFonts w:hint="default" w:ascii="Times New Roman" w:hAnsi="Times New Roman" w:cs="Times New Roman"/>
                <w:sz w:val="24"/>
              </w:rPr>
              <w:t>处理达标后排入新河</w:t>
            </w:r>
            <w:r>
              <w:rPr>
                <w:rFonts w:hint="eastAsia" w:ascii="Times New Roman" w:hAnsi="Times New Roman" w:cs="Times New Roman"/>
                <w:sz w:val="24"/>
                <w:lang w:eastAsia="zh-CN"/>
              </w:rPr>
              <w:t>。</w:t>
            </w:r>
          </w:p>
          <w:p w14:paraId="7875DBC2">
            <w:pPr>
              <w:pStyle w:val="35"/>
              <w:numPr>
                <w:ilvl w:val="0"/>
                <w:numId w:val="0"/>
              </w:numPr>
              <w:spacing w:line="360" w:lineRule="auto"/>
              <w:ind w:right="86" w:rightChars="0" w:firstLine="480" w:firstLineChars="200"/>
              <w:rPr>
                <w:rFonts w:hint="default" w:ascii="Times New Roman" w:hAnsi="Times New Roman" w:cs="Times New Roman"/>
                <w:sz w:val="24"/>
                <w:lang w:val="en-US"/>
              </w:rPr>
            </w:pPr>
            <w:r>
              <w:rPr>
                <w:rFonts w:hint="default" w:ascii="Times New Roman" w:hAnsi="Times New Roman" w:cs="Times New Roman"/>
                <w:sz w:val="24"/>
              </w:rPr>
              <w:t>项目给排水情况见表</w:t>
            </w:r>
            <w:r>
              <w:rPr>
                <w:rFonts w:hint="default" w:ascii="Times New Roman" w:hAnsi="Times New Roman" w:cs="Times New Roman"/>
                <w:sz w:val="24"/>
                <w:lang w:val="en-US"/>
              </w:rPr>
              <w:t>2-5，项目水平衡图见图</w:t>
            </w:r>
            <w:r>
              <w:rPr>
                <w:rFonts w:hint="eastAsia" w:ascii="Times New Roman" w:hAnsi="Times New Roman" w:cs="Times New Roman"/>
                <w:sz w:val="24"/>
                <w:lang w:val="en-US" w:eastAsia="zh-CN"/>
              </w:rPr>
              <w:t>2-</w:t>
            </w:r>
            <w:r>
              <w:rPr>
                <w:rFonts w:hint="default" w:ascii="Times New Roman" w:hAnsi="Times New Roman" w:cs="Times New Roman"/>
                <w:sz w:val="24"/>
                <w:lang w:val="en-US"/>
              </w:rPr>
              <w:t>1。</w:t>
            </w:r>
          </w:p>
          <w:p w14:paraId="120A11B8">
            <w:pPr>
              <w:pStyle w:val="35"/>
              <w:numPr>
                <w:ilvl w:val="0"/>
                <w:numId w:val="0"/>
              </w:numPr>
              <w:spacing w:line="240" w:lineRule="auto"/>
              <w:ind w:right="86" w:rightChars="0" w:firstLine="422" w:firstLineChars="200"/>
              <w:jc w:val="center"/>
              <w:rPr>
                <w:rFonts w:hint="default" w:ascii="Times New Roman" w:hAnsi="Times New Roman" w:cs="Times New Roman"/>
                <w:b/>
                <w:bCs/>
                <w:szCs w:val="21"/>
                <w:lang w:val="en-US"/>
              </w:rPr>
            </w:pPr>
            <w:r>
              <w:rPr>
                <w:rFonts w:hint="default" w:ascii="Times New Roman" w:hAnsi="Times New Roman" w:cs="Times New Roman"/>
                <w:b/>
                <w:bCs/>
                <w:szCs w:val="21"/>
                <w:lang w:val="en-US"/>
              </w:rPr>
              <w:t>表2-5  项目给排水情况</w:t>
            </w:r>
          </w:p>
          <w:tbl>
            <w:tblPr>
              <w:tblStyle w:val="24"/>
              <w:tblW w:w="7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644"/>
              <w:gridCol w:w="1526"/>
              <w:gridCol w:w="1339"/>
              <w:gridCol w:w="1285"/>
            </w:tblGrid>
            <w:tr w14:paraId="047CF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04" w:type="dxa"/>
                  <w:vAlign w:val="center"/>
                </w:tcPr>
                <w:p w14:paraId="379EC290">
                  <w:pPr>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工序</w:t>
                  </w:r>
                </w:p>
              </w:tc>
              <w:tc>
                <w:tcPr>
                  <w:tcW w:w="1644" w:type="dxa"/>
                  <w:vAlign w:val="center"/>
                </w:tcPr>
                <w:p w14:paraId="599726BB">
                  <w:pPr>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日用水量m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/d</w:t>
                  </w:r>
                </w:p>
              </w:tc>
              <w:tc>
                <w:tcPr>
                  <w:tcW w:w="1526" w:type="dxa"/>
                  <w:vAlign w:val="center"/>
                </w:tcPr>
                <w:p w14:paraId="3E94F649">
                  <w:pPr>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年用水量m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/a</w:t>
                  </w:r>
                </w:p>
              </w:tc>
              <w:tc>
                <w:tcPr>
                  <w:tcW w:w="1339" w:type="dxa"/>
                  <w:vAlign w:val="center"/>
                </w:tcPr>
                <w:p w14:paraId="35CCDB54">
                  <w:pPr>
                    <w:spacing w:line="240" w:lineRule="auto"/>
                    <w:jc w:val="center"/>
                    <w:rPr>
                      <w:rFonts w:hint="default" w:ascii="Times New Roman" w:hAnsi="Times New Roman" w:cs="Times New Roman"/>
                      <w:b/>
                      <w:bCs/>
                      <w:szCs w:val="21"/>
                    </w:rPr>
                  </w:pPr>
                  <w:r>
                    <w:rPr>
                      <w:rFonts w:hint="eastAsia" w:ascii="Times New Roman" w:hAnsi="Times New Roman" w:cs="Times New Roman"/>
                      <w:b/>
                      <w:bCs/>
                      <w:szCs w:val="21"/>
                      <w:lang w:val="en-US" w:eastAsia="zh-CN"/>
                    </w:rPr>
                    <w:t>损耗</w:t>
                  </w:r>
                  <w:r>
                    <w:rPr>
                      <w:rFonts w:hint="default" w:ascii="Times New Roman" w:hAnsi="Times New Roman" w:cs="Times New Roman"/>
                      <w:b/>
                      <w:bCs/>
                      <w:szCs w:val="21"/>
                    </w:rPr>
                    <w:t>量m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/a</w:t>
                  </w:r>
                </w:p>
              </w:tc>
              <w:tc>
                <w:tcPr>
                  <w:tcW w:w="1285" w:type="dxa"/>
                  <w:vAlign w:val="center"/>
                </w:tcPr>
                <w:p w14:paraId="4662C643">
                  <w:pPr>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年废水产生量m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/a</w:t>
                  </w:r>
                </w:p>
              </w:tc>
            </w:tr>
            <w:tr w14:paraId="748B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04" w:type="dxa"/>
                  <w:vAlign w:val="center"/>
                </w:tcPr>
                <w:p w14:paraId="35F46DD7">
                  <w:pPr>
                    <w:spacing w:line="240" w:lineRule="auto"/>
                    <w:jc w:val="center"/>
                    <w:rPr>
                      <w:rFonts w:hint="default" w:ascii="Times New Roman" w:hAnsi="Times New Roman" w:cs="Times New Roman"/>
                      <w:bCs/>
                      <w:spacing w:val="4"/>
                      <w:szCs w:val="21"/>
                    </w:rPr>
                  </w:pPr>
                  <w:r>
                    <w:rPr>
                      <w:rFonts w:hint="default" w:ascii="Times New Roman" w:hAnsi="Times New Roman" w:cs="Times New Roman"/>
                      <w:bCs/>
                      <w:spacing w:val="4"/>
                      <w:szCs w:val="21"/>
                    </w:rPr>
                    <w:t>职工生活用水</w:t>
                  </w:r>
                </w:p>
              </w:tc>
              <w:tc>
                <w:tcPr>
                  <w:tcW w:w="1644" w:type="dxa"/>
                  <w:vAlign w:val="center"/>
                </w:tcPr>
                <w:p w14:paraId="41894DE0">
                  <w:pPr>
                    <w:spacing w:line="240" w:lineRule="auto"/>
                    <w:jc w:val="center"/>
                    <w:rPr>
                      <w:rFonts w:hint="eastAsia" w:ascii="Times New Roman" w:hAnsi="Times New Roman" w:eastAsia="宋体" w:cs="Times New Roman"/>
                      <w:bCs/>
                      <w:color w:val="000000" w:themeColor="text1"/>
                      <w:spacing w:val="4"/>
                      <w:szCs w:val="21"/>
                      <w:lang w:eastAsia="zh-CN"/>
                      <w14:textFill>
                        <w14:solidFill>
                          <w14:schemeClr w14:val="tx1"/>
                        </w14:solidFill>
                      </w14:textFill>
                    </w:rPr>
                  </w:pPr>
                  <w:r>
                    <w:rPr>
                      <w:rFonts w:hint="eastAsia" w:ascii="Times New Roman" w:hAnsi="Times New Roman" w:cs="Times New Roman"/>
                      <w:bCs/>
                      <w:color w:val="000000" w:themeColor="text1"/>
                      <w:spacing w:val="4"/>
                      <w:szCs w:val="21"/>
                      <w:lang w:val="en-US" w:eastAsia="zh-CN"/>
                      <w14:textFill>
                        <w14:solidFill>
                          <w14:schemeClr w14:val="tx1"/>
                        </w14:solidFill>
                      </w14:textFill>
                    </w:rPr>
                    <w:t>1</w:t>
                  </w:r>
                </w:p>
              </w:tc>
              <w:tc>
                <w:tcPr>
                  <w:tcW w:w="1526" w:type="dxa"/>
                  <w:vAlign w:val="center"/>
                </w:tcPr>
                <w:p w14:paraId="0CA63459">
                  <w:pPr>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200</w:t>
                  </w:r>
                </w:p>
              </w:tc>
              <w:tc>
                <w:tcPr>
                  <w:tcW w:w="1339" w:type="dxa"/>
                  <w:vAlign w:val="center"/>
                </w:tcPr>
                <w:p w14:paraId="3013DFD7">
                  <w:pPr>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40</w:t>
                  </w:r>
                </w:p>
              </w:tc>
              <w:tc>
                <w:tcPr>
                  <w:tcW w:w="1285" w:type="dxa"/>
                  <w:vAlign w:val="center"/>
                </w:tcPr>
                <w:p w14:paraId="3BF09DCB">
                  <w:pPr>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160</w:t>
                  </w:r>
                </w:p>
              </w:tc>
            </w:tr>
          </w:tbl>
          <w:p w14:paraId="230C37F8">
            <w:pPr>
              <w:pStyle w:val="35"/>
              <w:spacing w:line="360" w:lineRule="auto"/>
              <w:ind w:right="86" w:firstLine="480" w:firstLineChars="200"/>
              <w:rPr>
                <w:rFonts w:hint="default" w:ascii="Times New Roman" w:hAnsi="Times New Roman" w:cs="Times New Roman"/>
                <w:sz w:val="24"/>
                <w:lang w:val="en-US"/>
              </w:rPr>
            </w:pPr>
            <w:r>
              <w:rPr>
                <w:rFonts w:hint="default" w:ascii="Times New Roman" w:hAnsi="Times New Roman" w:cs="Times New Roman"/>
                <w:sz w:val="24"/>
                <w:lang w:val="en-US"/>
              </w:rPr>
              <w:t>项目水平衡图见</w:t>
            </w:r>
            <w:r>
              <w:rPr>
                <w:rFonts w:hint="eastAsia" w:ascii="Times New Roman" w:hAnsi="Times New Roman" w:cs="Times New Roman"/>
                <w:sz w:val="24"/>
                <w:lang w:val="en-US" w:eastAsia="zh-CN"/>
              </w:rPr>
              <w:t>下</w:t>
            </w:r>
            <w:r>
              <w:rPr>
                <w:rFonts w:hint="default" w:ascii="Times New Roman" w:hAnsi="Times New Roman" w:cs="Times New Roman"/>
                <w:sz w:val="24"/>
                <w:lang w:val="en-US"/>
              </w:rPr>
              <w:t>图</w:t>
            </w:r>
            <w:r>
              <w:rPr>
                <w:rFonts w:hint="eastAsia" w:ascii="Times New Roman" w:hAnsi="Times New Roman" w:cs="Times New Roman"/>
                <w:sz w:val="24"/>
                <w:lang w:val="en-US" w:eastAsia="zh-CN"/>
              </w:rPr>
              <w:t>2-</w:t>
            </w:r>
            <w:r>
              <w:rPr>
                <w:rFonts w:hint="default" w:ascii="Times New Roman" w:hAnsi="Times New Roman" w:cs="Times New Roman"/>
                <w:sz w:val="24"/>
                <w:lang w:val="en-US"/>
              </w:rPr>
              <w:t>1。</w:t>
            </w:r>
          </w:p>
          <w:p w14:paraId="3397AD54">
            <w:pPr>
              <w:jc w:val="center"/>
              <w:rPr>
                <w:rFonts w:hint="eastAsia" w:ascii="Times New Roman" w:hAnsi="Times New Roman" w:eastAsia="宋体" w:cs="宋体"/>
                <w:snapToGrid w:val="0"/>
                <w:color w:val="auto"/>
                <w:szCs w:val="24"/>
                <w:vertAlign w:val="baseline"/>
                <w:lang w:eastAsia="zh-CN"/>
              </w:rPr>
            </w:pPr>
            <w:r>
              <w:rPr>
                <w:rFonts w:hint="eastAsia" w:ascii="Times New Roman" w:hAnsi="Times New Roman" w:eastAsia="宋体" w:cs="宋体"/>
                <w:snapToGrid w:val="0"/>
                <w:color w:val="auto"/>
                <w:szCs w:val="24"/>
                <w:vertAlign w:val="baseline"/>
                <w:lang w:eastAsia="zh-CN"/>
              </w:rPr>
              <w:object>
                <v:shape id="_x0000_i1025" o:spt="75" type="#_x0000_t75" style="height:43.45pt;width:325.85pt;" o:ole="t" filled="f" o:preferrelative="t" stroked="f" coordsize="21600,21600">
                  <v:path/>
                  <v:fill on="f" focussize="0,0"/>
                  <v:stroke on="f"/>
                  <v:imagedata r:id="rId13" o:title=""/>
                  <o:lock v:ext="edit" aspectratio="t"/>
                  <w10:wrap type="none"/>
                  <w10:anchorlock/>
                </v:shape>
                <o:OLEObject Type="Embed" ProgID="Visio.Drawing.15" ShapeID="_x0000_i1025" DrawAspect="Content" ObjectID="_1468075725" r:id="rId12">
                  <o:LockedField>false</o:LockedField>
                </o:OLEObject>
              </w:object>
            </w:r>
          </w:p>
          <w:p w14:paraId="47A58832">
            <w:pPr>
              <w:adjustRightInd w:val="0"/>
              <w:snapToGrid w:val="0"/>
              <w:spacing w:line="240" w:lineRule="auto"/>
              <w:jc w:val="center"/>
              <w:rPr>
                <w:rFonts w:hint="default" w:ascii="Times New Roman" w:hAnsi="Times New Roman" w:eastAsia="宋体" w:cs="Times New Roman"/>
                <w:b/>
                <w:bCs/>
                <w:color w:val="000000"/>
                <w:kern w:val="2"/>
                <w:sz w:val="21"/>
                <w:szCs w:val="21"/>
                <w:lang w:val="zh-CN" w:eastAsia="zh-CN" w:bidi="zh-CN"/>
              </w:rPr>
            </w:pPr>
            <w:r>
              <w:rPr>
                <w:rFonts w:hint="eastAsia" w:ascii="Times New Roman" w:hAnsi="Times New Roman" w:eastAsia="宋体" w:cs="Times New Roman"/>
                <w:b/>
                <w:bCs/>
                <w:color w:val="000000"/>
                <w:kern w:val="2"/>
                <w:sz w:val="21"/>
                <w:szCs w:val="21"/>
                <w:lang w:val="zh-CN" w:eastAsia="zh-CN" w:bidi="zh-CN"/>
              </w:rPr>
              <w:t>图2-1  项目水平衡图  单位：m</w:t>
            </w:r>
            <w:r>
              <w:rPr>
                <w:rFonts w:hint="eastAsia" w:ascii="Times New Roman" w:hAnsi="Times New Roman" w:eastAsia="宋体" w:cs="Times New Roman"/>
                <w:b/>
                <w:bCs/>
                <w:color w:val="000000"/>
                <w:kern w:val="2"/>
                <w:sz w:val="21"/>
                <w:szCs w:val="21"/>
                <w:vertAlign w:val="superscript"/>
                <w:lang w:val="zh-CN" w:eastAsia="zh-CN" w:bidi="zh-CN"/>
              </w:rPr>
              <w:t>3</w:t>
            </w:r>
            <w:r>
              <w:rPr>
                <w:rFonts w:hint="eastAsia" w:ascii="Times New Roman" w:hAnsi="Times New Roman" w:eastAsia="宋体" w:cs="Times New Roman"/>
                <w:b/>
                <w:bCs/>
                <w:color w:val="000000"/>
                <w:kern w:val="2"/>
                <w:sz w:val="21"/>
                <w:szCs w:val="21"/>
                <w:lang w:val="zh-CN" w:eastAsia="zh-CN" w:bidi="zh-CN"/>
              </w:rPr>
              <w:t>/d</w:t>
            </w:r>
          </w:p>
          <w:p w14:paraId="04BCA9B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2"/>
                <w:sz w:val="24"/>
                <w:szCs w:val="22"/>
                <w:lang w:val="en-US" w:eastAsia="zh-CN" w:bidi="zh-CN"/>
              </w:rPr>
            </w:pPr>
            <w:r>
              <w:rPr>
                <w:rFonts w:hint="eastAsia" w:ascii="Times New Roman" w:hAnsi="Times New Roman" w:cs="Times New Roman"/>
                <w:kern w:val="2"/>
                <w:sz w:val="24"/>
                <w:szCs w:val="22"/>
                <w:lang w:val="en-US" w:eastAsia="zh-CN" w:bidi="zh-CN"/>
              </w:rPr>
              <w:t>（6）供电</w:t>
            </w:r>
          </w:p>
          <w:p w14:paraId="5C6532A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2"/>
                <w:sz w:val="24"/>
                <w:szCs w:val="22"/>
                <w:lang w:val="en-US" w:eastAsia="zh-CN" w:bidi="zh-CN"/>
              </w:rPr>
            </w:pPr>
            <w:r>
              <w:rPr>
                <w:rFonts w:hint="eastAsia" w:ascii="Times New Roman" w:hAnsi="Times New Roman" w:cs="Times New Roman"/>
                <w:kern w:val="2"/>
                <w:sz w:val="24"/>
                <w:szCs w:val="22"/>
                <w:lang w:val="en-US" w:eastAsia="zh-CN" w:bidi="zh-CN"/>
              </w:rPr>
              <w:t>本项目电源由市政供电系统提供，主要为生产和生活用电。本项目年用电约5万度。</w:t>
            </w:r>
          </w:p>
          <w:p w14:paraId="059AB3C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kern w:val="2"/>
                <w:sz w:val="24"/>
                <w:szCs w:val="22"/>
                <w:lang w:val="en-US" w:eastAsia="zh-CN" w:bidi="zh-CN"/>
              </w:rPr>
            </w:pPr>
            <w:r>
              <w:rPr>
                <w:rFonts w:hint="eastAsia" w:ascii="Times New Roman" w:hAnsi="Times New Roman" w:cs="Times New Roman"/>
                <w:kern w:val="2"/>
                <w:sz w:val="24"/>
                <w:szCs w:val="22"/>
                <w:lang w:val="en-US" w:eastAsia="zh-CN" w:bidi="zh-CN"/>
              </w:rPr>
              <w:t>（7）采暖及制冷</w:t>
            </w:r>
          </w:p>
          <w:p w14:paraId="2CBDE40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kern w:val="2"/>
                <w:sz w:val="24"/>
                <w:szCs w:val="22"/>
                <w:lang w:val="en-US" w:eastAsia="zh-CN" w:bidi="zh-CN"/>
              </w:rPr>
            </w:pPr>
            <w:r>
              <w:rPr>
                <w:rFonts w:hint="eastAsia" w:ascii="Times New Roman" w:hAnsi="Times New Roman" w:cs="Times New Roman"/>
                <w:kern w:val="2"/>
                <w:sz w:val="24"/>
                <w:szCs w:val="22"/>
                <w:lang w:val="en-US" w:eastAsia="zh-CN" w:bidi="zh-CN"/>
              </w:rPr>
              <w:t>项目办公生活区采用分体式空调，生产区不涉及。</w:t>
            </w:r>
          </w:p>
          <w:p w14:paraId="71F2E53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kern w:val="2"/>
                <w:sz w:val="24"/>
                <w:szCs w:val="22"/>
                <w:lang w:val="en-US" w:eastAsia="zh-CN" w:bidi="zh-CN"/>
              </w:rPr>
            </w:pPr>
            <w:r>
              <w:rPr>
                <w:rFonts w:hint="eastAsia" w:ascii="Times New Roman" w:hAnsi="Times New Roman" w:eastAsia="宋体" w:cs="Times New Roman"/>
                <w:b/>
                <w:bCs/>
                <w:kern w:val="2"/>
                <w:sz w:val="24"/>
                <w:szCs w:val="22"/>
                <w:lang w:val="en-US" w:eastAsia="zh-CN" w:bidi="zh-CN"/>
              </w:rPr>
              <w:t>4</w:t>
            </w:r>
            <w:r>
              <w:rPr>
                <w:rFonts w:hint="eastAsia" w:ascii="Times New Roman" w:hAnsi="Times New Roman" w:cs="Times New Roman"/>
                <w:b/>
                <w:bCs/>
                <w:kern w:val="2"/>
                <w:sz w:val="24"/>
                <w:szCs w:val="22"/>
                <w:lang w:val="en-US" w:eastAsia="zh-CN" w:bidi="zh-CN"/>
              </w:rPr>
              <w:t>.</w:t>
            </w:r>
            <w:r>
              <w:rPr>
                <w:rFonts w:hint="eastAsia" w:ascii="Times New Roman" w:hAnsi="Times New Roman" w:eastAsia="宋体" w:cs="Times New Roman"/>
                <w:b/>
                <w:bCs/>
                <w:kern w:val="2"/>
                <w:sz w:val="24"/>
                <w:szCs w:val="22"/>
                <w:lang w:val="en-US" w:eastAsia="zh-CN" w:bidi="zh-CN"/>
              </w:rPr>
              <w:t>厂区平面布置</w:t>
            </w:r>
          </w:p>
          <w:p w14:paraId="19CCBD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2"/>
                <w:sz w:val="24"/>
                <w:szCs w:val="22"/>
                <w:lang w:val="en-US" w:eastAsia="zh-CN" w:bidi="zh-CN"/>
              </w:rPr>
            </w:pPr>
            <w:r>
              <w:rPr>
                <w:rFonts w:hint="eastAsia" w:ascii="Times New Roman" w:hAnsi="Times New Roman" w:eastAsia="宋体" w:cs="Times New Roman"/>
                <w:kern w:val="2"/>
                <w:sz w:val="24"/>
                <w:szCs w:val="22"/>
                <w:lang w:val="en-US" w:eastAsia="zh-CN" w:bidi="zh-CN"/>
              </w:rPr>
              <w:t>项目建设地点位于</w:t>
            </w:r>
            <w:r>
              <w:rPr>
                <w:rFonts w:hint="eastAsia" w:ascii="Times New Roman" w:hAnsi="Times New Roman" w:eastAsia="宋体" w:cs="Times New Roman"/>
                <w:sz w:val="24"/>
                <w:szCs w:val="24"/>
                <w:lang w:val="en-US" w:eastAsia="zh-CN"/>
              </w:rPr>
              <w:t>陕西省西咸新区沣西新城大王街办西宝路6号</w:t>
            </w:r>
            <w:r>
              <w:rPr>
                <w:rFonts w:hint="eastAsia" w:ascii="Times New Roman" w:hAnsi="Times New Roman" w:eastAsia="宋体" w:cs="Times New Roman"/>
                <w:kern w:val="2"/>
                <w:sz w:val="24"/>
                <w:szCs w:val="22"/>
                <w:lang w:val="en-US" w:eastAsia="zh-CN" w:bidi="zh-CN"/>
              </w:rPr>
              <w:t>。本项目建设遵循平面布置原则，结合实际用地和项目平面布置情况，总体布局尊重自然地形地貌而建。</w:t>
            </w:r>
          </w:p>
          <w:p w14:paraId="744A98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2"/>
                <w:sz w:val="24"/>
                <w:szCs w:val="22"/>
                <w:lang w:val="en-US" w:eastAsia="zh-CN" w:bidi="zh-CN"/>
              </w:rPr>
            </w:pPr>
            <w:r>
              <w:rPr>
                <w:rFonts w:hint="eastAsia" w:ascii="Times New Roman" w:hAnsi="Times New Roman" w:eastAsia="宋体" w:cs="Times New Roman"/>
                <w:kern w:val="2"/>
                <w:sz w:val="24"/>
                <w:szCs w:val="22"/>
                <w:lang w:val="en-US" w:eastAsia="zh-CN" w:bidi="zh-CN"/>
              </w:rPr>
              <w:t>项目在总平面布置时，根据生产流程、成品贮存、场内外运输等需要，在满足规划、消防、绿化等方面要求的情况下，布设生产设备。各设备按照工艺流程进行布置，使生产过程更加顺畅，节约时间，提高效率。因此，本项目总平面布置合理，厂区平面布置图见附图</w:t>
            </w:r>
            <w:r>
              <w:rPr>
                <w:rFonts w:hint="eastAsia" w:ascii="Times New Roman" w:hAnsi="Times New Roman" w:cs="Times New Roman"/>
                <w:kern w:val="2"/>
                <w:sz w:val="24"/>
                <w:szCs w:val="22"/>
                <w:lang w:val="en-US" w:eastAsia="zh-CN" w:bidi="zh-CN"/>
              </w:rPr>
              <w:t>三</w:t>
            </w:r>
            <w:r>
              <w:rPr>
                <w:rFonts w:hint="eastAsia" w:ascii="Times New Roman" w:hAnsi="Times New Roman" w:eastAsia="宋体" w:cs="Times New Roman"/>
                <w:kern w:val="2"/>
                <w:sz w:val="24"/>
                <w:szCs w:val="22"/>
                <w:lang w:val="en-US" w:eastAsia="zh-CN" w:bidi="zh-CN"/>
              </w:rPr>
              <w:t>。</w:t>
            </w:r>
          </w:p>
          <w:p w14:paraId="29612DA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kern w:val="2"/>
                <w:sz w:val="24"/>
                <w:szCs w:val="22"/>
                <w:lang w:val="en-US" w:eastAsia="zh-CN" w:bidi="zh-CN"/>
              </w:rPr>
            </w:pPr>
            <w:r>
              <w:rPr>
                <w:rFonts w:hint="eastAsia" w:ascii="Times New Roman" w:hAnsi="Times New Roman" w:eastAsia="宋体" w:cs="Times New Roman"/>
                <w:b/>
                <w:bCs/>
                <w:kern w:val="2"/>
                <w:sz w:val="24"/>
                <w:szCs w:val="22"/>
                <w:lang w:val="en-US" w:eastAsia="zh-CN" w:bidi="zh-CN"/>
              </w:rPr>
              <w:t>5</w:t>
            </w:r>
            <w:r>
              <w:rPr>
                <w:rFonts w:hint="eastAsia" w:ascii="Times New Roman" w:hAnsi="Times New Roman" w:cs="Times New Roman"/>
                <w:b/>
                <w:bCs/>
                <w:kern w:val="2"/>
                <w:sz w:val="24"/>
                <w:szCs w:val="22"/>
                <w:lang w:val="en-US" w:eastAsia="zh-CN" w:bidi="zh-CN"/>
              </w:rPr>
              <w:t>.</w:t>
            </w:r>
            <w:r>
              <w:rPr>
                <w:rFonts w:hint="eastAsia" w:ascii="Times New Roman" w:hAnsi="Times New Roman" w:eastAsia="宋体" w:cs="Times New Roman"/>
                <w:b/>
                <w:bCs/>
                <w:kern w:val="2"/>
                <w:sz w:val="24"/>
                <w:szCs w:val="22"/>
                <w:lang w:val="en-US" w:eastAsia="zh-CN" w:bidi="zh-CN"/>
              </w:rPr>
              <w:t>劳动定员及工作制度</w:t>
            </w:r>
          </w:p>
          <w:p w14:paraId="359FAB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宋体"/>
                <w:snapToGrid w:val="0"/>
                <w:color w:val="auto"/>
                <w:szCs w:val="24"/>
                <w:vertAlign w:val="baseline"/>
              </w:rPr>
            </w:pPr>
            <w:r>
              <w:rPr>
                <w:rFonts w:hint="eastAsia" w:ascii="Times New Roman" w:hAnsi="Times New Roman" w:eastAsia="宋体" w:cs="Times New Roman"/>
                <w:kern w:val="2"/>
                <w:sz w:val="24"/>
                <w:szCs w:val="22"/>
                <w:lang w:val="en-US" w:eastAsia="zh-CN" w:bidi="zh-CN"/>
              </w:rPr>
              <w:t>本项目劳动定员为20人，每天工作2个台班，每个台班工作6小时，年平均工作200天，无食堂，住宿人员10人。</w:t>
            </w:r>
          </w:p>
        </w:tc>
      </w:tr>
      <w:tr w14:paraId="313E0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tcPr>
          <w:p w14:paraId="02CC2E88">
            <w:pPr>
              <w:jc w:val="center"/>
              <w:rPr>
                <w:rFonts w:hint="eastAsia" w:ascii="宋体" w:hAnsi="宋体" w:eastAsia="宋体" w:cs="宋体"/>
                <w:color w:val="auto"/>
                <w:sz w:val="24"/>
                <w:szCs w:val="24"/>
              </w:rPr>
            </w:pPr>
            <w:r>
              <w:rPr>
                <w:rFonts w:hint="eastAsia" w:ascii="宋体" w:hAnsi="宋体" w:eastAsia="宋体" w:cs="宋体"/>
                <w:sz w:val="24"/>
                <w:szCs w:val="24"/>
              </w:rPr>
              <w:t>工艺流程和产排污环节</w:t>
            </w:r>
          </w:p>
        </w:tc>
        <w:tc>
          <w:tcPr>
            <w:tcW w:w="7728" w:type="dxa"/>
            <w:tcBorders>
              <w:tl2br w:val="nil"/>
              <w:tr2bl w:val="nil"/>
            </w:tcBorders>
          </w:tcPr>
          <w:p w14:paraId="10CEC8C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2"/>
                <w:sz w:val="24"/>
                <w:szCs w:val="22"/>
                <w:lang w:val="en-US" w:eastAsia="zh-CN" w:bidi="zh-CN"/>
              </w:rPr>
            </w:pPr>
            <w:r>
              <w:rPr>
                <w:rFonts w:hint="eastAsia" w:ascii="Times New Roman" w:hAnsi="Times New Roman" w:eastAsia="宋体" w:cs="Times New Roman"/>
                <w:b/>
                <w:bCs/>
                <w:kern w:val="2"/>
                <w:sz w:val="24"/>
                <w:szCs w:val="22"/>
                <w:lang w:val="en-US" w:eastAsia="zh-CN" w:bidi="zh-CN"/>
              </w:rPr>
              <w:t>1</w:t>
            </w:r>
            <w:r>
              <w:rPr>
                <w:rFonts w:hint="eastAsia" w:ascii="Times New Roman" w:hAnsi="Times New Roman" w:cs="Times New Roman"/>
                <w:b/>
                <w:bCs/>
                <w:kern w:val="2"/>
                <w:sz w:val="24"/>
                <w:szCs w:val="22"/>
                <w:lang w:val="en-US" w:eastAsia="zh-CN" w:bidi="zh-CN"/>
              </w:rPr>
              <w:t>.</w:t>
            </w:r>
            <w:r>
              <w:rPr>
                <w:rFonts w:hint="default" w:ascii="Times New Roman" w:hAnsi="Times New Roman" w:eastAsia="宋体" w:cs="Times New Roman"/>
                <w:b/>
                <w:bCs/>
                <w:kern w:val="2"/>
                <w:sz w:val="24"/>
                <w:szCs w:val="22"/>
                <w:lang w:val="en-US" w:eastAsia="zh-CN" w:bidi="zh-CN"/>
              </w:rPr>
              <w:t>工艺施工期</w:t>
            </w:r>
            <w:r>
              <w:rPr>
                <w:rFonts w:hint="eastAsia" w:ascii="Times New Roman" w:hAnsi="Times New Roman" w:eastAsia="宋体" w:cs="Times New Roman"/>
                <w:b/>
                <w:bCs/>
                <w:kern w:val="2"/>
                <w:sz w:val="24"/>
                <w:szCs w:val="22"/>
                <w:lang w:val="en-US" w:eastAsia="zh-CN" w:bidi="zh-CN"/>
              </w:rPr>
              <w:t>工艺产污环节分析</w:t>
            </w:r>
          </w:p>
          <w:p w14:paraId="056B719B">
            <w:pPr>
              <w:pStyle w:val="35"/>
              <w:spacing w:before="2" w:line="360" w:lineRule="auto"/>
              <w:ind w:firstLine="480" w:firstLineChars="200"/>
              <w:rPr>
                <w:rFonts w:hint="default" w:ascii="Times New Roman" w:hAnsi="Times New Roman" w:cs="Times New Roman"/>
                <w:color w:val="auto"/>
                <w:sz w:val="24"/>
                <w:lang w:val="en-US" w:bidi="ar-SA"/>
              </w:rPr>
            </w:pPr>
            <w:r>
              <w:rPr>
                <w:rFonts w:hint="default" w:ascii="Times New Roman" w:hAnsi="Times New Roman" w:cs="Times New Roman"/>
                <w:color w:val="auto"/>
                <w:sz w:val="24"/>
                <w:lang w:val="en-US" w:bidi="ar-SA"/>
              </w:rPr>
              <w:t>本项目施工期主要是设备进车间安装、调试等，此过程工期较短，为期</w:t>
            </w:r>
            <w:r>
              <w:rPr>
                <w:rFonts w:hint="eastAsia" w:ascii="Times New Roman" w:hAnsi="Times New Roman" w:cs="Times New Roman"/>
                <w:color w:val="auto"/>
                <w:sz w:val="24"/>
                <w:lang w:val="en-US" w:eastAsia="zh-CN" w:bidi="ar-SA"/>
              </w:rPr>
              <w:t>2</w:t>
            </w:r>
            <w:r>
              <w:rPr>
                <w:rFonts w:hint="default" w:ascii="Times New Roman" w:hAnsi="Times New Roman" w:cs="Times New Roman"/>
                <w:color w:val="auto"/>
                <w:sz w:val="24"/>
                <w:lang w:val="en-US" w:bidi="ar-SA"/>
              </w:rPr>
              <w:t>个月。本项目施工期的基本工艺流程及排污节点见图2</w:t>
            </w:r>
            <w:r>
              <w:rPr>
                <w:rFonts w:hint="eastAsia" w:ascii="Times New Roman" w:hAnsi="Times New Roman" w:cs="Times New Roman"/>
                <w:color w:val="auto"/>
                <w:sz w:val="24"/>
                <w:lang w:val="en-US" w:eastAsia="zh-CN" w:bidi="ar-SA"/>
              </w:rPr>
              <w:t>-2</w:t>
            </w:r>
            <w:r>
              <w:rPr>
                <w:rFonts w:hint="default" w:ascii="Times New Roman" w:hAnsi="Times New Roman" w:cs="Times New Roman"/>
                <w:color w:val="auto"/>
                <w:sz w:val="24"/>
                <w:lang w:val="en-US" w:bidi="ar-SA"/>
              </w:rPr>
              <w:t>。</w:t>
            </w:r>
          </w:p>
          <w:p w14:paraId="3B1755B9">
            <w:pPr>
              <w:pStyle w:val="38"/>
              <w:ind w:firstLine="48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本项目施工期的基本工艺流程及排污节点见图2-2。</w:t>
            </w:r>
          </w:p>
          <w:p w14:paraId="3368DADE">
            <w:pPr>
              <w:pStyle w:val="38"/>
              <w:ind w:firstLine="480"/>
              <w:rPr>
                <w:rFonts w:ascii="Times New Roman" w:hAnsi="Times New Roman" w:eastAsia="宋体"/>
                <w:color w:val="000000" w:themeColor="text1"/>
                <w14:textFill>
                  <w14:solidFill>
                    <w14:schemeClr w14:val="tx1"/>
                  </w14:solidFill>
                </w14:textFill>
              </w:rPr>
            </w:pPr>
            <w:r>
              <w:rPr>
                <w:sz w:val="24"/>
              </w:rPr>
              <mc:AlternateContent>
                <mc:Choice Requires="wpg">
                  <w:drawing>
                    <wp:anchor distT="0" distB="0" distL="114300" distR="114300" simplePos="0" relativeHeight="251665408" behindDoc="0" locked="0" layoutInCell="1" allowOverlap="1">
                      <wp:simplePos x="0" y="0"/>
                      <wp:positionH relativeFrom="column">
                        <wp:posOffset>374650</wp:posOffset>
                      </wp:positionH>
                      <wp:positionV relativeFrom="paragraph">
                        <wp:posOffset>168910</wp:posOffset>
                      </wp:positionV>
                      <wp:extent cx="4093845" cy="1198880"/>
                      <wp:effectExtent l="4445" t="5080" r="16510" b="15240"/>
                      <wp:wrapNone/>
                      <wp:docPr id="10" name="组合 10"/>
                      <wp:cNvGraphicFramePr/>
                      <a:graphic xmlns:a="http://schemas.openxmlformats.org/drawingml/2006/main">
                        <a:graphicData uri="http://schemas.microsoft.com/office/word/2010/wordprocessingGroup">
                          <wpg:wgp>
                            <wpg:cNvGrpSpPr/>
                            <wpg:grpSpPr>
                              <a:xfrm>
                                <a:off x="0" y="0"/>
                                <a:ext cx="4093845" cy="1198880"/>
                                <a:chOff x="6528" y="156088"/>
                                <a:chExt cx="6447" cy="1888"/>
                              </a:xfrm>
                            </wpg:grpSpPr>
                            <wps:wsp>
                              <wps:cNvPr id="366" name="文本框 2"/>
                              <wps:cNvSpPr txBox="1">
                                <a:spLocks noChangeArrowheads="1"/>
                              </wps:cNvSpPr>
                              <wps:spPr bwMode="auto">
                                <a:xfrm>
                                  <a:off x="11634" y="157467"/>
                                  <a:ext cx="1189" cy="471"/>
                                </a:xfrm>
                                <a:prstGeom prst="rect">
                                  <a:avLst/>
                                </a:prstGeom>
                                <a:solidFill>
                                  <a:srgbClr val="FFFFFF"/>
                                </a:solidFill>
                                <a:ln w="9525">
                                  <a:solidFill>
                                    <a:srgbClr val="000000"/>
                                  </a:solidFill>
                                  <a:miter lim="800000"/>
                                </a:ln>
                                <a:effectLst/>
                              </wps:spPr>
                              <wps:txbx>
                                <w:txbxContent>
                                  <w:p w14:paraId="46B28235">
                                    <w:r>
                                      <w:rPr>
                                        <w:rFonts w:hint="eastAsia"/>
                                      </w:rPr>
                                      <w:t>设备调试</w:t>
                                    </w:r>
                                  </w:p>
                                </w:txbxContent>
                              </wps:txbx>
                              <wps:bodyPr rot="0" vert="horz" wrap="square" lIns="91440" tIns="45720" rIns="91440" bIns="45720" anchor="t" anchorCtr="0">
                                <a:spAutoFit/>
                              </wps:bodyPr>
                            </wps:wsp>
                            <wps:wsp>
                              <wps:cNvPr id="365" name="文本框 2"/>
                              <wps:cNvSpPr txBox="1">
                                <a:spLocks noChangeArrowheads="1"/>
                              </wps:cNvSpPr>
                              <wps:spPr bwMode="auto">
                                <a:xfrm>
                                  <a:off x="9306" y="157496"/>
                                  <a:ext cx="1189" cy="471"/>
                                </a:xfrm>
                                <a:prstGeom prst="rect">
                                  <a:avLst/>
                                </a:prstGeom>
                                <a:solidFill>
                                  <a:srgbClr val="FFFFFF"/>
                                </a:solidFill>
                                <a:ln w="9525">
                                  <a:solidFill>
                                    <a:srgbClr val="000000"/>
                                  </a:solidFill>
                                  <a:miter lim="800000"/>
                                </a:ln>
                                <a:effectLst/>
                              </wps:spPr>
                              <wps:txbx>
                                <w:txbxContent>
                                  <w:p w14:paraId="1489FBC9">
                                    <w:r>
                                      <w:rPr>
                                        <w:rFonts w:hint="eastAsia"/>
                                      </w:rPr>
                                      <w:t>设备安装</w:t>
                                    </w:r>
                                  </w:p>
                                </w:txbxContent>
                              </wps:txbx>
                              <wps:bodyPr rot="0" vert="horz" wrap="square" lIns="91440" tIns="45720" rIns="91440" bIns="45720" anchor="t" anchorCtr="0">
                                <a:spAutoFit/>
                              </wps:bodyPr>
                            </wps:wsp>
                            <wps:wsp>
                              <wps:cNvPr id="364" name="文本框 2"/>
                              <wps:cNvSpPr txBox="1">
                                <a:spLocks noChangeArrowheads="1"/>
                              </wps:cNvSpPr>
                              <wps:spPr bwMode="auto">
                                <a:xfrm>
                                  <a:off x="6877" y="157505"/>
                                  <a:ext cx="1189" cy="471"/>
                                </a:xfrm>
                                <a:prstGeom prst="rect">
                                  <a:avLst/>
                                </a:prstGeom>
                                <a:solidFill>
                                  <a:srgbClr val="FFFFFF"/>
                                </a:solidFill>
                                <a:ln w="9525">
                                  <a:solidFill>
                                    <a:srgbClr val="000000"/>
                                  </a:solidFill>
                                  <a:miter lim="800000"/>
                                </a:ln>
                                <a:effectLst/>
                              </wps:spPr>
                              <wps:txbx>
                                <w:txbxContent>
                                  <w:p w14:paraId="1F78C13F">
                                    <w:r>
                                      <w:rPr>
                                        <w:rFonts w:hint="eastAsia"/>
                                      </w:rPr>
                                      <w:t>室内装修</w:t>
                                    </w:r>
                                  </w:p>
                                </w:txbxContent>
                              </wps:txbx>
                              <wps:bodyPr rot="0" vert="horz" wrap="square" lIns="91440" tIns="45720" rIns="91440" bIns="45720" anchor="t" anchorCtr="0">
                                <a:spAutoFit/>
                              </wps:bodyPr>
                            </wps:wsp>
                            <wps:wsp>
                              <wps:cNvPr id="368" name="文本框 2"/>
                              <wps:cNvSpPr txBox="1">
                                <a:spLocks noChangeArrowheads="1"/>
                              </wps:cNvSpPr>
                              <wps:spPr bwMode="auto">
                                <a:xfrm>
                                  <a:off x="9208" y="156101"/>
                                  <a:ext cx="1502" cy="783"/>
                                </a:xfrm>
                                <a:prstGeom prst="rect">
                                  <a:avLst/>
                                </a:prstGeom>
                                <a:solidFill>
                                  <a:srgbClr val="FFFFFF"/>
                                </a:solidFill>
                                <a:ln w="9525">
                                  <a:solidFill>
                                    <a:srgbClr val="000000"/>
                                  </a:solidFill>
                                  <a:miter lim="800000"/>
                                </a:ln>
                                <a:effectLst/>
                              </wps:spPr>
                              <wps:txbx>
                                <w:txbxContent>
                                  <w:p w14:paraId="7EB1774A">
                                    <w:pPr>
                                      <w:jc w:val="center"/>
                                    </w:pPr>
                                    <w:r>
                                      <w:rPr>
                                        <w:rFonts w:hint="eastAsia"/>
                                      </w:rPr>
                                      <w:t>噪声、</w:t>
                                    </w:r>
                                    <w:r>
                                      <w:rPr>
                                        <w:rFonts w:hint="eastAsia"/>
                                        <w:lang w:val="en-US" w:eastAsia="zh-CN"/>
                                      </w:rPr>
                                      <w:t>固废</w:t>
                                    </w:r>
                                    <w:r>
                                      <w:rPr>
                                        <w:rFonts w:hint="eastAsia"/>
                                      </w:rPr>
                                      <w:t>、生活污水</w:t>
                                    </w:r>
                                  </w:p>
                                </w:txbxContent>
                              </wps:txbx>
                              <wps:bodyPr rot="0" vert="horz" wrap="square" lIns="91440" tIns="45720" rIns="91440" bIns="45720" anchor="t" anchorCtr="0">
                                <a:spAutoFit/>
                              </wps:bodyPr>
                            </wps:wsp>
                            <wps:wsp>
                              <wps:cNvPr id="369" name="文本框 2"/>
                              <wps:cNvSpPr txBox="1">
                                <a:spLocks noChangeArrowheads="1"/>
                              </wps:cNvSpPr>
                              <wps:spPr bwMode="auto">
                                <a:xfrm>
                                  <a:off x="11435" y="156088"/>
                                  <a:ext cx="1540" cy="783"/>
                                </a:xfrm>
                                <a:prstGeom prst="rect">
                                  <a:avLst/>
                                </a:prstGeom>
                                <a:solidFill>
                                  <a:srgbClr val="FFFFFF"/>
                                </a:solidFill>
                                <a:ln w="9525">
                                  <a:solidFill>
                                    <a:srgbClr val="000000"/>
                                  </a:solidFill>
                                  <a:miter lim="800000"/>
                                </a:ln>
                                <a:effectLst/>
                              </wps:spPr>
                              <wps:txbx>
                                <w:txbxContent>
                                  <w:p w14:paraId="4D58BA45">
                                    <w:pPr>
                                      <w:jc w:val="center"/>
                                      <w:rPr>
                                        <w:rFonts w:hint="eastAsia"/>
                                      </w:rPr>
                                    </w:pPr>
                                    <w:r>
                                      <w:rPr>
                                        <w:rFonts w:hint="eastAsia"/>
                                      </w:rPr>
                                      <w:t>噪声、生活</w:t>
                                    </w:r>
                                  </w:p>
                                  <w:p w14:paraId="7D6FDFBC">
                                    <w:pPr>
                                      <w:jc w:val="center"/>
                                    </w:pPr>
                                    <w:r>
                                      <w:rPr>
                                        <w:rFonts w:hint="eastAsia"/>
                                      </w:rPr>
                                      <w:t>污水</w:t>
                                    </w:r>
                                  </w:p>
                                </w:txbxContent>
                              </wps:txbx>
                              <wps:bodyPr rot="0" vert="horz" wrap="square" lIns="91440" tIns="45720" rIns="91440" bIns="45720" anchor="t" anchorCtr="0">
                                <a:spAutoFit/>
                              </wps:bodyPr>
                            </wps:wsp>
                            <wps:wsp>
                              <wps:cNvPr id="367" name="文本框 2"/>
                              <wps:cNvSpPr txBox="1">
                                <a:spLocks noChangeArrowheads="1"/>
                              </wps:cNvSpPr>
                              <wps:spPr bwMode="auto">
                                <a:xfrm>
                                  <a:off x="6528" y="156088"/>
                                  <a:ext cx="2141" cy="783"/>
                                </a:xfrm>
                                <a:prstGeom prst="rect">
                                  <a:avLst/>
                                </a:prstGeom>
                                <a:solidFill>
                                  <a:srgbClr val="FFFFFF"/>
                                </a:solidFill>
                                <a:ln w="9525">
                                  <a:solidFill>
                                    <a:srgbClr val="000000"/>
                                  </a:solidFill>
                                  <a:miter lim="800000"/>
                                </a:ln>
                                <a:effectLst/>
                              </wps:spPr>
                              <wps:txbx>
                                <w:txbxContent>
                                  <w:p w14:paraId="0F08C0B1">
                                    <w:pPr>
                                      <w:jc w:val="center"/>
                                    </w:pPr>
                                    <w:r>
                                      <w:rPr>
                                        <w:rFonts w:hint="eastAsia"/>
                                        <w:lang w:val="en-US" w:eastAsia="zh-CN"/>
                                      </w:rPr>
                                      <w:t>废气、</w:t>
                                    </w:r>
                                    <w:r>
                                      <w:rPr>
                                        <w:rFonts w:hint="eastAsia"/>
                                      </w:rPr>
                                      <w:t>噪声、</w:t>
                                    </w:r>
                                    <w:r>
                                      <w:rPr>
                                        <w:rFonts w:hint="eastAsia"/>
                                        <w:lang w:val="en-US" w:eastAsia="zh-CN"/>
                                      </w:rPr>
                                      <w:t>固废</w:t>
                                    </w:r>
                                    <w:r>
                                      <w:rPr>
                                        <w:rFonts w:hint="eastAsia"/>
                                      </w:rPr>
                                      <w:t>、生活污水</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9.5pt;margin-top:13.3pt;height:94.4pt;width:322.35pt;z-index:251665408;mso-width-relative:page;mso-height-relative:page;" coordorigin="6528,156088" coordsize="6447,1888" o:gfxdata="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OskqZraAAAACQEAAA8AAAAAAAAA&#10;AQAgAAAAIgAAAGRycy9kb3ducmV2LnhtbFBLAQIUABQAAAAIAIdO4kDPCqInZQMAAC8TAAAOAAAA&#10;AAAAAAEAIAAAACkBAABkcnMvZTJvRG9jLnhtbFBLBQYAAAAABgAGAFkBAAAABwAAAAA=&#10;">
                      <o:lock v:ext="edit" aspectratio="f"/>
                      <v:shape id="文本框 2" o:spid="_x0000_s1026" o:spt="202" type="#_x0000_t202" style="position:absolute;left:11634;top:157467;height:471;width:1189;" fillcolor="#FFFFFF" filled="t" stroked="t" coordsize="21600,21600" o:gfxdata="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wvJ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style="mso-fit-shape-to-text:t;">
                          <w:txbxContent>
                            <w:p w14:paraId="46B28235">
                              <w:r>
                                <w:rPr>
                                  <w:rFonts w:hint="eastAsia"/>
                                </w:rPr>
                                <w:t>设备调试</w:t>
                              </w:r>
                            </w:p>
                          </w:txbxContent>
                        </v:textbox>
                      </v:shape>
                      <v:shape id="文本框 2" o:spid="_x0000_s1026" o:spt="202" type="#_x0000_t202" style="position:absolute;left:9306;top:157496;height:471;width:1189;" fillcolor="#FFFFFF" filled="t" stroked="t" coordsize="21600,21600" o:gfxdata="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Ii7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1489FBC9">
                              <w:r>
                                <w:rPr>
                                  <w:rFonts w:hint="eastAsia"/>
                                </w:rPr>
                                <w:t>设备安装</w:t>
                              </w:r>
                            </w:p>
                          </w:txbxContent>
                        </v:textbox>
                      </v:shape>
                      <v:shape id="文本框 2" o:spid="_x0000_s1026" o:spt="202" type="#_x0000_t202" style="position:absolute;left:6877;top:157505;height:471;width:1189;" fillcolor="#FFFFFF" filled="t" stroked="t" coordsize="21600,21600" o:gfxdata="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uh3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style="mso-fit-shape-to-text:t;">
                          <w:txbxContent>
                            <w:p w14:paraId="1F78C13F">
                              <w:r>
                                <w:rPr>
                                  <w:rFonts w:hint="eastAsia"/>
                                </w:rPr>
                                <w:t>室内装修</w:t>
                              </w:r>
                            </w:p>
                          </w:txbxContent>
                        </v:textbox>
                      </v:shape>
                      <v:shape id="文本框 2" o:spid="_x0000_s1026" o:spt="202" type="#_x0000_t202" style="position:absolute;left:9208;top:156101;height:783;width:1502;" fillcolor="#FFFFFF" filled="t" stroked="t" coordsize="21600,21600" o:gfxdata="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ONc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style="mso-fit-shape-to-text:t;">
                          <w:txbxContent>
                            <w:p w14:paraId="7EB1774A">
                              <w:pPr>
                                <w:jc w:val="center"/>
                              </w:pPr>
                              <w:r>
                                <w:rPr>
                                  <w:rFonts w:hint="eastAsia"/>
                                </w:rPr>
                                <w:t>噪声、</w:t>
                              </w:r>
                              <w:r>
                                <w:rPr>
                                  <w:rFonts w:hint="eastAsia"/>
                                  <w:lang w:val="en-US" w:eastAsia="zh-CN"/>
                                </w:rPr>
                                <w:t>固废</w:t>
                              </w:r>
                              <w:r>
                                <w:rPr>
                                  <w:rFonts w:hint="eastAsia"/>
                                </w:rPr>
                                <w:t>、生活污水</w:t>
                              </w:r>
                            </w:p>
                          </w:txbxContent>
                        </v:textbox>
                      </v:shape>
                      <v:shape id="文本框 2" o:spid="_x0000_s1026" o:spt="202" type="#_x0000_t202" style="position:absolute;left:11435;top:156088;height:783;width:1540;" fillcolor="#FFFFFF" filled="t" stroked="t" coordsize="21600,21600" o:gfxdata="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8o6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4D58BA45">
                              <w:pPr>
                                <w:jc w:val="center"/>
                                <w:rPr>
                                  <w:rFonts w:hint="eastAsia"/>
                                </w:rPr>
                              </w:pPr>
                              <w:r>
                                <w:rPr>
                                  <w:rFonts w:hint="eastAsia"/>
                                </w:rPr>
                                <w:t>噪声、生活</w:t>
                              </w:r>
                            </w:p>
                            <w:p w14:paraId="7D6FDFBC">
                              <w:pPr>
                                <w:jc w:val="center"/>
                              </w:pPr>
                              <w:r>
                                <w:rPr>
                                  <w:rFonts w:hint="eastAsia"/>
                                </w:rPr>
                                <w:t>污水</w:t>
                              </w:r>
                            </w:p>
                          </w:txbxContent>
                        </v:textbox>
                      </v:shape>
                      <v:shape id="文本框 2" o:spid="_x0000_s1026" o:spt="202" type="#_x0000_t202" style="position:absolute;left:6528;top:156088;height:783;width:2141;" fillcolor="#FFFFFF" filled="t" stroked="t" coordsize="21600,21600" o:gfxdata="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ZA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0F08C0B1">
                              <w:pPr>
                                <w:jc w:val="center"/>
                              </w:pPr>
                              <w:r>
                                <w:rPr>
                                  <w:rFonts w:hint="eastAsia"/>
                                  <w:lang w:val="en-US" w:eastAsia="zh-CN"/>
                                </w:rPr>
                                <w:t>废气、</w:t>
                              </w:r>
                              <w:r>
                                <w:rPr>
                                  <w:rFonts w:hint="eastAsia"/>
                                </w:rPr>
                                <w:t>噪声、</w:t>
                              </w:r>
                              <w:r>
                                <w:rPr>
                                  <w:rFonts w:hint="eastAsia"/>
                                  <w:lang w:val="en-US" w:eastAsia="zh-CN"/>
                                </w:rPr>
                                <w:t>固废</w:t>
                              </w:r>
                              <w:r>
                                <w:rPr>
                                  <w:rFonts w:hint="eastAsia"/>
                                </w:rPr>
                                <w:t>、生活污水</w:t>
                              </w:r>
                            </w:p>
                          </w:txbxContent>
                        </v:textbox>
                      </v:shape>
                    </v:group>
                  </w:pict>
                </mc:Fallback>
              </mc:AlternateContent>
            </w:r>
            <w:r>
              <w:rPr>
                <w:rFonts w:ascii="Times New Roman" w:hAnsi="Times New Roman" w:eastAsia="宋体"/>
                <w:color w:val="000000" w:themeColor="text1"/>
                <w14:textFill>
                  <w14:solidFill>
                    <w14:schemeClr w14:val="tx1"/>
                  </w14:solidFill>
                </w14:textFill>
              </w:rPr>
              <mc:AlternateContent>
                <mc:Choice Requires="wpc">
                  <w:drawing>
                    <wp:inline distT="0" distB="0" distL="0" distR="0">
                      <wp:extent cx="4953635" cy="1214120"/>
                      <wp:effectExtent l="0" t="0" r="0" b="63500"/>
                      <wp:docPr id="99" name="画布 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直接箭头连接符 370"/>
                              <wps:cNvCnPr/>
                              <wps:spPr>
                                <a:xfrm flipV="1">
                                  <a:off x="699770" y="605790"/>
                                  <a:ext cx="0" cy="427990"/>
                                </a:xfrm>
                                <a:prstGeom prst="straightConnector1">
                                  <a:avLst/>
                                </a:prstGeom>
                                <a:noFill/>
                                <a:ln w="6350" cap="flat" cmpd="sng" algn="ctr">
                                  <a:solidFill>
                                    <a:srgbClr val="000000"/>
                                  </a:solidFill>
                                  <a:prstDash val="solid"/>
                                  <a:miter lim="800000"/>
                                  <a:tailEnd type="arrow"/>
                                </a:ln>
                                <a:effectLst/>
                              </wps:spPr>
                              <wps:bodyPr/>
                            </wps:wsp>
                            <wps:wsp>
                              <wps:cNvPr id="21" name="直接箭头连接符 211"/>
                              <wps:cNvCnPr/>
                              <wps:spPr>
                                <a:xfrm flipV="1">
                                  <a:off x="2250440" y="629920"/>
                                  <a:ext cx="0" cy="427990"/>
                                </a:xfrm>
                                <a:prstGeom prst="straightConnector1">
                                  <a:avLst/>
                                </a:prstGeom>
                                <a:noFill/>
                                <a:ln w="6350" cap="flat" cmpd="sng" algn="ctr">
                                  <a:solidFill>
                                    <a:srgbClr val="000000"/>
                                  </a:solidFill>
                                  <a:prstDash val="solid"/>
                                  <a:miter lim="800000"/>
                                  <a:tailEnd type="arrow"/>
                                </a:ln>
                                <a:effectLst/>
                              </wps:spPr>
                              <wps:bodyPr/>
                            </wps:wsp>
                            <wps:wsp>
                              <wps:cNvPr id="22" name="直接箭头连接符 212"/>
                              <wps:cNvCnPr/>
                              <wps:spPr>
                                <a:xfrm flipV="1">
                                  <a:off x="3681095" y="605790"/>
                                  <a:ext cx="0" cy="427990"/>
                                </a:xfrm>
                                <a:prstGeom prst="straightConnector1">
                                  <a:avLst/>
                                </a:prstGeom>
                                <a:noFill/>
                                <a:ln w="6350" cap="flat" cmpd="sng" algn="ctr">
                                  <a:solidFill>
                                    <a:srgbClr val="000000"/>
                                  </a:solidFill>
                                  <a:prstDash val="solid"/>
                                  <a:miter lim="800000"/>
                                  <a:tailEnd type="arrow"/>
                                </a:ln>
                                <a:effectLst/>
                              </wps:spPr>
                              <wps:bodyPr/>
                            </wps:wsp>
                            <wps:wsp>
                              <wps:cNvPr id="4" name="直接箭头连接符 371"/>
                              <wps:cNvCnPr/>
                              <wps:spPr>
                                <a:xfrm flipV="1">
                                  <a:off x="1049655" y="1202055"/>
                                  <a:ext cx="777875" cy="6985"/>
                                </a:xfrm>
                                <a:prstGeom prst="straightConnector1">
                                  <a:avLst/>
                                </a:prstGeom>
                                <a:noFill/>
                                <a:ln w="6350" cap="flat" cmpd="sng" algn="ctr">
                                  <a:solidFill>
                                    <a:srgbClr val="000000"/>
                                  </a:solidFill>
                                  <a:prstDash val="solid"/>
                                  <a:miter lim="800000"/>
                                  <a:tailEnd type="arrow"/>
                                </a:ln>
                                <a:effectLst/>
                              </wps:spPr>
                              <wps:bodyPr/>
                            </wps:wsp>
                            <wps:wsp>
                              <wps:cNvPr id="24" name="直接箭头连接符 214"/>
                              <wps:cNvCnPr/>
                              <wps:spPr>
                                <a:xfrm flipV="1">
                                  <a:off x="2590800" y="1210310"/>
                                  <a:ext cx="699135" cy="7620"/>
                                </a:xfrm>
                                <a:prstGeom prst="straightConnector1">
                                  <a:avLst/>
                                </a:prstGeom>
                                <a:noFill/>
                                <a:ln w="6350" cap="flat" cmpd="sng" algn="ctr">
                                  <a:solidFill>
                                    <a:srgbClr val="000000"/>
                                  </a:solidFill>
                                  <a:prstDash val="solid"/>
                                  <a:miter lim="800000"/>
                                  <a:tailEnd type="arrow"/>
                                </a:ln>
                                <a:effectLst/>
                              </wps:spPr>
                              <wps:bodyPr/>
                            </wps:wsp>
                          </wpc:wpc>
                        </a:graphicData>
                      </a:graphic>
                    </wp:inline>
                  </w:drawing>
                </mc:Choice>
                <mc:Fallback>
                  <w:pict>
                    <v:group id="画布 363" o:spid="_x0000_s1026" o:spt="203" style="height:95.6pt;width:390.05pt;" coordsize="4953635,1214120" editas="canvas" o:gfxdata="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pcHS01gAAAAUBAAAPAAAAAAAAAAEAIAAAACIAAABkcnMvZG93bnJldi54&#10;bWxQSwECFAAUAAAACACHTuJA1iLXgRkDAADRDQAADgAAAAAAAAABACAAAAAlAQAAZHJzL2Uyb0Rv&#10;Yy54bWxQSwUGAAAAAAYABgBZAQAAsAYAAAAA&#10;">
                      <o:lock v:ext="edit" aspectratio="f"/>
                      <v:shape id="画布 363" o:spid="_x0000_s1026" style="position:absolute;left:0;top:0;height:1214120;width:4953635;" filled="f" stroked="f" coordsize="21600,21600" o:gfxdata="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pcHS01gAAAAUBAAAPAAAAAAAAAAEAIAAAACIAAABkcnMvZG93bnJldi54bWxQ&#10;SwECFAAUAAAACACHTuJAJMSBLt0CAABLDQAADgAAAAAAAAABACAAAAAlAQAAZHJzL2Uyb0RvYy54&#10;bWxQSwUGAAAAAAYABgBZAQAAdAYAAAAA&#10;">
                        <v:fill on="f" focussize="0,0"/>
                        <v:stroke on="f"/>
                        <v:imagedata o:title=""/>
                        <o:lock v:ext="edit" aspectratio="t"/>
                      </v:shape>
                      <v:shape id="直接箭头连接符 370" o:spid="_x0000_s1026" o:spt="32" type="#_x0000_t32" style="position:absolute;left:699770;top:605790;flip:y;height:427990;width:0;" filled="f" stroked="t" coordsize="21600,21600" o:gfxdata="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dVAJ9UAAAAFAQAADwAA&#10;AAAAAAABACAAAAAiAAAAZHJzL2Rvd25yZXYueG1sUEsBAhQAFAAAAAgAh07iQFV7bygZAgAAAgQA&#10;AA4AAAAAAAAAAQAgAAAAJAEAAGRycy9lMm9Eb2MueG1sUEsFBgAAAAAGAAYAWQEAAK8FAAAAAA==&#10;">
                        <v:fill on="f" focussize="0,0"/>
                        <v:stroke weight="0.5pt" color="#000000" miterlimit="8" joinstyle="miter" endarrow="open"/>
                        <v:imagedata o:title=""/>
                        <o:lock v:ext="edit" aspectratio="f"/>
                      </v:shape>
                      <v:shape id="直接箭头连接符 211" o:spid="_x0000_s1026" o:spt="32" type="#_x0000_t32" style="position:absolute;left:2250440;top:629920;flip:y;height:427990;width:0;" filled="f" stroked="t" coordsize="21600,21600" o:gfxdata="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dVAJ9UAAAAFAQAA&#10;DwAAAAAAAAABACAAAAAiAAAAZHJzL2Rvd25yZXYueG1sUEsBAhQAFAAAAAgAh07iQA8R8i8cAgAA&#10;AwQAAA4AAAAAAAAAAQAgAAAAJAEAAGRycy9lMm9Eb2MueG1sUEsFBgAAAAAGAAYAWQEAALIFAAAA&#10;AA==&#10;">
                        <v:fill on="f" focussize="0,0"/>
                        <v:stroke weight="0.5pt" color="#000000" miterlimit="8" joinstyle="miter" endarrow="open"/>
                        <v:imagedata o:title=""/>
                        <o:lock v:ext="edit" aspectratio="f"/>
                      </v:shape>
                      <v:shape id="直接箭头连接符 212" o:spid="_x0000_s1026" o:spt="32" type="#_x0000_t32" style="position:absolute;left:3681095;top:605790;flip:y;height:427990;width:0;" filled="f" stroked="t" coordsize="21600,21600" o:gfxdata="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1UAn1QAAAAUB&#10;AAAPAAAAAAAAAAEAIAAAACIAAABkcnMvZG93bnJldi54bWxQSwECFAAUAAAACACHTuJA8g4DpB4C&#10;AAADBAAADgAAAAAAAAABACAAAAAkAQAAZHJzL2Uyb0RvYy54bWxQSwUGAAAAAAYABgBZAQAAtAUA&#10;AAAA&#10;">
                        <v:fill on="f" focussize="0,0"/>
                        <v:stroke weight="0.5pt" color="#000000" miterlimit="8" joinstyle="miter" endarrow="open"/>
                        <v:imagedata o:title=""/>
                        <o:lock v:ext="edit" aspectratio="f"/>
                      </v:shape>
                      <v:shape id="直接箭头连接符 371" o:spid="_x0000_s1026" o:spt="32" type="#_x0000_t32" style="position:absolute;left:1049655;top:1202055;flip:y;height:6985;width:777875;" filled="f" stroked="t" coordsize="21600,21600" o:gfxdata="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dVAJ9UAAAAF&#10;AQAADwAAAAAAAAABACAAAAAiAAAAZHJzL2Rvd25yZXYueG1sUEsBAhQAFAAAAAgAh07iQBFzVtkf&#10;AgAABgQAAA4AAAAAAAAAAQAgAAAAJAEAAGRycy9lMm9Eb2MueG1sUEsFBgAAAAAGAAYAWQEAALUF&#10;AAAAAA==&#10;">
                        <v:fill on="f" focussize="0,0"/>
                        <v:stroke weight="0.5pt" color="#000000" miterlimit="8" joinstyle="miter" endarrow="open"/>
                        <v:imagedata o:title=""/>
                        <o:lock v:ext="edit" aspectratio="f"/>
                      </v:shape>
                      <v:shape id="直接箭头连接符 214" o:spid="_x0000_s1026" o:spt="32" type="#_x0000_t32" style="position:absolute;left:2590800;top:1210310;flip:y;height:7620;width:699135;" filled="f" stroked="t" coordsize="21600,21600" o:gfxdata="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dVAJ9UA&#10;AAAFAQAADwAAAAAAAAABACAAAAAiAAAAZHJzL2Rvd25yZXYueG1sUEsBAhQAFAAAAAgAh07iQOJ0&#10;ZmciAgAABwQAAA4AAAAAAAAAAQAgAAAAJAEAAGRycy9lMm9Eb2MueG1sUEsFBgAAAAAGAAYAWQEA&#10;ALgFAAAAAA==&#10;">
                        <v:fill on="f" focussize="0,0"/>
                        <v:stroke weight="0.5pt" color="#000000" miterlimit="8" joinstyle="miter" endarrow="open"/>
                        <v:imagedata o:title=""/>
                        <o:lock v:ext="edit" aspectratio="f"/>
                      </v:shape>
                      <w10:wrap type="none"/>
                      <w10:anchorlock/>
                    </v:group>
                  </w:pict>
                </mc:Fallback>
              </mc:AlternateContent>
            </w:r>
          </w:p>
          <w:p w14:paraId="1E163AE3">
            <w:pPr>
              <w:adjustRightInd w:val="0"/>
              <w:snapToGrid w:val="0"/>
              <w:spacing w:line="360" w:lineRule="auto"/>
              <w:ind w:firstLine="422" w:firstLineChars="200"/>
              <w:jc w:val="center"/>
              <w:rPr>
                <w:rFonts w:ascii="Times New Roman" w:hAnsi="Times New Roman" w:eastAsia="宋体"/>
                <w:b/>
                <w:color w:val="000000" w:themeColor="text1"/>
                <w14:textFill>
                  <w14:solidFill>
                    <w14:schemeClr w14:val="tx1"/>
                  </w14:solidFill>
                </w14:textFill>
              </w:rPr>
            </w:pPr>
            <w:bookmarkStart w:id="5" w:name="OLE_LINK566"/>
            <w:bookmarkStart w:id="6" w:name="OLE_LINK565"/>
            <w:r>
              <w:rPr>
                <w:rFonts w:hint="eastAsia" w:ascii="Times New Roman" w:hAnsi="Times New Roman" w:eastAsia="宋体"/>
                <w:b/>
                <w:color w:val="000000" w:themeColor="text1"/>
                <w14:textFill>
                  <w14:solidFill>
                    <w14:schemeClr w14:val="tx1"/>
                  </w14:solidFill>
                </w14:textFill>
              </w:rPr>
              <w:t>图2-2</w:t>
            </w:r>
            <w:r>
              <w:rPr>
                <w:rFonts w:hint="eastAsia" w:ascii="Times New Roman" w:hAnsi="Times New Roman" w:eastAsia="宋体"/>
                <w:b/>
                <w:color w:val="000000" w:themeColor="text1"/>
                <w:lang w:val="en-US" w:eastAsia="zh-CN"/>
                <w14:textFill>
                  <w14:solidFill>
                    <w14:schemeClr w14:val="tx1"/>
                  </w14:solidFill>
                </w14:textFill>
              </w:rPr>
              <w:t xml:space="preserve"> </w:t>
            </w:r>
            <w:r>
              <w:rPr>
                <w:rFonts w:hint="eastAsia" w:ascii="Times New Roman" w:hAnsi="Times New Roman" w:eastAsia="宋体"/>
                <w:b/>
                <w:color w:val="000000" w:themeColor="text1"/>
                <w14:textFill>
                  <w14:solidFill>
                    <w14:schemeClr w14:val="tx1"/>
                  </w14:solidFill>
                </w14:textFill>
              </w:rPr>
              <w:t xml:space="preserve"> 项</w:t>
            </w:r>
            <w:bookmarkStart w:id="7" w:name="OLE_LINK143"/>
            <w:bookmarkStart w:id="8" w:name="OLE_LINK142"/>
            <w:r>
              <w:rPr>
                <w:rFonts w:hint="eastAsia" w:ascii="Times New Roman" w:hAnsi="Times New Roman" w:eastAsia="宋体"/>
                <w:b/>
                <w:color w:val="000000" w:themeColor="text1"/>
                <w14:textFill>
                  <w14:solidFill>
                    <w14:schemeClr w14:val="tx1"/>
                  </w14:solidFill>
                </w14:textFill>
              </w:rPr>
              <w:t>目</w:t>
            </w:r>
            <w:bookmarkEnd w:id="7"/>
            <w:bookmarkEnd w:id="8"/>
            <w:r>
              <w:rPr>
                <w:rFonts w:hint="eastAsia" w:ascii="Times New Roman" w:hAnsi="Times New Roman" w:eastAsia="宋体"/>
                <w:b/>
                <w:color w:val="000000" w:themeColor="text1"/>
                <w14:textFill>
                  <w14:solidFill>
                    <w14:schemeClr w14:val="tx1"/>
                  </w14:solidFill>
                </w14:textFill>
              </w:rPr>
              <w:t>施工期工艺流程及产污环节图</w:t>
            </w:r>
          </w:p>
          <w:bookmarkEnd w:id="5"/>
          <w:bookmarkEnd w:id="6"/>
          <w:p w14:paraId="421938CE">
            <w:pPr>
              <w:adjustRightInd w:val="0"/>
              <w:snapToGrid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废气：本项目仅在现有厂房内进行厂房装修、设备安装和调试，不进行土建施工，施工期主要污染源为</w:t>
            </w:r>
            <w:r>
              <w:rPr>
                <w:rFonts w:hint="default" w:ascii="Times New Roman" w:hAnsi="Times New Roman" w:eastAsia="宋体" w:cs="Times New Roman"/>
                <w:color w:val="auto"/>
                <w:kern w:val="2"/>
                <w:sz w:val="24"/>
                <w:szCs w:val="22"/>
                <w:lang w:val="en-US" w:eastAsia="zh-CN" w:bidi="ar-SA"/>
              </w:rPr>
              <w:t>施工机械废气</w:t>
            </w:r>
            <w:r>
              <w:rPr>
                <w:rFonts w:hint="eastAsia" w:ascii="Times New Roman" w:hAnsi="Times New Roman" w:eastAsia="宋体"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施工扬尘</w:t>
            </w:r>
          </w:p>
          <w:p w14:paraId="75140BB8">
            <w:pPr>
              <w:adjustRightInd w:val="0"/>
              <w:snapToGrid w:val="0"/>
              <w:spacing w:line="360" w:lineRule="auto"/>
              <w:ind w:firstLine="480" w:firstLineChars="200"/>
              <w:rPr>
                <w:rFonts w:ascii="Times New Roman" w:hAnsi="Times New Roman" w:cs="Times New Roman"/>
                <w:color w:val="auto"/>
                <w:sz w:val="24"/>
                <w:lang w:val="en-US" w:bidi="ar-SA"/>
              </w:rPr>
            </w:pPr>
            <w:r>
              <w:rPr>
                <w:rFonts w:ascii="Times New Roman" w:hAnsi="Times New Roman" w:cs="Times New Roman"/>
                <w:color w:val="auto"/>
                <w:sz w:val="24"/>
                <w:lang w:val="en-US" w:bidi="ar-SA"/>
              </w:rPr>
              <w:t>废水：厂房内清洁产生的废水和安装人员产生的生活污水。</w:t>
            </w:r>
          </w:p>
          <w:p w14:paraId="5CD4B9A2">
            <w:pPr>
              <w:adjustRightInd w:val="0"/>
              <w:snapToGrid w:val="0"/>
              <w:spacing w:line="360" w:lineRule="auto"/>
              <w:ind w:firstLine="480" w:firstLineChars="200"/>
              <w:rPr>
                <w:rFonts w:ascii="Times New Roman" w:hAnsi="Times New Roman" w:cs="Times New Roman"/>
                <w:color w:val="auto"/>
                <w:sz w:val="24"/>
                <w:lang w:val="en-US" w:bidi="ar-SA"/>
              </w:rPr>
            </w:pPr>
            <w:r>
              <w:rPr>
                <w:rFonts w:ascii="Times New Roman" w:hAnsi="Times New Roman" w:cs="Times New Roman"/>
                <w:color w:val="auto"/>
                <w:sz w:val="24"/>
                <w:lang w:val="en-US" w:bidi="ar-SA"/>
              </w:rPr>
              <w:t>噪声：设备安装、调试过程中产生的噪声。</w:t>
            </w:r>
          </w:p>
          <w:p w14:paraId="512B4D52">
            <w:pPr>
              <w:adjustRightInd w:val="0"/>
              <w:snapToGrid w:val="0"/>
              <w:spacing w:line="360" w:lineRule="auto"/>
              <w:ind w:firstLine="480" w:firstLineChars="200"/>
              <w:rPr>
                <w:rFonts w:ascii="Times New Roman" w:hAnsi="Times New Roman" w:cs="Times New Roman"/>
                <w:color w:val="auto"/>
                <w:sz w:val="24"/>
                <w:lang w:val="en-US" w:bidi="ar-SA"/>
              </w:rPr>
            </w:pPr>
            <w:r>
              <w:rPr>
                <w:rFonts w:ascii="Times New Roman" w:hAnsi="Times New Roman" w:cs="Times New Roman"/>
                <w:color w:val="auto"/>
                <w:sz w:val="24"/>
                <w:lang w:val="en-US" w:bidi="ar-SA"/>
              </w:rPr>
              <w:t>固废：主要是设备安装人员产生的</w:t>
            </w:r>
            <w:r>
              <w:rPr>
                <w:rFonts w:hint="eastAsia" w:ascii="Times New Roman" w:hAnsi="Times New Roman" w:cs="Times New Roman"/>
                <w:color w:val="auto"/>
                <w:sz w:val="24"/>
                <w:lang w:val="en-US" w:eastAsia="zh-CN" w:bidi="ar-SA"/>
              </w:rPr>
              <w:t>建筑垃圾和</w:t>
            </w:r>
            <w:r>
              <w:rPr>
                <w:rFonts w:ascii="Times New Roman" w:hAnsi="Times New Roman" w:cs="Times New Roman"/>
                <w:color w:val="auto"/>
                <w:sz w:val="24"/>
                <w:lang w:val="en-US" w:bidi="ar-SA"/>
              </w:rPr>
              <w:t>生活垃圾等。</w:t>
            </w:r>
          </w:p>
          <w:p w14:paraId="32A02F2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2"/>
                <w:sz w:val="24"/>
                <w:szCs w:val="22"/>
                <w:lang w:val="en-US" w:eastAsia="zh-CN" w:bidi="zh-CN"/>
              </w:rPr>
            </w:pPr>
            <w:r>
              <w:rPr>
                <w:rFonts w:hint="eastAsia" w:ascii="Times New Roman" w:hAnsi="Times New Roman"/>
                <w:b/>
                <w:bCs w:val="0"/>
                <w:color w:val="auto"/>
                <w:sz w:val="24"/>
                <w:lang w:val="en-US" w:eastAsia="zh-CN"/>
              </w:rPr>
              <w:t>2.</w:t>
            </w:r>
            <w:r>
              <w:rPr>
                <w:rFonts w:hint="default" w:ascii="Times New Roman" w:hAnsi="Times New Roman" w:eastAsia="宋体" w:cs="Times New Roman"/>
                <w:b/>
                <w:bCs/>
                <w:kern w:val="2"/>
                <w:sz w:val="24"/>
                <w:szCs w:val="22"/>
                <w:lang w:val="en-US" w:eastAsia="zh-CN" w:bidi="zh-CN"/>
              </w:rPr>
              <w:t>工艺</w:t>
            </w:r>
            <w:r>
              <w:rPr>
                <w:rFonts w:hint="eastAsia" w:ascii="Times New Roman" w:hAnsi="Times New Roman" w:cs="Times New Roman"/>
                <w:b/>
                <w:bCs/>
                <w:kern w:val="2"/>
                <w:sz w:val="24"/>
                <w:szCs w:val="22"/>
                <w:lang w:val="en-US" w:eastAsia="zh-CN" w:bidi="zh-CN"/>
              </w:rPr>
              <w:t>运营</w:t>
            </w:r>
            <w:r>
              <w:rPr>
                <w:rFonts w:hint="default" w:ascii="Times New Roman" w:hAnsi="Times New Roman" w:eastAsia="宋体" w:cs="Times New Roman"/>
                <w:b/>
                <w:bCs/>
                <w:kern w:val="2"/>
                <w:sz w:val="24"/>
                <w:szCs w:val="22"/>
                <w:lang w:val="en-US" w:eastAsia="zh-CN" w:bidi="zh-CN"/>
              </w:rPr>
              <w:t>期</w:t>
            </w:r>
            <w:r>
              <w:rPr>
                <w:rFonts w:hint="eastAsia" w:ascii="Times New Roman" w:hAnsi="Times New Roman" w:eastAsia="宋体" w:cs="Times New Roman"/>
                <w:b/>
                <w:bCs/>
                <w:kern w:val="2"/>
                <w:sz w:val="24"/>
                <w:szCs w:val="22"/>
                <w:lang w:val="en-US" w:eastAsia="zh-CN" w:bidi="zh-CN"/>
              </w:rPr>
              <w:t>工艺产污环节分析</w:t>
            </w:r>
          </w:p>
          <w:p w14:paraId="2A16958A">
            <w:pPr>
              <w:adjustRightInd w:val="0"/>
              <w:snapToGrid w:val="0"/>
              <w:spacing w:line="360" w:lineRule="auto"/>
              <w:ind w:firstLine="480" w:firstLineChars="200"/>
              <w:jc w:val="center"/>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object>
                <v:shape id="_x0000_i1026" o:spt="75" type="#_x0000_t75" style="height:177.85pt;width:199.9pt;" o:ole="t" filled="f" o:preferrelative="t" stroked="f" coordsize="21600,21600">
                  <v:path/>
                  <v:fill on="f" focussize="0,0"/>
                  <v:stroke on="f"/>
                  <v:imagedata r:id="rId15" o:title=""/>
                  <o:lock v:ext="edit" aspectratio="t"/>
                  <w10:wrap type="none"/>
                  <w10:anchorlock/>
                </v:shape>
                <o:OLEObject Type="Embed" ProgID="Visio.Drawing.15" ShapeID="_x0000_i1026" DrawAspect="Content" ObjectID="_1468075726" r:id="rId14">
                  <o:LockedField>false</o:LockedField>
                </o:OLEObject>
              </w:object>
            </w:r>
          </w:p>
          <w:p w14:paraId="499C3B28">
            <w:pPr>
              <w:adjustRightInd w:val="0"/>
              <w:snapToGrid w:val="0"/>
              <w:spacing w:line="360" w:lineRule="auto"/>
              <w:jc w:val="center"/>
              <w:rPr>
                <w:rFonts w:hint="default" w:ascii="Times New Roman" w:hAnsi="Times New Roman" w:eastAsia="宋体" w:cs="Times New Roman"/>
                <w:b/>
                <w:bCs/>
                <w:color w:val="000000"/>
                <w:kern w:val="2"/>
                <w:sz w:val="21"/>
                <w:szCs w:val="21"/>
                <w:lang w:val="zh-CN" w:eastAsia="zh-CN" w:bidi="zh-CN"/>
              </w:rPr>
            </w:pPr>
            <w:r>
              <w:rPr>
                <w:rFonts w:hint="eastAsia" w:ascii="Times New Roman" w:hAnsi="Times New Roman" w:eastAsia="宋体" w:cs="Times New Roman"/>
                <w:b/>
                <w:bCs/>
                <w:color w:val="000000"/>
                <w:kern w:val="2"/>
                <w:sz w:val="21"/>
                <w:szCs w:val="21"/>
                <w:lang w:val="zh-CN" w:eastAsia="zh-CN" w:bidi="zh-CN"/>
              </w:rPr>
              <w:t>图2-</w:t>
            </w:r>
            <w:r>
              <w:rPr>
                <w:rFonts w:hint="eastAsia" w:ascii="Times New Roman" w:hAnsi="Times New Roman" w:cs="Times New Roman"/>
                <w:b/>
                <w:bCs/>
                <w:color w:val="000000"/>
                <w:kern w:val="2"/>
                <w:sz w:val="21"/>
                <w:szCs w:val="21"/>
                <w:lang w:val="en-US" w:eastAsia="zh-CN" w:bidi="zh-CN"/>
              </w:rPr>
              <w:t>3</w:t>
            </w:r>
            <w:r>
              <w:rPr>
                <w:rFonts w:hint="eastAsia" w:ascii="Times New Roman" w:hAnsi="Times New Roman" w:eastAsia="宋体" w:cs="Times New Roman"/>
                <w:b/>
                <w:bCs/>
                <w:color w:val="000000"/>
                <w:kern w:val="2"/>
                <w:sz w:val="21"/>
                <w:szCs w:val="21"/>
                <w:lang w:val="zh-CN" w:eastAsia="zh-CN" w:bidi="zh-CN"/>
              </w:rPr>
              <w:t xml:space="preserve">  </w:t>
            </w:r>
            <w:r>
              <w:rPr>
                <w:rFonts w:hint="eastAsia" w:ascii="Times New Roman" w:hAnsi="Times New Roman" w:cs="Times New Roman"/>
                <w:b/>
                <w:bCs/>
                <w:color w:val="000000"/>
                <w:kern w:val="2"/>
                <w:sz w:val="21"/>
                <w:szCs w:val="21"/>
                <w:lang w:val="en-US" w:eastAsia="zh-CN" w:bidi="zh-CN"/>
              </w:rPr>
              <w:t>年产2300吨腻子粉、2000吨石膏粉、650吨砂浆</w:t>
            </w:r>
            <w:r>
              <w:rPr>
                <w:rFonts w:ascii="宋体" w:hAnsi="宋体"/>
                <w:b/>
                <w:szCs w:val="21"/>
                <w:lang w:val="zh-TW" w:eastAsia="zh-TW"/>
              </w:rPr>
              <w:t>生产工艺流程图</w:t>
            </w:r>
          </w:p>
          <w:p w14:paraId="2A982B95">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本项目</w:t>
            </w:r>
            <w:r>
              <w:rPr>
                <w:rFonts w:hint="eastAsia" w:ascii="Times New Roman" w:hAnsi="Times New Roman" w:eastAsia="宋体" w:cs="Times New Roman"/>
                <w:bCs/>
                <w:color w:val="auto"/>
                <w:sz w:val="24"/>
                <w:lang w:val="en-US" w:eastAsia="zh-CN"/>
              </w:rPr>
              <w:t>生产的腻子粉、石膏粉、砂浆</w:t>
            </w:r>
            <w:r>
              <w:rPr>
                <w:rFonts w:hint="eastAsia" w:ascii="Times New Roman" w:hAnsi="Times New Roman" w:eastAsia="宋体" w:cs="Times New Roman"/>
                <w:bCs/>
                <w:color w:val="auto"/>
                <w:sz w:val="24"/>
              </w:rPr>
              <w:t>其生产工艺</w:t>
            </w:r>
            <w:r>
              <w:rPr>
                <w:rFonts w:hint="eastAsia" w:ascii="Times New Roman" w:hAnsi="Times New Roman" w:eastAsia="宋体" w:cs="Times New Roman"/>
                <w:bCs/>
                <w:color w:val="auto"/>
                <w:sz w:val="24"/>
                <w:lang w:val="en-US" w:eastAsia="zh-CN"/>
              </w:rPr>
              <w:t>基本</w:t>
            </w:r>
            <w:r>
              <w:rPr>
                <w:rFonts w:hint="eastAsia" w:ascii="Times New Roman" w:hAnsi="Times New Roman" w:eastAsia="宋体" w:cs="Times New Roman"/>
                <w:bCs/>
                <w:color w:val="auto"/>
                <w:sz w:val="24"/>
              </w:rPr>
              <w:t>相同。本项目生产的产品共用同一条生产线，整个生产过程在常温常压下进行，不涉及化学反应，仅为简单的物理混合过程。</w:t>
            </w:r>
          </w:p>
          <w:p w14:paraId="70384CAC">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外购原辅材料（</w:t>
            </w:r>
            <w:r>
              <w:rPr>
                <w:rFonts w:hint="eastAsia" w:ascii="Times New Roman" w:hAnsi="Times New Roman"/>
                <w:bCs/>
                <w:color w:val="auto"/>
                <w:sz w:val="24"/>
                <w:lang w:val="en-US" w:eastAsia="zh-CN"/>
              </w:rPr>
              <w:t>大白粉</w:t>
            </w:r>
            <w:r>
              <w:rPr>
                <w:rFonts w:hint="eastAsia" w:ascii="Times New Roman" w:hAnsi="Times New Roman"/>
                <w:bCs/>
                <w:color w:val="auto"/>
                <w:sz w:val="24"/>
              </w:rPr>
              <w:t>、</w:t>
            </w:r>
            <w:r>
              <w:rPr>
                <w:rFonts w:hint="eastAsia" w:ascii="Times New Roman" w:hAnsi="Times New Roman"/>
                <w:bCs/>
                <w:color w:val="auto"/>
                <w:sz w:val="24"/>
                <w:lang w:val="en-US" w:eastAsia="zh-CN"/>
              </w:rPr>
              <w:t>灰钙</w:t>
            </w:r>
            <w:r>
              <w:rPr>
                <w:rFonts w:hint="eastAsia" w:ascii="Times New Roman" w:hAnsi="Times New Roman"/>
                <w:bCs/>
                <w:color w:val="auto"/>
                <w:sz w:val="24"/>
              </w:rPr>
              <w:t>、沙子、水泥</w:t>
            </w:r>
            <w:r>
              <w:rPr>
                <w:rFonts w:hint="eastAsia" w:ascii="Times New Roman" w:hAnsi="Times New Roman" w:eastAsia="宋体" w:cs="Times New Roman"/>
                <w:bCs/>
                <w:color w:val="auto"/>
                <w:sz w:val="24"/>
                <w:lang w:val="en-US" w:eastAsia="zh-CN"/>
              </w:rPr>
              <w:t>）按一定比例进行投料，经提升机进入搅拌机，搅拌机密封，震动搅拌，经充分搅拌分散均匀后再经过提升机（密闭）把产品提升至</w:t>
            </w:r>
            <w:r>
              <w:rPr>
                <w:rFonts w:hint="default" w:ascii="Times New Roman" w:hAnsi="Times New Roman" w:eastAsia="宋体" w:cs="Times New Roman"/>
                <w:bCs/>
                <w:color w:val="auto"/>
                <w:sz w:val="24"/>
                <w:lang w:val="en-US" w:eastAsia="zh-CN"/>
              </w:rPr>
              <w:t>料仓</w:t>
            </w:r>
            <w:r>
              <w:rPr>
                <w:rFonts w:hint="eastAsia" w:ascii="Times New Roman" w:hAnsi="Times New Roman" w:cs="Times New Roman"/>
                <w:bCs/>
                <w:color w:val="auto"/>
                <w:sz w:val="24"/>
                <w:lang w:val="en-US" w:eastAsia="zh-CN"/>
              </w:rPr>
              <w:t>，</w:t>
            </w:r>
            <w:r>
              <w:rPr>
                <w:rFonts w:hint="eastAsia" w:ascii="Times New Roman" w:hAnsi="Times New Roman" w:eastAsia="宋体" w:cs="Times New Roman"/>
                <w:bCs/>
                <w:color w:val="auto"/>
                <w:sz w:val="24"/>
                <w:lang w:val="en-US" w:eastAsia="zh-CN"/>
              </w:rPr>
              <w:t>包装后进行装车发货。</w:t>
            </w:r>
          </w:p>
          <w:p w14:paraId="72E34A46">
            <w:pPr>
              <w:pStyle w:val="39"/>
              <w:keepLines w:val="0"/>
              <w:pageBreakBefore w:val="0"/>
              <w:kinsoku/>
              <w:wordWrap/>
              <w:overflowPunct w:val="0"/>
              <w:topLinePunct w:val="0"/>
              <w:autoSpaceDE/>
              <w:autoSpaceDN/>
              <w:bidi w:val="0"/>
              <w:ind w:firstLine="482" w:firstLineChars="200"/>
              <w:textAlignment w:val="auto"/>
              <w:rPr>
                <w:rFonts w:hint="eastAsia" w:ascii="Times New Roman" w:hAnsi="Times New Roman" w:eastAsia="宋体" w:cs="Times New Roman"/>
                <w:b/>
                <w:bCs w:val="0"/>
                <w:color w:val="auto"/>
                <w:kern w:val="2"/>
                <w:sz w:val="24"/>
                <w:szCs w:val="22"/>
                <w:highlight w:val="none"/>
                <w:lang w:val="en-US" w:eastAsia="zh-CN" w:bidi="ar-SA"/>
              </w:rPr>
            </w:pPr>
            <w:r>
              <w:rPr>
                <w:rFonts w:hint="eastAsia" w:ascii="Times New Roman" w:hAnsi="Times New Roman" w:eastAsia="宋体" w:cs="Times New Roman"/>
                <w:b/>
                <w:bCs w:val="0"/>
                <w:color w:val="auto"/>
                <w:kern w:val="2"/>
                <w:sz w:val="24"/>
                <w:szCs w:val="22"/>
                <w:highlight w:val="none"/>
                <w:lang w:val="en-US" w:eastAsia="zh-CN" w:bidi="ar-SA"/>
              </w:rPr>
              <w:t>产污环节：</w:t>
            </w:r>
          </w:p>
          <w:p w14:paraId="76BC97A3">
            <w:pPr>
              <w:pStyle w:val="40"/>
              <w:keepLines w:val="0"/>
              <w:pageBreakBefore w:val="0"/>
              <w:kinsoku/>
              <w:wordWrap/>
              <w:overflowPunct w:val="0"/>
              <w:topLinePunct w:val="0"/>
              <w:autoSpaceDE/>
              <w:autoSpaceDN/>
              <w:bidi w:val="0"/>
              <w:spacing w:line="360" w:lineRule="auto"/>
              <w:ind w:firstLine="480" w:firstLineChars="200"/>
              <w:textAlignment w:val="auto"/>
              <w:rPr>
                <w:color w:val="auto"/>
              </w:rPr>
            </w:pPr>
            <w:r>
              <w:rPr>
                <w:rFonts w:hint="eastAsia"/>
                <w:color w:val="auto"/>
              </w:rPr>
              <w:t>根据项目</w:t>
            </w:r>
            <w:r>
              <w:rPr>
                <w:rFonts w:hint="eastAsia" w:eastAsia="宋体"/>
                <w:color w:val="auto"/>
                <w:lang w:val="en-US" w:eastAsia="zh-CN"/>
              </w:rPr>
              <w:t>工艺流程</w:t>
            </w:r>
            <w:r>
              <w:rPr>
                <w:rFonts w:hint="eastAsia"/>
                <w:color w:val="auto"/>
              </w:rPr>
              <w:t>特点，汇总出项目产污环节如下表所示。</w:t>
            </w:r>
          </w:p>
          <w:p w14:paraId="2F1E1526">
            <w:pPr>
              <w:pStyle w:val="41"/>
              <w:pageBreakBefore w:val="0"/>
              <w:wordWrap/>
              <w:overflowPunct w:val="0"/>
              <w:topLinePunct w:val="0"/>
              <w:bidi w:val="0"/>
              <w:spacing w:before="48" w:line="240" w:lineRule="auto"/>
              <w:rPr>
                <w:rFonts w:hint="default" w:ascii="Times New Roman" w:hAnsi="Times New Roman" w:cs="Times New Roman"/>
                <w:color w:val="auto"/>
              </w:rPr>
            </w:pPr>
            <w:r>
              <w:rPr>
                <w:rFonts w:hint="default" w:ascii="Times New Roman" w:hAnsi="Times New Roman" w:cs="Times New Roman"/>
                <w:color w:val="auto"/>
                <w:sz w:val="21"/>
                <w:szCs w:val="21"/>
              </w:rPr>
              <w:t>表2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cs="Times New Roman"/>
                <w:color w:val="auto"/>
                <w:sz w:val="21"/>
                <w:szCs w:val="21"/>
              </w:rPr>
              <w:t xml:space="preserve"> 项目</w:t>
            </w:r>
            <w:r>
              <w:rPr>
                <w:rFonts w:hint="eastAsia" w:ascii="Times New Roman" w:hAnsi="Times New Roman" w:eastAsia="宋体" w:cs="Times New Roman"/>
                <w:color w:val="auto"/>
                <w:sz w:val="21"/>
                <w:szCs w:val="21"/>
                <w:lang w:val="en-US" w:eastAsia="zh-CN"/>
              </w:rPr>
              <w:t>生产</w:t>
            </w:r>
            <w:r>
              <w:rPr>
                <w:rFonts w:hint="default" w:ascii="Times New Roman" w:hAnsi="Times New Roman" w:cs="Times New Roman"/>
                <w:color w:val="auto"/>
                <w:sz w:val="21"/>
                <w:szCs w:val="21"/>
              </w:rPr>
              <w:t>各</w:t>
            </w:r>
            <w:r>
              <w:rPr>
                <w:rFonts w:hint="default" w:ascii="Times New Roman" w:hAnsi="Times New Roman" w:cs="Times New Roman"/>
                <w:color w:val="auto"/>
                <w:sz w:val="21"/>
                <w:szCs w:val="21"/>
                <w:lang w:val="en-US" w:eastAsia="zh-CN"/>
              </w:rPr>
              <w:t>节点</w:t>
            </w:r>
            <w:r>
              <w:rPr>
                <w:rFonts w:hint="default" w:ascii="Times New Roman" w:hAnsi="Times New Roman" w:cs="Times New Roman"/>
                <w:color w:val="auto"/>
                <w:sz w:val="21"/>
                <w:szCs w:val="21"/>
              </w:rPr>
              <w:t>产污环节</w:t>
            </w:r>
          </w:p>
          <w:tbl>
            <w:tblPr>
              <w:tblStyle w:val="24"/>
              <w:tblpPr w:leftFromText="180" w:rightFromText="180" w:vertAnchor="text" w:tblpX="1" w:tblpY="1"/>
              <w:tblOverlap w:val="never"/>
              <w:tblW w:w="75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39"/>
              <w:gridCol w:w="1590"/>
              <w:gridCol w:w="1985"/>
              <w:gridCol w:w="2903"/>
            </w:tblGrid>
            <w:tr w14:paraId="2A609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96" w:hRule="atLeast"/>
              </w:trPr>
              <w:tc>
                <w:tcPr>
                  <w:tcW w:w="1039" w:type="dxa"/>
                  <w:tcBorders>
                    <w:tl2br w:val="nil"/>
                    <w:tr2bl w:val="nil"/>
                  </w:tcBorders>
                  <w:vAlign w:val="center"/>
                </w:tcPr>
                <w:p w14:paraId="7FED1E5C">
                  <w:pPr>
                    <w:pStyle w:val="42"/>
                    <w:pageBreakBefore w:val="0"/>
                    <w:wordWrap/>
                    <w:overflowPunct w:val="0"/>
                    <w:topLinePunct w:val="0"/>
                    <w:bidi w:val="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污染因素</w:t>
                  </w:r>
                </w:p>
              </w:tc>
              <w:tc>
                <w:tcPr>
                  <w:tcW w:w="1590" w:type="dxa"/>
                  <w:tcBorders>
                    <w:tl2br w:val="nil"/>
                    <w:tr2bl w:val="nil"/>
                  </w:tcBorders>
                  <w:vAlign w:val="center"/>
                </w:tcPr>
                <w:p w14:paraId="196B08D5">
                  <w:pPr>
                    <w:pStyle w:val="42"/>
                    <w:pageBreakBefore w:val="0"/>
                    <w:wordWrap/>
                    <w:overflowPunct w:val="0"/>
                    <w:topLinePunct w:val="0"/>
                    <w:bidi w:val="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rPr>
                    <w:t>产污环</w:t>
                  </w:r>
                  <w:r>
                    <w:rPr>
                      <w:rFonts w:hint="eastAsia" w:ascii="宋体" w:hAnsi="宋体" w:eastAsia="宋体" w:cs="宋体"/>
                      <w:b/>
                      <w:bCs w:val="0"/>
                      <w:color w:val="auto"/>
                      <w:sz w:val="21"/>
                      <w:szCs w:val="21"/>
                      <w:lang w:val="en-US" w:eastAsia="zh-CN"/>
                    </w:rPr>
                    <w:t>节</w:t>
                  </w:r>
                </w:p>
              </w:tc>
              <w:tc>
                <w:tcPr>
                  <w:tcW w:w="1985" w:type="dxa"/>
                  <w:tcBorders>
                    <w:tl2br w:val="nil"/>
                    <w:tr2bl w:val="nil"/>
                  </w:tcBorders>
                  <w:vAlign w:val="center"/>
                </w:tcPr>
                <w:p w14:paraId="246C856E">
                  <w:pPr>
                    <w:pStyle w:val="42"/>
                    <w:pageBreakBefore w:val="0"/>
                    <w:wordWrap/>
                    <w:overflowPunct w:val="0"/>
                    <w:topLinePunct w:val="0"/>
                    <w:bidi w:val="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污染源名称</w:t>
                  </w:r>
                </w:p>
              </w:tc>
              <w:tc>
                <w:tcPr>
                  <w:tcW w:w="2903" w:type="dxa"/>
                  <w:tcBorders>
                    <w:tl2br w:val="nil"/>
                    <w:tr2bl w:val="nil"/>
                  </w:tcBorders>
                  <w:vAlign w:val="center"/>
                </w:tcPr>
                <w:p w14:paraId="23D8F037">
                  <w:pPr>
                    <w:pStyle w:val="42"/>
                    <w:pageBreakBefore w:val="0"/>
                    <w:wordWrap/>
                    <w:overflowPunct w:val="0"/>
                    <w:topLinePunct w:val="0"/>
                    <w:bidi w:val="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治理设施</w:t>
                  </w:r>
                </w:p>
              </w:tc>
            </w:tr>
            <w:tr w14:paraId="5E51C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5" w:hRule="atLeast"/>
              </w:trPr>
              <w:tc>
                <w:tcPr>
                  <w:tcW w:w="1039" w:type="dxa"/>
                  <w:tcBorders>
                    <w:tl2br w:val="nil"/>
                    <w:tr2bl w:val="nil"/>
                  </w:tcBorders>
                  <w:vAlign w:val="center"/>
                </w:tcPr>
                <w:p w14:paraId="3E17CCFE">
                  <w:pPr>
                    <w:pStyle w:val="42"/>
                    <w:pageBreakBefore w:val="0"/>
                    <w:wordWrap/>
                    <w:overflowPunct w:val="0"/>
                    <w:topLinePunct w:val="0"/>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590" w:type="dxa"/>
                  <w:tcBorders>
                    <w:tl2br w:val="nil"/>
                    <w:tr2bl w:val="nil"/>
                  </w:tcBorders>
                  <w:vAlign w:val="center"/>
                </w:tcPr>
                <w:p w14:paraId="56490DC9">
                  <w:pPr>
                    <w:pStyle w:val="42"/>
                    <w:pageBreakBefore w:val="0"/>
                    <w:wordWrap/>
                    <w:overflowPunct w:val="0"/>
                    <w:topLinePunct w:val="0"/>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职工生活</w:t>
                  </w:r>
                </w:p>
              </w:tc>
              <w:tc>
                <w:tcPr>
                  <w:tcW w:w="1985" w:type="dxa"/>
                  <w:tcBorders>
                    <w:tl2br w:val="nil"/>
                    <w:tr2bl w:val="nil"/>
                  </w:tcBorders>
                  <w:vAlign w:val="center"/>
                </w:tcPr>
                <w:p w14:paraId="7D7FEF83">
                  <w:pPr>
                    <w:pStyle w:val="42"/>
                    <w:pageBreakBefore w:val="0"/>
                    <w:wordWrap/>
                    <w:overflowPunct w:val="0"/>
                    <w:topLinePunct w:val="0"/>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2903" w:type="dxa"/>
                  <w:tcBorders>
                    <w:tl2br w:val="nil"/>
                    <w:tr2bl w:val="nil"/>
                  </w:tcBorders>
                  <w:vAlign w:val="center"/>
                </w:tcPr>
                <w:p w14:paraId="22337566">
                  <w:pPr>
                    <w:pStyle w:val="42"/>
                    <w:pageBreakBefore w:val="0"/>
                    <w:wordWrap/>
                    <w:overflowPunct w:val="0"/>
                    <w:topLinePunct w:val="0"/>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化粪池</w:t>
                  </w:r>
                </w:p>
              </w:tc>
            </w:tr>
            <w:tr w14:paraId="5AF81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4" w:hRule="atLeast"/>
              </w:trPr>
              <w:tc>
                <w:tcPr>
                  <w:tcW w:w="1039" w:type="dxa"/>
                  <w:vMerge w:val="restart"/>
                  <w:tcBorders>
                    <w:tl2br w:val="nil"/>
                    <w:tr2bl w:val="nil"/>
                  </w:tcBorders>
                  <w:vAlign w:val="center"/>
                </w:tcPr>
                <w:p w14:paraId="16601B41">
                  <w:pPr>
                    <w:pStyle w:val="42"/>
                    <w:pageBreakBefore w:val="0"/>
                    <w:wordWrap/>
                    <w:overflowPunct w:val="0"/>
                    <w:topLinePunct w:val="0"/>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590" w:type="dxa"/>
                  <w:tcBorders>
                    <w:tl2br w:val="nil"/>
                    <w:tr2bl w:val="nil"/>
                  </w:tcBorders>
                  <w:shd w:val="clear" w:color="auto" w:fill="auto"/>
                  <w:vAlign w:val="center"/>
                </w:tcPr>
                <w:p w14:paraId="2EF54B11">
                  <w:pPr>
                    <w:pStyle w:val="42"/>
                    <w:pageBreakBefore w:val="0"/>
                    <w:wordWrap/>
                    <w:overflowPunct w:val="0"/>
                    <w:topLinePunct w:val="0"/>
                    <w:bidi w:val="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投料、人工卸料</w:t>
                  </w:r>
                </w:p>
              </w:tc>
              <w:tc>
                <w:tcPr>
                  <w:tcW w:w="1985" w:type="dxa"/>
                  <w:tcBorders>
                    <w:tl2br w:val="nil"/>
                    <w:tr2bl w:val="nil"/>
                  </w:tcBorders>
                  <w:shd w:val="clear" w:color="auto" w:fill="auto"/>
                  <w:vAlign w:val="center"/>
                </w:tcPr>
                <w:p w14:paraId="0C27DB35">
                  <w:pPr>
                    <w:pStyle w:val="42"/>
                    <w:pageBreakBefore w:val="0"/>
                    <w:wordWrap/>
                    <w:overflowPunct w:val="0"/>
                    <w:topLinePunct w:val="0"/>
                    <w:bidi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粉尘</w:t>
                  </w:r>
                </w:p>
              </w:tc>
              <w:tc>
                <w:tcPr>
                  <w:tcW w:w="2903" w:type="dxa"/>
                  <w:tcBorders>
                    <w:tl2br w:val="nil"/>
                    <w:tr2bl w:val="nil"/>
                  </w:tcBorders>
                  <w:shd w:val="clear" w:color="auto" w:fill="auto"/>
                  <w:vAlign w:val="center"/>
                </w:tcPr>
                <w:p w14:paraId="6026809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料口箱体侧吸方式收集粉尘，经过布袋除尘器处理后经过15m排气筒排放</w:t>
                  </w:r>
                </w:p>
              </w:tc>
            </w:tr>
            <w:tr w14:paraId="03DB8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92" w:hRule="atLeast"/>
              </w:trPr>
              <w:tc>
                <w:tcPr>
                  <w:tcW w:w="1039" w:type="dxa"/>
                  <w:vMerge w:val="continue"/>
                  <w:tcBorders>
                    <w:tl2br w:val="nil"/>
                    <w:tr2bl w:val="nil"/>
                  </w:tcBorders>
                  <w:vAlign w:val="center"/>
                </w:tcPr>
                <w:p w14:paraId="41E26E87">
                  <w:pPr>
                    <w:pStyle w:val="42"/>
                    <w:pageBreakBefore w:val="0"/>
                    <w:wordWrap/>
                    <w:overflowPunct w:val="0"/>
                    <w:topLinePunct w:val="0"/>
                    <w:bidi w:val="0"/>
                    <w:rPr>
                      <w:rFonts w:hint="default" w:ascii="Times New Roman" w:hAnsi="Times New Roman" w:eastAsia="宋体" w:cs="Times New Roman"/>
                      <w:color w:val="auto"/>
                      <w:sz w:val="21"/>
                      <w:szCs w:val="21"/>
                    </w:rPr>
                  </w:pPr>
                </w:p>
              </w:tc>
              <w:tc>
                <w:tcPr>
                  <w:tcW w:w="1590" w:type="dxa"/>
                  <w:tcBorders>
                    <w:tl2br w:val="nil"/>
                    <w:tr2bl w:val="nil"/>
                  </w:tcBorders>
                  <w:shd w:val="clear" w:color="auto" w:fill="auto"/>
                  <w:vAlign w:val="center"/>
                </w:tcPr>
                <w:p w14:paraId="5C98EAD6">
                  <w:pPr>
                    <w:pStyle w:val="42"/>
                    <w:pageBreakBefore w:val="0"/>
                    <w:wordWrap/>
                    <w:overflowPunct w:val="0"/>
                    <w:topLinePunct w:val="0"/>
                    <w:bidi w:val="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打包</w:t>
                  </w:r>
                </w:p>
              </w:tc>
              <w:tc>
                <w:tcPr>
                  <w:tcW w:w="1985" w:type="dxa"/>
                  <w:tcBorders>
                    <w:tl2br w:val="nil"/>
                    <w:tr2bl w:val="nil"/>
                  </w:tcBorders>
                  <w:shd w:val="clear" w:color="auto" w:fill="auto"/>
                  <w:vAlign w:val="center"/>
                </w:tcPr>
                <w:p w14:paraId="45381D66">
                  <w:pPr>
                    <w:pStyle w:val="42"/>
                    <w:pageBreakBefore w:val="0"/>
                    <w:wordWrap/>
                    <w:overflowPunct w:val="0"/>
                    <w:topLinePunct w:val="0"/>
                    <w:bidi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粉尘</w:t>
                  </w:r>
                </w:p>
              </w:tc>
              <w:tc>
                <w:tcPr>
                  <w:tcW w:w="2903" w:type="dxa"/>
                  <w:tcBorders>
                    <w:tl2br w:val="nil"/>
                    <w:tr2bl w:val="nil"/>
                  </w:tcBorders>
                  <w:shd w:val="clear" w:color="auto" w:fill="auto"/>
                  <w:vAlign w:val="center"/>
                </w:tcPr>
                <w:p w14:paraId="24D59C53">
                  <w:pPr>
                    <w:keepNext w:val="0"/>
                    <w:keepLines w:val="0"/>
                    <w:widowControl/>
                    <w:suppressLineNumbers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kern w:val="0"/>
                      <w:sz w:val="21"/>
                      <w:szCs w:val="21"/>
                      <w:lang w:val="en-US" w:eastAsia="zh-CN" w:bidi="ar"/>
                    </w:rPr>
                    <w:t>下料口使用集尘罩</w:t>
                  </w:r>
                  <w:r>
                    <w:rPr>
                      <w:rFonts w:hint="default" w:ascii="Times New Roman" w:hAnsi="Times New Roman" w:eastAsia="宋体" w:cs="Times New Roman"/>
                      <w:b w:val="0"/>
                      <w:bCs/>
                      <w:color w:val="auto"/>
                      <w:sz w:val="21"/>
                      <w:szCs w:val="21"/>
                      <w:lang w:val="en-US" w:eastAsia="zh-CN"/>
                    </w:rPr>
                    <w:t>收集粉尘，经过布袋除尘器处理后经过15m排气筒排放</w:t>
                  </w:r>
                  <w:r>
                    <w:rPr>
                      <w:rFonts w:hint="default" w:ascii="Times New Roman" w:hAnsi="Times New Roman" w:eastAsia="宋体" w:cs="Times New Roman"/>
                      <w:b w:val="0"/>
                      <w:bCs/>
                      <w:color w:val="000000"/>
                      <w:kern w:val="0"/>
                      <w:sz w:val="21"/>
                      <w:szCs w:val="21"/>
                      <w:lang w:val="en-US" w:eastAsia="zh-CN" w:bidi="ar"/>
                    </w:rPr>
                    <w:t>收集粉尘</w:t>
                  </w:r>
                </w:p>
              </w:tc>
            </w:tr>
            <w:tr w14:paraId="582C2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6" w:hRule="exact"/>
              </w:trPr>
              <w:tc>
                <w:tcPr>
                  <w:tcW w:w="1039" w:type="dxa"/>
                  <w:vMerge w:val="continue"/>
                  <w:tcBorders>
                    <w:tl2br w:val="nil"/>
                    <w:tr2bl w:val="nil"/>
                  </w:tcBorders>
                  <w:vAlign w:val="center"/>
                </w:tcPr>
                <w:p w14:paraId="58996CFE">
                  <w:pPr>
                    <w:pStyle w:val="42"/>
                    <w:pageBreakBefore w:val="0"/>
                    <w:wordWrap/>
                    <w:overflowPunct w:val="0"/>
                    <w:topLinePunct w:val="0"/>
                    <w:bidi w:val="0"/>
                    <w:rPr>
                      <w:rFonts w:hint="default" w:ascii="Times New Roman" w:hAnsi="Times New Roman" w:eastAsia="宋体" w:cs="Times New Roman"/>
                      <w:color w:val="auto"/>
                      <w:sz w:val="21"/>
                      <w:szCs w:val="21"/>
                    </w:rPr>
                  </w:pPr>
                </w:p>
              </w:tc>
              <w:tc>
                <w:tcPr>
                  <w:tcW w:w="1590" w:type="dxa"/>
                  <w:tcBorders>
                    <w:tl2br w:val="nil"/>
                    <w:tr2bl w:val="nil"/>
                  </w:tcBorders>
                  <w:shd w:val="clear" w:color="auto" w:fill="auto"/>
                  <w:vAlign w:val="center"/>
                </w:tcPr>
                <w:p w14:paraId="38CFD748">
                  <w:pPr>
                    <w:pStyle w:val="42"/>
                    <w:pageBreakBefore w:val="0"/>
                    <w:wordWrap/>
                    <w:overflowPunct w:val="0"/>
                    <w:topLinePunct w:val="0"/>
                    <w:bidi w:val="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车辆运输</w:t>
                  </w:r>
                </w:p>
              </w:tc>
              <w:tc>
                <w:tcPr>
                  <w:tcW w:w="1985" w:type="dxa"/>
                  <w:tcBorders>
                    <w:tl2br w:val="nil"/>
                    <w:tr2bl w:val="nil"/>
                  </w:tcBorders>
                  <w:shd w:val="clear" w:color="auto" w:fill="auto"/>
                  <w:vAlign w:val="center"/>
                </w:tcPr>
                <w:p w14:paraId="369D35FC">
                  <w:pPr>
                    <w:pStyle w:val="42"/>
                    <w:pageBreakBefore w:val="0"/>
                    <w:wordWrap/>
                    <w:overflowPunct w:val="0"/>
                    <w:topLinePunct w:val="0"/>
                    <w:bidi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粉尘</w:t>
                  </w:r>
                </w:p>
              </w:tc>
              <w:tc>
                <w:tcPr>
                  <w:tcW w:w="2903" w:type="dxa"/>
                  <w:tcBorders>
                    <w:tl2br w:val="nil"/>
                    <w:tr2bl w:val="nil"/>
                  </w:tcBorders>
                  <w:shd w:val="clear" w:color="auto" w:fill="auto"/>
                  <w:vAlign w:val="center"/>
                </w:tcPr>
                <w:p w14:paraId="1E703E12">
                  <w:pPr>
                    <w:keepNext w:val="0"/>
                    <w:keepLines w:val="0"/>
                    <w:widowControl/>
                    <w:suppressLineNumbers w:val="0"/>
                    <w:jc w:val="center"/>
                    <w:rPr>
                      <w:rFonts w:hint="default" w:ascii="Times New Roman" w:hAnsi="Times New Roman" w:eastAsia="宋体" w:cs="Times New Roman"/>
                      <w:b w:val="0"/>
                      <w:bCs/>
                      <w:color w:val="000000"/>
                      <w:kern w:val="0"/>
                      <w:sz w:val="21"/>
                      <w:szCs w:val="21"/>
                      <w:lang w:val="en-US" w:eastAsia="zh-CN" w:bidi="ar"/>
                    </w:rPr>
                  </w:pPr>
                  <w:r>
                    <w:rPr>
                      <w:rFonts w:hint="default" w:ascii="Times New Roman" w:hAnsi="Times New Roman" w:eastAsia="宋体" w:cs="Times New Roman"/>
                      <w:b w:val="0"/>
                      <w:bCs/>
                      <w:color w:val="auto"/>
                      <w:sz w:val="21"/>
                      <w:szCs w:val="21"/>
                    </w:rPr>
                    <w:t>运输物料用篷布遮盖</w:t>
                  </w:r>
                </w:p>
              </w:tc>
            </w:tr>
            <w:tr w14:paraId="501A1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43" w:hRule="atLeast"/>
              </w:trPr>
              <w:tc>
                <w:tcPr>
                  <w:tcW w:w="1039" w:type="dxa"/>
                  <w:tcBorders>
                    <w:tl2br w:val="nil"/>
                    <w:tr2bl w:val="nil"/>
                  </w:tcBorders>
                  <w:vAlign w:val="center"/>
                </w:tcPr>
                <w:p w14:paraId="13844C6A">
                  <w:pPr>
                    <w:pStyle w:val="42"/>
                    <w:pageBreakBefore w:val="0"/>
                    <w:wordWrap/>
                    <w:overflowPunct w:val="0"/>
                    <w:topLinePunct w:val="0"/>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90" w:type="dxa"/>
                  <w:tcBorders>
                    <w:tl2br w:val="nil"/>
                    <w:tr2bl w:val="nil"/>
                  </w:tcBorders>
                  <w:vAlign w:val="center"/>
                </w:tcPr>
                <w:p w14:paraId="68AF0677">
                  <w:pPr>
                    <w:pStyle w:val="42"/>
                    <w:pageBreakBefore w:val="0"/>
                    <w:wordWrap/>
                    <w:overflowPunct w:val="0"/>
                    <w:topLinePunct w:val="0"/>
                    <w:bidi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生产设备</w:t>
                  </w:r>
                </w:p>
              </w:tc>
              <w:tc>
                <w:tcPr>
                  <w:tcW w:w="1985" w:type="dxa"/>
                  <w:tcBorders>
                    <w:tl2br w:val="nil"/>
                    <w:tr2bl w:val="nil"/>
                  </w:tcBorders>
                  <w:vAlign w:val="center"/>
                </w:tcPr>
                <w:p w14:paraId="1F2113D5">
                  <w:pPr>
                    <w:pStyle w:val="42"/>
                    <w:pageBreakBefore w:val="0"/>
                    <w:wordWrap/>
                    <w:overflowPunct w:val="0"/>
                    <w:topLinePunct w:val="0"/>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各类检测及辅助设备运行</w:t>
                  </w:r>
                </w:p>
              </w:tc>
              <w:tc>
                <w:tcPr>
                  <w:tcW w:w="2903" w:type="dxa"/>
                  <w:tcBorders>
                    <w:tl2br w:val="nil"/>
                    <w:tr2bl w:val="nil"/>
                  </w:tcBorders>
                  <w:vAlign w:val="center"/>
                </w:tcPr>
                <w:p w14:paraId="101EC15B">
                  <w:pPr>
                    <w:pStyle w:val="42"/>
                    <w:pageBreakBefore w:val="0"/>
                    <w:wordWrap/>
                    <w:overflowPunct w:val="0"/>
                    <w:topLinePunct w:val="0"/>
                    <w:bidi w:val="0"/>
                    <w:rPr>
                      <w:rFonts w:hint="default" w:ascii="Times New Roman" w:hAnsi="Times New Roman" w:eastAsia="宋体" w:cs="Times New Roman"/>
                      <w:color w:val="auto"/>
                      <w:sz w:val="21"/>
                      <w:szCs w:val="21"/>
                    </w:rPr>
                  </w:pPr>
                  <w:r>
                    <w:rPr>
                      <w:rFonts w:hint="default" w:ascii="Times New Roman" w:hAnsi="Times New Roman" w:eastAsia="宋体" w:cs="Times New Roman"/>
                      <w:bCs w:val="0"/>
                      <w:snapToGrid w:val="0"/>
                      <w:color w:val="auto"/>
                      <w:kern w:val="0"/>
                      <w:sz w:val="21"/>
                      <w:szCs w:val="21"/>
                      <w:lang w:val="en-US" w:eastAsia="zh-CN" w:bidi="ar-SA"/>
                    </w:rPr>
                    <w:t>等效A声级</w:t>
                  </w:r>
                </w:p>
              </w:tc>
            </w:tr>
            <w:tr w14:paraId="39B5B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1039" w:type="dxa"/>
                  <w:vMerge w:val="restart"/>
                  <w:tcBorders>
                    <w:tl2br w:val="nil"/>
                    <w:tr2bl w:val="nil"/>
                  </w:tcBorders>
                  <w:vAlign w:val="center"/>
                </w:tcPr>
                <w:p w14:paraId="4055B274">
                  <w:pPr>
                    <w:pStyle w:val="42"/>
                    <w:pageBreakBefore w:val="0"/>
                    <w:wordWrap/>
                    <w:overflowPunct w:val="0"/>
                    <w:topLinePunct w:val="0"/>
                    <w:bidi w:val="0"/>
                    <w:rPr>
                      <w:rFonts w:hint="eastAsia" w:ascii="宋体" w:hAnsi="宋体" w:eastAsia="宋体" w:cs="宋体"/>
                      <w:color w:val="auto"/>
                      <w:sz w:val="21"/>
                      <w:szCs w:val="21"/>
                    </w:rPr>
                  </w:pPr>
                  <w:r>
                    <w:rPr>
                      <w:rFonts w:hint="eastAsia" w:ascii="宋体" w:hAnsi="宋体" w:eastAsia="宋体" w:cs="宋体"/>
                      <w:color w:val="auto"/>
                      <w:sz w:val="21"/>
                      <w:szCs w:val="21"/>
                    </w:rPr>
                    <w:t>一般工业固体废物</w:t>
                  </w:r>
                </w:p>
              </w:tc>
              <w:tc>
                <w:tcPr>
                  <w:tcW w:w="1590" w:type="dxa"/>
                  <w:tcBorders>
                    <w:tl2br w:val="nil"/>
                    <w:tr2bl w:val="nil"/>
                  </w:tcBorders>
                  <w:vAlign w:val="center"/>
                </w:tcPr>
                <w:p w14:paraId="2F0F2628">
                  <w:pPr>
                    <w:pStyle w:val="34"/>
                    <w:keepNext w:val="0"/>
                    <w:keepLines w:val="0"/>
                    <w:pageBreakBefore w:val="0"/>
                    <w:widowControl/>
                    <w:kinsoku w:val="0"/>
                    <w:wordWrap/>
                    <w:overflowPunct w:val="0"/>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bCs/>
                      <w:snapToGrid w:val="0"/>
                      <w:color w:val="auto"/>
                      <w:kern w:val="0"/>
                      <w:sz w:val="21"/>
                      <w:szCs w:val="21"/>
                      <w:lang w:val="en-US" w:eastAsia="zh-CN" w:bidi="ar-SA"/>
                    </w:rPr>
                  </w:pPr>
                  <w:r>
                    <w:rPr>
                      <w:rFonts w:hint="eastAsia" w:ascii="宋体" w:hAnsi="宋体" w:eastAsia="宋体" w:cs="宋体"/>
                      <w:color w:val="auto"/>
                      <w:sz w:val="21"/>
                      <w:szCs w:val="21"/>
                      <w:lang w:val="en-US" w:eastAsia="zh-CN"/>
                    </w:rPr>
                    <w:t>投料</w:t>
                  </w:r>
                </w:p>
              </w:tc>
              <w:tc>
                <w:tcPr>
                  <w:tcW w:w="1985" w:type="dxa"/>
                  <w:tcBorders>
                    <w:tl2br w:val="nil"/>
                    <w:tr2bl w:val="nil"/>
                  </w:tcBorders>
                  <w:vAlign w:val="center"/>
                </w:tcPr>
                <w:p w14:paraId="4650203B">
                  <w:pPr>
                    <w:pStyle w:val="42"/>
                    <w:pageBreakBefore w:val="0"/>
                    <w:wordWrap/>
                    <w:overflowPunct w:val="0"/>
                    <w:topLinePunct w:val="0"/>
                    <w:bidi w:val="0"/>
                    <w:jc w:val="center"/>
                    <w:rPr>
                      <w:rFonts w:hint="eastAsia" w:ascii="宋体" w:hAnsi="宋体" w:eastAsia="宋体" w:cs="宋体"/>
                      <w:bCs/>
                      <w:snapToGrid w:val="0"/>
                      <w:color w:val="auto"/>
                      <w:kern w:val="0"/>
                      <w:sz w:val="21"/>
                      <w:szCs w:val="21"/>
                      <w:lang w:val="en-US" w:eastAsia="zh-CN" w:bidi="ar-SA"/>
                    </w:rPr>
                  </w:pPr>
                  <w:r>
                    <w:rPr>
                      <w:rFonts w:hint="eastAsia" w:ascii="宋体" w:hAnsi="宋体" w:eastAsia="宋体" w:cs="宋体"/>
                      <w:bCs/>
                      <w:snapToGrid w:val="0"/>
                      <w:color w:val="auto"/>
                      <w:kern w:val="0"/>
                      <w:sz w:val="21"/>
                      <w:szCs w:val="21"/>
                      <w:lang w:val="en-US" w:eastAsia="en-US" w:bidi="ar-SA"/>
                    </w:rPr>
                    <w:t>废包装材料</w:t>
                  </w:r>
                </w:p>
              </w:tc>
              <w:tc>
                <w:tcPr>
                  <w:tcW w:w="2903" w:type="dxa"/>
                  <w:vMerge w:val="restart"/>
                  <w:tcBorders>
                    <w:tl2br w:val="nil"/>
                    <w:tr2bl w:val="nil"/>
                  </w:tcBorders>
                  <w:vAlign w:val="center"/>
                </w:tcPr>
                <w:p w14:paraId="3A06C3DD">
                  <w:pPr>
                    <w:pageBreakBefore w:val="0"/>
                    <w:wordWrap/>
                    <w:overflowPunct w:val="0"/>
                    <w:topLinePunct w:val="0"/>
                    <w:bidi w:val="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收集后堆存一般固体废物暂存间，定期外售物资回收部门</w:t>
                  </w:r>
                </w:p>
              </w:tc>
            </w:tr>
            <w:tr w14:paraId="1C3F7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3" w:hRule="atLeast"/>
              </w:trPr>
              <w:tc>
                <w:tcPr>
                  <w:tcW w:w="1039" w:type="dxa"/>
                  <w:vMerge w:val="continue"/>
                  <w:tcBorders>
                    <w:tl2br w:val="nil"/>
                    <w:tr2bl w:val="nil"/>
                  </w:tcBorders>
                  <w:vAlign w:val="center"/>
                </w:tcPr>
                <w:p w14:paraId="09F024D9">
                  <w:pPr>
                    <w:pStyle w:val="42"/>
                    <w:pageBreakBefore w:val="0"/>
                    <w:wordWrap/>
                    <w:overflowPunct w:val="0"/>
                    <w:topLinePunct w:val="0"/>
                    <w:bidi w:val="0"/>
                    <w:rPr>
                      <w:rFonts w:hint="eastAsia" w:ascii="宋体" w:hAnsi="宋体" w:eastAsia="宋体" w:cs="宋体"/>
                      <w:color w:val="auto"/>
                      <w:sz w:val="21"/>
                      <w:szCs w:val="21"/>
                    </w:rPr>
                  </w:pPr>
                </w:p>
              </w:tc>
              <w:tc>
                <w:tcPr>
                  <w:tcW w:w="1590" w:type="dxa"/>
                  <w:vMerge w:val="restart"/>
                  <w:tcBorders>
                    <w:tl2br w:val="nil"/>
                    <w:tr2bl w:val="nil"/>
                  </w:tcBorders>
                  <w:vAlign w:val="center"/>
                </w:tcPr>
                <w:p w14:paraId="2AB8608E">
                  <w:pPr>
                    <w:pStyle w:val="34"/>
                    <w:keepNext w:val="0"/>
                    <w:keepLines w:val="0"/>
                    <w:pageBreakBefore w:val="0"/>
                    <w:widowControl/>
                    <w:kinsoku w:val="0"/>
                    <w:wordWrap/>
                    <w:overflowPunct w:val="0"/>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bCs/>
                      <w:snapToGrid w:val="0"/>
                      <w:color w:val="auto"/>
                      <w:kern w:val="0"/>
                      <w:sz w:val="21"/>
                      <w:szCs w:val="21"/>
                      <w:lang w:val="en-US" w:eastAsia="en-US" w:bidi="ar-SA"/>
                    </w:rPr>
                  </w:pPr>
                  <w:r>
                    <w:rPr>
                      <w:rFonts w:hint="eastAsia" w:ascii="宋体" w:hAnsi="宋体" w:eastAsia="宋体" w:cs="宋体"/>
                      <w:bCs/>
                      <w:snapToGrid w:val="0"/>
                      <w:color w:val="auto"/>
                      <w:kern w:val="0"/>
                      <w:sz w:val="21"/>
                      <w:szCs w:val="21"/>
                      <w:lang w:val="en-US" w:eastAsia="zh-CN" w:bidi="ar-SA"/>
                    </w:rPr>
                    <w:t>治理设施</w:t>
                  </w:r>
                </w:p>
              </w:tc>
              <w:tc>
                <w:tcPr>
                  <w:tcW w:w="1985" w:type="dxa"/>
                  <w:tcBorders>
                    <w:tl2br w:val="nil"/>
                    <w:tr2bl w:val="nil"/>
                  </w:tcBorders>
                  <w:vAlign w:val="center"/>
                </w:tcPr>
                <w:p w14:paraId="11CD6808">
                  <w:pPr>
                    <w:pStyle w:val="42"/>
                    <w:pageBreakBefore w:val="0"/>
                    <w:wordWrap/>
                    <w:overflowPunct w:val="0"/>
                    <w:topLinePunct w:val="0"/>
                    <w:bidi w:val="0"/>
                    <w:jc w:val="center"/>
                    <w:rPr>
                      <w:rFonts w:hint="eastAsia" w:ascii="宋体" w:hAnsi="宋体" w:eastAsia="宋体" w:cs="宋体"/>
                      <w:bCs/>
                      <w:snapToGrid w:val="0"/>
                      <w:color w:val="auto"/>
                      <w:kern w:val="0"/>
                      <w:sz w:val="21"/>
                      <w:szCs w:val="21"/>
                      <w:lang w:val="en-US" w:eastAsia="zh-CN" w:bidi="ar-SA"/>
                    </w:rPr>
                  </w:pPr>
                  <w:r>
                    <w:rPr>
                      <w:rFonts w:hint="eastAsia" w:ascii="宋体" w:hAnsi="宋体" w:eastAsia="宋体" w:cs="宋体"/>
                      <w:color w:val="auto"/>
                      <w:sz w:val="21"/>
                      <w:szCs w:val="21"/>
                      <w:lang w:val="en-US" w:eastAsia="zh-CN"/>
                    </w:rPr>
                    <w:t>废布袋</w:t>
                  </w:r>
                </w:p>
              </w:tc>
              <w:tc>
                <w:tcPr>
                  <w:tcW w:w="2903" w:type="dxa"/>
                  <w:vMerge w:val="continue"/>
                  <w:tcBorders>
                    <w:tl2br w:val="nil"/>
                    <w:tr2bl w:val="nil"/>
                  </w:tcBorders>
                  <w:vAlign w:val="center"/>
                </w:tcPr>
                <w:p w14:paraId="159C9D3D">
                  <w:pPr>
                    <w:pStyle w:val="42"/>
                    <w:pageBreakBefore w:val="0"/>
                    <w:wordWrap/>
                    <w:overflowPunct w:val="0"/>
                    <w:topLinePunct w:val="0"/>
                    <w:bidi w:val="0"/>
                    <w:jc w:val="center"/>
                    <w:rPr>
                      <w:rFonts w:hint="eastAsia" w:ascii="宋体" w:hAnsi="宋体" w:eastAsia="宋体" w:cs="宋体"/>
                      <w:bCs/>
                      <w:snapToGrid w:val="0"/>
                      <w:color w:val="auto"/>
                      <w:kern w:val="0"/>
                      <w:sz w:val="21"/>
                      <w:szCs w:val="21"/>
                      <w:lang w:val="en-US" w:eastAsia="zh-CN" w:bidi="ar-SA"/>
                    </w:rPr>
                  </w:pPr>
                </w:p>
              </w:tc>
            </w:tr>
            <w:tr w14:paraId="51B8C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039" w:type="dxa"/>
                  <w:vMerge w:val="continue"/>
                  <w:tcBorders>
                    <w:tl2br w:val="nil"/>
                    <w:tr2bl w:val="nil"/>
                  </w:tcBorders>
                  <w:vAlign w:val="center"/>
                </w:tcPr>
                <w:p w14:paraId="0ED9C84C">
                  <w:pPr>
                    <w:pStyle w:val="42"/>
                    <w:pageBreakBefore w:val="0"/>
                    <w:wordWrap/>
                    <w:overflowPunct w:val="0"/>
                    <w:topLinePunct w:val="0"/>
                    <w:bidi w:val="0"/>
                    <w:rPr>
                      <w:rFonts w:hint="eastAsia" w:ascii="宋体" w:hAnsi="宋体" w:eastAsia="宋体" w:cs="宋体"/>
                      <w:color w:val="auto"/>
                      <w:sz w:val="21"/>
                      <w:szCs w:val="21"/>
                    </w:rPr>
                  </w:pPr>
                </w:p>
              </w:tc>
              <w:tc>
                <w:tcPr>
                  <w:tcW w:w="1590" w:type="dxa"/>
                  <w:vMerge w:val="continue"/>
                  <w:tcBorders>
                    <w:tl2br w:val="nil"/>
                    <w:tr2bl w:val="nil"/>
                  </w:tcBorders>
                  <w:vAlign w:val="center"/>
                </w:tcPr>
                <w:p w14:paraId="2161AF53">
                  <w:pPr>
                    <w:pStyle w:val="34"/>
                    <w:keepNext w:val="0"/>
                    <w:keepLines w:val="0"/>
                    <w:pageBreakBefore w:val="0"/>
                    <w:widowControl/>
                    <w:kinsoku w:val="0"/>
                    <w:wordWrap/>
                    <w:overflowPunct w:val="0"/>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bCs/>
                      <w:snapToGrid w:val="0"/>
                      <w:color w:val="auto"/>
                      <w:kern w:val="0"/>
                      <w:sz w:val="21"/>
                      <w:szCs w:val="21"/>
                      <w:lang w:val="en-US" w:eastAsia="en-US" w:bidi="ar-SA"/>
                    </w:rPr>
                  </w:pPr>
                </w:p>
              </w:tc>
              <w:tc>
                <w:tcPr>
                  <w:tcW w:w="1985" w:type="dxa"/>
                  <w:tcBorders>
                    <w:tl2br w:val="nil"/>
                    <w:tr2bl w:val="nil"/>
                  </w:tcBorders>
                  <w:vAlign w:val="center"/>
                </w:tcPr>
                <w:p w14:paraId="3E3D920C">
                  <w:pPr>
                    <w:pStyle w:val="42"/>
                    <w:pageBreakBefore w:val="0"/>
                    <w:wordWrap/>
                    <w:overflowPunct w:val="0"/>
                    <w:topLinePunct w:val="0"/>
                    <w:bidi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除尘器收集的粉尘</w:t>
                  </w:r>
                </w:p>
              </w:tc>
              <w:tc>
                <w:tcPr>
                  <w:tcW w:w="2903" w:type="dxa"/>
                  <w:tcBorders>
                    <w:tl2br w:val="nil"/>
                    <w:tr2bl w:val="nil"/>
                  </w:tcBorders>
                  <w:vAlign w:val="center"/>
                </w:tcPr>
                <w:p w14:paraId="189D551F">
                  <w:pPr>
                    <w:pageBreakBefore w:val="0"/>
                    <w:wordWrap/>
                    <w:overflowPunct w:val="0"/>
                    <w:topLinePunct w:val="0"/>
                    <w:bidi w:val="0"/>
                    <w:jc w:val="center"/>
                    <w:rPr>
                      <w:rFonts w:hint="default" w:ascii="宋体" w:hAnsi="宋体" w:eastAsia="宋体" w:cs="宋体"/>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返回生产工序回用</w:t>
                  </w:r>
                </w:p>
              </w:tc>
            </w:tr>
            <w:tr w14:paraId="67475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039" w:type="dxa"/>
                  <w:vMerge w:val="restart"/>
                  <w:tcBorders>
                    <w:tl2br w:val="nil"/>
                    <w:tr2bl w:val="nil"/>
                  </w:tcBorders>
                  <w:vAlign w:val="center"/>
                </w:tcPr>
                <w:p w14:paraId="08BCD557">
                  <w:pPr>
                    <w:pStyle w:val="42"/>
                    <w:pageBreakBefore w:val="0"/>
                    <w:wordWrap/>
                    <w:overflowPunct w:val="0"/>
                    <w:topLinePunct w:val="0"/>
                    <w:bidi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危险废物</w:t>
                  </w:r>
                </w:p>
              </w:tc>
              <w:tc>
                <w:tcPr>
                  <w:tcW w:w="1590" w:type="dxa"/>
                  <w:vMerge w:val="restart"/>
                  <w:tcBorders>
                    <w:tl2br w:val="nil"/>
                    <w:tr2bl w:val="nil"/>
                  </w:tcBorders>
                  <w:vAlign w:val="center"/>
                </w:tcPr>
                <w:p w14:paraId="7717122E">
                  <w:pPr>
                    <w:pStyle w:val="34"/>
                    <w:keepNext w:val="0"/>
                    <w:keepLines w:val="0"/>
                    <w:pageBreakBefore w:val="0"/>
                    <w:widowControl/>
                    <w:kinsoku w:val="0"/>
                    <w:wordWrap/>
                    <w:overflowPunct w:val="0"/>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bCs/>
                      <w:snapToGrid w:val="0"/>
                      <w:color w:val="auto"/>
                      <w:kern w:val="0"/>
                      <w:sz w:val="21"/>
                      <w:szCs w:val="21"/>
                      <w:lang w:val="en-US" w:eastAsia="zh-CN" w:bidi="ar-SA"/>
                    </w:rPr>
                  </w:pPr>
                  <w:r>
                    <w:rPr>
                      <w:rFonts w:hint="eastAsia" w:ascii="宋体" w:hAnsi="宋体" w:eastAsia="宋体" w:cs="宋体"/>
                      <w:bCs/>
                      <w:snapToGrid w:val="0"/>
                      <w:color w:val="auto"/>
                      <w:kern w:val="0"/>
                      <w:sz w:val="21"/>
                      <w:szCs w:val="21"/>
                      <w:lang w:val="en-US" w:eastAsia="zh-CN" w:bidi="ar-SA"/>
                    </w:rPr>
                    <w:t>设备维修</w:t>
                  </w:r>
                </w:p>
              </w:tc>
              <w:tc>
                <w:tcPr>
                  <w:tcW w:w="1985" w:type="dxa"/>
                  <w:tcBorders>
                    <w:tl2br w:val="nil"/>
                    <w:tr2bl w:val="nil"/>
                  </w:tcBorders>
                  <w:shd w:val="clear" w:color="auto" w:fill="auto"/>
                  <w:vAlign w:val="center"/>
                </w:tcPr>
                <w:p w14:paraId="79C99E7C">
                  <w:pPr>
                    <w:pStyle w:val="34"/>
                    <w:keepNext w:val="0"/>
                    <w:keepLines w:val="0"/>
                    <w:pageBreakBefore w:val="0"/>
                    <w:widowControl/>
                    <w:kinsoku w:val="0"/>
                    <w:wordWrap/>
                    <w:overflowPunct w:val="0"/>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bCs/>
                      <w:snapToGrid w:val="0"/>
                      <w:color w:val="auto"/>
                      <w:kern w:val="0"/>
                      <w:sz w:val="21"/>
                      <w:szCs w:val="21"/>
                      <w:lang w:val="en-US" w:eastAsia="zh-CN" w:bidi="ar-SA"/>
                    </w:rPr>
                  </w:pPr>
                  <w:r>
                    <w:rPr>
                      <w:rFonts w:hint="eastAsia" w:ascii="宋体" w:hAnsi="宋体" w:eastAsia="宋体" w:cs="宋体"/>
                      <w:color w:val="auto"/>
                      <w:kern w:val="2"/>
                      <w:sz w:val="21"/>
                      <w:szCs w:val="21"/>
                      <w:lang w:val="en-US" w:eastAsia="zh-CN" w:bidi="ar-SA"/>
                    </w:rPr>
                    <w:t>废机油</w:t>
                  </w:r>
                </w:p>
              </w:tc>
              <w:tc>
                <w:tcPr>
                  <w:tcW w:w="2903" w:type="dxa"/>
                  <w:vMerge w:val="restart"/>
                  <w:tcBorders>
                    <w:tl2br w:val="nil"/>
                    <w:tr2bl w:val="nil"/>
                  </w:tcBorders>
                  <w:vAlign w:val="center"/>
                </w:tcPr>
                <w:p w14:paraId="301C31B0">
                  <w:pPr>
                    <w:pageBreakBefore w:val="0"/>
                    <w:wordWrap/>
                    <w:overflowPunct w:val="0"/>
                    <w:topLinePunct w:val="0"/>
                    <w:bidi w:val="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废机油暂存于危废贮存库，定期交由资质单位处置</w:t>
                  </w:r>
                </w:p>
              </w:tc>
            </w:tr>
            <w:tr w14:paraId="1A208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039" w:type="dxa"/>
                  <w:vMerge w:val="continue"/>
                  <w:tcBorders>
                    <w:tl2br w:val="nil"/>
                    <w:tr2bl w:val="nil"/>
                  </w:tcBorders>
                  <w:vAlign w:val="center"/>
                </w:tcPr>
                <w:p w14:paraId="46A1773C">
                  <w:pPr>
                    <w:pStyle w:val="42"/>
                    <w:pageBreakBefore w:val="0"/>
                    <w:wordWrap/>
                    <w:overflowPunct w:val="0"/>
                    <w:topLinePunct w:val="0"/>
                    <w:bidi w:val="0"/>
                    <w:rPr>
                      <w:rFonts w:hint="eastAsia" w:ascii="宋体" w:hAnsi="宋体" w:eastAsia="宋体" w:cs="宋体"/>
                      <w:color w:val="auto"/>
                      <w:sz w:val="21"/>
                      <w:szCs w:val="21"/>
                    </w:rPr>
                  </w:pPr>
                </w:p>
              </w:tc>
              <w:tc>
                <w:tcPr>
                  <w:tcW w:w="1590" w:type="dxa"/>
                  <w:vMerge w:val="continue"/>
                  <w:tcBorders>
                    <w:tl2br w:val="nil"/>
                    <w:tr2bl w:val="nil"/>
                  </w:tcBorders>
                  <w:vAlign w:val="center"/>
                </w:tcPr>
                <w:p w14:paraId="164FAA85">
                  <w:pPr>
                    <w:pStyle w:val="34"/>
                    <w:keepNext w:val="0"/>
                    <w:keepLines w:val="0"/>
                    <w:pageBreakBefore w:val="0"/>
                    <w:widowControl/>
                    <w:kinsoku w:val="0"/>
                    <w:wordWrap/>
                    <w:overflowPunct w:val="0"/>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bCs/>
                      <w:snapToGrid w:val="0"/>
                      <w:color w:val="auto"/>
                      <w:kern w:val="0"/>
                      <w:sz w:val="21"/>
                      <w:szCs w:val="21"/>
                      <w:lang w:val="en-US" w:eastAsia="zh-CN" w:bidi="ar-SA"/>
                    </w:rPr>
                  </w:pPr>
                </w:p>
              </w:tc>
              <w:tc>
                <w:tcPr>
                  <w:tcW w:w="1985" w:type="dxa"/>
                  <w:tcBorders>
                    <w:tl2br w:val="nil"/>
                    <w:tr2bl w:val="nil"/>
                  </w:tcBorders>
                  <w:shd w:val="clear" w:color="auto" w:fill="auto"/>
                  <w:vAlign w:val="center"/>
                </w:tcPr>
                <w:p w14:paraId="73C202FC">
                  <w:pPr>
                    <w:pStyle w:val="34"/>
                    <w:keepNext w:val="0"/>
                    <w:keepLines w:val="0"/>
                    <w:pageBreakBefore w:val="0"/>
                    <w:widowControl/>
                    <w:kinsoku w:val="0"/>
                    <w:wordWrap/>
                    <w:overflowPunct w:val="0"/>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bCs/>
                      <w:snapToGrid w:val="0"/>
                      <w:color w:val="auto"/>
                      <w:kern w:val="0"/>
                      <w:sz w:val="21"/>
                      <w:szCs w:val="21"/>
                      <w:lang w:val="en-US" w:eastAsia="zh-CN" w:bidi="ar-SA"/>
                    </w:rPr>
                  </w:pPr>
                  <w:r>
                    <w:rPr>
                      <w:rFonts w:hint="eastAsia" w:ascii="宋体" w:hAnsi="宋体" w:eastAsia="宋体" w:cs="宋体"/>
                      <w:bCs/>
                      <w:snapToGrid w:val="0"/>
                      <w:color w:val="auto"/>
                      <w:kern w:val="0"/>
                      <w:sz w:val="21"/>
                      <w:szCs w:val="21"/>
                      <w:lang w:val="en-US" w:eastAsia="zh-CN" w:bidi="ar-SA"/>
                    </w:rPr>
                    <w:t>废含油抹布手套</w:t>
                  </w:r>
                </w:p>
              </w:tc>
              <w:tc>
                <w:tcPr>
                  <w:tcW w:w="2903" w:type="dxa"/>
                  <w:vMerge w:val="continue"/>
                  <w:tcBorders>
                    <w:tl2br w:val="nil"/>
                    <w:tr2bl w:val="nil"/>
                  </w:tcBorders>
                  <w:vAlign w:val="center"/>
                </w:tcPr>
                <w:p w14:paraId="78802874">
                  <w:pPr>
                    <w:pStyle w:val="42"/>
                    <w:pageBreakBefore w:val="0"/>
                    <w:wordWrap/>
                    <w:overflowPunct w:val="0"/>
                    <w:topLinePunct w:val="0"/>
                    <w:bidi w:val="0"/>
                    <w:jc w:val="center"/>
                    <w:rPr>
                      <w:rFonts w:hint="eastAsia" w:ascii="宋体" w:hAnsi="宋体" w:eastAsia="宋体" w:cs="宋体"/>
                      <w:bCs/>
                      <w:color w:val="auto"/>
                      <w:kern w:val="2"/>
                      <w:sz w:val="21"/>
                      <w:szCs w:val="21"/>
                      <w:lang w:val="en-US" w:eastAsia="zh-CN" w:bidi="ar-SA"/>
                    </w:rPr>
                  </w:pPr>
                </w:p>
              </w:tc>
            </w:tr>
          </w:tbl>
          <w:p w14:paraId="47203719">
            <w:pPr>
              <w:adjustRightInd w:val="0"/>
              <w:snapToGrid w:val="0"/>
              <w:spacing w:line="360" w:lineRule="auto"/>
              <w:ind w:firstLine="480" w:firstLineChars="200"/>
              <w:rPr>
                <w:rFonts w:hint="eastAsia" w:ascii="Times New Roman" w:hAnsi="Times New Roman"/>
                <w:bCs/>
                <w:color w:val="auto"/>
                <w:sz w:val="24"/>
                <w:lang w:val="en-US" w:eastAsia="zh-CN"/>
              </w:rPr>
            </w:pPr>
          </w:p>
        </w:tc>
      </w:tr>
      <w:tr w14:paraId="75EED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346C0AA0">
            <w:pPr>
              <w:pStyle w:val="21"/>
              <w:adjustRightInd w:val="0"/>
              <w:snapToGrid w:val="0"/>
              <w:spacing w:before="0" w:beforeAutospacing="0" w:after="0" w:afterAutospacing="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与项目有关的原有环境污染问题</w:t>
            </w:r>
          </w:p>
        </w:tc>
        <w:tc>
          <w:tcPr>
            <w:tcW w:w="7728" w:type="dxa"/>
            <w:tcBorders>
              <w:tl2br w:val="nil"/>
              <w:tr2bl w:val="nil"/>
            </w:tcBorders>
            <w:vAlign w:val="center"/>
          </w:tcPr>
          <w:p w14:paraId="3C577C9A">
            <w:pPr>
              <w:pStyle w:val="38"/>
              <w:ind w:firstLine="480"/>
              <w:jc w:val="both"/>
              <w:rPr>
                <w:rFonts w:ascii="Times New Roman" w:hAnsi="Times New Roman" w:cs="Times New Roman"/>
                <w:sz w:val="24"/>
                <w:lang w:val="en-US" w:bidi="ar-SA"/>
              </w:rPr>
            </w:pPr>
          </w:p>
          <w:p w14:paraId="66161B06">
            <w:pPr>
              <w:pStyle w:val="38"/>
              <w:ind w:firstLine="480"/>
              <w:jc w:val="both"/>
              <w:rPr>
                <w:rFonts w:ascii="Times New Roman" w:hAnsi="Times New Roman" w:cs="Times New Roman"/>
                <w:sz w:val="24"/>
                <w:lang w:val="en-US" w:bidi="ar-SA"/>
              </w:rPr>
            </w:pPr>
          </w:p>
          <w:p w14:paraId="3D3BF896">
            <w:pPr>
              <w:pStyle w:val="38"/>
              <w:ind w:firstLine="480"/>
              <w:jc w:val="both"/>
              <w:rPr>
                <w:rFonts w:ascii="Times New Roman" w:hAnsi="Times New Roman" w:cs="Times New Roman"/>
                <w:sz w:val="24"/>
                <w:lang w:val="en-US" w:bidi="ar-SA"/>
              </w:rPr>
            </w:pPr>
          </w:p>
          <w:p w14:paraId="62D3A4C7">
            <w:pPr>
              <w:pStyle w:val="38"/>
              <w:ind w:firstLine="480"/>
              <w:jc w:val="both"/>
              <w:rPr>
                <w:rFonts w:ascii="Times New Roman" w:hAnsi="Times New Roman" w:cs="Times New Roman"/>
                <w:sz w:val="24"/>
                <w:lang w:val="en-US" w:bidi="ar-SA"/>
              </w:rPr>
            </w:pPr>
          </w:p>
          <w:p w14:paraId="33F5C30C">
            <w:pPr>
              <w:pStyle w:val="38"/>
              <w:ind w:firstLine="480"/>
              <w:jc w:val="both"/>
              <w:rPr>
                <w:rFonts w:ascii="Times New Roman" w:hAnsi="Times New Roman" w:cs="Times New Roman"/>
                <w:sz w:val="24"/>
                <w:lang w:val="en-US" w:bidi="ar-SA"/>
              </w:rPr>
            </w:pPr>
          </w:p>
          <w:p w14:paraId="1142596F">
            <w:pPr>
              <w:pStyle w:val="38"/>
              <w:ind w:firstLine="480"/>
              <w:jc w:val="both"/>
              <w:rPr>
                <w:rFonts w:ascii="Times New Roman" w:hAnsi="Times New Roman" w:cs="Times New Roman"/>
                <w:sz w:val="24"/>
                <w:lang w:val="en-US" w:bidi="ar-SA"/>
              </w:rPr>
            </w:pPr>
          </w:p>
          <w:p w14:paraId="17DF0215">
            <w:pPr>
              <w:pStyle w:val="38"/>
              <w:ind w:firstLine="480"/>
              <w:jc w:val="both"/>
              <w:rPr>
                <w:rFonts w:hint="eastAsia" w:ascii="宋体" w:hAnsi="宋体" w:eastAsia="宋体" w:cs="宋体"/>
                <w:kern w:val="2"/>
                <w:sz w:val="24"/>
                <w:szCs w:val="24"/>
                <w:lang w:val="en-US" w:eastAsia="zh-CN" w:bidi="ar-SA"/>
              </w:rPr>
            </w:pPr>
            <w:r>
              <w:rPr>
                <w:rFonts w:ascii="Times New Roman" w:hAnsi="Times New Roman" w:cs="Times New Roman"/>
                <w:sz w:val="24"/>
                <w:lang w:val="en-US" w:bidi="ar-SA"/>
              </w:rPr>
              <w:t>本项目建设依托租赁的厂房进行</w:t>
            </w:r>
            <w:r>
              <w:rPr>
                <w:rFonts w:hint="eastAsia" w:ascii="宋体" w:hAnsi="宋体" w:eastAsia="宋体" w:cs="宋体"/>
                <w:kern w:val="2"/>
                <w:sz w:val="24"/>
                <w:szCs w:val="24"/>
                <w:lang w:val="en-US" w:eastAsia="zh-CN" w:bidi="ar-SA"/>
              </w:rPr>
              <w:t>，项目为新建项目，无与本项目有关的原有环境污染问题。</w:t>
            </w:r>
          </w:p>
          <w:p w14:paraId="26F792D3">
            <w:pPr>
              <w:pStyle w:val="38"/>
              <w:ind w:firstLine="480"/>
              <w:jc w:val="center"/>
              <w:rPr>
                <w:rFonts w:hint="eastAsia" w:ascii="宋体" w:hAnsi="宋体" w:eastAsia="宋体" w:cs="宋体"/>
                <w:kern w:val="2"/>
                <w:sz w:val="24"/>
                <w:szCs w:val="24"/>
                <w:lang w:val="en-US" w:eastAsia="zh-CN" w:bidi="ar-SA"/>
              </w:rPr>
            </w:pPr>
          </w:p>
          <w:p w14:paraId="0BDBC0BD">
            <w:pPr>
              <w:pStyle w:val="38"/>
              <w:ind w:firstLine="480"/>
              <w:jc w:val="center"/>
              <w:rPr>
                <w:rFonts w:hint="eastAsia" w:ascii="宋体" w:hAnsi="宋体" w:eastAsia="宋体" w:cs="宋体"/>
                <w:kern w:val="2"/>
                <w:sz w:val="24"/>
                <w:szCs w:val="24"/>
                <w:lang w:val="en-US" w:eastAsia="zh-CN" w:bidi="ar-SA"/>
              </w:rPr>
            </w:pPr>
          </w:p>
          <w:p w14:paraId="305C850E">
            <w:pPr>
              <w:pStyle w:val="38"/>
              <w:ind w:firstLine="480"/>
              <w:jc w:val="center"/>
              <w:rPr>
                <w:rFonts w:hint="eastAsia" w:ascii="宋体" w:hAnsi="宋体" w:eastAsia="宋体" w:cs="宋体"/>
                <w:kern w:val="2"/>
                <w:sz w:val="24"/>
                <w:szCs w:val="24"/>
                <w:lang w:val="en-US" w:eastAsia="zh-CN" w:bidi="ar-SA"/>
              </w:rPr>
            </w:pPr>
          </w:p>
          <w:p w14:paraId="5A6EA4AC">
            <w:pPr>
              <w:pStyle w:val="38"/>
              <w:ind w:firstLine="480"/>
              <w:jc w:val="center"/>
              <w:rPr>
                <w:rFonts w:hint="eastAsia" w:ascii="宋体" w:hAnsi="宋体" w:eastAsia="宋体" w:cs="宋体"/>
                <w:kern w:val="2"/>
                <w:sz w:val="24"/>
                <w:szCs w:val="24"/>
                <w:lang w:val="en-US" w:eastAsia="zh-CN" w:bidi="ar-SA"/>
              </w:rPr>
            </w:pPr>
          </w:p>
          <w:p w14:paraId="49BB3637">
            <w:pPr>
              <w:pStyle w:val="38"/>
              <w:ind w:firstLine="480"/>
              <w:jc w:val="center"/>
              <w:rPr>
                <w:rFonts w:hint="eastAsia" w:ascii="宋体" w:hAnsi="宋体" w:eastAsia="宋体" w:cs="宋体"/>
                <w:kern w:val="2"/>
                <w:sz w:val="24"/>
                <w:szCs w:val="24"/>
                <w:lang w:val="en-US" w:eastAsia="zh-CN" w:bidi="ar-SA"/>
              </w:rPr>
            </w:pPr>
          </w:p>
          <w:p w14:paraId="4B515D23">
            <w:pPr>
              <w:pStyle w:val="38"/>
              <w:ind w:left="0" w:leftChars="0" w:firstLine="0" w:firstLineChars="0"/>
              <w:jc w:val="both"/>
              <w:rPr>
                <w:rFonts w:hint="eastAsia" w:ascii="宋体" w:hAnsi="宋体" w:eastAsia="宋体" w:cs="宋体"/>
                <w:kern w:val="2"/>
                <w:sz w:val="24"/>
                <w:szCs w:val="24"/>
                <w:lang w:val="en-US" w:eastAsia="zh-CN" w:bidi="ar-SA"/>
              </w:rPr>
            </w:pPr>
          </w:p>
        </w:tc>
      </w:tr>
    </w:tbl>
    <w:p w14:paraId="27C272AD">
      <w:pPr>
        <w:pStyle w:val="21"/>
        <w:jc w:val="center"/>
        <w:outlineLvl w:val="0"/>
        <w:rPr>
          <w:rFonts w:ascii="Times New Roman" w:hAnsi="Times New Roman" w:eastAsia="黑体"/>
          <w:snapToGrid w:val="0"/>
          <w:sz w:val="30"/>
          <w:szCs w:val="30"/>
        </w:rPr>
      </w:pPr>
      <w:bookmarkStart w:id="9" w:name="_Toc24389"/>
      <w:bookmarkStart w:id="10" w:name="_Toc28161"/>
      <w:r>
        <w:rPr>
          <w:rFonts w:hint="eastAsia" w:ascii="Times New Roman" w:hAnsi="Times New Roman" w:eastAsia="黑体"/>
          <w:snapToGrid w:val="0"/>
          <w:sz w:val="30"/>
          <w:szCs w:val="30"/>
        </w:rPr>
        <w:t>三、区域环境质量现状、环境保护目标及评价标准</w:t>
      </w:r>
      <w:bookmarkEnd w:id="9"/>
      <w:bookmarkEnd w:id="10"/>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0B54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0" w:type="dxa"/>
            <w:tcBorders>
              <w:tl2br w:val="nil"/>
              <w:tr2bl w:val="nil"/>
            </w:tcBorders>
            <w:vAlign w:val="center"/>
          </w:tcPr>
          <w:p w14:paraId="412DA20B">
            <w:pPr>
              <w:adjustRightInd w:val="0"/>
              <w:snapToGrid w:val="0"/>
              <w:jc w:val="center"/>
              <w:rPr>
                <w:rFonts w:cs="宋体"/>
                <w:kern w:val="0"/>
                <w:szCs w:val="21"/>
              </w:rPr>
            </w:pPr>
            <w:r>
              <w:rPr>
                <w:rFonts w:hint="eastAsia" w:cs="宋体"/>
                <w:kern w:val="0"/>
                <w:sz w:val="24"/>
                <w:szCs w:val="24"/>
              </w:rPr>
              <w:t>区域环境质量现状</w:t>
            </w:r>
          </w:p>
        </w:tc>
        <w:tc>
          <w:tcPr>
            <w:tcW w:w="8190" w:type="dxa"/>
            <w:tcBorders>
              <w:tl2br w:val="nil"/>
              <w:tr2bl w:val="nil"/>
            </w:tcBorders>
            <w:vAlign w:val="center"/>
          </w:tcPr>
          <w:p w14:paraId="6EEADE96">
            <w:pPr>
              <w:pStyle w:val="10"/>
              <w:rPr>
                <w:rStyle w:val="43"/>
                <w:rFonts w:ascii="Times New Roman" w:hAnsi="Times New Roman" w:eastAsia="宋体"/>
                <w:b/>
                <w:bCs/>
                <w:color w:val="000000" w:themeColor="text1"/>
                <w:sz w:val="24"/>
                <w:szCs w:val="24"/>
                <w14:textFill>
                  <w14:solidFill>
                    <w14:schemeClr w14:val="tx1"/>
                  </w14:solidFill>
                </w14:textFill>
              </w:rPr>
            </w:pPr>
            <w:r>
              <w:rPr>
                <w:rStyle w:val="43"/>
                <w:rFonts w:ascii="Times New Roman" w:hAnsi="Times New Roman" w:eastAsia="宋体"/>
                <w:b/>
                <w:bCs/>
                <w:color w:val="000000" w:themeColor="text1"/>
                <w:sz w:val="24"/>
                <w:szCs w:val="24"/>
                <w14:textFill>
                  <w14:solidFill>
                    <w14:schemeClr w14:val="tx1"/>
                  </w14:solidFill>
                </w14:textFill>
              </w:rPr>
              <w:t>建设项目所在地区域环境质量现状及主要环境问题（环境空气、地表水、地下水、声环境、生态环境等）</w:t>
            </w:r>
          </w:p>
          <w:p w14:paraId="4E54D88C">
            <w:pPr>
              <w:pStyle w:val="37"/>
              <w:numPr>
                <w:ilvl w:val="0"/>
                <w:numId w:val="0"/>
              </w:numPr>
              <w:adjustRightInd w:val="0"/>
              <w:snapToGrid w:val="0"/>
              <w:spacing w:line="360" w:lineRule="auto"/>
              <w:rPr>
                <w:rFonts w:hint="default" w:ascii="Times New Roman" w:hAnsi="Times New Roman" w:cs="Times New Roman"/>
                <w:b/>
                <w:kern w:val="0"/>
                <w:sz w:val="24"/>
              </w:rPr>
            </w:pPr>
            <w:r>
              <w:rPr>
                <w:rFonts w:hint="default" w:ascii="Times New Roman" w:hAnsi="Times New Roman" w:cs="Times New Roman"/>
                <w:b/>
                <w:kern w:val="0"/>
                <w:sz w:val="24"/>
                <w:lang w:val="en-US" w:eastAsia="zh-CN"/>
              </w:rPr>
              <w:t>1</w:t>
            </w:r>
            <w:r>
              <w:rPr>
                <w:rFonts w:hint="eastAsia" w:ascii="Times New Roman" w:hAnsi="Times New Roman" w:cs="Times New Roman"/>
                <w:b/>
                <w:kern w:val="0"/>
                <w:sz w:val="24"/>
                <w:lang w:val="en-US" w:eastAsia="zh-CN"/>
              </w:rPr>
              <w:t>.</w:t>
            </w:r>
            <w:r>
              <w:rPr>
                <w:rFonts w:hint="default" w:ascii="Times New Roman" w:hAnsi="Times New Roman" w:cs="Times New Roman"/>
                <w:b/>
                <w:kern w:val="0"/>
                <w:sz w:val="24"/>
              </w:rPr>
              <w:t>环境空气质量现状</w:t>
            </w:r>
          </w:p>
          <w:p w14:paraId="71879A3B">
            <w:pPr>
              <w:pStyle w:val="44"/>
              <w:widowControl/>
              <w:ind w:firstLine="48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1</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环境空气质量达标区判定</w:t>
            </w:r>
          </w:p>
          <w:p w14:paraId="738F432E">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本次评价常规污染物环境质量现状引用陕西省生态环境厅办公室于202</w:t>
            </w:r>
            <w:r>
              <w:rPr>
                <w:rFonts w:hint="default"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年1月1</w:t>
            </w:r>
            <w:r>
              <w:rPr>
                <w:rFonts w:hint="default"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日发布的《20</w:t>
            </w:r>
            <w:r>
              <w:rPr>
                <w:rFonts w:hint="default" w:ascii="Times New Roman" w:hAnsi="Times New Roman" w:cs="Times New Roman" w:eastAsiaTheme="minorEastAsia"/>
                <w:sz w:val="24"/>
                <w:lang w:val="en-US" w:eastAsia="zh-CN"/>
              </w:rPr>
              <w:t>23</w:t>
            </w:r>
            <w:r>
              <w:rPr>
                <w:rFonts w:hint="default" w:ascii="Times New Roman" w:hAnsi="Times New Roman" w:cs="Times New Roman" w:eastAsiaTheme="minorEastAsia"/>
                <w:sz w:val="24"/>
              </w:rPr>
              <w:t>年12月及1~12月全省环境空气质量状况》中西安市西咸新区20</w:t>
            </w:r>
            <w:r>
              <w:rPr>
                <w:rFonts w:hint="default" w:ascii="Times New Roman" w:hAnsi="Times New Roman" w:cs="Times New Roman" w:eastAsiaTheme="minorEastAsia"/>
                <w:sz w:val="24"/>
                <w:lang w:val="en-US" w:eastAsia="zh-CN"/>
              </w:rPr>
              <w:t>23</w:t>
            </w:r>
            <w:r>
              <w:rPr>
                <w:rFonts w:hint="default" w:ascii="Times New Roman" w:hAnsi="Times New Roman" w:cs="Times New Roman" w:eastAsiaTheme="minorEastAsia"/>
                <w:sz w:val="24"/>
              </w:rPr>
              <w:t>年1~12月的数据及结论。20</w:t>
            </w:r>
            <w:r>
              <w:rPr>
                <w:rFonts w:hint="default" w:ascii="Times New Roman" w:hAnsi="Times New Roman" w:cs="Times New Roman" w:eastAsiaTheme="minorEastAsia"/>
                <w:sz w:val="24"/>
                <w:lang w:val="en-US" w:eastAsia="zh-CN"/>
              </w:rPr>
              <w:t>23</w:t>
            </w:r>
            <w:r>
              <w:rPr>
                <w:rFonts w:hint="default" w:ascii="Times New Roman" w:hAnsi="Times New Roman" w:cs="Times New Roman" w:eastAsiaTheme="minorEastAsia"/>
                <w:sz w:val="24"/>
              </w:rPr>
              <w:t>年西安市西咸新区空气质量状况统计表3-1。</w:t>
            </w:r>
          </w:p>
          <w:p w14:paraId="04BD1E27">
            <w:pPr>
              <w:jc w:val="cente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表3-1  202</w:t>
            </w:r>
            <w:r>
              <w:rPr>
                <w:rFonts w:hint="eastAsia" w:ascii="Times New Roman" w:hAnsi="Times New Roman" w:cs="Times New Roman" w:eastAsiaTheme="minorEastAsia"/>
                <w:b/>
                <w:bCs/>
                <w:szCs w:val="21"/>
                <w:lang w:val="en-US" w:eastAsia="zh-CN"/>
              </w:rPr>
              <w:t>3</w:t>
            </w:r>
            <w:r>
              <w:rPr>
                <w:rFonts w:hint="default" w:ascii="Times New Roman" w:hAnsi="Times New Roman" w:cs="Times New Roman" w:eastAsiaTheme="minorEastAsia"/>
                <w:b/>
                <w:bCs/>
                <w:szCs w:val="21"/>
              </w:rPr>
              <w:t>年1~12月西安市西咸新区环境空气质量监测结果统计表</w:t>
            </w:r>
          </w:p>
          <w:tbl>
            <w:tblPr>
              <w:tblStyle w:val="24"/>
              <w:tblW w:w="80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15"/>
              <w:gridCol w:w="1633"/>
              <w:gridCol w:w="1524"/>
              <w:gridCol w:w="1310"/>
              <w:gridCol w:w="938"/>
              <w:gridCol w:w="1012"/>
            </w:tblGrid>
            <w:tr w14:paraId="12537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9" w:type="dxa"/>
                  <w:vMerge w:val="restart"/>
                  <w:tcBorders>
                    <w:tl2br w:val="nil"/>
                    <w:tr2bl w:val="nil"/>
                  </w:tcBorders>
                  <w:noWrap/>
                  <w:vAlign w:val="center"/>
                </w:tcPr>
                <w:p w14:paraId="5EEADFF6">
                  <w:pPr>
                    <w:tabs>
                      <w:tab w:val="left" w:pos="2601"/>
                    </w:tabs>
                    <w:spacing w:line="320" w:lineRule="exact"/>
                    <w:jc w:val="center"/>
                    <w:rPr>
                      <w:rFonts w:hint="default" w:ascii="Times New Roman" w:hAnsi="Times New Roman" w:cs="Times New Roman" w:eastAsiaTheme="minorEastAsia"/>
                      <w:b/>
                      <w:bCs/>
                      <w:szCs w:val="21"/>
                      <w:lang w:val="zh-CN"/>
                    </w:rPr>
                  </w:pPr>
                  <w:r>
                    <w:rPr>
                      <w:rFonts w:hint="default" w:ascii="Times New Roman" w:hAnsi="Times New Roman" w:cs="Times New Roman" w:eastAsiaTheme="minorEastAsia"/>
                      <w:b/>
                      <w:bCs/>
                      <w:szCs w:val="21"/>
                      <w:lang w:val="zh-CN"/>
                    </w:rPr>
                    <w:t>县区</w:t>
                  </w:r>
                </w:p>
              </w:tc>
              <w:tc>
                <w:tcPr>
                  <w:tcW w:w="822" w:type="dxa"/>
                  <w:vMerge w:val="restart"/>
                  <w:tcBorders>
                    <w:tl2br w:val="nil"/>
                    <w:tr2bl w:val="nil"/>
                  </w:tcBorders>
                  <w:noWrap/>
                  <w:vAlign w:val="center"/>
                </w:tcPr>
                <w:p w14:paraId="168FC5E4">
                  <w:pPr>
                    <w:tabs>
                      <w:tab w:val="left" w:pos="2601"/>
                    </w:tabs>
                    <w:spacing w:line="320" w:lineRule="exact"/>
                    <w:jc w:val="center"/>
                    <w:rPr>
                      <w:rFonts w:hint="default" w:ascii="Times New Roman" w:hAnsi="Times New Roman" w:cs="Times New Roman" w:eastAsiaTheme="minorEastAsia"/>
                      <w:b/>
                      <w:bCs/>
                      <w:szCs w:val="21"/>
                      <w:lang w:val="zh-CN"/>
                    </w:rPr>
                  </w:pPr>
                  <w:r>
                    <w:rPr>
                      <w:rFonts w:hint="default" w:ascii="Times New Roman" w:hAnsi="Times New Roman" w:cs="Times New Roman" w:eastAsiaTheme="minorEastAsia"/>
                      <w:b/>
                      <w:bCs/>
                      <w:szCs w:val="21"/>
                      <w:lang w:val="zh-CN"/>
                    </w:rPr>
                    <w:t>项目</w:t>
                  </w:r>
                </w:p>
              </w:tc>
              <w:tc>
                <w:tcPr>
                  <w:tcW w:w="1650" w:type="dxa"/>
                  <w:vMerge w:val="restart"/>
                  <w:tcBorders>
                    <w:tl2br w:val="nil"/>
                    <w:tr2bl w:val="nil"/>
                  </w:tcBorders>
                  <w:noWrap/>
                  <w:vAlign w:val="center"/>
                </w:tcPr>
                <w:p w14:paraId="6960ECFD">
                  <w:pPr>
                    <w:tabs>
                      <w:tab w:val="left" w:pos="2601"/>
                    </w:tabs>
                    <w:spacing w:line="320" w:lineRule="exact"/>
                    <w:jc w:val="center"/>
                    <w:rPr>
                      <w:rFonts w:hint="default" w:ascii="Times New Roman" w:hAnsi="Times New Roman" w:cs="Times New Roman" w:eastAsiaTheme="minorEastAsia"/>
                      <w:b/>
                      <w:bCs/>
                      <w:szCs w:val="21"/>
                      <w:lang w:val="zh-CN"/>
                    </w:rPr>
                  </w:pPr>
                  <w:r>
                    <w:rPr>
                      <w:rFonts w:hint="default" w:ascii="Times New Roman" w:hAnsi="Times New Roman" w:cs="Times New Roman" w:eastAsiaTheme="minorEastAsia"/>
                      <w:b/>
                      <w:bCs/>
                      <w:szCs w:val="21"/>
                      <w:lang w:val="zh-CN"/>
                    </w:rPr>
                    <w:t>浓度（均值）</w:t>
                  </w:r>
                </w:p>
              </w:tc>
              <w:tc>
                <w:tcPr>
                  <w:tcW w:w="1540" w:type="dxa"/>
                  <w:vMerge w:val="restart"/>
                  <w:tcBorders>
                    <w:tl2br w:val="nil"/>
                    <w:tr2bl w:val="nil"/>
                  </w:tcBorders>
                  <w:noWrap/>
                  <w:vAlign w:val="center"/>
                </w:tcPr>
                <w:p w14:paraId="2F88BEC2">
                  <w:pPr>
                    <w:tabs>
                      <w:tab w:val="left" w:pos="2601"/>
                    </w:tabs>
                    <w:spacing w:line="320" w:lineRule="exact"/>
                    <w:jc w:val="cente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平均时间</w:t>
                  </w:r>
                </w:p>
              </w:tc>
              <w:tc>
                <w:tcPr>
                  <w:tcW w:w="1323" w:type="dxa"/>
                  <w:tcBorders>
                    <w:tl2br w:val="nil"/>
                    <w:tr2bl w:val="nil"/>
                  </w:tcBorders>
                  <w:noWrap/>
                  <w:vAlign w:val="center"/>
                </w:tcPr>
                <w:p w14:paraId="68F16CCF">
                  <w:pPr>
                    <w:tabs>
                      <w:tab w:val="left" w:pos="2601"/>
                    </w:tabs>
                    <w:spacing w:line="320" w:lineRule="exact"/>
                    <w:jc w:val="center"/>
                    <w:rPr>
                      <w:rFonts w:hint="default" w:ascii="Times New Roman" w:hAnsi="Times New Roman" w:cs="Times New Roman" w:eastAsiaTheme="minorEastAsia"/>
                      <w:b/>
                      <w:bCs/>
                      <w:szCs w:val="21"/>
                      <w:lang w:val="zh-CN"/>
                    </w:rPr>
                  </w:pPr>
                  <w:r>
                    <w:rPr>
                      <w:rFonts w:hint="default" w:ascii="Times New Roman" w:hAnsi="Times New Roman" w:cs="Times New Roman" w:eastAsiaTheme="minorEastAsia"/>
                      <w:b/>
                      <w:bCs/>
                      <w:szCs w:val="21"/>
                      <w:lang w:val="zh-CN"/>
                    </w:rPr>
                    <w:t>标准限值</w:t>
                  </w:r>
                </w:p>
              </w:tc>
              <w:tc>
                <w:tcPr>
                  <w:tcW w:w="947" w:type="dxa"/>
                  <w:vMerge w:val="restart"/>
                  <w:tcBorders>
                    <w:tl2br w:val="nil"/>
                    <w:tr2bl w:val="nil"/>
                  </w:tcBorders>
                  <w:noWrap/>
                  <w:vAlign w:val="center"/>
                </w:tcPr>
                <w:p w14:paraId="74D2C762">
                  <w:pPr>
                    <w:tabs>
                      <w:tab w:val="left" w:pos="2601"/>
                    </w:tabs>
                    <w:spacing w:line="320" w:lineRule="exact"/>
                    <w:jc w:val="center"/>
                    <w:rPr>
                      <w:rFonts w:hint="default" w:ascii="Times New Roman" w:hAnsi="Times New Roman" w:cs="Times New Roman" w:eastAsiaTheme="minorEastAsia"/>
                      <w:b/>
                      <w:bCs/>
                      <w:szCs w:val="21"/>
                      <w:lang w:val="zh-CN"/>
                    </w:rPr>
                  </w:pPr>
                  <w:r>
                    <w:rPr>
                      <w:rFonts w:hint="default" w:ascii="Times New Roman" w:hAnsi="Times New Roman" w:cs="Times New Roman" w:eastAsiaTheme="minorEastAsia"/>
                      <w:b/>
                      <w:bCs/>
                      <w:szCs w:val="21"/>
                      <w:lang w:val="zh-CN"/>
                    </w:rPr>
                    <w:t>达标</w:t>
                  </w:r>
                </w:p>
                <w:p w14:paraId="4F6016B0">
                  <w:pPr>
                    <w:tabs>
                      <w:tab w:val="left" w:pos="2601"/>
                    </w:tabs>
                    <w:spacing w:line="320" w:lineRule="exact"/>
                    <w:jc w:val="center"/>
                    <w:rPr>
                      <w:rFonts w:hint="default" w:ascii="Times New Roman" w:hAnsi="Times New Roman" w:cs="Times New Roman" w:eastAsiaTheme="minorEastAsia"/>
                      <w:b/>
                      <w:bCs/>
                      <w:szCs w:val="21"/>
                      <w:lang w:val="zh-CN"/>
                    </w:rPr>
                  </w:pPr>
                  <w:r>
                    <w:rPr>
                      <w:rFonts w:hint="default" w:ascii="Times New Roman" w:hAnsi="Times New Roman" w:cs="Times New Roman" w:eastAsiaTheme="minorEastAsia"/>
                      <w:b/>
                      <w:bCs/>
                      <w:szCs w:val="21"/>
                      <w:lang w:val="zh-CN"/>
                    </w:rPr>
                    <w:t>情况</w:t>
                  </w:r>
                </w:p>
              </w:tc>
              <w:tc>
                <w:tcPr>
                  <w:tcW w:w="1022" w:type="dxa"/>
                  <w:vMerge w:val="restart"/>
                  <w:tcBorders>
                    <w:tl2br w:val="nil"/>
                    <w:tr2bl w:val="nil"/>
                  </w:tcBorders>
                  <w:noWrap/>
                  <w:vAlign w:val="center"/>
                </w:tcPr>
                <w:p w14:paraId="5344B1B9">
                  <w:pPr>
                    <w:tabs>
                      <w:tab w:val="left" w:pos="2601"/>
                    </w:tabs>
                    <w:spacing w:line="320" w:lineRule="exact"/>
                    <w:jc w:val="center"/>
                    <w:rPr>
                      <w:rFonts w:hint="default" w:ascii="Times New Roman" w:hAnsi="Times New Roman" w:cs="Times New Roman" w:eastAsiaTheme="minorEastAsia"/>
                      <w:b/>
                      <w:bCs/>
                      <w:szCs w:val="21"/>
                      <w:lang w:val="zh-CN"/>
                    </w:rPr>
                  </w:pPr>
                  <w:r>
                    <w:rPr>
                      <w:rFonts w:hint="default" w:ascii="Times New Roman" w:hAnsi="Times New Roman" w:cs="Times New Roman" w:eastAsiaTheme="minorEastAsia"/>
                      <w:b/>
                      <w:bCs/>
                      <w:szCs w:val="21"/>
                      <w:lang w:val="zh-CN"/>
                    </w:rPr>
                    <w:t>占标率（</w:t>
                  </w:r>
                  <w:r>
                    <w:rPr>
                      <w:rFonts w:hint="default" w:ascii="Times New Roman" w:hAnsi="Times New Roman" w:cs="Times New Roman" w:eastAsiaTheme="minorEastAsia"/>
                      <w:b/>
                      <w:bCs/>
                      <w:szCs w:val="21"/>
                    </w:rPr>
                    <w:t>%</w:t>
                  </w:r>
                  <w:r>
                    <w:rPr>
                      <w:rFonts w:hint="default" w:ascii="Times New Roman" w:hAnsi="Times New Roman" w:cs="Times New Roman" w:eastAsiaTheme="minorEastAsia"/>
                      <w:b/>
                      <w:bCs/>
                      <w:szCs w:val="21"/>
                      <w:lang w:val="zh-CN"/>
                    </w:rPr>
                    <w:t>）</w:t>
                  </w:r>
                </w:p>
              </w:tc>
            </w:tr>
            <w:tr w14:paraId="0129E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9" w:type="dxa"/>
                  <w:vMerge w:val="continue"/>
                  <w:tcBorders>
                    <w:tl2br w:val="nil"/>
                    <w:tr2bl w:val="nil"/>
                  </w:tcBorders>
                  <w:noWrap/>
                  <w:vAlign w:val="center"/>
                </w:tcPr>
                <w:p w14:paraId="19088DA6">
                  <w:pPr>
                    <w:tabs>
                      <w:tab w:val="left" w:pos="2601"/>
                    </w:tabs>
                    <w:spacing w:line="320" w:lineRule="exact"/>
                    <w:jc w:val="center"/>
                    <w:rPr>
                      <w:rFonts w:hint="default" w:ascii="Times New Roman" w:hAnsi="Times New Roman" w:cs="Times New Roman" w:eastAsiaTheme="minorEastAsia"/>
                      <w:szCs w:val="21"/>
                      <w:lang w:val="zh-CN"/>
                    </w:rPr>
                  </w:pPr>
                </w:p>
              </w:tc>
              <w:tc>
                <w:tcPr>
                  <w:tcW w:w="822" w:type="dxa"/>
                  <w:vMerge w:val="continue"/>
                  <w:tcBorders>
                    <w:tl2br w:val="nil"/>
                    <w:tr2bl w:val="nil"/>
                  </w:tcBorders>
                  <w:noWrap/>
                  <w:vAlign w:val="center"/>
                </w:tcPr>
                <w:p w14:paraId="08018727">
                  <w:pPr>
                    <w:tabs>
                      <w:tab w:val="left" w:pos="2601"/>
                    </w:tabs>
                    <w:spacing w:line="320" w:lineRule="exact"/>
                    <w:jc w:val="center"/>
                    <w:rPr>
                      <w:rFonts w:hint="default" w:ascii="Times New Roman" w:hAnsi="Times New Roman" w:cs="Times New Roman" w:eastAsiaTheme="minorEastAsia"/>
                      <w:szCs w:val="21"/>
                      <w:lang w:val="zh-CN"/>
                    </w:rPr>
                  </w:pPr>
                </w:p>
              </w:tc>
              <w:tc>
                <w:tcPr>
                  <w:tcW w:w="1650" w:type="dxa"/>
                  <w:vMerge w:val="continue"/>
                  <w:tcBorders>
                    <w:tl2br w:val="nil"/>
                    <w:tr2bl w:val="nil"/>
                  </w:tcBorders>
                  <w:noWrap/>
                  <w:vAlign w:val="center"/>
                </w:tcPr>
                <w:p w14:paraId="59738E6C">
                  <w:pPr>
                    <w:tabs>
                      <w:tab w:val="left" w:pos="2601"/>
                    </w:tabs>
                    <w:spacing w:line="320" w:lineRule="exact"/>
                    <w:jc w:val="center"/>
                    <w:rPr>
                      <w:rFonts w:hint="default" w:ascii="Times New Roman" w:hAnsi="Times New Roman" w:cs="Times New Roman" w:eastAsiaTheme="minorEastAsia"/>
                      <w:szCs w:val="21"/>
                      <w:lang w:val="zh-CN"/>
                    </w:rPr>
                  </w:pPr>
                </w:p>
              </w:tc>
              <w:tc>
                <w:tcPr>
                  <w:tcW w:w="1540" w:type="dxa"/>
                  <w:vMerge w:val="continue"/>
                  <w:tcBorders>
                    <w:tl2br w:val="nil"/>
                    <w:tr2bl w:val="nil"/>
                  </w:tcBorders>
                  <w:noWrap/>
                  <w:vAlign w:val="center"/>
                </w:tcPr>
                <w:p w14:paraId="65AC12D5">
                  <w:pPr>
                    <w:tabs>
                      <w:tab w:val="left" w:pos="2601"/>
                    </w:tabs>
                    <w:spacing w:line="320" w:lineRule="exact"/>
                    <w:jc w:val="center"/>
                    <w:rPr>
                      <w:rFonts w:hint="default" w:ascii="Times New Roman" w:hAnsi="Times New Roman" w:cs="Times New Roman" w:eastAsiaTheme="minorEastAsia"/>
                      <w:szCs w:val="21"/>
                      <w:lang w:val="zh-CN"/>
                    </w:rPr>
                  </w:pPr>
                </w:p>
              </w:tc>
              <w:tc>
                <w:tcPr>
                  <w:tcW w:w="1323" w:type="dxa"/>
                  <w:tcBorders>
                    <w:tl2br w:val="nil"/>
                    <w:tr2bl w:val="nil"/>
                  </w:tcBorders>
                  <w:noWrap/>
                  <w:vAlign w:val="center"/>
                </w:tcPr>
                <w:p w14:paraId="36C8252C">
                  <w:pPr>
                    <w:tabs>
                      <w:tab w:val="left" w:pos="2601"/>
                    </w:tabs>
                    <w:spacing w:line="320" w:lineRule="exact"/>
                    <w:jc w:val="center"/>
                    <w:rPr>
                      <w:rFonts w:hint="default" w:ascii="Times New Roman" w:hAnsi="Times New Roman" w:cs="Times New Roman" w:eastAsiaTheme="minorEastAsia"/>
                      <w:szCs w:val="21"/>
                      <w:lang w:val="zh-CN"/>
                    </w:rPr>
                  </w:pPr>
                  <w:r>
                    <w:rPr>
                      <w:rFonts w:hint="default" w:ascii="Times New Roman" w:hAnsi="Times New Roman" w:cs="Times New Roman" w:eastAsiaTheme="minorEastAsia"/>
                      <w:b/>
                      <w:bCs/>
                      <w:szCs w:val="21"/>
                      <w:lang w:val="zh-CN"/>
                    </w:rPr>
                    <w:t>二级</w:t>
                  </w:r>
                </w:p>
              </w:tc>
              <w:tc>
                <w:tcPr>
                  <w:tcW w:w="947" w:type="dxa"/>
                  <w:vMerge w:val="continue"/>
                  <w:tcBorders>
                    <w:tl2br w:val="nil"/>
                    <w:tr2bl w:val="nil"/>
                  </w:tcBorders>
                  <w:noWrap/>
                  <w:vAlign w:val="center"/>
                </w:tcPr>
                <w:p w14:paraId="0FD05EC2">
                  <w:pPr>
                    <w:tabs>
                      <w:tab w:val="left" w:pos="2601"/>
                    </w:tabs>
                    <w:spacing w:line="320" w:lineRule="exact"/>
                    <w:jc w:val="center"/>
                    <w:rPr>
                      <w:rFonts w:hint="default" w:ascii="Times New Roman" w:hAnsi="Times New Roman" w:cs="Times New Roman" w:eastAsiaTheme="minorEastAsia"/>
                      <w:szCs w:val="21"/>
                      <w:lang w:val="zh-CN"/>
                    </w:rPr>
                  </w:pPr>
                </w:p>
              </w:tc>
              <w:tc>
                <w:tcPr>
                  <w:tcW w:w="1022" w:type="dxa"/>
                  <w:vMerge w:val="continue"/>
                  <w:tcBorders>
                    <w:tl2br w:val="nil"/>
                    <w:tr2bl w:val="nil"/>
                  </w:tcBorders>
                  <w:noWrap/>
                  <w:vAlign w:val="center"/>
                </w:tcPr>
                <w:p w14:paraId="7BB5587E">
                  <w:pPr>
                    <w:tabs>
                      <w:tab w:val="left" w:pos="2601"/>
                    </w:tabs>
                    <w:spacing w:line="320" w:lineRule="exact"/>
                    <w:jc w:val="center"/>
                    <w:rPr>
                      <w:rFonts w:hint="default" w:ascii="Times New Roman" w:hAnsi="Times New Roman" w:cs="Times New Roman" w:eastAsiaTheme="minorEastAsia"/>
                      <w:szCs w:val="21"/>
                      <w:lang w:val="zh-CN"/>
                    </w:rPr>
                  </w:pPr>
                </w:p>
              </w:tc>
            </w:tr>
            <w:tr w14:paraId="3F02D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9" w:type="dxa"/>
                  <w:vMerge w:val="restart"/>
                  <w:tcBorders>
                    <w:tl2br w:val="nil"/>
                    <w:tr2bl w:val="nil"/>
                  </w:tcBorders>
                  <w:noWrap/>
                  <w:vAlign w:val="center"/>
                </w:tcPr>
                <w:p w14:paraId="201A3C00">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西安市西咸新</w:t>
                  </w:r>
                </w:p>
                <w:p w14:paraId="206D2D29">
                  <w:pPr>
                    <w:tabs>
                      <w:tab w:val="left" w:pos="2601"/>
                    </w:tabs>
                    <w:spacing w:line="320" w:lineRule="exact"/>
                    <w:jc w:val="center"/>
                    <w:rPr>
                      <w:rFonts w:hint="default" w:ascii="Times New Roman" w:hAnsi="Times New Roman" w:cs="Times New Roman" w:eastAsiaTheme="minorEastAsia"/>
                      <w:szCs w:val="21"/>
                      <w:lang w:val="zh-CN"/>
                    </w:rPr>
                  </w:pPr>
                  <w:r>
                    <w:rPr>
                      <w:rFonts w:hint="default" w:ascii="Times New Roman" w:hAnsi="Times New Roman" w:cs="Times New Roman" w:eastAsiaTheme="minorEastAsia"/>
                      <w:szCs w:val="21"/>
                    </w:rPr>
                    <w:t>区</w:t>
                  </w:r>
                </w:p>
              </w:tc>
              <w:tc>
                <w:tcPr>
                  <w:tcW w:w="822" w:type="dxa"/>
                  <w:tcBorders>
                    <w:tl2br w:val="nil"/>
                    <w:tr2bl w:val="nil"/>
                  </w:tcBorders>
                  <w:noWrap/>
                  <w:vAlign w:val="center"/>
                </w:tcPr>
                <w:p w14:paraId="549D4161">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PM</w:t>
                  </w:r>
                  <w:r>
                    <w:rPr>
                      <w:rFonts w:hint="default" w:ascii="Times New Roman" w:hAnsi="Times New Roman" w:cs="Times New Roman" w:eastAsiaTheme="minorEastAsia"/>
                      <w:szCs w:val="21"/>
                      <w:vertAlign w:val="subscript"/>
                    </w:rPr>
                    <w:t>10</w:t>
                  </w:r>
                </w:p>
              </w:tc>
              <w:tc>
                <w:tcPr>
                  <w:tcW w:w="1650" w:type="dxa"/>
                  <w:tcBorders>
                    <w:tl2br w:val="nil"/>
                    <w:tr2bl w:val="nil"/>
                  </w:tcBorders>
                  <w:noWrap/>
                  <w:vAlign w:val="center"/>
                </w:tcPr>
                <w:p w14:paraId="4188E321">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val="en-US" w:eastAsia="zh-CN"/>
                    </w:rPr>
                    <w:t>82</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1540" w:type="dxa"/>
                  <w:tcBorders>
                    <w:tl2br w:val="nil"/>
                    <w:tr2bl w:val="nil"/>
                  </w:tcBorders>
                  <w:noWrap/>
                  <w:vAlign w:val="center"/>
                </w:tcPr>
                <w:p w14:paraId="2D5F70F2">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年均值</w:t>
                  </w:r>
                </w:p>
              </w:tc>
              <w:tc>
                <w:tcPr>
                  <w:tcW w:w="1323" w:type="dxa"/>
                  <w:tcBorders>
                    <w:tl2br w:val="nil"/>
                    <w:tr2bl w:val="nil"/>
                  </w:tcBorders>
                  <w:noWrap/>
                  <w:vAlign w:val="center"/>
                </w:tcPr>
                <w:p w14:paraId="37E98222">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70</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947" w:type="dxa"/>
                  <w:tcBorders>
                    <w:tl2br w:val="nil"/>
                    <w:tr2bl w:val="nil"/>
                  </w:tcBorders>
                  <w:noWrap/>
                  <w:vAlign w:val="center"/>
                </w:tcPr>
                <w:p w14:paraId="437F1502">
                  <w:pPr>
                    <w:spacing w:line="320" w:lineRule="exact"/>
                    <w:jc w:val="center"/>
                    <w:rPr>
                      <w:rFonts w:hint="default" w:ascii="Times New Roman" w:hAnsi="Times New Roman" w:cs="Times New Roman" w:eastAsiaTheme="minorEastAsia"/>
                      <w:szCs w:val="21"/>
                      <w:lang w:val="zh-CN"/>
                    </w:rPr>
                  </w:pPr>
                  <w:r>
                    <w:rPr>
                      <w:rFonts w:hint="default" w:ascii="Times New Roman" w:hAnsi="Times New Roman" w:cs="Times New Roman" w:eastAsiaTheme="minorEastAsia"/>
                      <w:szCs w:val="21"/>
                      <w:lang w:val="zh-CN"/>
                    </w:rPr>
                    <w:t>不达标</w:t>
                  </w:r>
                </w:p>
              </w:tc>
              <w:tc>
                <w:tcPr>
                  <w:tcW w:w="1022" w:type="dxa"/>
                  <w:tcBorders>
                    <w:tl2br w:val="nil"/>
                    <w:tr2bl w:val="nil"/>
                  </w:tcBorders>
                  <w:noWrap/>
                  <w:vAlign w:val="center"/>
                </w:tcPr>
                <w:p w14:paraId="370E231B">
                  <w:pPr>
                    <w:tabs>
                      <w:tab w:val="left" w:pos="2601"/>
                    </w:tabs>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117.14%</w:t>
                  </w:r>
                </w:p>
              </w:tc>
            </w:tr>
            <w:tr w14:paraId="7035F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9" w:type="dxa"/>
                  <w:vMerge w:val="continue"/>
                  <w:tcBorders>
                    <w:tl2br w:val="nil"/>
                    <w:tr2bl w:val="nil"/>
                  </w:tcBorders>
                  <w:noWrap/>
                  <w:vAlign w:val="center"/>
                </w:tcPr>
                <w:p w14:paraId="14A1881C">
                  <w:pPr>
                    <w:tabs>
                      <w:tab w:val="left" w:pos="2601"/>
                    </w:tabs>
                    <w:spacing w:line="320" w:lineRule="exact"/>
                    <w:jc w:val="center"/>
                    <w:rPr>
                      <w:rFonts w:hint="default" w:ascii="Times New Roman" w:hAnsi="Times New Roman" w:cs="Times New Roman" w:eastAsiaTheme="minorEastAsia"/>
                      <w:szCs w:val="21"/>
                      <w:lang w:val="zh-CN"/>
                    </w:rPr>
                  </w:pPr>
                </w:p>
              </w:tc>
              <w:tc>
                <w:tcPr>
                  <w:tcW w:w="822" w:type="dxa"/>
                  <w:tcBorders>
                    <w:tl2br w:val="nil"/>
                    <w:tr2bl w:val="nil"/>
                  </w:tcBorders>
                  <w:noWrap/>
                  <w:vAlign w:val="center"/>
                </w:tcPr>
                <w:p w14:paraId="724D8AFD">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PM</w:t>
                  </w:r>
                  <w:r>
                    <w:rPr>
                      <w:rFonts w:hint="default" w:ascii="Times New Roman" w:hAnsi="Times New Roman" w:cs="Times New Roman" w:eastAsiaTheme="minorEastAsia"/>
                      <w:szCs w:val="21"/>
                      <w:vertAlign w:val="subscript"/>
                    </w:rPr>
                    <w:t>2.5</w:t>
                  </w:r>
                </w:p>
              </w:tc>
              <w:tc>
                <w:tcPr>
                  <w:tcW w:w="1650" w:type="dxa"/>
                  <w:tcBorders>
                    <w:tl2br w:val="nil"/>
                    <w:tr2bl w:val="nil"/>
                  </w:tcBorders>
                  <w:noWrap/>
                  <w:vAlign w:val="center"/>
                </w:tcPr>
                <w:p w14:paraId="64187A91">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48</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1540" w:type="dxa"/>
                  <w:tcBorders>
                    <w:tl2br w:val="nil"/>
                    <w:tr2bl w:val="nil"/>
                  </w:tcBorders>
                  <w:noWrap/>
                  <w:vAlign w:val="center"/>
                </w:tcPr>
                <w:p w14:paraId="0F5765CE">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年均值</w:t>
                  </w:r>
                </w:p>
              </w:tc>
              <w:tc>
                <w:tcPr>
                  <w:tcW w:w="1323" w:type="dxa"/>
                  <w:tcBorders>
                    <w:tl2br w:val="nil"/>
                    <w:tr2bl w:val="nil"/>
                  </w:tcBorders>
                  <w:noWrap/>
                  <w:vAlign w:val="center"/>
                </w:tcPr>
                <w:p w14:paraId="4BBE35E2">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35</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947" w:type="dxa"/>
                  <w:tcBorders>
                    <w:tl2br w:val="nil"/>
                    <w:tr2bl w:val="nil"/>
                  </w:tcBorders>
                  <w:noWrap/>
                  <w:vAlign w:val="center"/>
                </w:tcPr>
                <w:p w14:paraId="17212A74">
                  <w:pPr>
                    <w:spacing w:line="320" w:lineRule="exact"/>
                    <w:jc w:val="center"/>
                    <w:rPr>
                      <w:rFonts w:hint="default" w:ascii="Times New Roman" w:hAnsi="Times New Roman" w:cs="Times New Roman" w:eastAsiaTheme="minorEastAsia"/>
                      <w:szCs w:val="21"/>
                      <w:lang w:val="zh-CN"/>
                    </w:rPr>
                  </w:pPr>
                  <w:r>
                    <w:rPr>
                      <w:rFonts w:hint="default" w:ascii="Times New Roman" w:hAnsi="Times New Roman" w:cs="Times New Roman" w:eastAsiaTheme="minorEastAsia"/>
                      <w:szCs w:val="21"/>
                      <w:lang w:val="zh-CN"/>
                    </w:rPr>
                    <w:t>不达标</w:t>
                  </w:r>
                </w:p>
              </w:tc>
              <w:tc>
                <w:tcPr>
                  <w:tcW w:w="1022" w:type="dxa"/>
                  <w:tcBorders>
                    <w:tl2br w:val="nil"/>
                    <w:tr2bl w:val="nil"/>
                  </w:tcBorders>
                  <w:noWrap/>
                  <w:vAlign w:val="center"/>
                </w:tcPr>
                <w:p w14:paraId="57CB3E70">
                  <w:pPr>
                    <w:tabs>
                      <w:tab w:val="left" w:pos="2601"/>
                    </w:tabs>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137.14%</w:t>
                  </w:r>
                </w:p>
              </w:tc>
            </w:tr>
            <w:tr w14:paraId="63571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9" w:type="dxa"/>
                  <w:vMerge w:val="continue"/>
                  <w:tcBorders>
                    <w:tl2br w:val="nil"/>
                    <w:tr2bl w:val="nil"/>
                  </w:tcBorders>
                  <w:noWrap/>
                  <w:vAlign w:val="center"/>
                </w:tcPr>
                <w:p w14:paraId="6A3F5B53">
                  <w:pPr>
                    <w:tabs>
                      <w:tab w:val="left" w:pos="2601"/>
                    </w:tabs>
                    <w:spacing w:line="320" w:lineRule="exact"/>
                    <w:jc w:val="center"/>
                    <w:rPr>
                      <w:rFonts w:hint="default" w:ascii="Times New Roman" w:hAnsi="Times New Roman" w:cs="Times New Roman" w:eastAsiaTheme="minorEastAsia"/>
                      <w:szCs w:val="21"/>
                      <w:lang w:val="zh-CN"/>
                    </w:rPr>
                  </w:pPr>
                </w:p>
              </w:tc>
              <w:tc>
                <w:tcPr>
                  <w:tcW w:w="822" w:type="dxa"/>
                  <w:tcBorders>
                    <w:tl2br w:val="nil"/>
                    <w:tr2bl w:val="nil"/>
                  </w:tcBorders>
                  <w:noWrap/>
                  <w:vAlign w:val="center"/>
                </w:tcPr>
                <w:p w14:paraId="2E8B9F5C">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SO</w:t>
                  </w:r>
                  <w:r>
                    <w:rPr>
                      <w:rFonts w:hint="default" w:ascii="Times New Roman" w:hAnsi="Times New Roman" w:cs="Times New Roman" w:eastAsiaTheme="minorEastAsia"/>
                      <w:szCs w:val="21"/>
                      <w:vertAlign w:val="subscript"/>
                    </w:rPr>
                    <w:t>2</w:t>
                  </w:r>
                </w:p>
              </w:tc>
              <w:tc>
                <w:tcPr>
                  <w:tcW w:w="1650" w:type="dxa"/>
                  <w:tcBorders>
                    <w:tl2br w:val="nil"/>
                    <w:tr2bl w:val="nil"/>
                  </w:tcBorders>
                  <w:noWrap/>
                  <w:vAlign w:val="center"/>
                </w:tcPr>
                <w:p w14:paraId="64132B85">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7</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1540" w:type="dxa"/>
                  <w:tcBorders>
                    <w:tl2br w:val="nil"/>
                    <w:tr2bl w:val="nil"/>
                  </w:tcBorders>
                  <w:noWrap/>
                  <w:vAlign w:val="center"/>
                </w:tcPr>
                <w:p w14:paraId="74EA906B">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年均值</w:t>
                  </w:r>
                </w:p>
              </w:tc>
              <w:tc>
                <w:tcPr>
                  <w:tcW w:w="1323" w:type="dxa"/>
                  <w:tcBorders>
                    <w:tl2br w:val="nil"/>
                    <w:tr2bl w:val="nil"/>
                  </w:tcBorders>
                  <w:noWrap/>
                  <w:vAlign w:val="center"/>
                </w:tcPr>
                <w:p w14:paraId="3CBB2A9D">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60</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947" w:type="dxa"/>
                  <w:tcBorders>
                    <w:tl2br w:val="nil"/>
                    <w:tr2bl w:val="nil"/>
                  </w:tcBorders>
                  <w:noWrap/>
                  <w:vAlign w:val="center"/>
                </w:tcPr>
                <w:p w14:paraId="15B642CD">
                  <w:pPr>
                    <w:tabs>
                      <w:tab w:val="left" w:pos="2601"/>
                    </w:tabs>
                    <w:spacing w:line="320" w:lineRule="exact"/>
                    <w:jc w:val="center"/>
                    <w:rPr>
                      <w:rFonts w:hint="default" w:ascii="Times New Roman" w:hAnsi="Times New Roman" w:cs="Times New Roman" w:eastAsiaTheme="minorEastAsia"/>
                      <w:szCs w:val="21"/>
                      <w:lang w:val="zh-CN"/>
                    </w:rPr>
                  </w:pPr>
                  <w:r>
                    <w:rPr>
                      <w:rFonts w:hint="default" w:ascii="Times New Roman" w:hAnsi="Times New Roman" w:cs="Times New Roman" w:eastAsiaTheme="minorEastAsia"/>
                      <w:szCs w:val="21"/>
                      <w:lang w:val="zh-CN"/>
                    </w:rPr>
                    <w:t>达标</w:t>
                  </w:r>
                </w:p>
              </w:tc>
              <w:tc>
                <w:tcPr>
                  <w:tcW w:w="1022" w:type="dxa"/>
                  <w:tcBorders>
                    <w:tl2br w:val="nil"/>
                    <w:tr2bl w:val="nil"/>
                  </w:tcBorders>
                  <w:noWrap/>
                  <w:vAlign w:val="center"/>
                </w:tcPr>
                <w:p w14:paraId="699A8955">
                  <w:pPr>
                    <w:tabs>
                      <w:tab w:val="left" w:pos="2601"/>
                    </w:tabs>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11.67%</w:t>
                  </w:r>
                </w:p>
              </w:tc>
            </w:tr>
            <w:tr w14:paraId="49436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9" w:type="dxa"/>
                  <w:vMerge w:val="continue"/>
                  <w:tcBorders>
                    <w:tl2br w:val="nil"/>
                    <w:tr2bl w:val="nil"/>
                  </w:tcBorders>
                  <w:noWrap/>
                  <w:vAlign w:val="center"/>
                </w:tcPr>
                <w:p w14:paraId="4D7807C6">
                  <w:pPr>
                    <w:tabs>
                      <w:tab w:val="left" w:pos="2601"/>
                    </w:tabs>
                    <w:spacing w:line="320" w:lineRule="exact"/>
                    <w:jc w:val="center"/>
                    <w:rPr>
                      <w:rFonts w:hint="default" w:ascii="Times New Roman" w:hAnsi="Times New Roman" w:cs="Times New Roman" w:eastAsiaTheme="minorEastAsia"/>
                      <w:szCs w:val="21"/>
                      <w:lang w:val="zh-CN"/>
                    </w:rPr>
                  </w:pPr>
                </w:p>
              </w:tc>
              <w:tc>
                <w:tcPr>
                  <w:tcW w:w="822" w:type="dxa"/>
                  <w:tcBorders>
                    <w:tl2br w:val="nil"/>
                    <w:tr2bl w:val="nil"/>
                  </w:tcBorders>
                  <w:noWrap/>
                  <w:vAlign w:val="center"/>
                </w:tcPr>
                <w:p w14:paraId="5EA13E51">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NO</w:t>
                  </w:r>
                  <w:r>
                    <w:rPr>
                      <w:rFonts w:hint="default" w:ascii="Times New Roman" w:hAnsi="Times New Roman" w:cs="Times New Roman" w:eastAsiaTheme="minorEastAsia"/>
                      <w:szCs w:val="21"/>
                      <w:vertAlign w:val="subscript"/>
                    </w:rPr>
                    <w:t>2</w:t>
                  </w:r>
                </w:p>
              </w:tc>
              <w:tc>
                <w:tcPr>
                  <w:tcW w:w="1650" w:type="dxa"/>
                  <w:tcBorders>
                    <w:tl2br w:val="nil"/>
                    <w:tr2bl w:val="nil"/>
                  </w:tcBorders>
                  <w:noWrap/>
                  <w:vAlign w:val="center"/>
                </w:tcPr>
                <w:p w14:paraId="65FA8B43">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38</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1540" w:type="dxa"/>
                  <w:tcBorders>
                    <w:tl2br w:val="nil"/>
                    <w:tr2bl w:val="nil"/>
                  </w:tcBorders>
                  <w:noWrap/>
                  <w:vAlign w:val="center"/>
                </w:tcPr>
                <w:p w14:paraId="2D56E3E8">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年均值</w:t>
                  </w:r>
                </w:p>
              </w:tc>
              <w:tc>
                <w:tcPr>
                  <w:tcW w:w="1323" w:type="dxa"/>
                  <w:tcBorders>
                    <w:tl2br w:val="nil"/>
                    <w:tr2bl w:val="nil"/>
                  </w:tcBorders>
                  <w:noWrap/>
                  <w:vAlign w:val="center"/>
                </w:tcPr>
                <w:p w14:paraId="32A4C60F">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40</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947" w:type="dxa"/>
                  <w:tcBorders>
                    <w:tl2br w:val="nil"/>
                    <w:tr2bl w:val="nil"/>
                  </w:tcBorders>
                  <w:noWrap/>
                  <w:vAlign w:val="center"/>
                </w:tcPr>
                <w:p w14:paraId="70D41C45">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达标</w:t>
                  </w:r>
                </w:p>
              </w:tc>
              <w:tc>
                <w:tcPr>
                  <w:tcW w:w="1022" w:type="dxa"/>
                  <w:tcBorders>
                    <w:tl2br w:val="nil"/>
                    <w:tr2bl w:val="nil"/>
                  </w:tcBorders>
                  <w:noWrap/>
                  <w:vAlign w:val="center"/>
                </w:tcPr>
                <w:p w14:paraId="2CA82A98">
                  <w:pPr>
                    <w:tabs>
                      <w:tab w:val="left" w:pos="2601"/>
                    </w:tabs>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95.00%</w:t>
                  </w:r>
                </w:p>
              </w:tc>
            </w:tr>
            <w:tr w14:paraId="402DC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9" w:type="dxa"/>
                  <w:vMerge w:val="continue"/>
                  <w:tcBorders>
                    <w:tl2br w:val="nil"/>
                    <w:tr2bl w:val="nil"/>
                  </w:tcBorders>
                  <w:noWrap/>
                  <w:vAlign w:val="center"/>
                </w:tcPr>
                <w:p w14:paraId="5AEF4AAF">
                  <w:pPr>
                    <w:tabs>
                      <w:tab w:val="left" w:pos="2601"/>
                    </w:tabs>
                    <w:spacing w:line="320" w:lineRule="exact"/>
                    <w:jc w:val="center"/>
                    <w:rPr>
                      <w:rFonts w:hint="default" w:ascii="Times New Roman" w:hAnsi="Times New Roman" w:cs="Times New Roman" w:eastAsiaTheme="minorEastAsia"/>
                      <w:szCs w:val="21"/>
                      <w:lang w:val="zh-CN"/>
                    </w:rPr>
                  </w:pPr>
                </w:p>
              </w:tc>
              <w:tc>
                <w:tcPr>
                  <w:tcW w:w="822" w:type="dxa"/>
                  <w:tcBorders>
                    <w:tl2br w:val="nil"/>
                    <w:tr2bl w:val="nil"/>
                  </w:tcBorders>
                  <w:noWrap/>
                  <w:vAlign w:val="center"/>
                </w:tcPr>
                <w:p w14:paraId="22CEAFF5">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CO</w:t>
                  </w:r>
                </w:p>
              </w:tc>
              <w:tc>
                <w:tcPr>
                  <w:tcW w:w="1650" w:type="dxa"/>
                  <w:tcBorders>
                    <w:tl2br w:val="nil"/>
                    <w:tr2bl w:val="nil"/>
                  </w:tcBorders>
                  <w:noWrap/>
                  <w:vAlign w:val="center"/>
                </w:tcPr>
                <w:p w14:paraId="7DE32434">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w:t>
                  </w:r>
                  <w:r>
                    <w:rPr>
                      <w:rFonts w:hint="default" w:ascii="Times New Roman" w:hAnsi="Times New Roman" w:cs="Times New Roman" w:eastAsiaTheme="minorEastAsia"/>
                      <w:szCs w:val="21"/>
                      <w:lang w:val="en-US" w:eastAsia="zh-CN"/>
                    </w:rPr>
                    <w:t>.3</w:t>
                  </w:r>
                  <w:r>
                    <w:rPr>
                      <w:rFonts w:hint="default" w:ascii="Times New Roman" w:hAnsi="Times New Roman" w:cs="Times New Roman" w:eastAsiaTheme="minorEastAsia"/>
                      <w:szCs w:val="21"/>
                    </w:rPr>
                    <w:t>m</w:t>
                  </w:r>
                  <w:r>
                    <w:rPr>
                      <w:rFonts w:hint="default" w:ascii="Times New Roman" w:hAnsi="Times New Roman" w:cs="Times New Roman" w:eastAsiaTheme="minorEastAsia"/>
                      <w:szCs w:val="21"/>
                      <w:lang w:val="zh-CN"/>
                    </w:rPr>
                    <w:t>g/m</w:t>
                  </w:r>
                  <w:r>
                    <w:rPr>
                      <w:rFonts w:hint="default" w:ascii="Times New Roman" w:hAnsi="Times New Roman" w:cs="Times New Roman" w:eastAsiaTheme="minorEastAsia"/>
                      <w:szCs w:val="21"/>
                      <w:vertAlign w:val="superscript"/>
                    </w:rPr>
                    <w:t>3</w:t>
                  </w:r>
                  <w:r>
                    <w:rPr>
                      <w:rFonts w:hint="default" w:ascii="Times New Roman" w:hAnsi="Times New Roman" w:cs="Times New Roman" w:eastAsiaTheme="minorEastAsia"/>
                      <w:szCs w:val="21"/>
                    </w:rPr>
                    <w:t>（95位百分浓度）</w:t>
                  </w:r>
                </w:p>
              </w:tc>
              <w:tc>
                <w:tcPr>
                  <w:tcW w:w="1540" w:type="dxa"/>
                  <w:tcBorders>
                    <w:tl2br w:val="nil"/>
                    <w:tr2bl w:val="nil"/>
                  </w:tcBorders>
                  <w:noWrap/>
                  <w:vAlign w:val="center"/>
                </w:tcPr>
                <w:p w14:paraId="592A0D4B">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24小时平均</w:t>
                  </w:r>
                </w:p>
              </w:tc>
              <w:tc>
                <w:tcPr>
                  <w:tcW w:w="1323" w:type="dxa"/>
                  <w:tcBorders>
                    <w:tl2br w:val="nil"/>
                    <w:tr2bl w:val="nil"/>
                  </w:tcBorders>
                  <w:noWrap/>
                  <w:vAlign w:val="center"/>
                </w:tcPr>
                <w:p w14:paraId="5753BFDA">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4m</w:t>
                  </w:r>
                  <w:r>
                    <w:rPr>
                      <w:rFonts w:hint="default" w:ascii="Times New Roman" w:hAnsi="Times New Roman" w:cs="Times New Roman" w:eastAsiaTheme="minorEastAsia"/>
                      <w:szCs w:val="21"/>
                      <w:lang w:val="zh-CN"/>
                    </w:rPr>
                    <w:t>g/m</w:t>
                  </w:r>
                  <w:r>
                    <w:rPr>
                      <w:rFonts w:hint="default" w:ascii="Times New Roman" w:hAnsi="Times New Roman" w:cs="Times New Roman" w:eastAsiaTheme="minorEastAsia"/>
                      <w:szCs w:val="21"/>
                      <w:vertAlign w:val="superscript"/>
                    </w:rPr>
                    <w:t>3</w:t>
                  </w:r>
                </w:p>
              </w:tc>
              <w:tc>
                <w:tcPr>
                  <w:tcW w:w="947" w:type="dxa"/>
                  <w:tcBorders>
                    <w:tl2br w:val="nil"/>
                    <w:tr2bl w:val="nil"/>
                  </w:tcBorders>
                  <w:noWrap/>
                  <w:vAlign w:val="center"/>
                </w:tcPr>
                <w:p w14:paraId="3226B58C">
                  <w:pPr>
                    <w:tabs>
                      <w:tab w:val="left" w:pos="2601"/>
                    </w:tabs>
                    <w:spacing w:line="320" w:lineRule="exact"/>
                    <w:jc w:val="center"/>
                    <w:rPr>
                      <w:rFonts w:hint="default" w:ascii="Times New Roman" w:hAnsi="Times New Roman" w:cs="Times New Roman" w:eastAsiaTheme="minorEastAsia"/>
                      <w:szCs w:val="21"/>
                      <w:lang w:val="zh-CN"/>
                    </w:rPr>
                  </w:pPr>
                  <w:r>
                    <w:rPr>
                      <w:rFonts w:hint="default" w:ascii="Times New Roman" w:hAnsi="Times New Roman" w:cs="Times New Roman" w:eastAsiaTheme="minorEastAsia"/>
                      <w:szCs w:val="21"/>
                      <w:lang w:val="zh-CN"/>
                    </w:rPr>
                    <w:t>达标</w:t>
                  </w:r>
                </w:p>
              </w:tc>
              <w:tc>
                <w:tcPr>
                  <w:tcW w:w="1022" w:type="dxa"/>
                  <w:tcBorders>
                    <w:tl2br w:val="nil"/>
                    <w:tr2bl w:val="nil"/>
                  </w:tcBorders>
                  <w:noWrap/>
                  <w:vAlign w:val="center"/>
                </w:tcPr>
                <w:p w14:paraId="0D80BD54">
                  <w:pPr>
                    <w:tabs>
                      <w:tab w:val="left" w:pos="2601"/>
                    </w:tabs>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32.50%</w:t>
                  </w:r>
                </w:p>
              </w:tc>
            </w:tr>
            <w:tr w14:paraId="05FF8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9" w:type="dxa"/>
                  <w:vMerge w:val="continue"/>
                  <w:tcBorders>
                    <w:tl2br w:val="nil"/>
                    <w:tr2bl w:val="nil"/>
                  </w:tcBorders>
                  <w:noWrap/>
                  <w:vAlign w:val="center"/>
                </w:tcPr>
                <w:p w14:paraId="57A7373B">
                  <w:pPr>
                    <w:tabs>
                      <w:tab w:val="left" w:pos="2601"/>
                    </w:tabs>
                    <w:spacing w:line="320" w:lineRule="exact"/>
                    <w:jc w:val="center"/>
                    <w:rPr>
                      <w:rFonts w:hint="default" w:ascii="Times New Roman" w:hAnsi="Times New Roman" w:cs="Times New Roman" w:eastAsiaTheme="minorEastAsia"/>
                      <w:szCs w:val="21"/>
                      <w:lang w:val="zh-CN"/>
                    </w:rPr>
                  </w:pPr>
                </w:p>
              </w:tc>
              <w:tc>
                <w:tcPr>
                  <w:tcW w:w="822" w:type="dxa"/>
                  <w:tcBorders>
                    <w:tl2br w:val="nil"/>
                    <w:tr2bl w:val="nil"/>
                  </w:tcBorders>
                  <w:noWrap/>
                  <w:vAlign w:val="center"/>
                </w:tcPr>
                <w:p w14:paraId="1DB25BD6">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O</w:t>
                  </w:r>
                  <w:r>
                    <w:rPr>
                      <w:rFonts w:hint="default" w:ascii="Times New Roman" w:hAnsi="Times New Roman" w:cs="Times New Roman" w:eastAsiaTheme="minorEastAsia"/>
                      <w:szCs w:val="21"/>
                      <w:vertAlign w:val="subscript"/>
                    </w:rPr>
                    <w:t>3</w:t>
                  </w:r>
                </w:p>
              </w:tc>
              <w:tc>
                <w:tcPr>
                  <w:tcW w:w="1650" w:type="dxa"/>
                  <w:tcBorders>
                    <w:tl2br w:val="nil"/>
                    <w:tr2bl w:val="nil"/>
                  </w:tcBorders>
                  <w:noWrap/>
                  <w:vAlign w:val="center"/>
                </w:tcPr>
                <w:p w14:paraId="22706A80">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16</w:t>
                  </w:r>
                  <w:r>
                    <w:rPr>
                      <w:rFonts w:hint="default" w:ascii="Times New Roman" w:hAnsi="Times New Roman" w:cs="Times New Roman" w:eastAsiaTheme="minorEastAsia"/>
                      <w:szCs w:val="21"/>
                      <w:lang w:val="en-US" w:eastAsia="zh-CN"/>
                    </w:rPr>
                    <w:t>3</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r>
                    <w:rPr>
                      <w:rFonts w:hint="default" w:ascii="Times New Roman" w:hAnsi="Times New Roman" w:cs="Times New Roman" w:eastAsiaTheme="minorEastAsia"/>
                      <w:szCs w:val="21"/>
                    </w:rPr>
                    <w:t>（90位百分浓度）</w:t>
                  </w:r>
                </w:p>
              </w:tc>
              <w:tc>
                <w:tcPr>
                  <w:tcW w:w="1540" w:type="dxa"/>
                  <w:tcBorders>
                    <w:tl2br w:val="nil"/>
                    <w:tr2bl w:val="nil"/>
                  </w:tcBorders>
                  <w:noWrap/>
                  <w:vAlign w:val="center"/>
                </w:tcPr>
                <w:p w14:paraId="45B171CB">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日最大8小时平均</w:t>
                  </w:r>
                </w:p>
              </w:tc>
              <w:tc>
                <w:tcPr>
                  <w:tcW w:w="1323" w:type="dxa"/>
                  <w:tcBorders>
                    <w:tl2br w:val="nil"/>
                    <w:tr2bl w:val="nil"/>
                  </w:tcBorders>
                  <w:noWrap/>
                  <w:vAlign w:val="center"/>
                </w:tcPr>
                <w:p w14:paraId="5F7C8D0A">
                  <w:pPr>
                    <w:tabs>
                      <w:tab w:val="left" w:pos="2601"/>
                    </w:tabs>
                    <w:spacing w:line="32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160</w:t>
                  </w:r>
                  <w:r>
                    <w:rPr>
                      <w:rFonts w:hint="default" w:ascii="Times New Roman" w:hAnsi="Times New Roman" w:cs="Times New Roman" w:eastAsiaTheme="minorEastAsia"/>
                      <w:szCs w:val="21"/>
                      <w:lang w:val="zh-CN"/>
                    </w:rPr>
                    <w:t>µg/m</w:t>
                  </w:r>
                  <w:r>
                    <w:rPr>
                      <w:rFonts w:hint="default" w:ascii="Times New Roman" w:hAnsi="Times New Roman" w:cs="Times New Roman" w:eastAsiaTheme="minorEastAsia"/>
                      <w:szCs w:val="21"/>
                      <w:vertAlign w:val="superscript"/>
                    </w:rPr>
                    <w:t>3</w:t>
                  </w:r>
                </w:p>
              </w:tc>
              <w:tc>
                <w:tcPr>
                  <w:tcW w:w="947" w:type="dxa"/>
                  <w:tcBorders>
                    <w:tl2br w:val="nil"/>
                    <w:tr2bl w:val="nil"/>
                  </w:tcBorders>
                  <w:noWrap/>
                  <w:vAlign w:val="center"/>
                </w:tcPr>
                <w:p w14:paraId="2F473AAE">
                  <w:pPr>
                    <w:tabs>
                      <w:tab w:val="left" w:pos="2601"/>
                    </w:tabs>
                    <w:spacing w:line="320" w:lineRule="exact"/>
                    <w:jc w:val="center"/>
                    <w:rPr>
                      <w:rFonts w:hint="default" w:ascii="Times New Roman" w:hAnsi="Times New Roman" w:cs="Times New Roman" w:eastAsiaTheme="minorEastAsia"/>
                      <w:szCs w:val="21"/>
                      <w:lang w:val="zh-CN"/>
                    </w:rPr>
                  </w:pPr>
                  <w:r>
                    <w:rPr>
                      <w:rFonts w:hint="default" w:ascii="Times New Roman" w:hAnsi="Times New Roman" w:cs="Times New Roman" w:eastAsiaTheme="minorEastAsia"/>
                      <w:szCs w:val="21"/>
                      <w:lang w:val="zh-CN"/>
                    </w:rPr>
                    <w:t>不达标</w:t>
                  </w:r>
                </w:p>
              </w:tc>
              <w:tc>
                <w:tcPr>
                  <w:tcW w:w="1022" w:type="dxa"/>
                  <w:tcBorders>
                    <w:tl2br w:val="nil"/>
                    <w:tr2bl w:val="nil"/>
                  </w:tcBorders>
                  <w:noWrap/>
                  <w:vAlign w:val="center"/>
                </w:tcPr>
                <w:p w14:paraId="691FC3A3">
                  <w:pPr>
                    <w:tabs>
                      <w:tab w:val="left" w:pos="2601"/>
                    </w:tabs>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101.88%</w:t>
                  </w:r>
                </w:p>
              </w:tc>
            </w:tr>
          </w:tbl>
          <w:p w14:paraId="6A5831D4">
            <w:pPr>
              <w:pStyle w:val="45"/>
              <w:adjustRightInd/>
              <w:snapToGrid/>
              <w:spacing w:line="360" w:lineRule="auto"/>
              <w:ind w:firstLine="600" w:firstLineChars="25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rPr>
              <w:t>从表3-1中可以看出，</w:t>
            </w:r>
            <w:r>
              <w:rPr>
                <w:rFonts w:hint="default" w:ascii="Times New Roman" w:hAnsi="Times New Roman" w:cs="Times New Roman" w:eastAsiaTheme="minorEastAsia"/>
                <w:sz w:val="24"/>
                <w:szCs w:val="24"/>
              </w:rPr>
              <w:t>西咸新区环境空气中SO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、NO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年平均质量浓度和CO第95百分位数日平均质量浓度均可达到《环境空气质量标准》（GB3095-2012）及其修改单中二级标准要求；PM</w:t>
            </w:r>
            <w:r>
              <w:rPr>
                <w:rFonts w:hint="default" w:ascii="Times New Roman" w:hAnsi="Times New Roman" w:cs="Times New Roman" w:eastAsiaTheme="minorEastAsia"/>
                <w:sz w:val="24"/>
                <w:szCs w:val="24"/>
                <w:vertAlign w:val="subscript"/>
              </w:rPr>
              <w:t>10</w:t>
            </w:r>
            <w:r>
              <w:rPr>
                <w:rFonts w:hint="default" w:ascii="Times New Roman" w:hAnsi="Times New Roman" w:cs="Times New Roman" w:eastAsiaTheme="minorEastAsia"/>
                <w:sz w:val="24"/>
                <w:szCs w:val="24"/>
              </w:rPr>
              <w:t>、PM</w:t>
            </w:r>
            <w:r>
              <w:rPr>
                <w:rFonts w:hint="default" w:ascii="Times New Roman" w:hAnsi="Times New Roman" w:cs="Times New Roman" w:eastAsiaTheme="minorEastAsia"/>
                <w:sz w:val="24"/>
                <w:szCs w:val="24"/>
                <w:vertAlign w:val="subscript"/>
              </w:rPr>
              <w:t>2.5</w:t>
            </w:r>
            <w:r>
              <w:rPr>
                <w:rFonts w:hint="default" w:ascii="Times New Roman" w:hAnsi="Times New Roman" w:cs="Times New Roman" w:eastAsiaTheme="minorEastAsia"/>
                <w:sz w:val="24"/>
                <w:szCs w:val="24"/>
              </w:rPr>
              <w:t>年平均质量浓度、O</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rPr>
              <w:t>第90百分位数日最大8小时平均质量浓度超出《环境空气质量标准》（GB3095-2012）及其修改单中二级标准要求。因此，项目所在评价区域为不达标区。</w:t>
            </w:r>
          </w:p>
          <w:p w14:paraId="21462CF4">
            <w:pPr>
              <w:pStyle w:val="37"/>
              <w:numPr>
                <w:ilvl w:val="0"/>
                <w:numId w:val="0"/>
              </w:numPr>
              <w:adjustRightInd w:val="0"/>
              <w:snapToGrid w:val="0"/>
              <w:spacing w:line="360" w:lineRule="auto"/>
              <w:ind w:left="420" w:leftChars="0"/>
              <w:rPr>
                <w:rFonts w:hint="default" w:ascii="Times New Roman" w:hAnsi="Times New Roman" w:eastAsia="宋体" w:cs="Times New Roman"/>
                <w:kern w:val="0"/>
                <w:sz w:val="24"/>
                <w:szCs w:val="22"/>
                <w:lang w:val="en-US" w:eastAsia="zh-CN" w:bidi="ar-SA"/>
              </w:rPr>
            </w:pPr>
            <w:r>
              <w:rPr>
                <w:rFonts w:hint="eastAsia" w:ascii="Times New Roman" w:hAnsi="Times New Roman" w:cs="Times New Roman"/>
                <w:kern w:val="0"/>
                <w:sz w:val="24"/>
                <w:szCs w:val="22"/>
                <w:lang w:val="en-US" w:eastAsia="zh-CN" w:bidi="ar-SA"/>
              </w:rPr>
              <w:t>（2）</w:t>
            </w:r>
            <w:r>
              <w:rPr>
                <w:rFonts w:hint="eastAsia" w:ascii="Times New Roman" w:hAnsi="Times New Roman" w:eastAsia="宋体" w:cs="Times New Roman"/>
                <w:kern w:val="0"/>
                <w:sz w:val="24"/>
                <w:szCs w:val="22"/>
                <w:lang w:val="en-US" w:eastAsia="zh-CN" w:bidi="ar-SA"/>
              </w:rPr>
              <w:t>特征污染物环境质量现状</w:t>
            </w:r>
          </w:p>
          <w:p w14:paraId="6F8ABEA6">
            <w:pPr>
              <w:adjustRightInd w:val="0"/>
              <w:snapToGrid w:val="0"/>
              <w:spacing w:line="360" w:lineRule="auto"/>
              <w:ind w:firstLine="480" w:firstLineChars="200"/>
              <w:rPr>
                <w:rFonts w:hint="default" w:ascii="Times New Roman" w:hAnsi="Times New Roman" w:cs="Times New Roman"/>
                <w:kern w:val="0"/>
                <w:sz w:val="24"/>
              </w:rPr>
            </w:pPr>
            <w:r>
              <w:rPr>
                <w:rFonts w:hint="eastAsia" w:cs="宋体"/>
                <w:kern w:val="0"/>
                <w:sz w:val="24"/>
              </w:rPr>
              <w:t>本次环境空气特征因子</w:t>
            </w:r>
            <w:r>
              <w:rPr>
                <w:rFonts w:hint="default" w:ascii="Times New Roman" w:hAnsi="Times New Roman" w:cs="Times New Roman"/>
                <w:kern w:val="0"/>
                <w:sz w:val="24"/>
              </w:rPr>
              <w:t>现状监测引用</w:t>
            </w:r>
            <w:r>
              <w:rPr>
                <w:rFonts w:hint="eastAsia" w:ascii="Times New Roman" w:hAnsi="Times New Roman" w:cs="Times New Roman"/>
                <w:kern w:val="0"/>
                <w:sz w:val="24"/>
                <w:lang w:val="en-US" w:eastAsia="zh-CN"/>
              </w:rPr>
              <w:t>沣西新城鑫邦博新型材料厂</w:t>
            </w:r>
            <w:r>
              <w:rPr>
                <w:rFonts w:hint="default" w:ascii="Times New Roman" w:hAnsi="Times New Roman" w:cs="Times New Roman"/>
                <w:kern w:val="0"/>
                <w:sz w:val="24"/>
              </w:rPr>
              <w:t>于202</w:t>
            </w:r>
            <w:r>
              <w:rPr>
                <w:rFonts w:hint="eastAsia" w:ascii="Times New Roman" w:hAnsi="Times New Roman" w:cs="Times New Roman"/>
                <w:kern w:val="0"/>
                <w:sz w:val="24"/>
                <w:lang w:val="en-US" w:eastAsia="zh-CN"/>
              </w:rPr>
              <w:t>3</w:t>
            </w:r>
            <w:r>
              <w:rPr>
                <w:rFonts w:hint="default" w:ascii="Times New Roman" w:hAnsi="Times New Roman" w:cs="Times New Roman"/>
                <w:kern w:val="0"/>
                <w:sz w:val="24"/>
              </w:rPr>
              <w:t>年</w:t>
            </w:r>
            <w:r>
              <w:rPr>
                <w:rFonts w:hint="eastAsia" w:ascii="Times New Roman" w:hAnsi="Times New Roman" w:cs="Times New Roman"/>
                <w:kern w:val="0"/>
                <w:sz w:val="24"/>
                <w:lang w:val="en-US" w:eastAsia="zh-CN"/>
              </w:rPr>
              <w:t>10</w:t>
            </w:r>
            <w:r>
              <w:rPr>
                <w:rFonts w:hint="default" w:ascii="Times New Roman" w:hAnsi="Times New Roman" w:cs="Times New Roman"/>
                <w:kern w:val="0"/>
                <w:sz w:val="24"/>
              </w:rPr>
              <w:t>月1</w:t>
            </w:r>
            <w:r>
              <w:rPr>
                <w:rFonts w:hint="eastAsia" w:ascii="Times New Roman" w:hAnsi="Times New Roman" w:cs="Times New Roman"/>
                <w:kern w:val="0"/>
                <w:sz w:val="24"/>
                <w:lang w:val="en-US" w:eastAsia="zh-CN"/>
              </w:rPr>
              <w:t>4</w:t>
            </w:r>
            <w:r>
              <w:rPr>
                <w:rFonts w:hint="default" w:ascii="Times New Roman" w:hAnsi="Times New Roman" w:cs="Times New Roman"/>
                <w:kern w:val="0"/>
                <w:sz w:val="24"/>
              </w:rPr>
              <w:t>日</w:t>
            </w:r>
            <w:r>
              <w:rPr>
                <w:rFonts w:hint="eastAsia" w:ascii="Times New Roman" w:hAnsi="Times New Roman" w:cs="Times New Roman"/>
                <w:kern w:val="0"/>
                <w:sz w:val="24"/>
                <w:lang w:eastAsia="zh-CN"/>
              </w:rPr>
              <w:t>～</w:t>
            </w:r>
            <w:r>
              <w:rPr>
                <w:rFonts w:hint="default" w:ascii="Times New Roman" w:hAnsi="Times New Roman" w:cs="Times New Roman"/>
                <w:kern w:val="0"/>
                <w:sz w:val="24"/>
              </w:rPr>
              <w:t>202</w:t>
            </w:r>
            <w:r>
              <w:rPr>
                <w:rFonts w:hint="eastAsia" w:ascii="Times New Roman" w:hAnsi="Times New Roman" w:cs="Times New Roman"/>
                <w:kern w:val="0"/>
                <w:sz w:val="24"/>
                <w:lang w:val="en-US" w:eastAsia="zh-CN"/>
              </w:rPr>
              <w:t>3</w:t>
            </w:r>
            <w:r>
              <w:rPr>
                <w:rFonts w:hint="default" w:ascii="Times New Roman" w:hAnsi="Times New Roman" w:cs="Times New Roman"/>
                <w:kern w:val="0"/>
                <w:sz w:val="24"/>
              </w:rPr>
              <w:t>年</w:t>
            </w:r>
            <w:r>
              <w:rPr>
                <w:rFonts w:hint="eastAsia" w:ascii="Times New Roman" w:hAnsi="Times New Roman" w:cs="Times New Roman"/>
                <w:kern w:val="0"/>
                <w:sz w:val="24"/>
                <w:lang w:val="en-US" w:eastAsia="zh-CN"/>
              </w:rPr>
              <w:t>10</w:t>
            </w:r>
            <w:r>
              <w:rPr>
                <w:rFonts w:hint="default" w:ascii="Times New Roman" w:hAnsi="Times New Roman" w:cs="Times New Roman"/>
                <w:kern w:val="0"/>
                <w:sz w:val="24"/>
              </w:rPr>
              <w:t>月</w:t>
            </w:r>
            <w:r>
              <w:rPr>
                <w:rFonts w:hint="eastAsia" w:ascii="Times New Roman" w:hAnsi="Times New Roman" w:cs="Times New Roman"/>
                <w:kern w:val="0"/>
                <w:sz w:val="24"/>
                <w:lang w:val="en-US" w:eastAsia="zh-CN"/>
              </w:rPr>
              <w:t>17</w:t>
            </w:r>
            <w:r>
              <w:rPr>
                <w:rFonts w:hint="default" w:ascii="Times New Roman" w:hAnsi="Times New Roman" w:cs="Times New Roman"/>
                <w:kern w:val="0"/>
                <w:sz w:val="24"/>
              </w:rPr>
              <w:t>日对</w:t>
            </w:r>
            <w:r>
              <w:rPr>
                <w:rFonts w:hint="eastAsia" w:ascii="Times New Roman" w:hAnsi="Times New Roman" w:cs="Times New Roman"/>
                <w:kern w:val="0"/>
                <w:sz w:val="24"/>
                <w:lang w:val="en-US" w:eastAsia="zh-CN"/>
              </w:rPr>
              <w:t>沣西新城鑫邦博新型材料厂</w:t>
            </w:r>
            <w:r>
              <w:rPr>
                <w:rFonts w:hint="default" w:ascii="Times New Roman" w:hAnsi="Times New Roman" w:cs="Times New Roman"/>
                <w:kern w:val="0"/>
                <w:sz w:val="24"/>
              </w:rPr>
              <w:t>环境质量现状监测报告中的</w:t>
            </w:r>
            <w:r>
              <w:rPr>
                <w:rFonts w:hint="eastAsia" w:ascii="Times New Roman" w:hAnsi="Times New Roman" w:cs="Times New Roman"/>
                <w:kern w:val="0"/>
                <w:sz w:val="24"/>
                <w:lang w:val="en-US" w:eastAsia="zh-CN"/>
              </w:rPr>
              <w:t>总悬浮颗粒物（TSP）监测</w:t>
            </w:r>
            <w:r>
              <w:rPr>
                <w:rFonts w:hint="default" w:ascii="Times New Roman" w:hAnsi="Times New Roman" w:cs="Times New Roman"/>
                <w:kern w:val="0"/>
                <w:sz w:val="24"/>
              </w:rPr>
              <w:t>部分</w:t>
            </w:r>
            <w:r>
              <w:rPr>
                <w:rFonts w:hint="eastAsia" w:ascii="Times New Roman" w:hAnsi="Times New Roman" w:cs="Times New Roman"/>
                <w:kern w:val="0"/>
                <w:sz w:val="24"/>
                <w:lang w:eastAsia="zh-CN"/>
              </w:rPr>
              <w:t>（</w:t>
            </w:r>
            <w:r>
              <w:rPr>
                <w:rFonts w:hint="eastAsia" w:ascii="Times New Roman" w:hAnsi="Times New Roman" w:cs="Times New Roman"/>
                <w:kern w:val="0"/>
                <w:sz w:val="24"/>
                <w:lang w:val="en-US" w:eastAsia="zh-CN"/>
              </w:rPr>
              <w:t>见附件六</w:t>
            </w:r>
            <w:r>
              <w:rPr>
                <w:rFonts w:hint="eastAsia" w:ascii="Times New Roman" w:hAnsi="Times New Roman" w:cs="Times New Roman"/>
                <w:kern w:val="0"/>
                <w:sz w:val="24"/>
                <w:lang w:eastAsia="zh-CN"/>
              </w:rPr>
              <w:t>）</w:t>
            </w:r>
            <w:r>
              <w:rPr>
                <w:rFonts w:hint="default" w:ascii="Times New Roman" w:hAnsi="Times New Roman" w:cs="Times New Roman"/>
                <w:kern w:val="0"/>
                <w:sz w:val="24"/>
              </w:rPr>
              <w:t>。</w:t>
            </w:r>
          </w:p>
          <w:p w14:paraId="369F8E7F">
            <w:pPr>
              <w:adjustRightInd w:val="0"/>
              <w:snapToGrid w:val="0"/>
              <w:spacing w:line="360" w:lineRule="auto"/>
              <w:ind w:firstLine="480" w:firstLineChars="200"/>
              <w:rPr>
                <w:rFonts w:hint="eastAsia" w:ascii="Times New Roman" w:hAnsi="Times New Roman" w:cs="Times New Roman"/>
                <w:kern w:val="0"/>
                <w:sz w:val="24"/>
                <w:lang w:eastAsia="zh-CN"/>
              </w:rPr>
            </w:pPr>
            <w:r>
              <w:rPr>
                <w:rFonts w:hint="default" w:ascii="Times New Roman" w:hAnsi="Times New Roman" w:cs="Times New Roman"/>
                <w:kern w:val="0"/>
                <w:sz w:val="24"/>
              </w:rPr>
              <w:t>本次环境空气监测引用点位位于陕西省西安市鄂邑区西宝路与成余路十字南路西，引用报告监测点位位于本项目东</w:t>
            </w:r>
            <w:r>
              <w:rPr>
                <w:rFonts w:hint="default" w:ascii="Times New Roman" w:hAnsi="Times New Roman" w:cs="Times New Roman"/>
                <w:kern w:val="0"/>
                <w:sz w:val="24"/>
                <w:lang w:val="en-US" w:eastAsia="zh-CN"/>
              </w:rPr>
              <w:t>北</w:t>
            </w:r>
            <w:r>
              <w:rPr>
                <w:rFonts w:hint="default" w:ascii="Times New Roman" w:hAnsi="Times New Roman" w:cs="Times New Roman"/>
                <w:kern w:val="0"/>
                <w:sz w:val="24"/>
              </w:rPr>
              <w:t>侧，距本项目地</w:t>
            </w:r>
            <w:r>
              <w:rPr>
                <w:rFonts w:hint="default" w:ascii="Times New Roman" w:hAnsi="Times New Roman" w:cs="Times New Roman"/>
                <w:kern w:val="0"/>
                <w:sz w:val="24"/>
                <w:lang w:val="en-US" w:eastAsia="zh-CN"/>
              </w:rPr>
              <w:t>3</w:t>
            </w:r>
            <w:r>
              <w:rPr>
                <w:rFonts w:hint="default" w:ascii="Times New Roman" w:hAnsi="Times New Roman" w:cs="Times New Roman"/>
                <w:kern w:val="0"/>
                <w:sz w:val="24"/>
              </w:rPr>
              <w:t>m</w:t>
            </w:r>
            <w:r>
              <w:rPr>
                <w:rFonts w:hint="eastAsia" w:ascii="Times New Roman" w:hAnsi="Times New Roman" w:cs="Times New Roman"/>
                <w:kern w:val="0"/>
                <w:sz w:val="24"/>
                <w:lang w:eastAsia="zh-CN"/>
              </w:rPr>
              <w:t>（</w:t>
            </w:r>
            <w:r>
              <w:rPr>
                <w:rFonts w:hint="eastAsia" w:ascii="Times New Roman" w:hAnsi="Times New Roman" w:cs="Times New Roman"/>
                <w:kern w:val="0"/>
                <w:sz w:val="24"/>
                <w:lang w:val="en-US" w:eastAsia="zh-CN"/>
              </w:rPr>
              <w:t>见图3-1</w:t>
            </w:r>
            <w:r>
              <w:rPr>
                <w:rFonts w:hint="eastAsia" w:ascii="Times New Roman" w:hAnsi="Times New Roman" w:cs="Times New Roman"/>
                <w:kern w:val="0"/>
                <w:sz w:val="24"/>
                <w:lang w:eastAsia="zh-CN"/>
              </w:rPr>
              <w:t>）</w:t>
            </w:r>
            <w:r>
              <w:rPr>
                <w:rFonts w:hint="default" w:ascii="Times New Roman" w:hAnsi="Times New Roman" w:cs="Times New Roman"/>
                <w:kern w:val="0"/>
                <w:sz w:val="24"/>
              </w:rPr>
              <w:t>，监测时间为202</w:t>
            </w:r>
            <w:r>
              <w:rPr>
                <w:rFonts w:hint="eastAsia" w:ascii="Times New Roman" w:hAnsi="Times New Roman" w:cs="Times New Roman"/>
                <w:kern w:val="0"/>
                <w:sz w:val="24"/>
                <w:lang w:val="en-US" w:eastAsia="zh-CN"/>
              </w:rPr>
              <w:t>3</w:t>
            </w:r>
            <w:r>
              <w:rPr>
                <w:rFonts w:hint="default" w:ascii="Times New Roman" w:hAnsi="Times New Roman" w:cs="Times New Roman"/>
                <w:kern w:val="0"/>
                <w:sz w:val="24"/>
              </w:rPr>
              <w:t>年</w:t>
            </w:r>
            <w:r>
              <w:rPr>
                <w:rFonts w:hint="eastAsia" w:ascii="Times New Roman" w:hAnsi="Times New Roman" w:cs="Times New Roman"/>
                <w:kern w:val="0"/>
                <w:sz w:val="24"/>
                <w:lang w:val="en-US" w:eastAsia="zh-CN"/>
              </w:rPr>
              <w:t>10</w:t>
            </w:r>
            <w:r>
              <w:rPr>
                <w:rFonts w:hint="default" w:ascii="Times New Roman" w:hAnsi="Times New Roman" w:cs="Times New Roman"/>
                <w:kern w:val="0"/>
                <w:sz w:val="24"/>
              </w:rPr>
              <w:t>月1</w:t>
            </w:r>
            <w:r>
              <w:rPr>
                <w:rFonts w:hint="eastAsia" w:ascii="Times New Roman" w:hAnsi="Times New Roman" w:cs="Times New Roman"/>
                <w:kern w:val="0"/>
                <w:sz w:val="24"/>
                <w:lang w:val="en-US" w:eastAsia="zh-CN"/>
              </w:rPr>
              <w:t>4</w:t>
            </w:r>
            <w:r>
              <w:rPr>
                <w:rFonts w:hint="default" w:ascii="Times New Roman" w:hAnsi="Times New Roman" w:cs="Times New Roman"/>
                <w:kern w:val="0"/>
                <w:sz w:val="24"/>
              </w:rPr>
              <w:t>日</w:t>
            </w:r>
            <w:r>
              <w:rPr>
                <w:rFonts w:hint="eastAsia" w:ascii="Times New Roman" w:hAnsi="Times New Roman" w:cs="Times New Roman"/>
                <w:kern w:val="0"/>
                <w:sz w:val="24"/>
                <w:lang w:eastAsia="zh-CN"/>
              </w:rPr>
              <w:t>～</w:t>
            </w:r>
            <w:r>
              <w:rPr>
                <w:rFonts w:hint="default" w:ascii="Times New Roman" w:hAnsi="Times New Roman" w:cs="Times New Roman"/>
                <w:kern w:val="0"/>
                <w:sz w:val="24"/>
              </w:rPr>
              <w:t>202</w:t>
            </w:r>
            <w:r>
              <w:rPr>
                <w:rFonts w:hint="eastAsia" w:ascii="Times New Roman" w:hAnsi="Times New Roman" w:cs="Times New Roman"/>
                <w:kern w:val="0"/>
                <w:sz w:val="24"/>
                <w:lang w:val="en-US" w:eastAsia="zh-CN"/>
              </w:rPr>
              <w:t>3</w:t>
            </w:r>
            <w:r>
              <w:rPr>
                <w:rFonts w:hint="default" w:ascii="Times New Roman" w:hAnsi="Times New Roman" w:cs="Times New Roman"/>
                <w:kern w:val="0"/>
                <w:sz w:val="24"/>
              </w:rPr>
              <w:t>年</w:t>
            </w:r>
            <w:r>
              <w:rPr>
                <w:rFonts w:hint="eastAsia" w:ascii="Times New Roman" w:hAnsi="Times New Roman" w:cs="Times New Roman"/>
                <w:kern w:val="0"/>
                <w:sz w:val="24"/>
                <w:lang w:val="en-US" w:eastAsia="zh-CN"/>
              </w:rPr>
              <w:t>10</w:t>
            </w:r>
            <w:r>
              <w:rPr>
                <w:rFonts w:hint="default" w:ascii="Times New Roman" w:hAnsi="Times New Roman" w:cs="Times New Roman"/>
                <w:kern w:val="0"/>
                <w:sz w:val="24"/>
              </w:rPr>
              <w:t>月</w:t>
            </w:r>
            <w:r>
              <w:rPr>
                <w:rFonts w:hint="eastAsia" w:ascii="Times New Roman" w:hAnsi="Times New Roman" w:cs="Times New Roman"/>
                <w:kern w:val="0"/>
                <w:sz w:val="24"/>
                <w:lang w:val="en-US" w:eastAsia="zh-CN"/>
              </w:rPr>
              <w:t>17</w:t>
            </w:r>
            <w:r>
              <w:rPr>
                <w:rFonts w:hint="default" w:ascii="Times New Roman" w:hAnsi="Times New Roman" w:cs="Times New Roman"/>
                <w:kern w:val="0"/>
                <w:sz w:val="24"/>
              </w:rPr>
              <w:t>日，引用监测点位满足项目周边5km范围内近3年的要求，故本次引用的监测点位合理可行。具体监测点位基本信息及监测结果见表3-2</w:t>
            </w:r>
            <w:r>
              <w:rPr>
                <w:rFonts w:hint="eastAsia" w:ascii="Times New Roman" w:hAnsi="Times New Roman" w:cs="Times New Roman"/>
                <w:kern w:val="0"/>
                <w:sz w:val="24"/>
                <w:lang w:eastAsia="zh-CN"/>
              </w:rPr>
              <w:t>。</w:t>
            </w:r>
          </w:p>
          <w:p w14:paraId="18DD6AB2">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r>
              <w:drawing>
                <wp:anchor distT="0" distB="0" distL="114300" distR="114300" simplePos="0" relativeHeight="251666432" behindDoc="0" locked="0" layoutInCell="1" allowOverlap="1">
                  <wp:simplePos x="0" y="0"/>
                  <wp:positionH relativeFrom="column">
                    <wp:posOffset>828040</wp:posOffset>
                  </wp:positionH>
                  <wp:positionV relativeFrom="paragraph">
                    <wp:posOffset>5080</wp:posOffset>
                  </wp:positionV>
                  <wp:extent cx="3328035" cy="3198495"/>
                  <wp:effectExtent l="0" t="0" r="5715" b="1905"/>
                  <wp:wrapSquare wrapText="bothSides"/>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6"/>
                          <a:stretch>
                            <a:fillRect/>
                          </a:stretch>
                        </pic:blipFill>
                        <pic:spPr>
                          <a:xfrm>
                            <a:off x="0" y="0"/>
                            <a:ext cx="3328035" cy="3198495"/>
                          </a:xfrm>
                          <a:prstGeom prst="rect">
                            <a:avLst/>
                          </a:prstGeom>
                          <a:noFill/>
                          <a:ln>
                            <a:noFill/>
                          </a:ln>
                        </pic:spPr>
                      </pic:pic>
                    </a:graphicData>
                  </a:graphic>
                </wp:anchor>
              </w:drawing>
            </w:r>
          </w:p>
          <w:p w14:paraId="03161F79">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638AA6BD">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0C0EC435">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3228EF5D">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5CF778A3">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323443BE">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539ABA45">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00CB30F9">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76E921F3">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493C008A">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014755C2">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687E78CC">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7D3031B8">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31F6948A">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1EE56049">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41472E43">
            <w:pPr>
              <w:pStyle w:val="20"/>
              <w:ind w:left="0" w:leftChars="0" w:firstLine="0" w:firstLineChars="0"/>
              <w:jc w:val="center"/>
              <w:rPr>
                <w:rFonts w:hint="eastAsia" w:ascii="Times New Roman" w:hAnsi="Times New Roman" w:eastAsia="宋体" w:cs="Times New Roman"/>
                <w:b/>
                <w:kern w:val="0"/>
                <w:sz w:val="21"/>
                <w:szCs w:val="21"/>
                <w:lang w:val="en-US" w:eastAsia="zh-CN" w:bidi="ar-SA"/>
              </w:rPr>
            </w:pPr>
          </w:p>
          <w:p w14:paraId="3692A896">
            <w:pPr>
              <w:pStyle w:val="20"/>
              <w:ind w:left="0" w:leftChars="0" w:firstLine="0" w:firstLineChars="0"/>
              <w:jc w:val="center"/>
              <w:rPr>
                <w:rFonts w:hint="default" w:ascii="Times New Roman" w:hAnsi="Times New Roman" w:eastAsia="宋体" w:cs="Times New Roman"/>
                <w:b/>
                <w:kern w:val="0"/>
                <w:sz w:val="21"/>
                <w:szCs w:val="21"/>
                <w:lang w:val="en-US" w:eastAsia="zh-CN" w:bidi="ar-SA"/>
              </w:rPr>
            </w:pPr>
            <w:r>
              <w:rPr>
                <w:rFonts w:hint="eastAsia" w:ascii="Times New Roman" w:hAnsi="Times New Roman" w:eastAsia="宋体" w:cs="Times New Roman"/>
                <w:b/>
                <w:kern w:val="0"/>
                <w:sz w:val="21"/>
                <w:szCs w:val="21"/>
                <w:lang w:val="en-US" w:eastAsia="zh-CN" w:bidi="ar-SA"/>
              </w:rPr>
              <w:t>图3-1  本项目与沣西新城鑫邦博新型材料厂相对位置图</w:t>
            </w:r>
          </w:p>
          <w:p w14:paraId="4862FFBC">
            <w:pPr>
              <w:adjustRightInd w:val="0"/>
              <w:snapToGrid w:val="0"/>
              <w:spacing w:line="240" w:lineRule="auto"/>
              <w:jc w:val="center"/>
              <w:rPr>
                <w:rFonts w:hint="default" w:ascii="Times New Roman" w:hAnsi="Times New Roman" w:cs="Times New Roman"/>
                <w:b/>
                <w:bCs/>
                <w:kern w:val="0"/>
                <w:szCs w:val="21"/>
              </w:rPr>
            </w:pPr>
            <w:r>
              <w:rPr>
                <w:rFonts w:hint="default" w:ascii="Times New Roman" w:hAnsi="Times New Roman" w:cs="Times New Roman"/>
                <w:b/>
                <w:kern w:val="0"/>
                <w:szCs w:val="21"/>
              </w:rPr>
              <w:t>表3-2  环境空气质量（特征因子）现状监测结果</w:t>
            </w:r>
          </w:p>
          <w:tbl>
            <w:tblPr>
              <w:tblStyle w:val="25"/>
              <w:tblW w:w="79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992"/>
              <w:gridCol w:w="857"/>
              <w:gridCol w:w="688"/>
              <w:gridCol w:w="709"/>
              <w:gridCol w:w="992"/>
              <w:gridCol w:w="850"/>
              <w:gridCol w:w="1007"/>
              <w:gridCol w:w="729"/>
            </w:tblGrid>
            <w:tr w14:paraId="181CE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7EC93516">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监测点位</w:t>
                  </w:r>
                </w:p>
              </w:tc>
              <w:tc>
                <w:tcPr>
                  <w:tcW w:w="1849" w:type="dxa"/>
                  <w:gridSpan w:val="2"/>
                  <w:vAlign w:val="center"/>
                </w:tcPr>
                <w:p w14:paraId="4343032B">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监测点坐标</w:t>
                  </w:r>
                </w:p>
              </w:tc>
              <w:tc>
                <w:tcPr>
                  <w:tcW w:w="688" w:type="dxa"/>
                  <w:vMerge w:val="restart"/>
                  <w:vAlign w:val="center"/>
                </w:tcPr>
                <w:p w14:paraId="6849BE78">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监测因子</w:t>
                  </w:r>
                </w:p>
              </w:tc>
              <w:tc>
                <w:tcPr>
                  <w:tcW w:w="709" w:type="dxa"/>
                  <w:vMerge w:val="restart"/>
                  <w:vAlign w:val="center"/>
                </w:tcPr>
                <w:p w14:paraId="1D522AAE">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平均时间</w:t>
                  </w:r>
                </w:p>
              </w:tc>
              <w:tc>
                <w:tcPr>
                  <w:tcW w:w="992" w:type="dxa"/>
                  <w:vMerge w:val="restart"/>
                  <w:vAlign w:val="center"/>
                </w:tcPr>
                <w:p w14:paraId="3C1B8A93">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监测浓度范围μg/m</w:t>
                  </w:r>
                  <w:r>
                    <w:rPr>
                      <w:rFonts w:hint="default" w:ascii="Times New Roman" w:hAnsi="Times New Roman" w:cs="Times New Roman"/>
                      <w:b/>
                      <w:kern w:val="0"/>
                      <w:szCs w:val="21"/>
                      <w:vertAlign w:val="superscript"/>
                    </w:rPr>
                    <w:t>3</w:t>
                  </w:r>
                </w:p>
              </w:tc>
              <w:tc>
                <w:tcPr>
                  <w:tcW w:w="850" w:type="dxa"/>
                  <w:vMerge w:val="restart"/>
                  <w:vAlign w:val="center"/>
                </w:tcPr>
                <w:p w14:paraId="3D68A10D">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评价</w:t>
                  </w:r>
                </w:p>
                <w:p w14:paraId="3696149E">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标准μg/m</w:t>
                  </w:r>
                  <w:r>
                    <w:rPr>
                      <w:rFonts w:hint="default" w:ascii="Times New Roman" w:hAnsi="Times New Roman" w:cs="Times New Roman"/>
                      <w:b/>
                      <w:kern w:val="0"/>
                      <w:szCs w:val="21"/>
                      <w:vertAlign w:val="superscript"/>
                    </w:rPr>
                    <w:t>3</w:t>
                  </w:r>
                </w:p>
              </w:tc>
              <w:tc>
                <w:tcPr>
                  <w:tcW w:w="1007" w:type="dxa"/>
                  <w:vMerge w:val="restart"/>
                  <w:vAlign w:val="center"/>
                </w:tcPr>
                <w:p w14:paraId="6E3CAD15">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最大浓度占标率（%）</w:t>
                  </w:r>
                </w:p>
              </w:tc>
              <w:tc>
                <w:tcPr>
                  <w:tcW w:w="729" w:type="dxa"/>
                  <w:vMerge w:val="restart"/>
                  <w:vAlign w:val="center"/>
                </w:tcPr>
                <w:p w14:paraId="7080DC3C">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达标情况</w:t>
                  </w:r>
                </w:p>
              </w:tc>
            </w:tr>
            <w:tr w14:paraId="60F6C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5" w:type="dxa"/>
                  <w:vMerge w:val="continue"/>
                  <w:vAlign w:val="center"/>
                </w:tcPr>
                <w:p w14:paraId="463AB2CE">
                  <w:pPr>
                    <w:adjustRightInd w:val="0"/>
                    <w:snapToGrid w:val="0"/>
                    <w:jc w:val="center"/>
                    <w:rPr>
                      <w:rFonts w:hint="default" w:ascii="Times New Roman" w:hAnsi="Times New Roman" w:cs="Times New Roman"/>
                      <w:kern w:val="0"/>
                      <w:szCs w:val="21"/>
                    </w:rPr>
                  </w:pPr>
                </w:p>
              </w:tc>
              <w:tc>
                <w:tcPr>
                  <w:tcW w:w="992" w:type="dxa"/>
                  <w:vAlign w:val="center"/>
                </w:tcPr>
                <w:p w14:paraId="1E12C00A">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经度</w:t>
                  </w:r>
                </w:p>
              </w:tc>
              <w:tc>
                <w:tcPr>
                  <w:tcW w:w="857" w:type="dxa"/>
                  <w:vAlign w:val="center"/>
                </w:tcPr>
                <w:p w14:paraId="71D88D0A">
                  <w:pPr>
                    <w:adjustRightInd w:val="0"/>
                    <w:snapToGrid w:val="0"/>
                    <w:jc w:val="center"/>
                    <w:rPr>
                      <w:rFonts w:hint="default" w:ascii="Times New Roman" w:hAnsi="Times New Roman" w:cs="Times New Roman"/>
                      <w:b/>
                      <w:kern w:val="0"/>
                      <w:szCs w:val="21"/>
                    </w:rPr>
                  </w:pPr>
                  <w:r>
                    <w:rPr>
                      <w:rFonts w:hint="default" w:ascii="Times New Roman" w:hAnsi="Times New Roman" w:cs="Times New Roman"/>
                      <w:b/>
                      <w:kern w:val="0"/>
                      <w:szCs w:val="21"/>
                    </w:rPr>
                    <w:t>纬度</w:t>
                  </w:r>
                </w:p>
              </w:tc>
              <w:tc>
                <w:tcPr>
                  <w:tcW w:w="688" w:type="dxa"/>
                  <w:vMerge w:val="continue"/>
                  <w:vAlign w:val="center"/>
                </w:tcPr>
                <w:p w14:paraId="6A2A5E24">
                  <w:pPr>
                    <w:adjustRightInd w:val="0"/>
                    <w:snapToGrid w:val="0"/>
                    <w:jc w:val="center"/>
                    <w:rPr>
                      <w:rFonts w:hint="default" w:ascii="Times New Roman" w:hAnsi="Times New Roman" w:cs="Times New Roman"/>
                      <w:kern w:val="0"/>
                      <w:szCs w:val="21"/>
                    </w:rPr>
                  </w:pPr>
                </w:p>
              </w:tc>
              <w:tc>
                <w:tcPr>
                  <w:tcW w:w="709" w:type="dxa"/>
                  <w:vMerge w:val="continue"/>
                  <w:vAlign w:val="center"/>
                </w:tcPr>
                <w:p w14:paraId="78BF97B2">
                  <w:pPr>
                    <w:adjustRightInd w:val="0"/>
                    <w:snapToGrid w:val="0"/>
                    <w:jc w:val="center"/>
                    <w:rPr>
                      <w:rFonts w:hint="default" w:ascii="Times New Roman" w:hAnsi="Times New Roman" w:cs="Times New Roman"/>
                      <w:kern w:val="0"/>
                      <w:szCs w:val="21"/>
                    </w:rPr>
                  </w:pPr>
                </w:p>
              </w:tc>
              <w:tc>
                <w:tcPr>
                  <w:tcW w:w="992" w:type="dxa"/>
                  <w:vMerge w:val="continue"/>
                  <w:vAlign w:val="center"/>
                </w:tcPr>
                <w:p w14:paraId="60C3AF36">
                  <w:pPr>
                    <w:adjustRightInd w:val="0"/>
                    <w:snapToGrid w:val="0"/>
                    <w:jc w:val="center"/>
                    <w:rPr>
                      <w:rFonts w:hint="default" w:ascii="Times New Roman" w:hAnsi="Times New Roman" w:cs="Times New Roman"/>
                      <w:kern w:val="0"/>
                      <w:szCs w:val="21"/>
                    </w:rPr>
                  </w:pPr>
                </w:p>
              </w:tc>
              <w:tc>
                <w:tcPr>
                  <w:tcW w:w="850" w:type="dxa"/>
                  <w:vMerge w:val="continue"/>
                  <w:vAlign w:val="center"/>
                </w:tcPr>
                <w:p w14:paraId="76F92A05">
                  <w:pPr>
                    <w:adjustRightInd w:val="0"/>
                    <w:snapToGrid w:val="0"/>
                    <w:jc w:val="center"/>
                    <w:rPr>
                      <w:rFonts w:hint="default" w:ascii="Times New Roman" w:hAnsi="Times New Roman" w:cs="Times New Roman"/>
                      <w:kern w:val="0"/>
                      <w:szCs w:val="21"/>
                    </w:rPr>
                  </w:pPr>
                </w:p>
              </w:tc>
              <w:tc>
                <w:tcPr>
                  <w:tcW w:w="1007" w:type="dxa"/>
                  <w:vMerge w:val="continue"/>
                  <w:vAlign w:val="center"/>
                </w:tcPr>
                <w:p w14:paraId="44782AFD">
                  <w:pPr>
                    <w:adjustRightInd w:val="0"/>
                    <w:snapToGrid w:val="0"/>
                    <w:jc w:val="center"/>
                    <w:rPr>
                      <w:rFonts w:hint="default" w:ascii="Times New Roman" w:hAnsi="Times New Roman" w:cs="Times New Roman"/>
                      <w:kern w:val="0"/>
                      <w:szCs w:val="21"/>
                    </w:rPr>
                  </w:pPr>
                </w:p>
              </w:tc>
              <w:tc>
                <w:tcPr>
                  <w:tcW w:w="729" w:type="dxa"/>
                  <w:vMerge w:val="continue"/>
                  <w:vAlign w:val="center"/>
                </w:tcPr>
                <w:p w14:paraId="41E5E9C1">
                  <w:pPr>
                    <w:adjustRightInd w:val="0"/>
                    <w:snapToGrid w:val="0"/>
                    <w:jc w:val="center"/>
                    <w:rPr>
                      <w:rFonts w:hint="default" w:ascii="Times New Roman" w:hAnsi="Times New Roman" w:cs="Times New Roman"/>
                      <w:kern w:val="0"/>
                      <w:szCs w:val="21"/>
                    </w:rPr>
                  </w:pPr>
                </w:p>
              </w:tc>
            </w:tr>
            <w:tr w14:paraId="7FE54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135" w:type="dxa"/>
                  <w:vAlign w:val="center"/>
                </w:tcPr>
                <w:p w14:paraId="54626FC9">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项目所在地东</w:t>
                  </w:r>
                  <w:r>
                    <w:rPr>
                      <w:rFonts w:hint="default" w:ascii="Times New Roman" w:hAnsi="Times New Roman" w:cs="Times New Roman"/>
                      <w:kern w:val="0"/>
                      <w:szCs w:val="21"/>
                      <w:lang w:val="en-US" w:eastAsia="zh-CN"/>
                    </w:rPr>
                    <w:t>北</w:t>
                  </w:r>
                  <w:r>
                    <w:rPr>
                      <w:rFonts w:hint="default" w:ascii="Times New Roman" w:hAnsi="Times New Roman" w:cs="Times New Roman"/>
                      <w:kern w:val="0"/>
                      <w:szCs w:val="21"/>
                    </w:rPr>
                    <w:t>侧</w:t>
                  </w:r>
                  <w:r>
                    <w:rPr>
                      <w:rFonts w:hint="default" w:ascii="Times New Roman" w:hAnsi="Times New Roman" w:cs="Times New Roman"/>
                      <w:kern w:val="0"/>
                      <w:szCs w:val="21"/>
                      <w:lang w:val="en-US" w:eastAsia="zh-CN"/>
                    </w:rPr>
                    <w:t>3</w:t>
                  </w:r>
                  <w:r>
                    <w:rPr>
                      <w:rFonts w:hint="default" w:ascii="Times New Roman" w:hAnsi="Times New Roman" w:cs="Times New Roman"/>
                      <w:kern w:val="0"/>
                      <w:sz w:val="24"/>
                    </w:rPr>
                    <w:t>m</w:t>
                  </w:r>
                  <w:r>
                    <w:rPr>
                      <w:rFonts w:hint="default" w:ascii="Times New Roman" w:hAnsi="Times New Roman" w:cs="Times New Roman"/>
                      <w:kern w:val="0"/>
                      <w:szCs w:val="21"/>
                    </w:rPr>
                    <w:t>处</w:t>
                  </w:r>
                </w:p>
              </w:tc>
              <w:tc>
                <w:tcPr>
                  <w:tcW w:w="992" w:type="dxa"/>
                  <w:vAlign w:val="center"/>
                </w:tcPr>
                <w:p w14:paraId="76983274">
                  <w:pPr>
                    <w:adjustRightInd w:val="0"/>
                    <w:snapToGrid w:val="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108°37′40″</w:t>
                  </w:r>
                </w:p>
              </w:tc>
              <w:tc>
                <w:tcPr>
                  <w:tcW w:w="857" w:type="dxa"/>
                  <w:vAlign w:val="center"/>
                </w:tcPr>
                <w:p w14:paraId="3432FEC3">
                  <w:pPr>
                    <w:adjustRightInd w:val="0"/>
                    <w:snapToGrid w:val="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34°11′19″</w:t>
                  </w:r>
                </w:p>
              </w:tc>
              <w:tc>
                <w:tcPr>
                  <w:tcW w:w="688" w:type="dxa"/>
                  <w:vAlign w:val="center"/>
                </w:tcPr>
                <w:p w14:paraId="511A78E2">
                  <w:pPr>
                    <w:adjustRightInd w:val="0"/>
                    <w:snapToGrid w:val="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TSP</w:t>
                  </w:r>
                </w:p>
              </w:tc>
              <w:tc>
                <w:tcPr>
                  <w:tcW w:w="709" w:type="dxa"/>
                  <w:vAlign w:val="center"/>
                </w:tcPr>
                <w:p w14:paraId="07BEE78B">
                  <w:pPr>
                    <w:adjustRightInd w:val="0"/>
                    <w:snapToGrid w:val="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24小时平均值</w:t>
                  </w:r>
                </w:p>
              </w:tc>
              <w:tc>
                <w:tcPr>
                  <w:tcW w:w="992" w:type="dxa"/>
                  <w:vAlign w:val="center"/>
                </w:tcPr>
                <w:p w14:paraId="0DC204C0">
                  <w:pPr>
                    <w:adjustRightInd w:val="0"/>
                    <w:snapToGrid w:val="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28.3~43</w:t>
                  </w:r>
                </w:p>
              </w:tc>
              <w:tc>
                <w:tcPr>
                  <w:tcW w:w="850" w:type="dxa"/>
                  <w:vAlign w:val="center"/>
                </w:tcPr>
                <w:p w14:paraId="2E82078F">
                  <w:pPr>
                    <w:adjustRightInd w:val="0"/>
                    <w:snapToGrid w:val="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300</w:t>
                  </w:r>
                </w:p>
              </w:tc>
              <w:tc>
                <w:tcPr>
                  <w:tcW w:w="1007" w:type="dxa"/>
                  <w:vAlign w:val="center"/>
                </w:tcPr>
                <w:p w14:paraId="706C63D1">
                  <w:pPr>
                    <w:adjustRightInd w:val="0"/>
                    <w:snapToGrid w:val="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14.33%</w:t>
                  </w:r>
                </w:p>
              </w:tc>
              <w:tc>
                <w:tcPr>
                  <w:tcW w:w="729" w:type="dxa"/>
                  <w:vAlign w:val="center"/>
                </w:tcPr>
                <w:p w14:paraId="6638AE7B">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达标</w:t>
                  </w:r>
                </w:p>
              </w:tc>
            </w:tr>
          </w:tbl>
          <w:p w14:paraId="699EB04B">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根据现状监测结果，项目所在区域TSP的24小时平均浓度满足《环境空气质量标准》（GB3095-2012）表2中二级标准。</w:t>
            </w:r>
          </w:p>
          <w:p w14:paraId="3004F9FF">
            <w:pPr>
              <w:numPr>
                <w:ilvl w:val="0"/>
                <w:numId w:val="0"/>
              </w:numPr>
              <w:adjustRightInd w:val="0"/>
              <w:snapToGrid w:val="0"/>
              <w:spacing w:line="360" w:lineRule="auto"/>
              <w:rPr>
                <w:rFonts w:hint="eastAsia" w:ascii="Times New Roman" w:hAnsi="Times New Roman" w:eastAsia="宋体" w:cs="Times New Roman"/>
                <w:b/>
                <w:bCs/>
                <w:kern w:val="0"/>
                <w:sz w:val="24"/>
                <w:szCs w:val="22"/>
                <w:lang w:val="en-US" w:eastAsia="zh-CN" w:bidi="ar-SA"/>
              </w:rPr>
            </w:pPr>
            <w:r>
              <w:rPr>
                <w:rFonts w:hint="eastAsia" w:ascii="Times New Roman" w:hAnsi="Times New Roman" w:cs="Times New Roman"/>
                <w:b/>
                <w:bCs/>
                <w:kern w:val="0"/>
                <w:sz w:val="24"/>
                <w:szCs w:val="22"/>
                <w:lang w:val="en-US" w:eastAsia="zh-CN" w:bidi="ar-SA"/>
              </w:rPr>
              <w:t>2.</w:t>
            </w:r>
            <w:r>
              <w:rPr>
                <w:rFonts w:hint="eastAsia" w:ascii="Times New Roman" w:hAnsi="Times New Roman" w:eastAsia="宋体" w:cs="Times New Roman"/>
                <w:b/>
                <w:bCs/>
                <w:kern w:val="0"/>
                <w:sz w:val="24"/>
                <w:szCs w:val="22"/>
                <w:lang w:val="en-US" w:eastAsia="zh-CN" w:bidi="ar-SA"/>
              </w:rPr>
              <w:t>地表水环境质量现状</w:t>
            </w:r>
          </w:p>
          <w:p w14:paraId="56397E48">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本项目附近无地表水环境保护目标，无需进行现状监测。</w:t>
            </w:r>
          </w:p>
          <w:p w14:paraId="171D559E">
            <w:pPr>
              <w:spacing w:line="353" w:lineRule="auto"/>
              <w:rPr>
                <w:rFonts w:hint="default" w:ascii="Times New Roman" w:hAnsi="Times New Roman" w:eastAsia="宋体" w:cs="Times New Roman"/>
                <w:b/>
                <w:bCs w:val="0"/>
                <w:kern w:val="2"/>
                <w:sz w:val="24"/>
                <w:szCs w:val="22"/>
                <w:lang w:val="en-US" w:eastAsia="zh-CN" w:bidi="ar-SA"/>
              </w:rPr>
            </w:pPr>
            <w:r>
              <w:rPr>
                <w:rFonts w:hint="eastAsia" w:ascii="Times New Roman" w:hAnsi="Times New Roman" w:eastAsia="宋体" w:cs="Times New Roman"/>
                <w:b/>
                <w:bCs w:val="0"/>
                <w:kern w:val="2"/>
                <w:sz w:val="24"/>
                <w:szCs w:val="22"/>
                <w:lang w:val="en-US" w:eastAsia="zh-CN" w:bidi="ar-SA"/>
              </w:rPr>
              <w:t>3</w:t>
            </w:r>
            <w:r>
              <w:rPr>
                <w:rFonts w:hint="eastAsia" w:ascii="Times New Roman" w:hAnsi="Times New Roman" w:cs="Times New Roman"/>
                <w:b/>
                <w:bCs w:val="0"/>
                <w:kern w:val="2"/>
                <w:sz w:val="24"/>
                <w:szCs w:val="22"/>
                <w:lang w:val="en-US" w:eastAsia="zh-CN" w:bidi="ar-SA"/>
              </w:rPr>
              <w:t>.</w:t>
            </w:r>
            <w:r>
              <w:rPr>
                <w:rFonts w:hint="eastAsia" w:ascii="Times New Roman" w:hAnsi="Times New Roman" w:eastAsia="宋体" w:cs="Times New Roman"/>
                <w:b/>
                <w:bCs w:val="0"/>
                <w:kern w:val="2"/>
                <w:sz w:val="24"/>
                <w:szCs w:val="22"/>
                <w:lang w:val="en-US" w:eastAsia="zh-CN" w:bidi="ar-SA"/>
              </w:rPr>
              <w:t>声环境质量现状</w:t>
            </w:r>
          </w:p>
          <w:p w14:paraId="2094DF7C">
            <w:pPr>
              <w:spacing w:line="360" w:lineRule="auto"/>
              <w:ind w:firstLine="480" w:firstLineChars="200"/>
              <w:rPr>
                <w:rFonts w:hint="eastAsia" w:ascii="Times New Roman" w:hAnsi="Times New Roman" w:eastAsia="宋体" w:cs="Times New Roman"/>
                <w:bCs/>
                <w:kern w:val="2"/>
                <w:sz w:val="24"/>
                <w:szCs w:val="22"/>
                <w:lang w:val="en-US" w:eastAsia="zh-CN" w:bidi="ar-SA"/>
              </w:rPr>
            </w:pPr>
            <w:r>
              <w:rPr>
                <w:rFonts w:hint="eastAsia" w:ascii="Times New Roman" w:hAnsi="Times New Roman" w:eastAsia="宋体" w:cs="Times New Roman"/>
                <w:bCs/>
                <w:kern w:val="2"/>
                <w:sz w:val="24"/>
                <w:szCs w:val="22"/>
                <w:lang w:val="en-US" w:eastAsia="zh-CN" w:bidi="ar-SA"/>
              </w:rPr>
              <w:t>根据《建设项目环境影响报告表编制技术指南（污染影响</w:t>
            </w:r>
            <w:r>
              <w:rPr>
                <w:rFonts w:hint="eastAsia" w:ascii="Times New Roman" w:hAnsi="Times New Roman" w:cs="Times New Roman"/>
                <w:bCs/>
                <w:kern w:val="2"/>
                <w:sz w:val="24"/>
                <w:szCs w:val="22"/>
                <w:lang w:val="en-US" w:eastAsia="zh-CN" w:bidi="ar-SA"/>
              </w:rPr>
              <w:t>类</w:t>
            </w:r>
            <w:r>
              <w:rPr>
                <w:rFonts w:hint="eastAsia" w:ascii="Times New Roman" w:hAnsi="Times New Roman" w:eastAsia="宋体" w:cs="Times New Roman"/>
                <w:bCs/>
                <w:kern w:val="2"/>
                <w:sz w:val="24"/>
                <w:szCs w:val="22"/>
                <w:lang w:val="en-US" w:eastAsia="zh-CN" w:bidi="ar-SA"/>
              </w:rPr>
              <w:t>）》（2021年版）中声环境评价要求，对厂界周边50m范围内的声环境保护目标进行监测。根据现场踏勘，本项目附近50m范围内无声环境保护目标，无需进行现状监测。</w:t>
            </w:r>
          </w:p>
          <w:p w14:paraId="421C1C33">
            <w:pPr>
              <w:numPr>
                <w:ilvl w:val="0"/>
                <w:numId w:val="0"/>
              </w:numPr>
              <w:spacing w:line="360" w:lineRule="auto"/>
              <w:ind w:leftChars="0"/>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cs="Times New Roman"/>
                <w:b/>
                <w:bCs w:val="0"/>
                <w:kern w:val="2"/>
                <w:sz w:val="24"/>
                <w:szCs w:val="22"/>
                <w:lang w:val="en-US" w:eastAsia="zh-CN" w:bidi="ar-SA"/>
              </w:rPr>
              <w:t>4.</w:t>
            </w:r>
            <w:r>
              <w:rPr>
                <w:rFonts w:hint="eastAsia" w:ascii="Times New Roman" w:hAnsi="Times New Roman" w:eastAsia="宋体" w:cs="Times New Roman"/>
                <w:b/>
                <w:bCs w:val="0"/>
                <w:kern w:val="2"/>
                <w:sz w:val="24"/>
                <w:szCs w:val="22"/>
                <w:lang w:val="en-US" w:eastAsia="zh-CN" w:bidi="ar-SA"/>
              </w:rPr>
              <w:t>生态环境</w:t>
            </w:r>
          </w:p>
          <w:p w14:paraId="190F95A2">
            <w:pPr>
              <w:numPr>
                <w:ilvl w:val="0"/>
                <w:numId w:val="0"/>
              </w:numPr>
              <w:spacing w:line="360" w:lineRule="auto"/>
              <w:ind w:leftChars="0" w:firstLine="480" w:firstLineChars="200"/>
              <w:rPr>
                <w:rFonts w:hint="eastAsia" w:cs="宋体"/>
                <w:kern w:val="0"/>
                <w:sz w:val="24"/>
              </w:rPr>
            </w:pPr>
            <w:r>
              <w:rPr>
                <w:rFonts w:hint="eastAsia" w:cs="宋体"/>
                <w:kern w:val="0"/>
                <w:sz w:val="24"/>
              </w:rPr>
              <w:t>本项目依托现有厂房，建设项目无新增用地且用地范围内不含生态环境保护目标，本次评价不做生态环境现状调查。</w:t>
            </w:r>
          </w:p>
          <w:p w14:paraId="75886082">
            <w:pPr>
              <w:numPr>
                <w:ilvl w:val="0"/>
                <w:numId w:val="0"/>
              </w:numPr>
              <w:spacing w:line="360" w:lineRule="auto"/>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cs="Times New Roman"/>
                <w:b/>
                <w:bCs w:val="0"/>
                <w:kern w:val="2"/>
                <w:sz w:val="24"/>
                <w:szCs w:val="22"/>
                <w:lang w:val="en-US" w:eastAsia="zh-CN" w:bidi="ar-SA"/>
              </w:rPr>
              <w:t>5.</w:t>
            </w:r>
            <w:r>
              <w:rPr>
                <w:rFonts w:hint="eastAsia" w:ascii="Times New Roman" w:hAnsi="Times New Roman" w:eastAsia="宋体" w:cs="Times New Roman"/>
                <w:b/>
                <w:bCs w:val="0"/>
                <w:kern w:val="2"/>
                <w:sz w:val="24"/>
                <w:szCs w:val="22"/>
                <w:lang w:val="en-US" w:eastAsia="zh-CN" w:bidi="ar-SA"/>
              </w:rPr>
              <w:t>地下水、土壤</w:t>
            </w:r>
          </w:p>
          <w:p w14:paraId="209CC84A">
            <w:pPr>
              <w:numPr>
                <w:ilvl w:val="0"/>
                <w:numId w:val="0"/>
              </w:numPr>
              <w:spacing w:line="360" w:lineRule="auto"/>
              <w:ind w:firstLine="480" w:firstLineChars="200"/>
              <w:rPr>
                <w:rFonts w:cs="宋体"/>
                <w:kern w:val="0"/>
                <w:szCs w:val="21"/>
              </w:rPr>
            </w:pPr>
            <w:r>
              <w:rPr>
                <w:rFonts w:hint="eastAsia" w:ascii="Times New Roman" w:hAnsi="Times New Roman" w:cs="宋体"/>
                <w:color w:val="auto"/>
                <w:kern w:val="0"/>
                <w:sz w:val="24"/>
              </w:rPr>
              <w:t>本项目用地范围内已全部硬化，不存在地下水、土壤环境污染途径，不涉及土壤、地下水环境敏感目标，本次评价不做土壤、地下水环境质量现状调查。</w:t>
            </w:r>
          </w:p>
        </w:tc>
      </w:tr>
      <w:tr w14:paraId="4ED12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800" w:type="dxa"/>
            <w:tcBorders>
              <w:tl2br w:val="nil"/>
              <w:tr2bl w:val="nil"/>
            </w:tcBorders>
            <w:vAlign w:val="center"/>
          </w:tcPr>
          <w:p w14:paraId="35A1E8FB">
            <w:pPr>
              <w:adjustRightInd w:val="0"/>
              <w:snapToGrid w:val="0"/>
              <w:jc w:val="center"/>
              <w:rPr>
                <w:rFonts w:cs="宋体"/>
                <w:kern w:val="0"/>
                <w:szCs w:val="21"/>
              </w:rPr>
            </w:pPr>
            <w:r>
              <w:rPr>
                <w:rFonts w:hint="eastAsia" w:cs="宋体"/>
                <w:kern w:val="0"/>
                <w:sz w:val="24"/>
                <w:szCs w:val="24"/>
              </w:rPr>
              <w:t>环境保护目标</w:t>
            </w:r>
          </w:p>
        </w:tc>
        <w:tc>
          <w:tcPr>
            <w:tcW w:w="8190" w:type="dxa"/>
            <w:tcBorders>
              <w:tl2br w:val="nil"/>
              <w:tr2bl w:val="nil"/>
            </w:tcBorders>
            <w:vAlign w:val="center"/>
          </w:tcPr>
          <w:p w14:paraId="51539CC4">
            <w:pPr>
              <w:pStyle w:val="37"/>
              <w:numPr>
                <w:ilvl w:val="0"/>
                <w:numId w:val="0"/>
              </w:numPr>
              <w:adjustRightInd w:val="0"/>
              <w:snapToGrid w:val="0"/>
              <w:spacing w:line="360" w:lineRule="auto"/>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eastAsia="宋体" w:cs="Times New Roman"/>
                <w:b/>
                <w:bCs w:val="0"/>
                <w:kern w:val="2"/>
                <w:sz w:val="24"/>
                <w:szCs w:val="22"/>
                <w:lang w:val="en-US" w:eastAsia="zh-CN" w:bidi="ar-SA"/>
              </w:rPr>
              <w:t>1</w:t>
            </w:r>
            <w:r>
              <w:rPr>
                <w:rFonts w:hint="eastAsia" w:ascii="Times New Roman" w:hAnsi="Times New Roman" w:cs="Times New Roman"/>
                <w:b/>
                <w:bCs w:val="0"/>
                <w:kern w:val="2"/>
                <w:sz w:val="24"/>
                <w:szCs w:val="22"/>
                <w:lang w:val="en-US" w:eastAsia="zh-CN" w:bidi="ar-SA"/>
              </w:rPr>
              <w:t>.</w:t>
            </w:r>
            <w:r>
              <w:rPr>
                <w:rFonts w:hint="eastAsia" w:ascii="Times New Roman" w:hAnsi="Times New Roman" w:eastAsia="宋体" w:cs="Times New Roman"/>
                <w:b/>
                <w:bCs w:val="0"/>
                <w:kern w:val="2"/>
                <w:sz w:val="24"/>
                <w:szCs w:val="22"/>
                <w:lang w:val="en-US" w:eastAsia="zh-CN" w:bidi="ar-SA"/>
              </w:rPr>
              <w:t>大气环境保护目标</w:t>
            </w:r>
          </w:p>
          <w:p w14:paraId="11848362">
            <w:pPr>
              <w:adjustRightInd w:val="0"/>
              <w:snapToGrid w:val="0"/>
              <w:spacing w:line="360" w:lineRule="auto"/>
              <w:ind w:firstLine="480" w:firstLineChars="200"/>
              <w:rPr>
                <w:rFonts w:hint="default" w:ascii="Times New Roman" w:hAnsi="Times New Roman" w:cs="Times New Roman"/>
                <w:kern w:val="0"/>
                <w:szCs w:val="21"/>
              </w:rPr>
            </w:pPr>
            <w:r>
              <w:rPr>
                <w:rFonts w:hint="default" w:ascii="Times New Roman" w:hAnsi="Times New Roman" w:cs="Times New Roman"/>
                <w:kern w:val="0"/>
                <w:sz w:val="24"/>
              </w:rPr>
              <w:t>根据现场勘查，本项目厂界外500m范围内不存在自然保护区、风景名胜区等保护目标，项目地周围主要为村庄，主要环境目标见表3-3及附图5。</w:t>
            </w:r>
          </w:p>
          <w:p w14:paraId="13117628">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表3-3  主要环境保护目标</w:t>
            </w:r>
          </w:p>
          <w:tbl>
            <w:tblPr>
              <w:tblStyle w:val="25"/>
              <w:tblW w:w="799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484"/>
              <w:gridCol w:w="1456"/>
              <w:gridCol w:w="1147"/>
              <w:gridCol w:w="562"/>
              <w:gridCol w:w="1101"/>
              <w:gridCol w:w="1548"/>
            </w:tblGrid>
            <w:tr w14:paraId="2599E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98" w:type="dxa"/>
                  <w:vMerge w:val="restart"/>
                  <w:vAlign w:val="center"/>
                </w:tcPr>
                <w:p w14:paraId="64549E40">
                  <w:pPr>
                    <w:adjustRightInd w:val="0"/>
                    <w:snapToGrid w:val="0"/>
                    <w:jc w:val="center"/>
                    <w:rPr>
                      <w:rFonts w:hint="default" w:ascii="Times New Roman" w:hAnsi="Times New Roman" w:cs="Times New Roman"/>
                      <w:b/>
                      <w:kern w:val="0"/>
                      <w:sz w:val="20"/>
                      <w:szCs w:val="21"/>
                    </w:rPr>
                  </w:pPr>
                  <w:r>
                    <w:rPr>
                      <w:rFonts w:hint="default" w:ascii="Times New Roman" w:hAnsi="Times New Roman" w:cs="Times New Roman"/>
                      <w:b/>
                      <w:kern w:val="0"/>
                      <w:sz w:val="20"/>
                      <w:szCs w:val="21"/>
                    </w:rPr>
                    <w:t>环境要素</w:t>
                  </w:r>
                </w:p>
              </w:tc>
              <w:tc>
                <w:tcPr>
                  <w:tcW w:w="2940" w:type="dxa"/>
                  <w:gridSpan w:val="2"/>
                  <w:vAlign w:val="center"/>
                </w:tcPr>
                <w:p w14:paraId="2D841E2D">
                  <w:pPr>
                    <w:adjustRightInd w:val="0"/>
                    <w:snapToGrid w:val="0"/>
                    <w:jc w:val="center"/>
                    <w:rPr>
                      <w:rFonts w:hint="default" w:ascii="Times New Roman" w:hAnsi="Times New Roman" w:cs="Times New Roman"/>
                      <w:b/>
                      <w:kern w:val="0"/>
                      <w:sz w:val="20"/>
                      <w:szCs w:val="21"/>
                    </w:rPr>
                  </w:pPr>
                  <w:r>
                    <w:rPr>
                      <w:rFonts w:hint="default" w:ascii="Times New Roman" w:hAnsi="Times New Roman" w:cs="Times New Roman"/>
                      <w:b/>
                      <w:kern w:val="0"/>
                      <w:sz w:val="20"/>
                      <w:szCs w:val="21"/>
                    </w:rPr>
                    <w:t>坐标</w:t>
                  </w:r>
                </w:p>
              </w:tc>
              <w:tc>
                <w:tcPr>
                  <w:tcW w:w="1147" w:type="dxa"/>
                  <w:vMerge w:val="restart"/>
                  <w:vAlign w:val="center"/>
                </w:tcPr>
                <w:p w14:paraId="4FF36FBF">
                  <w:pPr>
                    <w:adjustRightInd w:val="0"/>
                    <w:snapToGrid w:val="0"/>
                    <w:jc w:val="center"/>
                    <w:rPr>
                      <w:rFonts w:hint="default" w:ascii="Times New Roman" w:hAnsi="Times New Roman" w:cs="Times New Roman"/>
                      <w:b/>
                      <w:kern w:val="0"/>
                      <w:sz w:val="20"/>
                      <w:szCs w:val="21"/>
                    </w:rPr>
                  </w:pPr>
                  <w:r>
                    <w:rPr>
                      <w:rFonts w:hint="default" w:ascii="Times New Roman" w:hAnsi="Times New Roman" w:cs="Times New Roman"/>
                      <w:b/>
                      <w:kern w:val="0"/>
                      <w:sz w:val="20"/>
                      <w:szCs w:val="21"/>
                    </w:rPr>
                    <w:t>保护对象</w:t>
                  </w:r>
                </w:p>
              </w:tc>
              <w:tc>
                <w:tcPr>
                  <w:tcW w:w="562" w:type="dxa"/>
                  <w:vMerge w:val="restart"/>
                  <w:vAlign w:val="center"/>
                </w:tcPr>
                <w:p w14:paraId="5704006E">
                  <w:pPr>
                    <w:adjustRightInd w:val="0"/>
                    <w:snapToGrid w:val="0"/>
                    <w:jc w:val="center"/>
                    <w:rPr>
                      <w:rFonts w:hint="default" w:ascii="Times New Roman" w:hAnsi="Times New Roman" w:cs="Times New Roman"/>
                      <w:b/>
                      <w:kern w:val="0"/>
                      <w:sz w:val="20"/>
                      <w:szCs w:val="21"/>
                    </w:rPr>
                  </w:pPr>
                  <w:r>
                    <w:rPr>
                      <w:rFonts w:hint="default" w:ascii="Times New Roman" w:hAnsi="Times New Roman" w:cs="Times New Roman"/>
                      <w:b/>
                      <w:kern w:val="0"/>
                      <w:sz w:val="20"/>
                      <w:szCs w:val="21"/>
                    </w:rPr>
                    <w:t>方位</w:t>
                  </w:r>
                </w:p>
              </w:tc>
              <w:tc>
                <w:tcPr>
                  <w:tcW w:w="1101" w:type="dxa"/>
                  <w:vMerge w:val="restart"/>
                  <w:vAlign w:val="center"/>
                </w:tcPr>
                <w:p w14:paraId="2D82572A">
                  <w:pPr>
                    <w:adjustRightInd w:val="0"/>
                    <w:snapToGrid w:val="0"/>
                    <w:jc w:val="center"/>
                    <w:rPr>
                      <w:rFonts w:hint="default" w:ascii="Times New Roman" w:hAnsi="Times New Roman" w:cs="Times New Roman"/>
                      <w:b/>
                      <w:kern w:val="0"/>
                      <w:sz w:val="20"/>
                      <w:szCs w:val="21"/>
                    </w:rPr>
                  </w:pPr>
                  <w:r>
                    <w:rPr>
                      <w:rFonts w:hint="default" w:ascii="Times New Roman" w:hAnsi="Times New Roman" w:cs="Times New Roman"/>
                      <w:b/>
                      <w:kern w:val="0"/>
                      <w:sz w:val="20"/>
                      <w:szCs w:val="21"/>
                    </w:rPr>
                    <w:t>相对厂界距离（m）</w:t>
                  </w:r>
                </w:p>
              </w:tc>
              <w:tc>
                <w:tcPr>
                  <w:tcW w:w="1548" w:type="dxa"/>
                  <w:vMerge w:val="restart"/>
                  <w:vAlign w:val="center"/>
                </w:tcPr>
                <w:p w14:paraId="65BCAC29">
                  <w:pPr>
                    <w:adjustRightInd w:val="0"/>
                    <w:snapToGrid w:val="0"/>
                    <w:jc w:val="center"/>
                    <w:rPr>
                      <w:rFonts w:hint="default" w:ascii="Times New Roman" w:hAnsi="Times New Roman" w:cs="Times New Roman"/>
                      <w:b/>
                      <w:kern w:val="0"/>
                      <w:sz w:val="20"/>
                      <w:szCs w:val="21"/>
                    </w:rPr>
                  </w:pPr>
                  <w:r>
                    <w:rPr>
                      <w:rFonts w:hint="default" w:ascii="Times New Roman" w:hAnsi="Times New Roman" w:cs="Times New Roman"/>
                      <w:b/>
                      <w:kern w:val="0"/>
                      <w:sz w:val="20"/>
                      <w:szCs w:val="21"/>
                    </w:rPr>
                    <w:t>环境功能区</w:t>
                  </w:r>
                </w:p>
              </w:tc>
            </w:tr>
            <w:tr w14:paraId="623E0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98" w:type="dxa"/>
                  <w:vMerge w:val="continue"/>
                  <w:vAlign w:val="center"/>
                </w:tcPr>
                <w:p w14:paraId="55D436E6">
                  <w:pPr>
                    <w:adjustRightInd w:val="0"/>
                    <w:snapToGrid w:val="0"/>
                    <w:jc w:val="center"/>
                    <w:rPr>
                      <w:rFonts w:hint="default" w:ascii="Times New Roman" w:hAnsi="Times New Roman" w:cs="Times New Roman"/>
                      <w:b/>
                      <w:kern w:val="0"/>
                      <w:sz w:val="20"/>
                      <w:szCs w:val="21"/>
                    </w:rPr>
                  </w:pPr>
                </w:p>
              </w:tc>
              <w:tc>
                <w:tcPr>
                  <w:tcW w:w="1484" w:type="dxa"/>
                  <w:vAlign w:val="center"/>
                </w:tcPr>
                <w:p w14:paraId="6F0D2D41">
                  <w:pPr>
                    <w:adjustRightInd w:val="0"/>
                    <w:snapToGrid w:val="0"/>
                    <w:jc w:val="center"/>
                    <w:rPr>
                      <w:rFonts w:hint="default" w:ascii="Times New Roman" w:hAnsi="Times New Roman" w:cs="Times New Roman"/>
                      <w:b/>
                      <w:kern w:val="0"/>
                      <w:sz w:val="20"/>
                      <w:szCs w:val="21"/>
                    </w:rPr>
                  </w:pPr>
                  <w:r>
                    <w:rPr>
                      <w:rFonts w:hint="default" w:ascii="Times New Roman" w:hAnsi="Times New Roman" w:cs="Times New Roman"/>
                      <w:b/>
                      <w:kern w:val="0"/>
                      <w:sz w:val="20"/>
                      <w:szCs w:val="21"/>
                    </w:rPr>
                    <w:t>经度</w:t>
                  </w:r>
                </w:p>
              </w:tc>
              <w:tc>
                <w:tcPr>
                  <w:tcW w:w="1456" w:type="dxa"/>
                  <w:vAlign w:val="center"/>
                </w:tcPr>
                <w:p w14:paraId="7C933BDA">
                  <w:pPr>
                    <w:adjustRightInd w:val="0"/>
                    <w:snapToGrid w:val="0"/>
                    <w:jc w:val="center"/>
                    <w:rPr>
                      <w:rFonts w:hint="default" w:ascii="Times New Roman" w:hAnsi="Times New Roman" w:cs="Times New Roman"/>
                      <w:b/>
                      <w:kern w:val="0"/>
                      <w:sz w:val="20"/>
                      <w:szCs w:val="21"/>
                    </w:rPr>
                  </w:pPr>
                  <w:r>
                    <w:rPr>
                      <w:rFonts w:hint="default" w:ascii="Times New Roman" w:hAnsi="Times New Roman" w:cs="Times New Roman"/>
                      <w:b/>
                      <w:kern w:val="0"/>
                      <w:sz w:val="20"/>
                      <w:szCs w:val="21"/>
                    </w:rPr>
                    <w:t>纬度</w:t>
                  </w:r>
                </w:p>
              </w:tc>
              <w:tc>
                <w:tcPr>
                  <w:tcW w:w="1147" w:type="dxa"/>
                  <w:vMerge w:val="continue"/>
                  <w:vAlign w:val="center"/>
                </w:tcPr>
                <w:p w14:paraId="04A5AF16">
                  <w:pPr>
                    <w:adjustRightInd w:val="0"/>
                    <w:snapToGrid w:val="0"/>
                    <w:jc w:val="center"/>
                    <w:rPr>
                      <w:rFonts w:hint="default" w:ascii="Times New Roman" w:hAnsi="Times New Roman" w:cs="Times New Roman"/>
                      <w:b/>
                      <w:kern w:val="0"/>
                      <w:sz w:val="20"/>
                      <w:szCs w:val="21"/>
                    </w:rPr>
                  </w:pPr>
                </w:p>
              </w:tc>
              <w:tc>
                <w:tcPr>
                  <w:tcW w:w="562" w:type="dxa"/>
                  <w:vMerge w:val="continue"/>
                  <w:vAlign w:val="center"/>
                </w:tcPr>
                <w:p w14:paraId="1FAC18E3">
                  <w:pPr>
                    <w:adjustRightInd w:val="0"/>
                    <w:snapToGrid w:val="0"/>
                    <w:jc w:val="center"/>
                    <w:rPr>
                      <w:rFonts w:hint="default" w:ascii="Times New Roman" w:hAnsi="Times New Roman" w:cs="Times New Roman"/>
                      <w:b/>
                      <w:kern w:val="0"/>
                      <w:sz w:val="20"/>
                      <w:szCs w:val="21"/>
                    </w:rPr>
                  </w:pPr>
                </w:p>
              </w:tc>
              <w:tc>
                <w:tcPr>
                  <w:tcW w:w="1101" w:type="dxa"/>
                  <w:vMerge w:val="continue"/>
                  <w:vAlign w:val="center"/>
                </w:tcPr>
                <w:p w14:paraId="0256472E">
                  <w:pPr>
                    <w:adjustRightInd w:val="0"/>
                    <w:snapToGrid w:val="0"/>
                    <w:jc w:val="center"/>
                    <w:rPr>
                      <w:rFonts w:hint="default" w:ascii="Times New Roman" w:hAnsi="Times New Roman" w:cs="Times New Roman"/>
                      <w:b/>
                      <w:kern w:val="0"/>
                      <w:sz w:val="20"/>
                      <w:szCs w:val="21"/>
                    </w:rPr>
                  </w:pPr>
                </w:p>
              </w:tc>
              <w:tc>
                <w:tcPr>
                  <w:tcW w:w="1548" w:type="dxa"/>
                  <w:vMerge w:val="continue"/>
                  <w:vAlign w:val="center"/>
                </w:tcPr>
                <w:p w14:paraId="2C440AD5">
                  <w:pPr>
                    <w:adjustRightInd w:val="0"/>
                    <w:snapToGrid w:val="0"/>
                    <w:jc w:val="center"/>
                    <w:rPr>
                      <w:rFonts w:hint="default" w:ascii="Times New Roman" w:hAnsi="Times New Roman" w:cs="Times New Roman"/>
                      <w:b/>
                      <w:kern w:val="0"/>
                      <w:sz w:val="20"/>
                      <w:szCs w:val="21"/>
                    </w:rPr>
                  </w:pPr>
                </w:p>
              </w:tc>
            </w:tr>
            <w:tr w14:paraId="5383A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98" w:type="dxa"/>
                  <w:vMerge w:val="restart"/>
                  <w:vAlign w:val="center"/>
                </w:tcPr>
                <w:p w14:paraId="473FD00C">
                  <w:pPr>
                    <w:adjustRightInd w:val="0"/>
                    <w:snapToGrid w:val="0"/>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大气环境</w:t>
                  </w:r>
                </w:p>
              </w:tc>
              <w:tc>
                <w:tcPr>
                  <w:tcW w:w="1484" w:type="dxa"/>
                  <w:vAlign w:val="center"/>
                </w:tcPr>
                <w:p w14:paraId="4A5ED37C">
                  <w:pPr>
                    <w:adjustRightInd w:val="0"/>
                    <w:snapToGrid w:val="0"/>
                    <w:jc w:val="center"/>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108°38′7.32″,</w:t>
                  </w:r>
                </w:p>
              </w:tc>
              <w:tc>
                <w:tcPr>
                  <w:tcW w:w="1456" w:type="dxa"/>
                  <w:vAlign w:val="center"/>
                </w:tcPr>
                <w:p w14:paraId="62267A62">
                  <w:pPr>
                    <w:adjustRightInd w:val="0"/>
                    <w:snapToGrid w:val="0"/>
                    <w:jc w:val="center"/>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34°11′18.11″</w:t>
                  </w:r>
                </w:p>
              </w:tc>
              <w:tc>
                <w:tcPr>
                  <w:tcW w:w="1147" w:type="dxa"/>
                  <w:vAlign w:val="center"/>
                </w:tcPr>
                <w:p w14:paraId="54421735">
                  <w:pPr>
                    <w:pStyle w:val="3"/>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凤凰咀</w:t>
                  </w:r>
                </w:p>
              </w:tc>
              <w:tc>
                <w:tcPr>
                  <w:tcW w:w="562" w:type="dxa"/>
                  <w:vAlign w:val="center"/>
                </w:tcPr>
                <w:p w14:paraId="3A1129E8">
                  <w:pPr>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val="en-US" w:eastAsia="zh-CN"/>
                    </w:rPr>
                    <w:t>西南</w:t>
                  </w:r>
                </w:p>
              </w:tc>
              <w:tc>
                <w:tcPr>
                  <w:tcW w:w="1101" w:type="dxa"/>
                  <w:vAlign w:val="center"/>
                </w:tcPr>
                <w:p w14:paraId="3304A694">
                  <w:pPr>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458</w:t>
                  </w:r>
                </w:p>
              </w:tc>
              <w:tc>
                <w:tcPr>
                  <w:tcW w:w="1548" w:type="dxa"/>
                  <w:vMerge w:val="restart"/>
                  <w:vAlign w:val="center"/>
                </w:tcPr>
                <w:p w14:paraId="01E9095B">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《环境空气质量标准</w:t>
                  </w:r>
                  <w:r>
                    <w:rPr>
                      <w:rFonts w:hint="default" w:ascii="Times New Roman" w:hAnsi="Times New Roman" w:cs="Times New Roman"/>
                      <w:kern w:val="0"/>
                      <w:sz w:val="21"/>
                      <w:szCs w:val="21"/>
                      <w:lang w:eastAsia="zh-CN"/>
                    </w:rPr>
                    <w:t>》</w:t>
                  </w:r>
                  <w:r>
                    <w:rPr>
                      <w:rFonts w:hint="default" w:ascii="Times New Roman" w:hAnsi="Times New Roman" w:cs="Times New Roman"/>
                      <w:kern w:val="0"/>
                      <w:sz w:val="21"/>
                      <w:szCs w:val="21"/>
                    </w:rPr>
                    <w:t>（GB3095-2012）二级标准</w:t>
                  </w:r>
                </w:p>
              </w:tc>
            </w:tr>
            <w:tr w14:paraId="3839A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98" w:type="dxa"/>
                  <w:vMerge w:val="continue"/>
                  <w:vAlign w:val="center"/>
                </w:tcPr>
                <w:p w14:paraId="793BF48D">
                  <w:pPr>
                    <w:adjustRightInd w:val="0"/>
                    <w:snapToGrid w:val="0"/>
                    <w:jc w:val="center"/>
                    <w:rPr>
                      <w:rFonts w:cs="宋体"/>
                      <w:kern w:val="0"/>
                      <w:sz w:val="20"/>
                      <w:szCs w:val="21"/>
                    </w:rPr>
                  </w:pPr>
                </w:p>
              </w:tc>
              <w:tc>
                <w:tcPr>
                  <w:tcW w:w="1484" w:type="dxa"/>
                  <w:vAlign w:val="center"/>
                </w:tcPr>
                <w:p w14:paraId="1F0239B8">
                  <w:pPr>
                    <w:adjustRightInd w:val="0"/>
                    <w:snapToGrid w:val="0"/>
                    <w:jc w:val="center"/>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108°38′21.92″</w:t>
                  </w:r>
                </w:p>
              </w:tc>
              <w:tc>
                <w:tcPr>
                  <w:tcW w:w="1456" w:type="dxa"/>
                  <w:vAlign w:val="center"/>
                </w:tcPr>
                <w:p w14:paraId="1A73A7DE">
                  <w:pPr>
                    <w:adjustRightInd w:val="0"/>
                    <w:snapToGrid w:val="0"/>
                    <w:jc w:val="center"/>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34°11′24.29″</w:t>
                  </w:r>
                </w:p>
              </w:tc>
              <w:tc>
                <w:tcPr>
                  <w:tcW w:w="1147" w:type="dxa"/>
                  <w:vAlign w:val="center"/>
                </w:tcPr>
                <w:p w14:paraId="012FEC1B">
                  <w:pPr>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小精灵</w:t>
                  </w:r>
                </w:p>
                <w:p w14:paraId="4C0AC959">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幼儿园</w:t>
                  </w:r>
                </w:p>
              </w:tc>
              <w:tc>
                <w:tcPr>
                  <w:tcW w:w="562" w:type="dxa"/>
                  <w:vAlign w:val="center"/>
                </w:tcPr>
                <w:p w14:paraId="3894CC0B">
                  <w:pPr>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东</w:t>
                  </w:r>
                  <w:r>
                    <w:rPr>
                      <w:rFonts w:hint="default" w:ascii="Times New Roman" w:hAnsi="Times New Roman" w:cs="Times New Roman"/>
                      <w:kern w:val="0"/>
                      <w:sz w:val="21"/>
                      <w:szCs w:val="21"/>
                      <w:lang w:val="en-US" w:eastAsia="zh-CN"/>
                    </w:rPr>
                    <w:t>南</w:t>
                  </w:r>
                </w:p>
              </w:tc>
              <w:tc>
                <w:tcPr>
                  <w:tcW w:w="1101" w:type="dxa"/>
                  <w:vAlign w:val="center"/>
                </w:tcPr>
                <w:p w14:paraId="599CA016">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218</w:t>
                  </w:r>
                </w:p>
              </w:tc>
              <w:tc>
                <w:tcPr>
                  <w:tcW w:w="1548" w:type="dxa"/>
                  <w:vMerge w:val="continue"/>
                  <w:vAlign w:val="center"/>
                </w:tcPr>
                <w:p w14:paraId="557DEED3">
                  <w:pPr>
                    <w:adjustRightInd w:val="0"/>
                    <w:snapToGrid w:val="0"/>
                    <w:jc w:val="center"/>
                    <w:rPr>
                      <w:rFonts w:hint="default" w:ascii="Times New Roman" w:hAnsi="Times New Roman" w:cs="Times New Roman"/>
                      <w:kern w:val="0"/>
                      <w:sz w:val="21"/>
                      <w:szCs w:val="21"/>
                    </w:rPr>
                  </w:pPr>
                </w:p>
              </w:tc>
            </w:tr>
            <w:tr w14:paraId="40F05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98" w:type="dxa"/>
                  <w:vMerge w:val="continue"/>
                  <w:vAlign w:val="center"/>
                </w:tcPr>
                <w:p w14:paraId="212451F5">
                  <w:pPr>
                    <w:adjustRightInd w:val="0"/>
                    <w:snapToGrid w:val="0"/>
                    <w:jc w:val="center"/>
                    <w:rPr>
                      <w:rFonts w:cs="宋体"/>
                      <w:kern w:val="0"/>
                      <w:sz w:val="20"/>
                      <w:szCs w:val="21"/>
                    </w:rPr>
                  </w:pPr>
                </w:p>
              </w:tc>
              <w:tc>
                <w:tcPr>
                  <w:tcW w:w="1484" w:type="dxa"/>
                  <w:vAlign w:val="center"/>
                </w:tcPr>
                <w:p w14:paraId="0DEDF8E5">
                  <w:pPr>
                    <w:adjustRightInd w:val="0"/>
                    <w:snapToGrid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rPr>
                    <w:t>108°</w:t>
                  </w:r>
                  <w:r>
                    <w:rPr>
                      <w:rFonts w:hint="eastAsia" w:ascii="Times New Roman" w:hAnsi="Times New Roman" w:cs="Times New Roman"/>
                      <w:b w:val="0"/>
                      <w:bCs w:val="0"/>
                      <w:kern w:val="0"/>
                      <w:sz w:val="21"/>
                      <w:szCs w:val="21"/>
                      <w:lang w:val="en-US" w:eastAsia="zh-CN"/>
                    </w:rPr>
                    <w:t>38</w:t>
                  </w:r>
                  <w:r>
                    <w:rPr>
                      <w:rFonts w:hint="default" w:ascii="Times New Roman" w:hAnsi="Times New Roman" w:cs="Times New Roman"/>
                      <w:b w:val="0"/>
                      <w:bCs w:val="0"/>
                      <w:kern w:val="0"/>
                      <w:sz w:val="21"/>
                      <w:szCs w:val="21"/>
                    </w:rPr>
                    <w:t>′</w:t>
                  </w:r>
                  <w:r>
                    <w:rPr>
                      <w:rFonts w:hint="eastAsia" w:ascii="Times New Roman" w:hAnsi="Times New Roman" w:cs="Times New Roman"/>
                      <w:b w:val="0"/>
                      <w:bCs w:val="0"/>
                      <w:kern w:val="0"/>
                      <w:sz w:val="21"/>
                      <w:szCs w:val="21"/>
                      <w:lang w:val="en-US" w:eastAsia="zh-CN"/>
                    </w:rPr>
                    <w:t>6.81</w:t>
                  </w:r>
                  <w:r>
                    <w:rPr>
                      <w:rFonts w:hint="default" w:ascii="Times New Roman" w:hAnsi="Times New Roman" w:cs="Times New Roman"/>
                      <w:b w:val="0"/>
                      <w:bCs w:val="0"/>
                      <w:kern w:val="0"/>
                      <w:sz w:val="21"/>
                      <w:szCs w:val="21"/>
                    </w:rPr>
                    <w:t>″</w:t>
                  </w:r>
                </w:p>
              </w:tc>
              <w:tc>
                <w:tcPr>
                  <w:tcW w:w="1456" w:type="dxa"/>
                  <w:vAlign w:val="center"/>
                </w:tcPr>
                <w:p w14:paraId="1154B9CA">
                  <w:pPr>
                    <w:adjustRightInd w:val="0"/>
                    <w:snapToGrid w:val="0"/>
                    <w:jc w:val="center"/>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34°11′</w:t>
                  </w:r>
                  <w:r>
                    <w:rPr>
                      <w:rFonts w:hint="eastAsia" w:ascii="Times New Roman" w:hAnsi="Times New Roman" w:cs="Times New Roman"/>
                      <w:b w:val="0"/>
                      <w:bCs w:val="0"/>
                      <w:kern w:val="0"/>
                      <w:sz w:val="21"/>
                      <w:szCs w:val="21"/>
                      <w:lang w:val="en-US" w:eastAsia="zh-CN"/>
                    </w:rPr>
                    <w:t>33.43</w:t>
                  </w:r>
                  <w:r>
                    <w:rPr>
                      <w:rFonts w:hint="default" w:ascii="Times New Roman" w:hAnsi="Times New Roman" w:cs="Times New Roman"/>
                      <w:b w:val="0"/>
                      <w:bCs w:val="0"/>
                      <w:kern w:val="0"/>
                      <w:sz w:val="21"/>
                      <w:szCs w:val="21"/>
                    </w:rPr>
                    <w:t>″</w:t>
                  </w:r>
                </w:p>
              </w:tc>
              <w:tc>
                <w:tcPr>
                  <w:tcW w:w="1147" w:type="dxa"/>
                  <w:vAlign w:val="center"/>
                </w:tcPr>
                <w:p w14:paraId="353724FB">
                  <w:pPr>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鄠邑区大王法庭</w:t>
                  </w:r>
                </w:p>
              </w:tc>
              <w:tc>
                <w:tcPr>
                  <w:tcW w:w="562" w:type="dxa"/>
                  <w:vAlign w:val="center"/>
                </w:tcPr>
                <w:p w14:paraId="2D207522">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东</w:t>
                  </w:r>
                  <w:r>
                    <w:rPr>
                      <w:rFonts w:hint="default" w:ascii="Times New Roman" w:hAnsi="Times New Roman" w:cs="Times New Roman"/>
                      <w:kern w:val="0"/>
                      <w:sz w:val="21"/>
                      <w:szCs w:val="21"/>
                      <w:lang w:val="en-US" w:eastAsia="zh-CN"/>
                    </w:rPr>
                    <w:t>南</w:t>
                  </w:r>
                </w:p>
              </w:tc>
              <w:tc>
                <w:tcPr>
                  <w:tcW w:w="1101" w:type="dxa"/>
                  <w:vAlign w:val="center"/>
                </w:tcPr>
                <w:p w14:paraId="761F7967">
                  <w:pPr>
                    <w:adjustRightInd w:val="0"/>
                    <w:snapToGrid w:val="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162</w:t>
                  </w:r>
                </w:p>
              </w:tc>
              <w:tc>
                <w:tcPr>
                  <w:tcW w:w="1548" w:type="dxa"/>
                  <w:vMerge w:val="continue"/>
                  <w:vAlign w:val="center"/>
                </w:tcPr>
                <w:p w14:paraId="7FDD9541">
                  <w:pPr>
                    <w:adjustRightInd w:val="0"/>
                    <w:snapToGrid w:val="0"/>
                    <w:jc w:val="center"/>
                    <w:rPr>
                      <w:rFonts w:hint="default" w:ascii="Times New Roman" w:hAnsi="Times New Roman" w:cs="Times New Roman"/>
                      <w:kern w:val="0"/>
                      <w:sz w:val="21"/>
                      <w:szCs w:val="21"/>
                    </w:rPr>
                  </w:pPr>
                </w:p>
              </w:tc>
            </w:tr>
          </w:tbl>
          <w:p w14:paraId="3851E835">
            <w:pPr>
              <w:pStyle w:val="37"/>
              <w:numPr>
                <w:ilvl w:val="0"/>
                <w:numId w:val="0"/>
              </w:numPr>
              <w:adjustRightInd w:val="0"/>
              <w:snapToGrid w:val="0"/>
              <w:spacing w:line="360" w:lineRule="auto"/>
              <w:rPr>
                <w:rFonts w:hint="default" w:ascii="Times New Roman" w:hAnsi="Times New Roman" w:cs="Times New Roman"/>
                <w:b/>
                <w:kern w:val="0"/>
                <w:sz w:val="24"/>
                <w:szCs w:val="21"/>
              </w:rPr>
            </w:pPr>
            <w:r>
              <w:rPr>
                <w:rFonts w:hint="default" w:ascii="Times New Roman" w:hAnsi="Times New Roman" w:cs="Times New Roman"/>
                <w:b/>
                <w:kern w:val="0"/>
                <w:sz w:val="24"/>
                <w:szCs w:val="21"/>
                <w:lang w:val="en-US" w:eastAsia="zh-CN"/>
              </w:rPr>
              <w:t>2</w:t>
            </w:r>
            <w:r>
              <w:rPr>
                <w:rFonts w:hint="eastAsia" w:ascii="Times New Roman" w:hAnsi="Times New Roman" w:cs="Times New Roman"/>
                <w:b/>
                <w:kern w:val="0"/>
                <w:sz w:val="24"/>
                <w:szCs w:val="21"/>
                <w:lang w:val="en-US" w:eastAsia="zh-CN"/>
              </w:rPr>
              <w:t>.</w:t>
            </w:r>
            <w:r>
              <w:rPr>
                <w:rFonts w:hint="default" w:ascii="Times New Roman" w:hAnsi="Times New Roman" w:cs="Times New Roman"/>
                <w:b/>
                <w:kern w:val="0"/>
                <w:sz w:val="24"/>
                <w:szCs w:val="21"/>
              </w:rPr>
              <w:t>声环境保护目标</w:t>
            </w:r>
          </w:p>
          <w:p w14:paraId="3588ECC1">
            <w:pPr>
              <w:adjustRightInd w:val="0"/>
              <w:snapToGrid w:val="0"/>
              <w:spacing w:line="360" w:lineRule="auto"/>
              <w:ind w:firstLine="480" w:firstLineChars="200"/>
              <w:rPr>
                <w:rFonts w:hint="default" w:ascii="Times New Roman" w:hAnsi="Times New Roman" w:cs="Times New Roman"/>
                <w:kern w:val="0"/>
                <w:sz w:val="24"/>
                <w:szCs w:val="21"/>
              </w:rPr>
            </w:pPr>
            <w:r>
              <w:rPr>
                <w:rFonts w:hint="default" w:ascii="Times New Roman" w:hAnsi="Times New Roman" w:cs="Times New Roman"/>
                <w:kern w:val="0"/>
                <w:sz w:val="24"/>
                <w:szCs w:val="21"/>
              </w:rPr>
              <w:t>项目厂界外50m范围内无声环境保护目标。</w:t>
            </w:r>
          </w:p>
          <w:p w14:paraId="6F681D37">
            <w:pPr>
              <w:adjustRightInd w:val="0"/>
              <w:snapToGrid w:val="0"/>
              <w:spacing w:line="360" w:lineRule="auto"/>
              <w:rPr>
                <w:rFonts w:hint="default" w:ascii="Times New Roman" w:hAnsi="Times New Roman" w:eastAsia="宋体" w:cs="Times New Roman"/>
                <w:b/>
                <w:kern w:val="0"/>
                <w:sz w:val="24"/>
                <w:szCs w:val="21"/>
                <w:lang w:val="en-US" w:eastAsia="zh-CN" w:bidi="ar-SA"/>
              </w:rPr>
            </w:pPr>
            <w:r>
              <w:rPr>
                <w:rFonts w:hint="default" w:ascii="Times New Roman" w:hAnsi="Times New Roman" w:eastAsia="宋体" w:cs="Times New Roman"/>
                <w:b/>
                <w:kern w:val="0"/>
                <w:sz w:val="24"/>
                <w:szCs w:val="21"/>
                <w:lang w:val="en-US" w:eastAsia="zh-CN" w:bidi="ar-SA"/>
              </w:rPr>
              <w:t>3</w:t>
            </w:r>
            <w:r>
              <w:rPr>
                <w:rFonts w:hint="eastAsia" w:ascii="Times New Roman" w:hAnsi="Times New Roman" w:cs="Times New Roman"/>
                <w:b/>
                <w:kern w:val="0"/>
                <w:sz w:val="24"/>
                <w:szCs w:val="21"/>
                <w:lang w:val="en-US" w:eastAsia="zh-CN" w:bidi="ar-SA"/>
              </w:rPr>
              <w:t>.</w:t>
            </w:r>
            <w:r>
              <w:rPr>
                <w:rFonts w:hint="default" w:ascii="Times New Roman" w:hAnsi="Times New Roman" w:eastAsia="宋体" w:cs="Times New Roman"/>
                <w:b/>
                <w:kern w:val="0"/>
                <w:sz w:val="24"/>
                <w:szCs w:val="21"/>
                <w:lang w:val="en-US" w:eastAsia="zh-CN" w:bidi="ar-SA"/>
              </w:rPr>
              <w:t>地下水环境</w:t>
            </w:r>
          </w:p>
          <w:p w14:paraId="553B9E64">
            <w:pPr>
              <w:adjustRightInd w:val="0"/>
              <w:snapToGrid w:val="0"/>
              <w:spacing w:line="360" w:lineRule="auto"/>
              <w:ind w:firstLine="480" w:firstLineChars="200"/>
              <w:rPr>
                <w:rFonts w:hint="default" w:ascii="Times New Roman" w:hAnsi="Times New Roman" w:cs="Times New Roman"/>
                <w:kern w:val="0"/>
                <w:sz w:val="24"/>
                <w:szCs w:val="21"/>
              </w:rPr>
            </w:pPr>
            <w:r>
              <w:rPr>
                <w:rFonts w:hint="default" w:ascii="Times New Roman" w:hAnsi="Times New Roman" w:cs="Times New Roman"/>
                <w:kern w:val="0"/>
                <w:sz w:val="24"/>
                <w:szCs w:val="21"/>
              </w:rPr>
              <w:t>项目厂界外500m范围内无地下水集中式饮用水水源和热水、矿泉水、温泉等特殊地下水资源，无地下水环境保护目标。</w:t>
            </w:r>
          </w:p>
          <w:p w14:paraId="30881ED4">
            <w:pPr>
              <w:adjustRightInd w:val="0"/>
              <w:snapToGrid w:val="0"/>
              <w:spacing w:line="360" w:lineRule="auto"/>
              <w:rPr>
                <w:rFonts w:hint="default" w:ascii="Times New Roman" w:hAnsi="Times New Roman" w:eastAsia="宋体" w:cs="Times New Roman"/>
                <w:b/>
                <w:kern w:val="0"/>
                <w:sz w:val="24"/>
                <w:szCs w:val="21"/>
                <w:lang w:val="en-US" w:eastAsia="zh-CN" w:bidi="ar-SA"/>
              </w:rPr>
            </w:pPr>
            <w:r>
              <w:rPr>
                <w:rFonts w:hint="default" w:ascii="Times New Roman" w:hAnsi="Times New Roman" w:eastAsia="宋体" w:cs="Times New Roman"/>
                <w:b/>
                <w:kern w:val="0"/>
                <w:sz w:val="24"/>
                <w:szCs w:val="21"/>
                <w:lang w:val="en-US" w:eastAsia="zh-CN" w:bidi="ar-SA"/>
              </w:rPr>
              <w:t>4</w:t>
            </w:r>
            <w:r>
              <w:rPr>
                <w:rFonts w:hint="eastAsia" w:ascii="Times New Roman" w:hAnsi="Times New Roman" w:cs="Times New Roman"/>
                <w:b/>
                <w:kern w:val="0"/>
                <w:sz w:val="24"/>
                <w:szCs w:val="21"/>
                <w:lang w:val="en-US" w:eastAsia="zh-CN" w:bidi="ar-SA"/>
              </w:rPr>
              <w:t>.</w:t>
            </w:r>
            <w:r>
              <w:rPr>
                <w:rFonts w:hint="default" w:ascii="Times New Roman" w:hAnsi="Times New Roman" w:eastAsia="宋体" w:cs="Times New Roman"/>
                <w:b/>
                <w:kern w:val="0"/>
                <w:sz w:val="24"/>
                <w:szCs w:val="21"/>
                <w:lang w:val="en-US" w:eastAsia="zh-CN" w:bidi="ar-SA"/>
              </w:rPr>
              <w:t>生态环境</w:t>
            </w:r>
          </w:p>
          <w:p w14:paraId="70BA6C2D">
            <w:pPr>
              <w:adjustRightInd w:val="0"/>
              <w:snapToGrid w:val="0"/>
              <w:spacing w:line="360" w:lineRule="auto"/>
              <w:ind w:firstLine="480" w:firstLineChars="200"/>
              <w:rPr>
                <w:rFonts w:cs="宋体"/>
                <w:kern w:val="0"/>
                <w:sz w:val="24"/>
                <w:szCs w:val="21"/>
              </w:rPr>
            </w:pPr>
            <w:r>
              <w:rPr>
                <w:rFonts w:hint="default" w:ascii="Times New Roman" w:hAnsi="Times New Roman" w:cs="Times New Roman"/>
                <w:kern w:val="0"/>
                <w:sz w:val="24"/>
                <w:szCs w:val="21"/>
              </w:rPr>
              <w:t>项目用地范围内无生态环境保护目标。</w:t>
            </w:r>
          </w:p>
        </w:tc>
      </w:tr>
      <w:tr w14:paraId="36694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00" w:type="dxa"/>
            <w:tcBorders>
              <w:tl2br w:val="nil"/>
              <w:tr2bl w:val="nil"/>
            </w:tcBorders>
            <w:tcMar>
              <w:left w:w="28" w:type="dxa"/>
              <w:right w:w="28" w:type="dxa"/>
            </w:tcMar>
            <w:vAlign w:val="center"/>
          </w:tcPr>
          <w:p w14:paraId="40AB148A">
            <w:pPr>
              <w:adjustRightInd w:val="0"/>
              <w:snapToGrid w:val="0"/>
              <w:jc w:val="center"/>
              <w:rPr>
                <w:rFonts w:cs="宋体"/>
                <w:kern w:val="0"/>
                <w:szCs w:val="21"/>
              </w:rPr>
            </w:pPr>
            <w:r>
              <w:rPr>
                <w:rFonts w:hint="eastAsia" w:cs="宋体"/>
                <w:kern w:val="0"/>
                <w:sz w:val="24"/>
                <w:szCs w:val="24"/>
              </w:rPr>
              <w:t>污染物排放控制标准</w:t>
            </w:r>
          </w:p>
        </w:tc>
        <w:tc>
          <w:tcPr>
            <w:tcW w:w="8190" w:type="dxa"/>
            <w:tcBorders>
              <w:tl2br w:val="nil"/>
              <w:tr2bl w:val="nil"/>
            </w:tcBorders>
            <w:vAlign w:val="center"/>
          </w:tcPr>
          <w:p w14:paraId="08C0E962">
            <w:pPr>
              <w:pStyle w:val="37"/>
              <w:numPr>
                <w:ilvl w:val="0"/>
                <w:numId w:val="0"/>
              </w:numPr>
              <w:adjustRightInd w:val="0"/>
              <w:snapToGrid w:val="0"/>
              <w:spacing w:line="360" w:lineRule="auto"/>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cs="Times New Roman"/>
                <w:b/>
                <w:bCs w:val="0"/>
                <w:kern w:val="2"/>
                <w:sz w:val="24"/>
                <w:szCs w:val="22"/>
                <w:lang w:val="en-US" w:eastAsia="zh-CN" w:bidi="ar-SA"/>
              </w:rPr>
              <w:t>1.</w:t>
            </w:r>
            <w:r>
              <w:rPr>
                <w:rFonts w:hint="eastAsia" w:ascii="Times New Roman" w:hAnsi="Times New Roman" w:eastAsia="宋体" w:cs="Times New Roman"/>
                <w:b/>
                <w:bCs w:val="0"/>
                <w:kern w:val="2"/>
                <w:sz w:val="24"/>
                <w:szCs w:val="22"/>
                <w:lang w:val="en-US" w:eastAsia="zh-CN" w:bidi="ar-SA"/>
              </w:rPr>
              <w:t>大气污染物排放标准</w:t>
            </w:r>
          </w:p>
          <w:p w14:paraId="35F7AB04">
            <w:pPr>
              <w:adjustRightInd w:val="0"/>
              <w:snapToGrid w:val="0"/>
              <w:spacing w:line="360" w:lineRule="auto"/>
              <w:ind w:firstLine="480" w:firstLineChars="200"/>
              <w:rPr>
                <w:rFonts w:hint="default" w:ascii="Times New Roman" w:hAnsi="Times New Roman" w:cs="Times New Roman"/>
                <w:kern w:val="0"/>
                <w:szCs w:val="21"/>
              </w:rPr>
            </w:pPr>
            <w:r>
              <w:rPr>
                <w:rFonts w:hint="default" w:ascii="Times New Roman" w:hAnsi="Times New Roman" w:cs="Times New Roman"/>
                <w:kern w:val="0"/>
                <w:sz w:val="24"/>
              </w:rPr>
              <w:t>运营期粉尘执行《关中地区重点行业大气污染物排放限值》（DB61/941-2018）表1中水泥仓及其他通风生产设备颗粒物排放浓度限值，该限值与《水泥工业大气污染物排放标准》（GB4915-2013）中大气污染物特别排放限值一致；无组织粉尘排放执行《水泥工业大气污染物排放标准》（GB4915-2013）中颗粒物无组织排放限值。具体标准值见下表3-4：</w:t>
            </w:r>
          </w:p>
          <w:p w14:paraId="70799E04">
            <w:pPr>
              <w:adjustRightInd w:val="0"/>
              <w:snapToGrid w:val="0"/>
              <w:spacing w:line="240" w:lineRule="auto"/>
              <w:jc w:val="center"/>
              <w:rPr>
                <w:rFonts w:cs="宋体"/>
                <w:b/>
                <w:kern w:val="0"/>
                <w:szCs w:val="21"/>
              </w:rPr>
            </w:pPr>
            <w:r>
              <w:rPr>
                <w:rFonts w:hint="eastAsia" w:ascii="Times New Roman" w:hAnsi="Times New Roman" w:cs="Times New Roman"/>
                <w:b/>
                <w:kern w:val="0"/>
                <w:szCs w:val="21"/>
              </w:rPr>
              <w:t>表3-4  大气污染物排放标准</w:t>
            </w:r>
          </w:p>
          <w:tbl>
            <w:tblPr>
              <w:tblStyle w:val="25"/>
              <w:tblW w:w="79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489"/>
              <w:gridCol w:w="804"/>
              <w:gridCol w:w="1200"/>
              <w:gridCol w:w="1410"/>
              <w:gridCol w:w="1260"/>
              <w:gridCol w:w="2330"/>
            </w:tblGrid>
            <w:tr w14:paraId="7AA50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94" w:type="dxa"/>
                  <w:gridSpan w:val="2"/>
                  <w:vMerge w:val="restart"/>
                  <w:vAlign w:val="center"/>
                </w:tcPr>
                <w:p w14:paraId="2FE0C252">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污染物</w:t>
                  </w:r>
                </w:p>
              </w:tc>
              <w:tc>
                <w:tcPr>
                  <w:tcW w:w="2004" w:type="dxa"/>
                  <w:gridSpan w:val="2"/>
                  <w:vAlign w:val="center"/>
                </w:tcPr>
                <w:p w14:paraId="7AFE44E3">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有组织排放监控</w:t>
                  </w:r>
                </w:p>
                <w:p w14:paraId="76CC7ED3">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浓度限值</w:t>
                  </w:r>
                </w:p>
              </w:tc>
              <w:tc>
                <w:tcPr>
                  <w:tcW w:w="2670" w:type="dxa"/>
                  <w:gridSpan w:val="2"/>
                  <w:vAlign w:val="center"/>
                </w:tcPr>
                <w:p w14:paraId="46EFC4C6">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无组织排放监控</w:t>
                  </w:r>
                </w:p>
                <w:p w14:paraId="4D6398FF">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浓度限值</w:t>
                  </w:r>
                </w:p>
              </w:tc>
              <w:tc>
                <w:tcPr>
                  <w:tcW w:w="2330" w:type="dxa"/>
                  <w:vMerge w:val="restart"/>
                  <w:vAlign w:val="center"/>
                </w:tcPr>
                <w:p w14:paraId="78A7CFF1">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标准来源</w:t>
                  </w:r>
                </w:p>
              </w:tc>
            </w:tr>
            <w:tr w14:paraId="324F1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94" w:type="dxa"/>
                  <w:gridSpan w:val="2"/>
                  <w:vMerge w:val="continue"/>
                  <w:vAlign w:val="center"/>
                </w:tcPr>
                <w:p w14:paraId="0835784F">
                  <w:pPr>
                    <w:adjustRightInd w:val="0"/>
                    <w:snapToGrid w:val="0"/>
                    <w:jc w:val="center"/>
                    <w:rPr>
                      <w:rFonts w:hint="default" w:ascii="Times New Roman" w:hAnsi="Times New Roman" w:cs="Times New Roman"/>
                      <w:b/>
                      <w:kern w:val="0"/>
                      <w:sz w:val="21"/>
                      <w:szCs w:val="21"/>
                    </w:rPr>
                  </w:pPr>
                </w:p>
              </w:tc>
              <w:tc>
                <w:tcPr>
                  <w:tcW w:w="804" w:type="dxa"/>
                  <w:vAlign w:val="center"/>
                </w:tcPr>
                <w:p w14:paraId="227FEB9B">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监控位置</w:t>
                  </w:r>
                </w:p>
              </w:tc>
              <w:tc>
                <w:tcPr>
                  <w:tcW w:w="1200" w:type="dxa"/>
                  <w:vAlign w:val="center"/>
                </w:tcPr>
                <w:p w14:paraId="241A63C2">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浓度（mg/m</w:t>
                  </w:r>
                  <w:r>
                    <w:rPr>
                      <w:rFonts w:hint="default" w:ascii="Times New Roman" w:hAnsi="Times New Roman" w:cs="Times New Roman"/>
                      <w:b/>
                      <w:kern w:val="0"/>
                      <w:sz w:val="21"/>
                      <w:szCs w:val="21"/>
                      <w:vertAlign w:val="superscript"/>
                    </w:rPr>
                    <w:t>3</w:t>
                  </w:r>
                  <w:r>
                    <w:rPr>
                      <w:rFonts w:hint="default" w:ascii="Times New Roman" w:hAnsi="Times New Roman" w:cs="Times New Roman"/>
                      <w:b/>
                      <w:kern w:val="0"/>
                      <w:sz w:val="21"/>
                      <w:szCs w:val="21"/>
                    </w:rPr>
                    <w:t>）</w:t>
                  </w:r>
                </w:p>
              </w:tc>
              <w:tc>
                <w:tcPr>
                  <w:tcW w:w="1410" w:type="dxa"/>
                  <w:vAlign w:val="center"/>
                </w:tcPr>
                <w:p w14:paraId="1CC01FD7">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监测点</w:t>
                  </w:r>
                </w:p>
              </w:tc>
              <w:tc>
                <w:tcPr>
                  <w:tcW w:w="1260" w:type="dxa"/>
                  <w:vAlign w:val="center"/>
                </w:tcPr>
                <w:p w14:paraId="3444A02F">
                  <w:pPr>
                    <w:adjustRightInd w:val="0"/>
                    <w:snapToGrid w:val="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浓度（mg/m</w:t>
                  </w:r>
                  <w:r>
                    <w:rPr>
                      <w:rFonts w:hint="default" w:ascii="Times New Roman" w:hAnsi="Times New Roman" w:cs="Times New Roman"/>
                      <w:b/>
                      <w:kern w:val="0"/>
                      <w:sz w:val="21"/>
                      <w:szCs w:val="21"/>
                      <w:vertAlign w:val="superscript"/>
                    </w:rPr>
                    <w:t>3</w:t>
                  </w:r>
                  <w:r>
                    <w:rPr>
                      <w:rFonts w:hint="default" w:ascii="Times New Roman" w:hAnsi="Times New Roman" w:cs="Times New Roman"/>
                      <w:b/>
                      <w:kern w:val="0"/>
                      <w:sz w:val="21"/>
                      <w:szCs w:val="21"/>
                    </w:rPr>
                    <w:t>）</w:t>
                  </w:r>
                </w:p>
              </w:tc>
              <w:tc>
                <w:tcPr>
                  <w:tcW w:w="2330" w:type="dxa"/>
                  <w:vMerge w:val="continue"/>
                  <w:vAlign w:val="center"/>
                </w:tcPr>
                <w:p w14:paraId="68D0BF42">
                  <w:pPr>
                    <w:adjustRightInd w:val="0"/>
                    <w:snapToGrid w:val="0"/>
                    <w:jc w:val="center"/>
                    <w:rPr>
                      <w:rFonts w:hint="default" w:ascii="Times New Roman" w:hAnsi="Times New Roman" w:cs="Times New Roman"/>
                      <w:b/>
                      <w:kern w:val="0"/>
                      <w:sz w:val="21"/>
                      <w:szCs w:val="21"/>
                    </w:rPr>
                  </w:pPr>
                </w:p>
              </w:tc>
            </w:tr>
            <w:tr w14:paraId="3F8A5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94" w:type="dxa"/>
                  <w:gridSpan w:val="2"/>
                  <w:vAlign w:val="center"/>
                </w:tcPr>
                <w:p w14:paraId="7CC46540">
                  <w:pPr>
                    <w:adjustRightInd w:val="0"/>
                    <w:snapToGrid w:val="0"/>
                    <w:jc w:val="center"/>
                    <w:rPr>
                      <w:rFonts w:hint="default" w:ascii="Times New Roman" w:hAnsi="Times New Roman" w:eastAsia="宋体" w:cs="宋体"/>
                      <w:color w:val="auto"/>
                      <w:kern w:val="0"/>
                      <w:sz w:val="20"/>
                      <w:szCs w:val="21"/>
                      <w:lang w:val="en-US" w:eastAsia="zh-CN" w:bidi="ar-SA"/>
                    </w:rPr>
                  </w:pPr>
                  <w:r>
                    <w:rPr>
                      <w:rFonts w:hint="eastAsia" w:ascii="Times New Roman" w:hAnsi="Times New Roman" w:cs="宋体"/>
                      <w:color w:val="auto"/>
                      <w:kern w:val="0"/>
                      <w:sz w:val="20"/>
                      <w:szCs w:val="21"/>
                    </w:rPr>
                    <w:t>施工期</w:t>
                  </w:r>
                </w:p>
              </w:tc>
              <w:tc>
                <w:tcPr>
                  <w:tcW w:w="804" w:type="dxa"/>
                  <w:vAlign w:val="center"/>
                </w:tcPr>
                <w:p w14:paraId="48253F27">
                  <w:pPr>
                    <w:adjustRightInd w:val="0"/>
                    <w:snapToGrid w:val="0"/>
                    <w:jc w:val="center"/>
                    <w:rPr>
                      <w:rFonts w:hint="default" w:ascii="Times New Roman" w:hAnsi="Times New Roman" w:eastAsia="宋体" w:cs="宋体"/>
                      <w:color w:val="auto"/>
                      <w:kern w:val="0"/>
                      <w:sz w:val="20"/>
                      <w:szCs w:val="21"/>
                      <w:lang w:val="en-US" w:eastAsia="zh-CN" w:bidi="ar-SA"/>
                    </w:rPr>
                  </w:pPr>
                  <w:r>
                    <w:rPr>
                      <w:rFonts w:hint="eastAsia" w:ascii="Times New Roman" w:hAnsi="Times New Roman" w:cs="宋体"/>
                      <w:color w:val="auto"/>
                      <w:kern w:val="0"/>
                      <w:sz w:val="20"/>
                      <w:szCs w:val="21"/>
                    </w:rPr>
                    <w:t>颗粒物</w:t>
                  </w:r>
                </w:p>
              </w:tc>
              <w:tc>
                <w:tcPr>
                  <w:tcW w:w="1200" w:type="dxa"/>
                  <w:vAlign w:val="center"/>
                </w:tcPr>
                <w:p w14:paraId="0698710B">
                  <w:pPr>
                    <w:adjustRightInd w:val="0"/>
                    <w:snapToGrid w:val="0"/>
                    <w:jc w:val="center"/>
                    <w:rPr>
                      <w:rFonts w:hint="default" w:ascii="Times New Roman" w:hAnsi="Times New Roman" w:eastAsia="宋体" w:cs="宋体"/>
                      <w:color w:val="auto"/>
                      <w:kern w:val="0"/>
                      <w:sz w:val="20"/>
                      <w:szCs w:val="21"/>
                      <w:lang w:val="en-US" w:eastAsia="zh-CN" w:bidi="ar-SA"/>
                    </w:rPr>
                  </w:pPr>
                  <w:r>
                    <w:rPr>
                      <w:rFonts w:hint="eastAsia" w:ascii="Times New Roman" w:hAnsi="Times New Roman" w:cs="宋体"/>
                      <w:color w:val="auto"/>
                      <w:kern w:val="0"/>
                      <w:sz w:val="20"/>
                      <w:szCs w:val="21"/>
                    </w:rPr>
                    <w:t>/</w:t>
                  </w:r>
                </w:p>
              </w:tc>
              <w:tc>
                <w:tcPr>
                  <w:tcW w:w="1410" w:type="dxa"/>
                  <w:vAlign w:val="center"/>
                </w:tcPr>
                <w:p w14:paraId="5F164612">
                  <w:pPr>
                    <w:adjustRightInd w:val="0"/>
                    <w:snapToGrid w:val="0"/>
                    <w:jc w:val="center"/>
                    <w:rPr>
                      <w:rFonts w:hint="default" w:ascii="Times New Roman" w:hAnsi="Times New Roman" w:eastAsia="宋体" w:cs="宋体"/>
                      <w:color w:val="auto"/>
                      <w:kern w:val="0"/>
                      <w:sz w:val="20"/>
                      <w:szCs w:val="21"/>
                      <w:lang w:val="en-US" w:eastAsia="zh-CN" w:bidi="ar-SA"/>
                    </w:rPr>
                  </w:pPr>
                  <w:r>
                    <w:rPr>
                      <w:rFonts w:hint="eastAsia" w:ascii="Times New Roman" w:hAnsi="Times New Roman" w:cs="宋体"/>
                      <w:color w:val="auto"/>
                      <w:kern w:val="0"/>
                      <w:sz w:val="20"/>
                      <w:szCs w:val="21"/>
                    </w:rPr>
                    <w:t>周界外浓度最高点</w:t>
                  </w:r>
                </w:p>
              </w:tc>
              <w:tc>
                <w:tcPr>
                  <w:tcW w:w="1260" w:type="dxa"/>
                  <w:vAlign w:val="center"/>
                </w:tcPr>
                <w:p w14:paraId="6FC2C0DC">
                  <w:pPr>
                    <w:adjustRightInd w:val="0"/>
                    <w:snapToGrid w:val="0"/>
                    <w:jc w:val="center"/>
                    <w:rPr>
                      <w:rFonts w:hint="default" w:ascii="Times New Roman" w:hAnsi="Times New Roman" w:eastAsia="宋体" w:cs="宋体"/>
                      <w:color w:val="auto"/>
                      <w:kern w:val="0"/>
                      <w:sz w:val="20"/>
                      <w:szCs w:val="21"/>
                      <w:lang w:val="en-US" w:eastAsia="zh-CN" w:bidi="ar-SA"/>
                    </w:rPr>
                  </w:pPr>
                  <w:r>
                    <w:rPr>
                      <w:rFonts w:hint="eastAsia" w:ascii="Times New Roman" w:hAnsi="Times New Roman" w:cs="宋体"/>
                      <w:color w:val="auto"/>
                      <w:kern w:val="0"/>
                      <w:sz w:val="20"/>
                      <w:szCs w:val="21"/>
                    </w:rPr>
                    <w:t>0.7</w:t>
                  </w:r>
                </w:p>
              </w:tc>
              <w:tc>
                <w:tcPr>
                  <w:tcW w:w="2330" w:type="dxa"/>
                  <w:vAlign w:val="center"/>
                </w:tcPr>
                <w:p w14:paraId="2F334A48">
                  <w:pPr>
                    <w:adjustRightInd w:val="0"/>
                    <w:snapToGrid w:val="0"/>
                    <w:jc w:val="center"/>
                    <w:rPr>
                      <w:rFonts w:hint="default" w:ascii="Times New Roman" w:hAnsi="Times New Roman" w:eastAsia="宋体" w:cs="宋体"/>
                      <w:color w:val="auto"/>
                      <w:kern w:val="0"/>
                      <w:sz w:val="20"/>
                      <w:szCs w:val="21"/>
                      <w:lang w:val="en-US" w:eastAsia="zh-CN" w:bidi="ar-SA"/>
                    </w:rPr>
                  </w:pPr>
                  <w:r>
                    <w:rPr>
                      <w:rFonts w:hint="eastAsia" w:ascii="Times New Roman" w:hAnsi="Times New Roman" w:cs="宋体"/>
                      <w:color w:val="auto"/>
                      <w:kern w:val="0"/>
                      <w:sz w:val="20"/>
                      <w:szCs w:val="21"/>
                    </w:rPr>
                    <w:t>《施工场界扬尘排放限值》（基础、主体结构及装饰工程阶段）（DB61/1078-2017）</w:t>
                  </w:r>
                </w:p>
              </w:tc>
            </w:tr>
            <w:tr w14:paraId="5B05A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5" w:type="dxa"/>
                  <w:vMerge w:val="restart"/>
                  <w:vAlign w:val="center"/>
                </w:tcPr>
                <w:p w14:paraId="26C0315A">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运营期</w:t>
                  </w:r>
                </w:p>
              </w:tc>
              <w:tc>
                <w:tcPr>
                  <w:tcW w:w="489" w:type="dxa"/>
                  <w:vAlign w:val="center"/>
                </w:tcPr>
                <w:p w14:paraId="6EF8EFFA">
                  <w:pPr>
                    <w:adjustRightInd w:val="0"/>
                    <w:snapToGrid w:val="0"/>
                    <w:rPr>
                      <w:rFonts w:hint="default" w:ascii="Times New Roman" w:hAnsi="Times New Roman" w:cs="Times New Roman"/>
                      <w:kern w:val="0"/>
                      <w:sz w:val="21"/>
                      <w:szCs w:val="21"/>
                    </w:rPr>
                  </w:pPr>
                  <w:r>
                    <w:rPr>
                      <w:rFonts w:hint="default" w:ascii="Times New Roman" w:hAnsi="Times New Roman" w:cs="Times New Roman"/>
                      <w:kern w:val="0"/>
                      <w:sz w:val="21"/>
                      <w:szCs w:val="21"/>
                    </w:rPr>
                    <w:t>颗粒物</w:t>
                  </w:r>
                </w:p>
              </w:tc>
              <w:tc>
                <w:tcPr>
                  <w:tcW w:w="804" w:type="dxa"/>
                  <w:vAlign w:val="center"/>
                </w:tcPr>
                <w:p w14:paraId="309CD8F0">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车间或生产设施排气筒</w:t>
                  </w:r>
                </w:p>
              </w:tc>
              <w:tc>
                <w:tcPr>
                  <w:tcW w:w="1200" w:type="dxa"/>
                  <w:vAlign w:val="center"/>
                </w:tcPr>
                <w:p w14:paraId="18C741D8">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410" w:type="dxa"/>
                  <w:vAlign w:val="center"/>
                </w:tcPr>
                <w:p w14:paraId="25AC4158">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260" w:type="dxa"/>
                  <w:vAlign w:val="center"/>
                </w:tcPr>
                <w:p w14:paraId="4E650EC8">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2330" w:type="dxa"/>
                  <w:vAlign w:val="center"/>
                </w:tcPr>
                <w:p w14:paraId="0C0E6243">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《关中地区重点行业大气污染物排放限值》（DB61/941-2018）水泥工业大气污染物排放浓度限值（水泥制品生产）</w:t>
                  </w:r>
                </w:p>
              </w:tc>
            </w:tr>
            <w:tr w14:paraId="16AD7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5" w:type="dxa"/>
                  <w:vMerge w:val="continue"/>
                  <w:vAlign w:val="center"/>
                </w:tcPr>
                <w:p w14:paraId="23F3DF8F">
                  <w:pPr>
                    <w:adjustRightInd w:val="0"/>
                    <w:snapToGrid w:val="0"/>
                    <w:jc w:val="center"/>
                    <w:rPr>
                      <w:rFonts w:hint="default" w:ascii="Times New Roman" w:hAnsi="Times New Roman" w:cs="Times New Roman"/>
                      <w:kern w:val="0"/>
                      <w:sz w:val="21"/>
                      <w:szCs w:val="21"/>
                    </w:rPr>
                  </w:pPr>
                </w:p>
              </w:tc>
              <w:tc>
                <w:tcPr>
                  <w:tcW w:w="489" w:type="dxa"/>
                  <w:vAlign w:val="center"/>
                </w:tcPr>
                <w:p w14:paraId="134D00B8">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颗粒物</w:t>
                  </w:r>
                </w:p>
              </w:tc>
              <w:tc>
                <w:tcPr>
                  <w:tcW w:w="804" w:type="dxa"/>
                  <w:vAlign w:val="center"/>
                </w:tcPr>
                <w:p w14:paraId="30B1514D">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200" w:type="dxa"/>
                  <w:vAlign w:val="center"/>
                </w:tcPr>
                <w:p w14:paraId="6420B59A">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410" w:type="dxa"/>
                  <w:vAlign w:val="center"/>
                </w:tcPr>
                <w:p w14:paraId="2D32867A">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厂界外20m处上风向设参照点，下风向设监控点</w:t>
                  </w:r>
                </w:p>
              </w:tc>
              <w:tc>
                <w:tcPr>
                  <w:tcW w:w="1260" w:type="dxa"/>
                  <w:vAlign w:val="center"/>
                </w:tcPr>
                <w:p w14:paraId="09B32C1F">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0.5</w:t>
                  </w:r>
                </w:p>
              </w:tc>
              <w:tc>
                <w:tcPr>
                  <w:tcW w:w="2330" w:type="dxa"/>
                  <w:vAlign w:val="center"/>
                </w:tcPr>
                <w:p w14:paraId="36298790">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《水泥工业大气污染物排放标准》（GB4915-2013）中无组织排放限值</w:t>
                  </w:r>
                </w:p>
              </w:tc>
            </w:tr>
          </w:tbl>
          <w:p w14:paraId="48AAA285">
            <w:pPr>
              <w:pStyle w:val="37"/>
              <w:numPr>
                <w:ilvl w:val="0"/>
                <w:numId w:val="0"/>
              </w:numPr>
              <w:adjustRightInd w:val="0"/>
              <w:snapToGrid w:val="0"/>
              <w:spacing w:line="360" w:lineRule="auto"/>
              <w:ind w:leftChars="0"/>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cs="Times New Roman"/>
                <w:b/>
                <w:bCs w:val="0"/>
                <w:kern w:val="2"/>
                <w:sz w:val="24"/>
                <w:szCs w:val="22"/>
                <w:lang w:val="en-US" w:eastAsia="zh-CN" w:bidi="ar-SA"/>
              </w:rPr>
              <w:t>2.</w:t>
            </w:r>
            <w:r>
              <w:rPr>
                <w:rFonts w:hint="eastAsia" w:ascii="Times New Roman" w:hAnsi="Times New Roman" w:eastAsia="宋体" w:cs="Times New Roman"/>
                <w:b/>
                <w:bCs w:val="0"/>
                <w:kern w:val="2"/>
                <w:sz w:val="24"/>
                <w:szCs w:val="22"/>
                <w:lang w:val="en-US" w:eastAsia="zh-CN" w:bidi="ar-SA"/>
              </w:rPr>
              <w:t>废水排放标准</w:t>
            </w:r>
          </w:p>
          <w:p w14:paraId="21BA4723">
            <w:pPr>
              <w:pStyle w:val="37"/>
              <w:numPr>
                <w:ilvl w:val="0"/>
                <w:numId w:val="0"/>
              </w:numPr>
              <w:adjustRightInd w:val="0"/>
              <w:snapToGrid w:val="0"/>
              <w:spacing w:line="360" w:lineRule="auto"/>
              <w:ind w:leftChars="0" w:firstLine="480" w:firstLineChars="200"/>
              <w:rPr>
                <w:rFonts w:hint="eastAsia" w:ascii="Times New Roman" w:hAnsi="Times New Roman" w:cs="Times New Roman"/>
                <w:sz w:val="24"/>
                <w:lang w:eastAsia="zh-CN"/>
              </w:rPr>
            </w:pPr>
            <w:r>
              <w:rPr>
                <w:rFonts w:hint="eastAsia" w:ascii="Times New Roman" w:hAnsi="Times New Roman" w:cs="Times New Roman"/>
                <w:sz w:val="24"/>
                <w:lang w:eastAsia="zh-CN"/>
              </w:rPr>
              <w:t>项目无生产废水产生，生活污水排放执行《污水综合排放标准》（GB8978-1996）三级标准和《污水排入城镇下水道水质标准》B级（GB/T31962-2015）标准。</w:t>
            </w:r>
          </w:p>
          <w:p w14:paraId="4EC8E900">
            <w:pPr>
              <w:pStyle w:val="35"/>
              <w:numPr>
                <w:ilvl w:val="0"/>
                <w:numId w:val="0"/>
              </w:numPr>
              <w:spacing w:line="360" w:lineRule="auto"/>
              <w:ind w:leftChars="0" w:right="86" w:rightChars="0"/>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cs="Times New Roman"/>
                <w:b/>
                <w:bCs w:val="0"/>
                <w:kern w:val="2"/>
                <w:sz w:val="24"/>
                <w:szCs w:val="22"/>
                <w:lang w:val="en-US" w:eastAsia="zh-CN" w:bidi="ar-SA"/>
              </w:rPr>
              <w:t>3.</w:t>
            </w:r>
            <w:r>
              <w:rPr>
                <w:rFonts w:hint="eastAsia" w:ascii="Times New Roman" w:hAnsi="Times New Roman" w:eastAsia="宋体" w:cs="Times New Roman"/>
                <w:b/>
                <w:bCs w:val="0"/>
                <w:kern w:val="2"/>
                <w:sz w:val="24"/>
                <w:szCs w:val="22"/>
                <w:lang w:val="en-US" w:eastAsia="zh-CN" w:bidi="ar-SA"/>
              </w:rPr>
              <w:t>噪声排放标准</w:t>
            </w:r>
          </w:p>
          <w:p w14:paraId="46A70F4D">
            <w:pPr>
              <w:pStyle w:val="35"/>
              <w:numPr>
                <w:ilvl w:val="0"/>
                <w:numId w:val="0"/>
              </w:numPr>
              <w:spacing w:line="360" w:lineRule="auto"/>
              <w:ind w:leftChars="0" w:right="86" w:rightChars="0" w:firstLine="480" w:firstLineChars="200"/>
              <w:rPr>
                <w:rFonts w:hint="eastAsia" w:ascii="Times New Roman" w:hAnsi="Times New Roman" w:eastAsia="宋体" w:cs="Times New Roman"/>
                <w:kern w:val="0"/>
                <w:sz w:val="24"/>
                <w:lang w:eastAsia="zh-CN"/>
              </w:rPr>
            </w:pPr>
            <w:r>
              <w:rPr>
                <w:rFonts w:hint="default" w:ascii="Times New Roman" w:hAnsi="Times New Roman" w:cs="Times New Roman"/>
                <w:kern w:val="0"/>
                <w:sz w:val="24"/>
              </w:rPr>
              <w:t>营运期厂界噪声执行《工业企业厂界环境噪声排放标准》（GB12348-2008）</w:t>
            </w:r>
            <w:r>
              <w:rPr>
                <w:rFonts w:hint="eastAsia" w:ascii="Times New Roman" w:hAnsi="Times New Roman" w:cs="Times New Roman"/>
                <w:kern w:val="0"/>
                <w:sz w:val="24"/>
                <w:lang w:val="en-US" w:eastAsia="zh-CN"/>
              </w:rPr>
              <w:t>3</w:t>
            </w:r>
            <w:r>
              <w:rPr>
                <w:rFonts w:hint="default" w:ascii="Times New Roman" w:hAnsi="Times New Roman" w:cs="Times New Roman"/>
                <w:kern w:val="0"/>
                <w:sz w:val="24"/>
              </w:rPr>
              <w:t>类标准；具体标准值见下表3-5</w:t>
            </w:r>
            <w:r>
              <w:rPr>
                <w:rFonts w:hint="eastAsia" w:ascii="Times New Roman" w:hAnsi="Times New Roman" w:cs="Times New Roman"/>
                <w:kern w:val="0"/>
                <w:sz w:val="24"/>
                <w:lang w:eastAsia="zh-CN"/>
              </w:rPr>
              <w:t>。</w:t>
            </w:r>
          </w:p>
          <w:p w14:paraId="4587C1DC">
            <w:pPr>
              <w:adjustRightInd w:val="0"/>
              <w:snapToGrid w:val="0"/>
              <w:spacing w:line="240" w:lineRule="auto"/>
              <w:jc w:val="center"/>
              <w:rPr>
                <w:rFonts w:hint="eastAsia" w:ascii="Times New Roman" w:hAnsi="Times New Roman" w:cs="Times New Roman"/>
                <w:b/>
                <w:kern w:val="0"/>
                <w:szCs w:val="21"/>
              </w:rPr>
            </w:pPr>
            <w:r>
              <w:rPr>
                <w:rFonts w:hint="eastAsia" w:ascii="Times New Roman" w:hAnsi="Times New Roman" w:cs="Times New Roman"/>
                <w:b/>
                <w:kern w:val="0"/>
                <w:szCs w:val="21"/>
              </w:rPr>
              <w:t>表3-5  噪声排放标准</w:t>
            </w:r>
          </w:p>
          <w:tbl>
            <w:tblPr>
              <w:tblStyle w:val="24"/>
              <w:tblW w:w="79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2860"/>
              <w:gridCol w:w="749"/>
              <w:gridCol w:w="1503"/>
              <w:gridCol w:w="1212"/>
            </w:tblGrid>
            <w:tr w14:paraId="39C0B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dxa"/>
                  <w:vMerge w:val="restart"/>
                  <w:vAlign w:val="center"/>
                </w:tcPr>
                <w:p w14:paraId="2307314D">
                  <w:pPr>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时期</w:t>
                  </w:r>
                </w:p>
              </w:tc>
              <w:tc>
                <w:tcPr>
                  <w:tcW w:w="2860" w:type="dxa"/>
                  <w:vMerge w:val="restart"/>
                  <w:vAlign w:val="center"/>
                </w:tcPr>
                <w:p w14:paraId="17DE5F3D">
                  <w:pPr>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标准名称</w:t>
                  </w:r>
                </w:p>
              </w:tc>
              <w:tc>
                <w:tcPr>
                  <w:tcW w:w="749" w:type="dxa"/>
                  <w:vMerge w:val="restart"/>
                  <w:vAlign w:val="center"/>
                </w:tcPr>
                <w:p w14:paraId="00605943">
                  <w:pPr>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级别</w:t>
                  </w:r>
                </w:p>
              </w:tc>
              <w:tc>
                <w:tcPr>
                  <w:tcW w:w="2715" w:type="dxa"/>
                  <w:gridSpan w:val="2"/>
                  <w:vAlign w:val="center"/>
                </w:tcPr>
                <w:p w14:paraId="61D73CC5">
                  <w:pPr>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排放标准值[dB（A）</w:t>
                  </w:r>
                </w:p>
              </w:tc>
            </w:tr>
            <w:tr w14:paraId="46627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654" w:type="dxa"/>
                  <w:vMerge w:val="continue"/>
                  <w:vAlign w:val="center"/>
                </w:tcPr>
                <w:p w14:paraId="25FEC8A9">
                  <w:pPr>
                    <w:adjustRightInd w:val="0"/>
                    <w:snapToGrid w:val="0"/>
                    <w:jc w:val="center"/>
                    <w:rPr>
                      <w:rFonts w:hint="default" w:ascii="Times New Roman" w:hAnsi="Times New Roman" w:cs="Times New Roman"/>
                      <w:b/>
                      <w:bCs/>
                      <w:kern w:val="0"/>
                      <w:szCs w:val="21"/>
                    </w:rPr>
                  </w:pPr>
                </w:p>
              </w:tc>
              <w:tc>
                <w:tcPr>
                  <w:tcW w:w="2860" w:type="dxa"/>
                  <w:vMerge w:val="continue"/>
                  <w:vAlign w:val="center"/>
                </w:tcPr>
                <w:p w14:paraId="49EA8A32">
                  <w:pPr>
                    <w:adjustRightInd w:val="0"/>
                    <w:snapToGrid w:val="0"/>
                    <w:jc w:val="center"/>
                    <w:rPr>
                      <w:rFonts w:hint="default" w:ascii="Times New Roman" w:hAnsi="Times New Roman" w:cs="Times New Roman"/>
                      <w:b/>
                      <w:bCs/>
                      <w:kern w:val="0"/>
                      <w:szCs w:val="21"/>
                    </w:rPr>
                  </w:pPr>
                </w:p>
              </w:tc>
              <w:tc>
                <w:tcPr>
                  <w:tcW w:w="749" w:type="dxa"/>
                  <w:vMerge w:val="continue"/>
                  <w:vAlign w:val="center"/>
                </w:tcPr>
                <w:p w14:paraId="5AB85EAC">
                  <w:pPr>
                    <w:adjustRightInd w:val="0"/>
                    <w:snapToGrid w:val="0"/>
                    <w:jc w:val="center"/>
                    <w:rPr>
                      <w:rFonts w:hint="default" w:ascii="Times New Roman" w:hAnsi="Times New Roman" w:cs="Times New Roman"/>
                      <w:b/>
                      <w:bCs/>
                      <w:kern w:val="0"/>
                      <w:szCs w:val="21"/>
                    </w:rPr>
                  </w:pPr>
                </w:p>
              </w:tc>
              <w:tc>
                <w:tcPr>
                  <w:tcW w:w="1503" w:type="dxa"/>
                  <w:vAlign w:val="center"/>
                </w:tcPr>
                <w:p w14:paraId="7276BFBD">
                  <w:pPr>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昼间</w:t>
                  </w:r>
                </w:p>
              </w:tc>
              <w:tc>
                <w:tcPr>
                  <w:tcW w:w="1212" w:type="dxa"/>
                  <w:vAlign w:val="center"/>
                </w:tcPr>
                <w:p w14:paraId="538D66D4">
                  <w:pPr>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夜间</w:t>
                  </w:r>
                </w:p>
              </w:tc>
            </w:tr>
            <w:tr w14:paraId="384C2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654" w:type="dxa"/>
                  <w:vAlign w:val="center"/>
                </w:tcPr>
                <w:p w14:paraId="4846AC26">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运营期</w:t>
                  </w:r>
                </w:p>
              </w:tc>
              <w:tc>
                <w:tcPr>
                  <w:tcW w:w="2860" w:type="dxa"/>
                  <w:vAlign w:val="center"/>
                </w:tcPr>
                <w:p w14:paraId="398E132A">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《工业企业厂界环境噪声排放标准》（GB12348-2008）</w:t>
                  </w:r>
                </w:p>
              </w:tc>
              <w:tc>
                <w:tcPr>
                  <w:tcW w:w="749" w:type="dxa"/>
                  <w:vAlign w:val="center"/>
                </w:tcPr>
                <w:p w14:paraId="3319B43E">
                  <w:pPr>
                    <w:adjustRightInd w:val="0"/>
                    <w:snapToGrid w:val="0"/>
                    <w:jc w:val="center"/>
                    <w:rPr>
                      <w:rFonts w:hint="eastAsia" w:ascii="Times New Roman" w:hAnsi="Times New Roman" w:eastAsia="宋体" w:cs="Times New Roman"/>
                      <w:kern w:val="0"/>
                      <w:szCs w:val="21"/>
                      <w:lang w:eastAsia="zh-CN"/>
                    </w:rPr>
                  </w:pPr>
                  <w:r>
                    <w:rPr>
                      <w:rFonts w:hint="eastAsia" w:ascii="Times New Roman" w:hAnsi="Times New Roman" w:cs="Times New Roman"/>
                      <w:kern w:val="0"/>
                      <w:szCs w:val="21"/>
                      <w:lang w:eastAsia="zh-CN"/>
                    </w:rPr>
                    <w:t>3类</w:t>
                  </w:r>
                </w:p>
              </w:tc>
              <w:tc>
                <w:tcPr>
                  <w:tcW w:w="1503" w:type="dxa"/>
                  <w:vAlign w:val="center"/>
                </w:tcPr>
                <w:p w14:paraId="238FBDF5">
                  <w:pPr>
                    <w:adjustRightInd w:val="0"/>
                    <w:snapToGrid w:val="0"/>
                    <w:jc w:val="center"/>
                    <w:rPr>
                      <w:rFonts w:hint="eastAsia" w:ascii="Times New Roman" w:hAnsi="Times New Roman" w:eastAsia="宋体" w:cs="Times New Roman"/>
                      <w:kern w:val="0"/>
                      <w:szCs w:val="21"/>
                      <w:lang w:eastAsia="zh-CN"/>
                    </w:rPr>
                  </w:pPr>
                  <w:r>
                    <w:rPr>
                      <w:rFonts w:hint="default" w:ascii="Times New Roman" w:hAnsi="Times New Roman" w:cs="Times New Roman"/>
                      <w:kern w:val="0"/>
                      <w:szCs w:val="21"/>
                    </w:rPr>
                    <w:t>6</w:t>
                  </w:r>
                  <w:r>
                    <w:rPr>
                      <w:rFonts w:hint="eastAsia" w:ascii="Times New Roman" w:hAnsi="Times New Roman" w:cs="Times New Roman"/>
                      <w:kern w:val="0"/>
                      <w:szCs w:val="21"/>
                      <w:lang w:val="en-US" w:eastAsia="zh-CN"/>
                    </w:rPr>
                    <w:t>5</w:t>
                  </w:r>
                </w:p>
              </w:tc>
              <w:tc>
                <w:tcPr>
                  <w:tcW w:w="1212" w:type="dxa"/>
                  <w:vAlign w:val="center"/>
                </w:tcPr>
                <w:p w14:paraId="776302E7">
                  <w:pPr>
                    <w:adjustRightInd w:val="0"/>
                    <w:snapToGrid w:val="0"/>
                    <w:jc w:val="center"/>
                    <w:rPr>
                      <w:rFonts w:hint="eastAsia" w:ascii="Times New Roman" w:hAnsi="Times New Roman" w:eastAsia="宋体" w:cs="Times New Roman"/>
                      <w:kern w:val="0"/>
                      <w:szCs w:val="21"/>
                      <w:lang w:eastAsia="zh-CN"/>
                    </w:rPr>
                  </w:pPr>
                  <w:r>
                    <w:rPr>
                      <w:rFonts w:hint="default" w:ascii="Times New Roman" w:hAnsi="Times New Roman" w:cs="Times New Roman"/>
                      <w:kern w:val="0"/>
                      <w:szCs w:val="21"/>
                    </w:rPr>
                    <w:t>5</w:t>
                  </w:r>
                  <w:r>
                    <w:rPr>
                      <w:rFonts w:hint="eastAsia" w:ascii="Times New Roman" w:hAnsi="Times New Roman" w:cs="Times New Roman"/>
                      <w:kern w:val="0"/>
                      <w:szCs w:val="21"/>
                      <w:lang w:val="en-US" w:eastAsia="zh-CN"/>
                    </w:rPr>
                    <w:t>5</w:t>
                  </w:r>
                </w:p>
              </w:tc>
            </w:tr>
          </w:tbl>
          <w:p w14:paraId="4349A59A">
            <w:pPr>
              <w:pStyle w:val="37"/>
              <w:numPr>
                <w:ilvl w:val="0"/>
                <w:numId w:val="0"/>
              </w:numPr>
              <w:adjustRightInd w:val="0"/>
              <w:snapToGrid w:val="0"/>
              <w:spacing w:line="360" w:lineRule="auto"/>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eastAsia="宋体" w:cs="Times New Roman"/>
                <w:b/>
                <w:bCs w:val="0"/>
                <w:kern w:val="2"/>
                <w:sz w:val="24"/>
                <w:szCs w:val="22"/>
                <w:lang w:val="en-US" w:eastAsia="zh-CN" w:bidi="ar-SA"/>
              </w:rPr>
              <w:t>4</w:t>
            </w:r>
            <w:r>
              <w:rPr>
                <w:rFonts w:hint="eastAsia" w:ascii="Times New Roman" w:hAnsi="Times New Roman" w:cs="Times New Roman"/>
                <w:b/>
                <w:bCs w:val="0"/>
                <w:kern w:val="2"/>
                <w:sz w:val="24"/>
                <w:szCs w:val="22"/>
                <w:lang w:val="en-US" w:eastAsia="zh-CN" w:bidi="ar-SA"/>
              </w:rPr>
              <w:t>.</w:t>
            </w:r>
            <w:r>
              <w:rPr>
                <w:rFonts w:hint="eastAsia" w:ascii="Times New Roman" w:hAnsi="Times New Roman" w:eastAsia="宋体" w:cs="Times New Roman"/>
                <w:b/>
                <w:bCs w:val="0"/>
                <w:kern w:val="2"/>
                <w:sz w:val="24"/>
                <w:szCs w:val="22"/>
                <w:lang w:val="en-US" w:eastAsia="zh-CN" w:bidi="ar-SA"/>
              </w:rPr>
              <w:t>固体废物控制标准</w:t>
            </w:r>
          </w:p>
          <w:p w14:paraId="3A3F4749">
            <w:pPr>
              <w:adjustRightInd w:val="0"/>
              <w:snapToGrid w:val="0"/>
              <w:spacing w:line="360" w:lineRule="auto"/>
              <w:ind w:firstLine="480" w:firstLineChars="200"/>
              <w:rPr>
                <w:rFonts w:hint="eastAsia" w:eastAsia="宋体" w:cs="宋体"/>
                <w:kern w:val="0"/>
                <w:szCs w:val="21"/>
                <w:lang w:eastAsia="zh-CN"/>
              </w:rPr>
            </w:pPr>
            <w:r>
              <w:rPr>
                <w:rFonts w:hint="default" w:ascii="Times New Roman" w:hAnsi="Times New Roman" w:cs="Times New Roman"/>
                <w:kern w:val="0"/>
                <w:sz w:val="24"/>
              </w:rPr>
              <w:t>一般固体废弃物排放执行《一般工业固体废物贮存和填埋污染控制标准》（GB18599-2020）中的有关规定</w:t>
            </w:r>
            <w:r>
              <w:rPr>
                <w:rFonts w:hint="eastAsia" w:ascii="Times New Roman" w:hAnsi="Times New Roman" w:cs="Times New Roman"/>
                <w:kern w:val="0"/>
                <w:sz w:val="24"/>
                <w:lang w:eastAsia="zh-CN"/>
              </w:rPr>
              <w:t>；</w:t>
            </w:r>
            <w:r>
              <w:rPr>
                <w:rFonts w:hint="eastAsia" w:ascii="Times New Roman" w:hAnsi="Times New Roman" w:cs="宋体"/>
                <w:color w:val="auto"/>
                <w:kern w:val="0"/>
                <w:sz w:val="24"/>
              </w:rPr>
              <w:t>危险废物执行《危险废物贮存污染控制标准》（GB18597-20</w:t>
            </w:r>
            <w:r>
              <w:rPr>
                <w:rFonts w:hint="eastAsia" w:ascii="Times New Roman" w:hAnsi="Times New Roman" w:cs="宋体"/>
                <w:color w:val="auto"/>
                <w:kern w:val="0"/>
                <w:sz w:val="24"/>
                <w:lang w:val="en-US" w:eastAsia="zh-CN"/>
              </w:rPr>
              <w:t>23</w:t>
            </w:r>
            <w:r>
              <w:rPr>
                <w:rFonts w:hint="eastAsia" w:ascii="Times New Roman" w:hAnsi="Times New Roman" w:cs="宋体"/>
                <w:color w:val="auto"/>
                <w:kern w:val="0"/>
                <w:sz w:val="24"/>
              </w:rPr>
              <w:t>）及修改单中的有关规定。</w:t>
            </w:r>
          </w:p>
        </w:tc>
      </w:tr>
      <w:tr w14:paraId="7F03D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800" w:type="dxa"/>
            <w:tcBorders>
              <w:tl2br w:val="nil"/>
              <w:tr2bl w:val="nil"/>
            </w:tcBorders>
            <w:vAlign w:val="center"/>
          </w:tcPr>
          <w:p w14:paraId="2C569266">
            <w:pPr>
              <w:adjustRightInd w:val="0"/>
              <w:snapToGrid w:val="0"/>
              <w:jc w:val="center"/>
              <w:rPr>
                <w:rFonts w:hint="eastAsia" w:ascii="Calibri" w:hAnsi="Calibri" w:eastAsia="宋体" w:cs="宋体"/>
                <w:kern w:val="0"/>
                <w:sz w:val="24"/>
                <w:szCs w:val="22"/>
                <w:lang w:val="en-US" w:eastAsia="zh-CN" w:bidi="ar-SA"/>
              </w:rPr>
            </w:pPr>
            <w:r>
              <w:rPr>
                <w:rFonts w:hint="eastAsia" w:ascii="Calibri" w:hAnsi="Calibri" w:eastAsia="宋体" w:cs="宋体"/>
                <w:kern w:val="0"/>
                <w:sz w:val="24"/>
                <w:szCs w:val="22"/>
                <w:lang w:val="en-US" w:eastAsia="zh-CN" w:bidi="ar-SA"/>
              </w:rPr>
              <w:t>总量控制指标</w:t>
            </w:r>
          </w:p>
        </w:tc>
        <w:tc>
          <w:tcPr>
            <w:tcW w:w="8190" w:type="dxa"/>
            <w:tcBorders>
              <w:tl2br w:val="nil"/>
              <w:tr2bl w:val="nil"/>
            </w:tcBorders>
            <w:vAlign w:val="center"/>
          </w:tcPr>
          <w:p w14:paraId="2BBAEA6B">
            <w:pPr>
              <w:pStyle w:val="37"/>
              <w:numPr>
                <w:ilvl w:val="0"/>
                <w:numId w:val="0"/>
              </w:numPr>
              <w:adjustRightInd w:val="0"/>
              <w:snapToGrid w:val="0"/>
              <w:spacing w:line="360" w:lineRule="auto"/>
              <w:ind w:firstLine="240" w:firstLineChars="100"/>
              <w:rPr>
                <w:rFonts w:hint="default" w:ascii="Times New Roman" w:hAnsi="Times New Roman" w:eastAsia="宋体" w:cs="Times New Roman"/>
                <w:kern w:val="0"/>
                <w:sz w:val="24"/>
                <w:szCs w:val="22"/>
                <w:lang w:val="en-US" w:eastAsia="zh-CN" w:bidi="ar-SA"/>
              </w:rPr>
            </w:pPr>
          </w:p>
          <w:p w14:paraId="39F8E5F0">
            <w:pPr>
              <w:pStyle w:val="37"/>
              <w:numPr>
                <w:ilvl w:val="0"/>
                <w:numId w:val="0"/>
              </w:numPr>
              <w:adjustRightInd w:val="0"/>
              <w:snapToGrid w:val="0"/>
              <w:spacing w:line="360" w:lineRule="auto"/>
              <w:ind w:firstLine="240" w:firstLineChars="100"/>
              <w:rPr>
                <w:rFonts w:hint="default" w:ascii="Times New Roman" w:hAnsi="Times New Roman" w:eastAsia="宋体" w:cs="Times New Roman"/>
                <w:kern w:val="0"/>
                <w:sz w:val="24"/>
                <w:szCs w:val="22"/>
                <w:lang w:val="en-US" w:eastAsia="zh-CN" w:bidi="ar-SA"/>
              </w:rPr>
            </w:pPr>
          </w:p>
          <w:p w14:paraId="0A7EBCBC">
            <w:pPr>
              <w:pStyle w:val="37"/>
              <w:numPr>
                <w:ilvl w:val="0"/>
                <w:numId w:val="0"/>
              </w:numPr>
              <w:adjustRightInd w:val="0"/>
              <w:snapToGrid w:val="0"/>
              <w:spacing w:line="360" w:lineRule="auto"/>
              <w:ind w:firstLine="240" w:firstLineChars="100"/>
              <w:rPr>
                <w:rFonts w:hint="default" w:ascii="Times New Roman" w:hAnsi="Times New Roman" w:eastAsia="宋体" w:cs="Times New Roman"/>
                <w:kern w:val="0"/>
                <w:sz w:val="24"/>
                <w:szCs w:val="22"/>
                <w:lang w:val="en-US" w:eastAsia="zh-CN" w:bidi="ar-SA"/>
              </w:rPr>
            </w:pPr>
            <w:r>
              <w:rPr>
                <w:rFonts w:hint="default" w:ascii="Times New Roman" w:hAnsi="Times New Roman" w:eastAsia="宋体" w:cs="Times New Roman"/>
                <w:kern w:val="0"/>
                <w:sz w:val="24"/>
                <w:szCs w:val="22"/>
                <w:lang w:val="en-US" w:eastAsia="zh-CN" w:bidi="ar-SA"/>
              </w:rPr>
              <w:t>本项目生活污水进入化粪池预处理后，</w:t>
            </w:r>
            <w:r>
              <w:rPr>
                <w:rFonts w:hint="default" w:ascii="Times New Roman" w:hAnsi="Times New Roman" w:eastAsia="宋体" w:cs="Times New Roman"/>
                <w:color w:val="000000"/>
                <w:sz w:val="24"/>
                <w:lang w:val="en-US" w:eastAsia="zh-CN"/>
              </w:rPr>
              <w:t>160m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/a污水进入管网，最后排入</w:t>
            </w:r>
            <w:r>
              <w:rPr>
                <w:rFonts w:hint="default" w:ascii="Times New Roman" w:hAnsi="Times New Roman" w:eastAsia="宋体" w:cs="Times New Roman"/>
                <w:kern w:val="0"/>
                <w:sz w:val="24"/>
                <w:szCs w:val="22"/>
                <w:lang w:val="en-US" w:eastAsia="zh-CN" w:bidi="ar-SA"/>
              </w:rPr>
              <w:t>沣西新城大王污水处理厂，处理达标后排入新河；废气主要为颗粒物，不涉及总量控制指标的污染物排放，故本项目不申请总量控制指标。</w:t>
            </w:r>
          </w:p>
          <w:p w14:paraId="452FCD55">
            <w:pPr>
              <w:pStyle w:val="37"/>
              <w:numPr>
                <w:ilvl w:val="0"/>
                <w:numId w:val="0"/>
              </w:numPr>
              <w:adjustRightInd w:val="0"/>
              <w:snapToGrid w:val="0"/>
              <w:spacing w:line="360" w:lineRule="auto"/>
              <w:rPr>
                <w:rFonts w:hint="eastAsia" w:ascii="Times New Roman" w:hAnsi="Times New Roman" w:eastAsia="宋体" w:cs="Times New Roman"/>
                <w:kern w:val="0"/>
                <w:sz w:val="24"/>
                <w:szCs w:val="22"/>
                <w:lang w:val="en-US" w:eastAsia="zh-CN" w:bidi="ar-SA"/>
              </w:rPr>
            </w:pPr>
          </w:p>
        </w:tc>
      </w:tr>
    </w:tbl>
    <w:p w14:paraId="6FDEBC62">
      <w:pPr>
        <w:pStyle w:val="21"/>
        <w:jc w:val="center"/>
        <w:outlineLvl w:val="0"/>
        <w:rPr>
          <w:rFonts w:hint="eastAsia" w:ascii="Times New Roman" w:hAnsi="Times New Roman" w:eastAsia="黑体"/>
          <w:snapToGrid w:val="0"/>
          <w:sz w:val="30"/>
          <w:szCs w:val="30"/>
        </w:rPr>
      </w:pPr>
      <w:r>
        <w:rPr>
          <w:rFonts w:hint="eastAsia" w:ascii="Times New Roman" w:hAnsi="Times New Roman" w:eastAsia="黑体"/>
          <w:snapToGrid w:val="0"/>
          <w:sz w:val="30"/>
          <w:szCs w:val="30"/>
        </w:rPr>
        <w:br w:type="page"/>
      </w:r>
      <w:r>
        <w:rPr>
          <w:rFonts w:hint="eastAsia" w:ascii="Times New Roman" w:hAnsi="Times New Roman" w:eastAsia="黑体"/>
          <w:snapToGrid w:val="0"/>
          <w:sz w:val="30"/>
          <w:szCs w:val="30"/>
        </w:rPr>
        <w:t>四、主要环境影响和保护措施</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7741"/>
      </w:tblGrid>
      <w:tr w14:paraId="725BC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1" w:type="dxa"/>
            <w:tcBorders>
              <w:tl2br w:val="nil"/>
              <w:tr2bl w:val="nil"/>
            </w:tcBorders>
            <w:vAlign w:val="center"/>
          </w:tcPr>
          <w:p w14:paraId="05DD3E5D">
            <w:pPr>
              <w:jc w:val="left"/>
              <w:rPr>
                <w:rFonts w:hint="default" w:ascii="Times New Roman" w:hAnsi="Times New Roman" w:cs="Times New Roman"/>
                <w:snapToGrid w:val="0"/>
                <w:color w:val="auto"/>
                <w:sz w:val="24"/>
                <w:szCs w:val="24"/>
                <w:vertAlign w:val="baseline"/>
              </w:rPr>
            </w:pPr>
            <w:r>
              <w:rPr>
                <w:rFonts w:hint="default" w:ascii="Times New Roman" w:hAnsi="Times New Roman" w:cs="Times New Roman"/>
                <w:kern w:val="2"/>
                <w:sz w:val="24"/>
                <w:szCs w:val="24"/>
              </w:rPr>
              <w:t>施工期环境保护措施</w:t>
            </w:r>
          </w:p>
        </w:tc>
        <w:tc>
          <w:tcPr>
            <w:tcW w:w="7741" w:type="dxa"/>
            <w:tcBorders>
              <w:tl2br w:val="nil"/>
              <w:tr2bl w:val="nil"/>
            </w:tcBorders>
            <w:vAlign w:val="center"/>
          </w:tcPr>
          <w:p w14:paraId="1E2B68FB">
            <w:pPr>
              <w:adjustRightInd w:val="0"/>
              <w:snapToGrid w:val="0"/>
              <w:spacing w:line="360" w:lineRule="auto"/>
              <w:ind w:firstLine="480" w:firstLineChars="200"/>
              <w:rPr>
                <w:rFonts w:ascii="Times New Roman" w:hAnsi="Times New Roman" w:cs="宋体"/>
                <w:bCs/>
                <w:color w:val="auto"/>
                <w:sz w:val="24"/>
              </w:rPr>
            </w:pPr>
            <w:r>
              <w:rPr>
                <w:rFonts w:hint="eastAsia" w:ascii="Times New Roman" w:hAnsi="Times New Roman" w:cs="宋体"/>
                <w:bCs/>
                <w:color w:val="auto"/>
                <w:sz w:val="24"/>
              </w:rPr>
              <w:t>本项目施工期主要为：在现有厂房内进行设备安装和调试以及仓库区、危废暂存间、维修间的建设。施工期主要污染源为施工废水</w:t>
            </w:r>
            <w:r>
              <w:rPr>
                <w:rFonts w:hint="eastAsia" w:ascii="Times New Roman" w:hAnsi="Times New Roman" w:cs="宋体"/>
                <w:bCs/>
                <w:color w:val="auto"/>
                <w:sz w:val="24"/>
                <w:lang w:eastAsia="zh-CN"/>
              </w:rPr>
              <w:t>、</w:t>
            </w:r>
            <w:r>
              <w:rPr>
                <w:rFonts w:hint="eastAsia" w:ascii="Times New Roman" w:hAnsi="Times New Roman" w:cs="宋体"/>
                <w:bCs/>
                <w:color w:val="auto"/>
                <w:sz w:val="24"/>
              </w:rPr>
              <w:t>施工</w:t>
            </w:r>
            <w:r>
              <w:rPr>
                <w:rFonts w:hint="eastAsia" w:ascii="Times New Roman" w:hAnsi="Times New Roman" w:cs="宋体"/>
                <w:bCs/>
                <w:color w:val="auto"/>
                <w:sz w:val="24"/>
                <w:lang w:val="en-US" w:eastAsia="zh-CN"/>
              </w:rPr>
              <w:t>废气</w:t>
            </w:r>
            <w:r>
              <w:rPr>
                <w:rFonts w:hint="eastAsia" w:ascii="Times New Roman" w:hAnsi="Times New Roman" w:cs="宋体"/>
                <w:bCs/>
                <w:color w:val="auto"/>
                <w:sz w:val="24"/>
                <w:lang w:eastAsia="zh-CN"/>
              </w:rPr>
              <w:t>、</w:t>
            </w:r>
            <w:r>
              <w:rPr>
                <w:rFonts w:hint="eastAsia" w:ascii="Times New Roman" w:hAnsi="Times New Roman" w:cs="宋体"/>
                <w:bCs/>
                <w:color w:val="auto"/>
                <w:sz w:val="24"/>
              </w:rPr>
              <w:t>施工噪声、施工固废等污染物。</w:t>
            </w:r>
          </w:p>
          <w:p w14:paraId="140F39AF">
            <w:pPr>
              <w:pStyle w:val="37"/>
              <w:numPr>
                <w:ilvl w:val="0"/>
                <w:numId w:val="0"/>
              </w:numPr>
              <w:adjustRightInd w:val="0"/>
              <w:snapToGrid w:val="0"/>
              <w:spacing w:line="360" w:lineRule="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1.</w:t>
            </w:r>
            <w:r>
              <w:rPr>
                <w:rFonts w:hint="default" w:ascii="Times New Roman" w:hAnsi="Times New Roman" w:cs="Times New Roman"/>
                <w:b/>
                <w:color w:val="auto"/>
                <w:sz w:val="24"/>
              </w:rPr>
              <w:t>施工期废水</w:t>
            </w:r>
          </w:p>
          <w:p w14:paraId="4F9F9D65">
            <w:pPr>
              <w:pStyle w:val="37"/>
              <w:numPr>
                <w:ilvl w:val="0"/>
                <w:numId w:val="0"/>
              </w:numPr>
              <w:adjustRightInd w:val="0"/>
              <w:snapToGrid w:val="0"/>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bCs/>
                <w:color w:val="auto"/>
                <w:sz w:val="24"/>
              </w:rPr>
              <w:t>本项目施工期污水主要为生活污水，项目最大施工人数为</w:t>
            </w: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rPr>
              <w:t>人，施工人员生活用水按30L/d计，则施工人员施工用水量为0.</w:t>
            </w:r>
            <w:r>
              <w:rPr>
                <w:rFonts w:hint="default" w:ascii="Times New Roman" w:hAnsi="Times New Roman" w:cs="Times New Roman"/>
                <w:bCs/>
                <w:color w:val="auto"/>
                <w:sz w:val="24"/>
                <w:lang w:val="en-US" w:eastAsia="zh-CN"/>
              </w:rPr>
              <w:t>15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/d，生活污水排放量按照用水量的80%计，则生活污水排放量为</w:t>
            </w:r>
            <w:r>
              <w:rPr>
                <w:rFonts w:hint="default" w:ascii="Times New Roman" w:hAnsi="Times New Roman" w:cs="Times New Roman"/>
                <w:bCs/>
                <w:color w:val="auto"/>
                <w:sz w:val="24"/>
                <w:lang w:val="en-US" w:eastAsia="zh-CN"/>
              </w:rPr>
              <w:t>0.12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/d。施工人员生活污水主要污染物为COD、BOD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、SS和NH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-N等，可直接依托厂区现有化粪池收集后</w:t>
            </w:r>
            <w:r>
              <w:rPr>
                <w:rFonts w:hint="default" w:ascii="Times New Roman" w:hAnsi="Times New Roman" w:cs="Times New Roman"/>
                <w:bCs/>
                <w:color w:val="auto"/>
                <w:sz w:val="24"/>
                <w:lang w:eastAsia="zh-CN"/>
              </w:rPr>
              <w:t>，</w:t>
            </w:r>
            <w:r>
              <w:rPr>
                <w:rFonts w:hint="default" w:ascii="Times New Roman" w:hAnsi="Times New Roman" w:cs="Times New Roman"/>
                <w:sz w:val="24"/>
              </w:rPr>
              <w:t>预处理后排入沣西新城大王污水处理厂</w:t>
            </w:r>
            <w:r>
              <w:rPr>
                <w:rFonts w:hint="default" w:ascii="Times New Roman" w:hAnsi="Times New Roman" w:cs="Times New Roman"/>
                <w:sz w:val="24"/>
                <w:lang w:eastAsia="zh-CN"/>
              </w:rPr>
              <w:t>，</w:t>
            </w:r>
            <w:r>
              <w:rPr>
                <w:rFonts w:hint="default" w:ascii="Times New Roman" w:hAnsi="Times New Roman" w:cs="Times New Roman"/>
                <w:sz w:val="24"/>
              </w:rPr>
              <w:t>处理达标后排入新河</w:t>
            </w:r>
            <w:r>
              <w:rPr>
                <w:rFonts w:hint="default" w:ascii="Times New Roman" w:hAnsi="Times New Roman" w:cs="Times New Roman"/>
                <w:sz w:val="24"/>
                <w:lang w:eastAsia="zh-CN"/>
              </w:rPr>
              <w:t>。</w:t>
            </w:r>
          </w:p>
          <w:p w14:paraId="65D1F1EC">
            <w:pPr>
              <w:pStyle w:val="37"/>
              <w:numPr>
                <w:ilvl w:val="0"/>
                <w:numId w:val="0"/>
              </w:num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2</w:t>
            </w:r>
            <w:r>
              <w:rPr>
                <w:rFonts w:hint="eastAsia" w:ascii="Times New Roman" w:hAnsi="Times New Roman" w:cs="Times New Roman"/>
                <w:b/>
                <w:color w:val="auto"/>
                <w:sz w:val="24"/>
                <w:lang w:val="en-US" w:eastAsia="zh-CN"/>
              </w:rPr>
              <w:t>.</w:t>
            </w:r>
            <w:r>
              <w:rPr>
                <w:rFonts w:hint="default" w:ascii="Times New Roman" w:hAnsi="Times New Roman" w:cs="Times New Roman"/>
                <w:b/>
                <w:color w:val="auto"/>
                <w:sz w:val="24"/>
              </w:rPr>
              <w:t>施工期废气</w:t>
            </w:r>
          </w:p>
          <w:p w14:paraId="2264FB61">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于施工的建筑粉尘和扬尘难于集中处理，因此，对施工期二次扬尘污染主要是以采取有效的防治措施为主，使施工期间的粉尘影响得到控制。施工期间应该对施工单位加强管理，按进度、有计划地进行文明施工。</w:t>
            </w:r>
          </w:p>
          <w:p w14:paraId="720C7C3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施工扬尘</w:t>
            </w:r>
          </w:p>
          <w:p w14:paraId="6844FA86">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扬尘主要</w:t>
            </w:r>
            <w:r>
              <w:rPr>
                <w:rFonts w:hint="eastAsia" w:ascii="Times New Roman" w:hAnsi="Times New Roman" w:cs="Times New Roman"/>
                <w:bCs/>
                <w:color w:val="auto"/>
                <w:sz w:val="24"/>
                <w:lang w:eastAsia="zh-CN"/>
              </w:rPr>
              <w:t>来自</w:t>
            </w:r>
            <w:r>
              <w:rPr>
                <w:rFonts w:hint="default" w:ascii="Times New Roman" w:hAnsi="Times New Roman" w:cs="Times New Roman"/>
                <w:bCs/>
                <w:color w:val="auto"/>
                <w:sz w:val="24"/>
              </w:rPr>
              <w:t>施工设备如电钻、电锤及运输车辆产生的。通过采取装修垃圾及时清运、环保施工、合理堆放逸散尘物料等措施后，扬尘可得到有效控制。</w:t>
            </w:r>
          </w:p>
          <w:p w14:paraId="3F05C7E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施工机械废气</w:t>
            </w:r>
          </w:p>
          <w:p w14:paraId="5DA7D056">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施工期施工单位在运输原材料、施工设备以及施工机械设备在运输过程中均会排放一定量的CO、NO</w:t>
            </w:r>
            <w:r>
              <w:rPr>
                <w:rFonts w:hint="default" w:ascii="Times New Roman" w:hAnsi="Times New Roman" w:cs="Times New Roman"/>
                <w:bCs/>
                <w:color w:val="auto"/>
                <w:sz w:val="24"/>
                <w:vertAlign w:val="subscript"/>
              </w:rPr>
              <w:t>X</w:t>
            </w:r>
            <w:r>
              <w:rPr>
                <w:rFonts w:hint="default" w:ascii="Times New Roman" w:hAnsi="Times New Roman" w:cs="Times New Roman"/>
                <w:bCs/>
                <w:color w:val="auto"/>
                <w:sz w:val="24"/>
              </w:rPr>
              <w:t>、以及未完全燃烧的THC等，其特点是排放量少、属于间段性排放。在施工时选择性能完好的设备，规范操作，设备不带病及超负荷作业可有效减少施工机械废气排放，加之本项目施工场地开阔，扩散条件良好，因此施工机械废气可实现达标排放。</w:t>
            </w:r>
          </w:p>
          <w:p w14:paraId="196172DD">
            <w:pPr>
              <w:pStyle w:val="37"/>
              <w:numPr>
                <w:ilvl w:val="0"/>
                <w:numId w:val="0"/>
              </w:num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3</w:t>
            </w:r>
            <w:r>
              <w:rPr>
                <w:rFonts w:hint="eastAsia" w:ascii="Times New Roman" w:hAnsi="Times New Roman" w:cs="Times New Roman"/>
                <w:b/>
                <w:color w:val="auto"/>
                <w:sz w:val="24"/>
                <w:lang w:val="en-US" w:eastAsia="zh-CN"/>
              </w:rPr>
              <w:t>.</w:t>
            </w:r>
            <w:r>
              <w:rPr>
                <w:rFonts w:hint="default" w:ascii="Times New Roman" w:hAnsi="Times New Roman" w:cs="Times New Roman"/>
                <w:b/>
                <w:color w:val="auto"/>
                <w:sz w:val="24"/>
              </w:rPr>
              <w:t>施工期噪声</w:t>
            </w:r>
          </w:p>
          <w:p w14:paraId="562E35BB">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施工噪声尤其是夜间的施工噪声对周边环境影响较大，建议施工方采取以下措施以减免或减轻施工噪声对周围环境产生的不利影响：</w:t>
            </w:r>
          </w:p>
          <w:p w14:paraId="7B030238">
            <w:pPr>
              <w:adjustRightInd w:val="0"/>
              <w:snapToGrid w:val="0"/>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1</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施工现场施工单位必须执行《建筑施工场界环境噪声排放标准》（GB12523-2011）中的各项规定，及时了解施工噪声排放强度。</w:t>
            </w:r>
          </w:p>
          <w:p w14:paraId="7DA91027">
            <w:pPr>
              <w:adjustRightInd w:val="0"/>
              <w:snapToGrid w:val="0"/>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2</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采用较先进、噪声较低的施工设备，限制高噪声设备的施工时段，必要时高噪声的施工机械应采取隔声、降噪措施，减轻对周围环境的影响。</w:t>
            </w:r>
          </w:p>
          <w:p w14:paraId="1D43BA7D">
            <w:pPr>
              <w:adjustRightInd w:val="0"/>
              <w:snapToGrid w:val="0"/>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3</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合理的安排施工时间，将噪声级大的工作尽量安排在昼间非休息时段，高噪声源设备禁止在22:00-6:00及12:00-14:00施工；对因特殊需要在夜间进行超过噪声限值施工的，施工前建设单位应向有关部门提出申请，经批准后方可进行夜间施工。项目开工前，施工单位应向环保执法部门提出申请。</w:t>
            </w:r>
          </w:p>
          <w:p w14:paraId="7A40E2AB">
            <w:pPr>
              <w:adjustRightInd w:val="0"/>
              <w:snapToGrid w:val="0"/>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4</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运输材料的车辆进入施工现场，严禁鸣笛，装卸材料应做到轻拿轻放，并防止人为噪声影响周围安静环境。</w:t>
            </w:r>
          </w:p>
          <w:p w14:paraId="79F3F9A2">
            <w:pPr>
              <w:adjustRightInd w:val="0"/>
              <w:snapToGrid w:val="0"/>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5</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提高工作效率，加快施工进度，尽可能缩短工期，减少建设对周围环境的影响。</w:t>
            </w:r>
          </w:p>
          <w:p w14:paraId="7A32BD98">
            <w:pPr>
              <w:pStyle w:val="37"/>
              <w:numPr>
                <w:ilvl w:val="0"/>
                <w:numId w:val="0"/>
              </w:num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4</w:t>
            </w:r>
            <w:r>
              <w:rPr>
                <w:rFonts w:hint="eastAsia" w:ascii="Times New Roman" w:hAnsi="Times New Roman" w:cs="Times New Roman"/>
                <w:b/>
                <w:color w:val="auto"/>
                <w:sz w:val="24"/>
                <w:lang w:val="en-US" w:eastAsia="zh-CN"/>
              </w:rPr>
              <w:t>.</w:t>
            </w:r>
            <w:r>
              <w:rPr>
                <w:rFonts w:hint="default" w:ascii="Times New Roman" w:hAnsi="Times New Roman" w:cs="Times New Roman"/>
                <w:b/>
                <w:color w:val="auto"/>
                <w:sz w:val="24"/>
              </w:rPr>
              <w:t>施工期固体废物</w:t>
            </w:r>
          </w:p>
          <w:p w14:paraId="0D12D2D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建设施工期的固体废物包括建筑施工垃圾和生活垃圾。</w:t>
            </w:r>
          </w:p>
          <w:p w14:paraId="18098BC9">
            <w:pPr>
              <w:adjustRightInd w:val="0"/>
              <w:snapToGrid w:val="0"/>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1</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建筑垃圾：项目产生的建筑垃圾主要为部分设备安装过程、设备安装切割过程中产生的废钢材、塑料等边角料。施工期间应对建筑施工垃圾加强管理，废钢材、塑料可回收的可交由施工单位回收或变卖给废品回收站，施工现场包装垃圾应集中堆放，及时交由环卫部门清运。</w:t>
            </w:r>
          </w:p>
          <w:p w14:paraId="44B7281E">
            <w:pPr>
              <w:adjustRightInd w:val="0"/>
              <w:snapToGrid w:val="0"/>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2</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生活垃圾：工程施工期施工人员将产生生活垃圾。厂区设生活垃圾收集点暂存，由环卫部门收集处置，可降低对环境的影响。</w:t>
            </w:r>
          </w:p>
          <w:p w14:paraId="6B801656">
            <w:pPr>
              <w:pStyle w:val="35"/>
              <w:spacing w:before="2" w:line="360" w:lineRule="auto"/>
              <w:ind w:firstLine="480" w:firstLineChars="200"/>
              <w:rPr>
                <w:rFonts w:hint="default" w:ascii="Times New Roman" w:hAnsi="Times New Roman" w:cs="Times New Roman"/>
                <w:color w:val="auto"/>
                <w:sz w:val="24"/>
                <w:lang w:val="en-US" w:bidi="ar-SA"/>
              </w:rPr>
            </w:pPr>
            <w:r>
              <w:rPr>
                <w:rFonts w:hint="default" w:ascii="Times New Roman" w:hAnsi="Times New Roman" w:cs="Times New Roman"/>
                <w:bCs/>
                <w:color w:val="auto"/>
                <w:sz w:val="24"/>
              </w:rPr>
              <w:t>采取上述措施后，本项目施工期产生的污染对周围环境的影响较小</w:t>
            </w:r>
            <w:r>
              <w:rPr>
                <w:rFonts w:hint="eastAsia" w:ascii="Times New Roman" w:hAnsi="Times New Roman" w:cs="宋体"/>
                <w:bCs/>
                <w:color w:val="auto"/>
                <w:sz w:val="24"/>
              </w:rPr>
              <w:t>。</w:t>
            </w:r>
          </w:p>
        </w:tc>
      </w:tr>
      <w:tr w14:paraId="11362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1" w:type="dxa"/>
            <w:tcBorders>
              <w:tl2br w:val="nil"/>
              <w:tr2bl w:val="nil"/>
            </w:tcBorders>
            <w:vAlign w:val="center"/>
          </w:tcPr>
          <w:p w14:paraId="5FDEE0ED">
            <w:pPr>
              <w:jc w:val="center"/>
              <w:rPr>
                <w:rFonts w:hint="default" w:ascii="Times New Roman" w:hAnsi="Times New Roman" w:cs="Times New Roman"/>
                <w:kern w:val="2"/>
                <w:sz w:val="24"/>
                <w:szCs w:val="24"/>
              </w:rPr>
            </w:pPr>
            <w:r>
              <w:rPr>
                <w:rFonts w:hint="default" w:ascii="Times New Roman" w:hAnsi="Times New Roman" w:cs="Times New Roman"/>
                <w:bCs/>
                <w:sz w:val="24"/>
                <w:szCs w:val="24"/>
              </w:rPr>
              <w:t>运营期环境影响和保护措施</w:t>
            </w:r>
          </w:p>
        </w:tc>
        <w:tc>
          <w:tcPr>
            <w:tcW w:w="7741" w:type="dxa"/>
            <w:tcBorders>
              <w:tl2br w:val="nil"/>
              <w:tr2bl w:val="nil"/>
            </w:tcBorders>
            <w:vAlign w:val="center"/>
          </w:tcPr>
          <w:p w14:paraId="1D26AFBE">
            <w:pPr>
              <w:adjustRightInd w:val="0"/>
              <w:snapToGrid w:val="0"/>
              <w:spacing w:line="360" w:lineRule="auto"/>
              <w:rPr>
                <w:rFonts w:hint="default" w:ascii="Times New Roman" w:hAnsi="Times New Roman" w:eastAsia="宋体" w:cs="Times New Roman"/>
                <w:b/>
                <w:bCs w:val="0"/>
                <w:kern w:val="2"/>
                <w:sz w:val="24"/>
                <w:szCs w:val="24"/>
                <w:lang w:val="en-US" w:eastAsia="zh-CN" w:bidi="ar-SA"/>
              </w:rPr>
            </w:pPr>
            <w:r>
              <w:rPr>
                <w:rFonts w:hint="eastAsia" w:ascii="Times New Roman" w:hAnsi="Times New Roman" w:cs="Times New Roman"/>
                <w:b/>
                <w:bCs w:val="0"/>
                <w:kern w:val="2"/>
                <w:sz w:val="24"/>
                <w:szCs w:val="24"/>
                <w:lang w:val="en-US" w:eastAsia="zh-CN" w:bidi="ar-SA"/>
              </w:rPr>
              <w:t>1.</w:t>
            </w:r>
            <w:r>
              <w:rPr>
                <w:rFonts w:hint="eastAsia" w:ascii="Times New Roman" w:hAnsi="Times New Roman" w:eastAsia="宋体" w:cs="Times New Roman"/>
                <w:b/>
                <w:bCs w:val="0"/>
                <w:kern w:val="2"/>
                <w:sz w:val="24"/>
                <w:szCs w:val="24"/>
                <w:lang w:val="en-US" w:eastAsia="zh-CN" w:bidi="ar-SA"/>
              </w:rPr>
              <w:t>运营期废气</w:t>
            </w:r>
          </w:p>
          <w:p w14:paraId="21BA1C3C">
            <w:pPr>
              <w:pStyle w:val="37"/>
              <w:numPr>
                <w:ilvl w:val="0"/>
                <w:numId w:val="0"/>
              </w:numPr>
              <w:adjustRightInd w:val="0"/>
              <w:snapToGrid w:val="0"/>
              <w:spacing w:line="360" w:lineRule="auto"/>
              <w:ind w:left="420" w:leftChars="0"/>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（1）废气产排情况一览表</w:t>
            </w:r>
          </w:p>
          <w:p w14:paraId="009CE2A6">
            <w:pPr>
              <w:pStyle w:val="37"/>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项目运营期产生的废气主要为</w:t>
            </w:r>
            <w:r>
              <w:rPr>
                <w:rFonts w:hint="eastAsia" w:ascii="Times New Roman" w:hAnsi="Times New Roman" w:cs="Times New Roman"/>
                <w:color w:val="auto"/>
                <w:sz w:val="24"/>
                <w:lang w:val="en-US" w:eastAsia="zh-CN"/>
              </w:rPr>
              <w:t>下料</w:t>
            </w:r>
            <w:r>
              <w:rPr>
                <w:rFonts w:hint="default" w:ascii="Times New Roman" w:hAnsi="Times New Roman" w:cs="Times New Roman"/>
                <w:color w:val="auto"/>
                <w:sz w:val="24"/>
              </w:rPr>
              <w:t>、包装</w:t>
            </w:r>
            <w:r>
              <w:rPr>
                <w:rFonts w:hint="eastAsia" w:ascii="Times New Roman" w:hAnsi="Times New Roman" w:cs="Times New Roman"/>
                <w:color w:val="auto"/>
                <w:sz w:val="24"/>
                <w:lang w:val="en-US" w:eastAsia="zh-CN"/>
              </w:rPr>
              <w:t>以及车辆运输</w:t>
            </w:r>
            <w:r>
              <w:rPr>
                <w:rFonts w:hint="default" w:ascii="Times New Roman" w:hAnsi="Times New Roman" w:cs="Times New Roman"/>
                <w:color w:val="auto"/>
                <w:sz w:val="24"/>
              </w:rPr>
              <w:t>过程产生的粉尘。项目废气产排情况见表4-1。</w:t>
            </w:r>
          </w:p>
          <w:p w14:paraId="405D1D52">
            <w:pPr>
              <w:pStyle w:val="37"/>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表4-1  废气产排污情况一览表</w:t>
            </w:r>
          </w:p>
          <w:tbl>
            <w:tblPr>
              <w:tblStyle w:val="24"/>
              <w:tblW w:w="7649" w:type="dxa"/>
              <w:tblInd w:w="-9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
              <w:gridCol w:w="640"/>
              <w:gridCol w:w="1867"/>
              <w:gridCol w:w="1548"/>
              <w:gridCol w:w="2042"/>
              <w:gridCol w:w="1085"/>
            </w:tblGrid>
            <w:tr w14:paraId="61EE5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944" w:type="pct"/>
                  <w:gridSpan w:val="3"/>
                  <w:tcBorders>
                    <w:tl2br w:val="nil"/>
                    <w:tr2bl w:val="nil"/>
                  </w:tcBorders>
                  <w:shd w:val="clear" w:color="auto" w:fill="auto"/>
                  <w:vAlign w:val="center"/>
                </w:tcPr>
                <w:p w14:paraId="61FD1446">
                  <w:pPr>
                    <w:pStyle w:val="37"/>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产排污环节</w:t>
                  </w:r>
                </w:p>
              </w:tc>
              <w:tc>
                <w:tcPr>
                  <w:tcW w:w="1011" w:type="pct"/>
                  <w:tcBorders>
                    <w:tl2br w:val="nil"/>
                    <w:tr2bl w:val="nil"/>
                  </w:tcBorders>
                  <w:vAlign w:val="center"/>
                </w:tcPr>
                <w:p w14:paraId="14822F51">
                  <w:pPr>
                    <w:pStyle w:val="37"/>
                    <w:adjustRightInd w:val="0"/>
                    <w:snapToGrid w:val="0"/>
                    <w:spacing w:line="240" w:lineRule="auto"/>
                    <w:ind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料仓</w:t>
                  </w:r>
                </w:p>
              </w:tc>
              <w:tc>
                <w:tcPr>
                  <w:tcW w:w="1334" w:type="pct"/>
                  <w:tcBorders>
                    <w:tl2br w:val="nil"/>
                    <w:tr2bl w:val="nil"/>
                  </w:tcBorders>
                  <w:shd w:val="clear" w:color="auto" w:fill="auto"/>
                  <w:vAlign w:val="center"/>
                </w:tcPr>
                <w:p w14:paraId="568BAFF7">
                  <w:pPr>
                    <w:pStyle w:val="37"/>
                    <w:adjustRightInd w:val="0"/>
                    <w:snapToGrid w:val="0"/>
                    <w:spacing w:line="240" w:lineRule="auto"/>
                    <w:ind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搅拌及包装</w:t>
                  </w:r>
                </w:p>
              </w:tc>
              <w:tc>
                <w:tcPr>
                  <w:tcW w:w="709" w:type="pct"/>
                  <w:tcBorders>
                    <w:tl2br w:val="nil"/>
                    <w:tr2bl w:val="nil"/>
                  </w:tcBorders>
                  <w:shd w:val="clear" w:color="auto" w:fill="auto"/>
                  <w:vAlign w:val="center"/>
                </w:tcPr>
                <w:p w14:paraId="7A6E6AB2">
                  <w:pPr>
                    <w:pStyle w:val="37"/>
                    <w:adjustRightInd w:val="0"/>
                    <w:snapToGrid w:val="0"/>
                    <w:spacing w:line="240" w:lineRule="auto"/>
                    <w:ind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车辆运输</w:t>
                  </w:r>
                </w:p>
              </w:tc>
            </w:tr>
            <w:tr w14:paraId="311C6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944" w:type="pct"/>
                  <w:gridSpan w:val="3"/>
                  <w:tcBorders>
                    <w:tl2br w:val="nil"/>
                    <w:tr2bl w:val="nil"/>
                  </w:tcBorders>
                  <w:shd w:val="clear" w:color="auto" w:fill="auto"/>
                  <w:vAlign w:val="center"/>
                </w:tcPr>
                <w:p w14:paraId="5B108E7F">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p>
              </w:tc>
              <w:tc>
                <w:tcPr>
                  <w:tcW w:w="1011" w:type="pct"/>
                  <w:tcBorders>
                    <w:tl2br w:val="nil"/>
                    <w:tr2bl w:val="nil"/>
                  </w:tcBorders>
                  <w:vAlign w:val="center"/>
                </w:tcPr>
                <w:p w14:paraId="39BB4976">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粉尘</w:t>
                  </w:r>
                </w:p>
              </w:tc>
              <w:tc>
                <w:tcPr>
                  <w:tcW w:w="1334" w:type="pct"/>
                  <w:tcBorders>
                    <w:tl2br w:val="nil"/>
                    <w:tr2bl w:val="nil"/>
                  </w:tcBorders>
                  <w:shd w:val="clear" w:color="auto" w:fill="auto"/>
                  <w:vAlign w:val="center"/>
                </w:tcPr>
                <w:p w14:paraId="21CCAFC2">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粉尘</w:t>
                  </w:r>
                </w:p>
              </w:tc>
              <w:tc>
                <w:tcPr>
                  <w:tcW w:w="709" w:type="pct"/>
                  <w:tcBorders>
                    <w:tl2br w:val="nil"/>
                    <w:tr2bl w:val="nil"/>
                  </w:tcBorders>
                  <w:shd w:val="clear" w:color="auto" w:fill="auto"/>
                  <w:vAlign w:val="center"/>
                </w:tcPr>
                <w:p w14:paraId="2247C2B6">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粉尘</w:t>
                  </w:r>
                </w:p>
              </w:tc>
            </w:tr>
            <w:tr w14:paraId="513BC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944" w:type="pct"/>
                  <w:gridSpan w:val="3"/>
                  <w:tcBorders>
                    <w:tl2br w:val="nil"/>
                    <w:tr2bl w:val="nil"/>
                  </w:tcBorders>
                  <w:shd w:val="clear" w:color="auto" w:fill="auto"/>
                  <w:vAlign w:val="center"/>
                </w:tcPr>
                <w:p w14:paraId="34552ED5">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011" w:type="pct"/>
                  <w:tcBorders>
                    <w:tl2br w:val="nil"/>
                    <w:tr2bl w:val="nil"/>
                  </w:tcBorders>
                  <w:vAlign w:val="center"/>
                </w:tcPr>
                <w:p w14:paraId="4F7134AE">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334" w:type="pct"/>
                  <w:tcBorders>
                    <w:tl2br w:val="nil"/>
                    <w:tr2bl w:val="nil"/>
                  </w:tcBorders>
                  <w:shd w:val="clear" w:color="auto" w:fill="auto"/>
                  <w:vAlign w:val="center"/>
                </w:tcPr>
                <w:p w14:paraId="67AE64EC">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709" w:type="pct"/>
                  <w:tcBorders>
                    <w:tl2br w:val="nil"/>
                    <w:tr2bl w:val="nil"/>
                  </w:tcBorders>
                  <w:shd w:val="clear" w:color="auto" w:fill="auto"/>
                  <w:vAlign w:val="center"/>
                </w:tcPr>
                <w:p w14:paraId="4B1C8B59">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r>
            <w:tr w14:paraId="20DDA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944" w:type="pct"/>
                  <w:gridSpan w:val="3"/>
                  <w:tcBorders>
                    <w:tl2br w:val="nil"/>
                    <w:tr2bl w:val="nil"/>
                  </w:tcBorders>
                  <w:shd w:val="clear" w:color="auto" w:fill="auto"/>
                  <w:vAlign w:val="center"/>
                </w:tcPr>
                <w:p w14:paraId="2CA8A5F2">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产生速率（kg/h）</w:t>
                  </w:r>
                </w:p>
              </w:tc>
              <w:tc>
                <w:tcPr>
                  <w:tcW w:w="1011" w:type="pct"/>
                  <w:tcBorders>
                    <w:tl2br w:val="nil"/>
                    <w:tr2bl w:val="nil"/>
                  </w:tcBorders>
                  <w:vAlign w:val="center"/>
                </w:tcPr>
                <w:p w14:paraId="51DC8548">
                  <w:pPr>
                    <w:pStyle w:val="37"/>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0.21</w:t>
                  </w:r>
                </w:p>
              </w:tc>
              <w:tc>
                <w:tcPr>
                  <w:tcW w:w="2042" w:type="dxa"/>
                  <w:tcBorders>
                    <w:tl2br w:val="nil"/>
                    <w:tr2bl w:val="nil"/>
                  </w:tcBorders>
                  <w:shd w:val="clear" w:color="auto" w:fill="auto"/>
                  <w:vAlign w:val="center"/>
                </w:tcPr>
                <w:p w14:paraId="4281BCD5">
                  <w:pPr>
                    <w:pStyle w:val="37"/>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0.021</w:t>
                  </w:r>
                </w:p>
              </w:tc>
              <w:tc>
                <w:tcPr>
                  <w:tcW w:w="709" w:type="pct"/>
                  <w:tcBorders>
                    <w:tl2br w:val="nil"/>
                    <w:tr2bl w:val="nil"/>
                  </w:tcBorders>
                  <w:shd w:val="clear" w:color="auto" w:fill="auto"/>
                  <w:vAlign w:val="center"/>
                </w:tcPr>
                <w:p w14:paraId="7B31037D">
                  <w:pPr>
                    <w:pStyle w:val="37"/>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0.058</w:t>
                  </w:r>
                </w:p>
              </w:tc>
            </w:tr>
            <w:tr w14:paraId="51A5B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944" w:type="pct"/>
                  <w:gridSpan w:val="3"/>
                  <w:tcBorders>
                    <w:tl2br w:val="nil"/>
                    <w:tr2bl w:val="nil"/>
                  </w:tcBorders>
                  <w:shd w:val="clear" w:color="auto" w:fill="auto"/>
                  <w:vAlign w:val="center"/>
                </w:tcPr>
                <w:p w14:paraId="5527D733">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1011" w:type="pct"/>
                  <w:tcBorders>
                    <w:tl2br w:val="nil"/>
                    <w:tr2bl w:val="nil"/>
                  </w:tcBorders>
                  <w:vAlign w:val="center"/>
                </w:tcPr>
                <w:p w14:paraId="5D2E5149">
                  <w:pPr>
                    <w:pStyle w:val="37"/>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0.25</w:t>
                  </w:r>
                </w:p>
              </w:tc>
              <w:tc>
                <w:tcPr>
                  <w:tcW w:w="2042" w:type="dxa"/>
                  <w:tcBorders>
                    <w:tl2br w:val="nil"/>
                    <w:tr2bl w:val="nil"/>
                  </w:tcBorders>
                  <w:shd w:val="clear" w:color="auto" w:fill="auto"/>
                  <w:vAlign w:val="center"/>
                </w:tcPr>
                <w:p w14:paraId="791D6FCF">
                  <w:pPr>
                    <w:pStyle w:val="37"/>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0.025</w:t>
                  </w:r>
                </w:p>
              </w:tc>
              <w:tc>
                <w:tcPr>
                  <w:tcW w:w="709" w:type="pct"/>
                  <w:tcBorders>
                    <w:tl2br w:val="nil"/>
                    <w:tr2bl w:val="nil"/>
                  </w:tcBorders>
                  <w:shd w:val="clear" w:color="auto" w:fill="auto"/>
                  <w:vAlign w:val="center"/>
                </w:tcPr>
                <w:p w14:paraId="5C6C68E2">
                  <w:pPr>
                    <w:pStyle w:val="37"/>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0.014</w:t>
                  </w:r>
                </w:p>
              </w:tc>
            </w:tr>
            <w:tr w14:paraId="3876E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05" w:type="pct"/>
                  <w:vMerge w:val="restart"/>
                  <w:tcBorders>
                    <w:tl2br w:val="nil"/>
                    <w:tr2bl w:val="nil"/>
                  </w:tcBorders>
                  <w:shd w:val="clear" w:color="auto" w:fill="auto"/>
                  <w:vAlign w:val="center"/>
                </w:tcPr>
                <w:p w14:paraId="7182C0C6">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治理设备</w:t>
                  </w:r>
                </w:p>
              </w:tc>
              <w:tc>
                <w:tcPr>
                  <w:tcW w:w="1638" w:type="pct"/>
                  <w:gridSpan w:val="2"/>
                  <w:tcBorders>
                    <w:tl2br w:val="nil"/>
                    <w:tr2bl w:val="nil"/>
                  </w:tcBorders>
                  <w:shd w:val="clear" w:color="auto" w:fill="auto"/>
                  <w:vAlign w:val="center"/>
                </w:tcPr>
                <w:p w14:paraId="7EEA0BA5">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346" w:type="pct"/>
                  <w:gridSpan w:val="2"/>
                  <w:tcBorders>
                    <w:tl2br w:val="nil"/>
                    <w:tr2bl w:val="nil"/>
                  </w:tcBorders>
                  <w:vAlign w:val="center"/>
                </w:tcPr>
                <w:p w14:paraId="1E40B9F9">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密闭</w:t>
                  </w:r>
                  <w:r>
                    <w:rPr>
                      <w:rFonts w:hint="default" w:ascii="Times New Roman" w:hAnsi="Times New Roman" w:eastAsia="宋体" w:cs="Times New Roman"/>
                      <w:color w:val="auto"/>
                      <w:sz w:val="21"/>
                      <w:szCs w:val="21"/>
                      <w:lang w:val="en-US" w:eastAsia="zh-CN"/>
                    </w:rPr>
                    <w:t>箱体侧吸</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集尘罩</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布袋</w:t>
                  </w:r>
                  <w:r>
                    <w:rPr>
                      <w:rFonts w:hint="default" w:ascii="Times New Roman" w:hAnsi="Times New Roman" w:eastAsia="宋体" w:cs="Times New Roman"/>
                      <w:color w:val="auto"/>
                      <w:sz w:val="21"/>
                      <w:szCs w:val="21"/>
                    </w:rPr>
                    <w:t>除尘器</w:t>
                  </w:r>
                </w:p>
              </w:tc>
              <w:tc>
                <w:tcPr>
                  <w:tcW w:w="709" w:type="pct"/>
                  <w:tcBorders>
                    <w:tl2br w:val="nil"/>
                    <w:tr2bl w:val="nil"/>
                  </w:tcBorders>
                  <w:shd w:val="clear" w:color="auto" w:fill="auto"/>
                  <w:vAlign w:val="center"/>
                </w:tcPr>
                <w:p w14:paraId="5DDD6045">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篷布遮盖</w:t>
                  </w:r>
                </w:p>
              </w:tc>
            </w:tr>
            <w:tr w14:paraId="0EA30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5" w:type="pct"/>
                  <w:vMerge w:val="continue"/>
                  <w:tcBorders>
                    <w:tl2br w:val="nil"/>
                    <w:tr2bl w:val="nil"/>
                  </w:tcBorders>
                  <w:shd w:val="clear" w:color="auto" w:fill="auto"/>
                  <w:vAlign w:val="center"/>
                </w:tcPr>
                <w:p w14:paraId="18D258F2">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638" w:type="pct"/>
                  <w:gridSpan w:val="2"/>
                  <w:tcBorders>
                    <w:tl2br w:val="nil"/>
                    <w:tr2bl w:val="nil"/>
                  </w:tcBorders>
                  <w:shd w:val="clear" w:color="auto" w:fill="auto"/>
                  <w:vAlign w:val="center"/>
                </w:tcPr>
                <w:p w14:paraId="2B44F12F">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收集效率</w:t>
                  </w:r>
                </w:p>
              </w:tc>
              <w:tc>
                <w:tcPr>
                  <w:tcW w:w="2346" w:type="pct"/>
                  <w:gridSpan w:val="2"/>
                  <w:tcBorders>
                    <w:tl2br w:val="nil"/>
                    <w:tr2bl w:val="nil"/>
                  </w:tcBorders>
                  <w:vAlign w:val="center"/>
                </w:tcPr>
                <w:p w14:paraId="5B0571E8">
                  <w:pPr>
                    <w:pStyle w:val="37"/>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密闭</w:t>
                  </w:r>
                  <w:r>
                    <w:rPr>
                      <w:rFonts w:hint="default" w:ascii="Times New Roman" w:hAnsi="Times New Roman" w:eastAsia="宋体" w:cs="Times New Roman"/>
                      <w:color w:val="auto"/>
                      <w:kern w:val="2"/>
                      <w:sz w:val="21"/>
                      <w:szCs w:val="21"/>
                      <w:lang w:val="en-US" w:eastAsia="zh-CN" w:bidi="ar-SA"/>
                    </w:rPr>
                    <w:t>箱体侧吸</w:t>
                  </w:r>
                  <w:r>
                    <w:rPr>
                      <w:rFonts w:hint="eastAsia" w:ascii="Times New Roman" w:hAnsi="Times New Roman" w:eastAsia="宋体" w:cs="Times New Roman"/>
                      <w:color w:val="auto"/>
                      <w:kern w:val="2"/>
                      <w:sz w:val="21"/>
                      <w:szCs w:val="21"/>
                      <w:lang w:val="en-US" w:eastAsia="zh-CN" w:bidi="ar-SA"/>
                    </w:rPr>
                    <w:t>收集效率为90%</w:t>
                  </w:r>
                </w:p>
                <w:p w14:paraId="2037D60B">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1"/>
                      <w:lang w:val="en-US" w:eastAsia="zh-CN" w:bidi="ar-SA"/>
                    </w:rPr>
                    <w:t>下料口</w:t>
                  </w:r>
                  <w:r>
                    <w:rPr>
                      <w:rFonts w:hint="default" w:ascii="Times New Roman" w:hAnsi="Times New Roman" w:eastAsia="宋体" w:cs="Times New Roman"/>
                      <w:color w:val="auto"/>
                      <w:kern w:val="2"/>
                      <w:sz w:val="21"/>
                      <w:szCs w:val="21"/>
                      <w:lang w:val="en-US" w:eastAsia="zh-CN" w:bidi="ar-SA"/>
                    </w:rPr>
                    <w:t>集尘罩</w:t>
                  </w:r>
                  <w:r>
                    <w:rPr>
                      <w:rFonts w:hint="eastAsia" w:ascii="Times New Roman" w:hAnsi="Times New Roman" w:eastAsia="宋体" w:cs="Times New Roman"/>
                      <w:color w:val="auto"/>
                      <w:kern w:val="2"/>
                      <w:sz w:val="21"/>
                      <w:szCs w:val="21"/>
                      <w:lang w:val="en-US" w:eastAsia="zh-CN" w:bidi="ar-SA"/>
                    </w:rPr>
                    <w:t>收集效率为85%</w:t>
                  </w:r>
                </w:p>
              </w:tc>
              <w:tc>
                <w:tcPr>
                  <w:tcW w:w="709" w:type="pct"/>
                  <w:tcBorders>
                    <w:tl2br w:val="nil"/>
                    <w:tr2bl w:val="nil"/>
                  </w:tcBorders>
                  <w:shd w:val="clear" w:color="auto" w:fill="auto"/>
                  <w:vAlign w:val="center"/>
                </w:tcPr>
                <w:p w14:paraId="4C4F7EB7">
                  <w:pPr>
                    <w:pStyle w:val="37"/>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259FC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05" w:type="pct"/>
                  <w:vMerge w:val="continue"/>
                  <w:tcBorders>
                    <w:tl2br w:val="nil"/>
                    <w:tr2bl w:val="nil"/>
                  </w:tcBorders>
                  <w:shd w:val="clear" w:color="auto" w:fill="auto"/>
                  <w:vAlign w:val="center"/>
                </w:tcPr>
                <w:p w14:paraId="2C67F48E">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638" w:type="pct"/>
                  <w:gridSpan w:val="2"/>
                  <w:tcBorders>
                    <w:tl2br w:val="nil"/>
                    <w:tr2bl w:val="nil"/>
                  </w:tcBorders>
                  <w:shd w:val="clear" w:color="auto" w:fill="auto"/>
                  <w:vAlign w:val="center"/>
                </w:tcPr>
                <w:p w14:paraId="1D63DFF0">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处理效率</w:t>
                  </w:r>
                </w:p>
              </w:tc>
              <w:tc>
                <w:tcPr>
                  <w:tcW w:w="2346" w:type="pct"/>
                  <w:gridSpan w:val="2"/>
                  <w:tcBorders>
                    <w:tl2br w:val="nil"/>
                    <w:tr2bl w:val="nil"/>
                  </w:tcBorders>
                  <w:vAlign w:val="center"/>
                </w:tcPr>
                <w:p w14:paraId="28907C9E">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w:t>
                  </w:r>
                </w:p>
              </w:tc>
              <w:tc>
                <w:tcPr>
                  <w:tcW w:w="709" w:type="pct"/>
                  <w:tcBorders>
                    <w:tl2br w:val="nil"/>
                    <w:tr2bl w:val="nil"/>
                  </w:tcBorders>
                  <w:shd w:val="clear" w:color="auto" w:fill="auto"/>
                  <w:vAlign w:val="center"/>
                </w:tcPr>
                <w:p w14:paraId="29A74225">
                  <w:pPr>
                    <w:pStyle w:val="37"/>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r>
            <w:tr w14:paraId="59E0F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05" w:type="pct"/>
                  <w:vMerge w:val="continue"/>
                  <w:tcBorders>
                    <w:tl2br w:val="nil"/>
                    <w:tr2bl w:val="nil"/>
                  </w:tcBorders>
                  <w:shd w:val="clear" w:color="auto" w:fill="auto"/>
                  <w:vAlign w:val="center"/>
                </w:tcPr>
                <w:p w14:paraId="3A852722">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638" w:type="pct"/>
                  <w:gridSpan w:val="2"/>
                  <w:tcBorders>
                    <w:tl2br w:val="nil"/>
                    <w:tr2bl w:val="nil"/>
                  </w:tcBorders>
                  <w:shd w:val="clear" w:color="auto" w:fill="auto"/>
                  <w:vAlign w:val="center"/>
                </w:tcPr>
                <w:p w14:paraId="467B2A55">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是否可行技术</w:t>
                  </w:r>
                </w:p>
              </w:tc>
              <w:tc>
                <w:tcPr>
                  <w:tcW w:w="2346" w:type="pct"/>
                  <w:gridSpan w:val="2"/>
                  <w:tcBorders>
                    <w:tl2br w:val="nil"/>
                    <w:tr2bl w:val="nil"/>
                  </w:tcBorders>
                  <w:vAlign w:val="center"/>
                </w:tcPr>
                <w:p w14:paraId="2F1AC428">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709" w:type="pct"/>
                  <w:tcBorders>
                    <w:tl2br w:val="nil"/>
                    <w:tr2bl w:val="nil"/>
                  </w:tcBorders>
                  <w:shd w:val="clear" w:color="auto" w:fill="auto"/>
                  <w:vAlign w:val="center"/>
                </w:tcPr>
                <w:p w14:paraId="764AA509">
                  <w:pPr>
                    <w:pStyle w:val="37"/>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7F30E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05" w:type="pct"/>
                  <w:vMerge w:val="restart"/>
                  <w:tcBorders>
                    <w:tl2br w:val="nil"/>
                    <w:tr2bl w:val="nil"/>
                  </w:tcBorders>
                  <w:shd w:val="clear" w:color="auto" w:fill="auto"/>
                  <w:vAlign w:val="center"/>
                </w:tcPr>
                <w:p w14:paraId="61226B7E">
                  <w:pPr>
                    <w:pStyle w:val="37"/>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有组织</w:t>
                  </w:r>
                </w:p>
              </w:tc>
              <w:tc>
                <w:tcPr>
                  <w:tcW w:w="1638" w:type="pct"/>
                  <w:gridSpan w:val="2"/>
                  <w:tcBorders>
                    <w:tl2br w:val="nil"/>
                    <w:tr2bl w:val="nil"/>
                  </w:tcBorders>
                  <w:shd w:val="clear" w:color="auto" w:fill="auto"/>
                  <w:vAlign w:val="center"/>
                </w:tcPr>
                <w:p w14:paraId="1962486B">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污染物排放量（t/a）</w:t>
                  </w:r>
                </w:p>
              </w:tc>
              <w:tc>
                <w:tcPr>
                  <w:tcW w:w="2346" w:type="pct"/>
                  <w:gridSpan w:val="2"/>
                  <w:tcBorders>
                    <w:tl2br w:val="nil"/>
                    <w:tr2bl w:val="nil"/>
                  </w:tcBorders>
                  <w:vAlign w:val="center"/>
                </w:tcPr>
                <w:p w14:paraId="2E8C91C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0.0007</w:t>
                  </w:r>
                </w:p>
              </w:tc>
              <w:tc>
                <w:tcPr>
                  <w:tcW w:w="709" w:type="pct"/>
                  <w:tcBorders>
                    <w:tl2br w:val="nil"/>
                    <w:tr2bl w:val="nil"/>
                  </w:tcBorders>
                  <w:shd w:val="clear" w:color="auto" w:fill="auto"/>
                  <w:vAlign w:val="center"/>
                </w:tcPr>
                <w:p w14:paraId="1A11F62A">
                  <w:pPr>
                    <w:pStyle w:val="37"/>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5C905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05" w:type="pct"/>
                  <w:vMerge w:val="continue"/>
                  <w:tcBorders>
                    <w:tl2br w:val="nil"/>
                    <w:tr2bl w:val="nil"/>
                  </w:tcBorders>
                  <w:shd w:val="clear" w:color="auto" w:fill="auto"/>
                  <w:vAlign w:val="center"/>
                </w:tcPr>
                <w:p w14:paraId="3682CADF">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638" w:type="pct"/>
                  <w:gridSpan w:val="2"/>
                  <w:tcBorders>
                    <w:tl2br w:val="nil"/>
                    <w:tr2bl w:val="nil"/>
                  </w:tcBorders>
                  <w:shd w:val="clear" w:color="auto" w:fill="auto"/>
                  <w:vAlign w:val="center"/>
                </w:tcPr>
                <w:p w14:paraId="6FC5DDB7">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污染物排放速率（kg/h）</w:t>
                  </w:r>
                </w:p>
              </w:tc>
              <w:tc>
                <w:tcPr>
                  <w:tcW w:w="2346" w:type="pct"/>
                  <w:gridSpan w:val="2"/>
                  <w:tcBorders>
                    <w:tl2br w:val="nil"/>
                    <w:tr2bl w:val="nil"/>
                  </w:tcBorders>
                  <w:vAlign w:val="center"/>
                </w:tcPr>
                <w:p w14:paraId="66775251">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0.0006</w:t>
                  </w:r>
                </w:p>
              </w:tc>
              <w:tc>
                <w:tcPr>
                  <w:tcW w:w="709" w:type="pct"/>
                  <w:tcBorders>
                    <w:tl2br w:val="nil"/>
                    <w:tr2bl w:val="nil"/>
                  </w:tcBorders>
                  <w:shd w:val="clear" w:color="auto" w:fill="auto"/>
                  <w:vAlign w:val="center"/>
                </w:tcPr>
                <w:p w14:paraId="00C3BBA5">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E2EB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05" w:type="pct"/>
                  <w:vMerge w:val="continue"/>
                  <w:tcBorders>
                    <w:tl2br w:val="nil"/>
                    <w:tr2bl w:val="nil"/>
                  </w:tcBorders>
                  <w:shd w:val="clear" w:color="auto" w:fill="auto"/>
                  <w:vAlign w:val="center"/>
                </w:tcPr>
                <w:p w14:paraId="6FC372EC">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638" w:type="pct"/>
                  <w:gridSpan w:val="2"/>
                  <w:tcBorders>
                    <w:tl2br w:val="nil"/>
                    <w:tr2bl w:val="nil"/>
                  </w:tcBorders>
                  <w:shd w:val="clear" w:color="auto" w:fill="auto"/>
                  <w:vAlign w:val="center"/>
                </w:tcPr>
                <w:p w14:paraId="2F900088">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污染物排放浓度（mg/m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2346" w:type="pct"/>
                  <w:gridSpan w:val="2"/>
                  <w:tcBorders>
                    <w:tl2br w:val="nil"/>
                    <w:tr2bl w:val="nil"/>
                  </w:tcBorders>
                  <w:vAlign w:val="center"/>
                </w:tcPr>
                <w:p w14:paraId="27DCCCF9">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0.12</w:t>
                  </w:r>
                </w:p>
              </w:tc>
              <w:tc>
                <w:tcPr>
                  <w:tcW w:w="709" w:type="pct"/>
                  <w:tcBorders>
                    <w:tl2br w:val="nil"/>
                    <w:tr2bl w:val="nil"/>
                  </w:tcBorders>
                  <w:shd w:val="clear" w:color="auto" w:fill="auto"/>
                  <w:vAlign w:val="center"/>
                </w:tcPr>
                <w:p w14:paraId="32EAFE8C">
                  <w:pPr>
                    <w:pStyle w:val="37"/>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1EB9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05" w:type="pct"/>
                  <w:vMerge w:val="restart"/>
                  <w:tcBorders>
                    <w:tl2br w:val="nil"/>
                    <w:tr2bl w:val="nil"/>
                  </w:tcBorders>
                  <w:shd w:val="clear" w:color="auto" w:fill="auto"/>
                  <w:vAlign w:val="center"/>
                </w:tcPr>
                <w:p w14:paraId="41C82A56">
                  <w:pPr>
                    <w:pStyle w:val="37"/>
                    <w:adjustRightInd w:val="0"/>
                    <w:snapToGrid w:val="0"/>
                    <w:spacing w:line="240" w:lineRule="auto"/>
                    <w:ind w:firstLine="0" w:firstLineChars="0"/>
                    <w:jc w:val="center"/>
                    <w:rPr>
                      <w:rFonts w:hint="eastAsia"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无组织</w:t>
                  </w:r>
                </w:p>
              </w:tc>
              <w:tc>
                <w:tcPr>
                  <w:tcW w:w="1638" w:type="pct"/>
                  <w:gridSpan w:val="2"/>
                  <w:tcBorders>
                    <w:tl2br w:val="nil"/>
                    <w:tr2bl w:val="nil"/>
                  </w:tcBorders>
                  <w:shd w:val="clear" w:color="auto" w:fill="auto"/>
                  <w:vAlign w:val="center"/>
                </w:tcPr>
                <w:p w14:paraId="39B54A10">
                  <w:pPr>
                    <w:pStyle w:val="37"/>
                    <w:adjustRightInd w:val="0"/>
                    <w:snapToGrid w:val="0"/>
                    <w:spacing w:line="240" w:lineRule="auto"/>
                    <w:ind w:firstLine="0" w:firstLineChars="0"/>
                    <w:jc w:val="center"/>
                    <w:rPr>
                      <w:rFonts w:hint="eastAsia"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污染物排放量（t/a）</w:t>
                  </w:r>
                </w:p>
              </w:tc>
              <w:tc>
                <w:tcPr>
                  <w:tcW w:w="2346" w:type="pct"/>
                  <w:gridSpan w:val="2"/>
                  <w:tcBorders>
                    <w:tl2br w:val="nil"/>
                    <w:tr2bl w:val="nil"/>
                  </w:tcBorders>
                  <w:vAlign w:val="center"/>
                </w:tcPr>
                <w:p w14:paraId="5B961CCE">
                  <w:pPr>
                    <w:pStyle w:val="37"/>
                    <w:adjustRightInd w:val="0"/>
                    <w:snapToGrid w:val="0"/>
                    <w:spacing w:line="240" w:lineRule="auto"/>
                    <w:ind w:firstLine="0" w:firstLineChars="0"/>
                    <w:jc w:val="center"/>
                    <w:rPr>
                      <w:rFonts w:hint="eastAsia"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lang w:val="en-US" w:eastAsia="zh-CN" w:bidi="ar-SA"/>
                    </w:rPr>
                    <w:t>0.028</w:t>
                  </w:r>
                </w:p>
              </w:tc>
              <w:tc>
                <w:tcPr>
                  <w:tcW w:w="1085" w:type="dxa"/>
                  <w:tcBorders>
                    <w:tl2br w:val="nil"/>
                    <w:tr2bl w:val="nil"/>
                  </w:tcBorders>
                  <w:shd w:val="clear" w:color="auto" w:fill="auto"/>
                  <w:vAlign w:val="center"/>
                </w:tcPr>
                <w:p w14:paraId="34825AF4">
                  <w:pPr>
                    <w:pStyle w:val="37"/>
                    <w:adjustRightInd w:val="0"/>
                    <w:snapToGrid w:val="0"/>
                    <w:spacing w:line="240" w:lineRule="auto"/>
                    <w:ind w:firstLine="0" w:firstLineChars="0"/>
                    <w:jc w:val="center"/>
                    <w:rPr>
                      <w:rFonts w:hint="eastAsia" w:ascii="Times New Roman" w:hAnsi="Times New Roman" w:cs="Times New Roman"/>
                      <w:bCs/>
                      <w:color w:val="auto"/>
                      <w:kern w:val="2"/>
                      <w:sz w:val="21"/>
                      <w:szCs w:val="21"/>
                      <w:vertAlign w:val="baseline"/>
                      <w:lang w:val="en-US" w:eastAsia="zh-CN" w:bidi="ar-SA"/>
                    </w:rPr>
                  </w:pPr>
                  <w:r>
                    <w:rPr>
                      <w:rFonts w:hint="eastAsia" w:ascii="Times New Roman" w:hAnsi="Times New Roman" w:eastAsia="宋体" w:cs="宋体"/>
                      <w:bCs/>
                      <w:color w:val="auto"/>
                      <w:kern w:val="2"/>
                      <w:sz w:val="21"/>
                      <w:szCs w:val="21"/>
                      <w:lang w:val="en-US" w:eastAsia="zh-CN" w:bidi="ar-SA"/>
                    </w:rPr>
                    <w:t>0.0028</w:t>
                  </w:r>
                </w:p>
              </w:tc>
            </w:tr>
            <w:tr w14:paraId="4B111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05" w:type="pct"/>
                  <w:vMerge w:val="continue"/>
                  <w:tcBorders>
                    <w:tl2br w:val="nil"/>
                    <w:tr2bl w:val="nil"/>
                  </w:tcBorders>
                  <w:shd w:val="clear" w:color="auto" w:fill="auto"/>
                  <w:vAlign w:val="center"/>
                </w:tcPr>
                <w:p w14:paraId="005AB608">
                  <w:pPr>
                    <w:pStyle w:val="37"/>
                    <w:adjustRightInd w:val="0"/>
                    <w:snapToGrid w:val="0"/>
                    <w:spacing w:line="240" w:lineRule="auto"/>
                    <w:ind w:firstLine="0" w:firstLineChars="0"/>
                    <w:jc w:val="both"/>
                    <w:rPr>
                      <w:rFonts w:hint="eastAsia" w:ascii="Times New Roman" w:hAnsi="Times New Roman" w:cs="Times New Roman"/>
                      <w:color w:val="auto"/>
                      <w:sz w:val="21"/>
                      <w:szCs w:val="21"/>
                      <w:lang w:val="en-US" w:eastAsia="zh-CN"/>
                    </w:rPr>
                  </w:pPr>
                </w:p>
              </w:tc>
              <w:tc>
                <w:tcPr>
                  <w:tcW w:w="1638" w:type="pct"/>
                  <w:gridSpan w:val="2"/>
                  <w:tcBorders>
                    <w:tl2br w:val="nil"/>
                    <w:tr2bl w:val="nil"/>
                  </w:tcBorders>
                  <w:shd w:val="clear" w:color="auto" w:fill="auto"/>
                  <w:vAlign w:val="center"/>
                </w:tcPr>
                <w:p w14:paraId="6BEC2013">
                  <w:pPr>
                    <w:pStyle w:val="37"/>
                    <w:adjustRightInd w:val="0"/>
                    <w:snapToGrid w:val="0"/>
                    <w:spacing w:line="240" w:lineRule="auto"/>
                    <w:ind w:firstLine="0" w:firstLineChars="0"/>
                    <w:jc w:val="both"/>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污染物排放速率（kg/h）</w:t>
                  </w:r>
                </w:p>
              </w:tc>
              <w:tc>
                <w:tcPr>
                  <w:tcW w:w="2346" w:type="pct"/>
                  <w:gridSpan w:val="2"/>
                  <w:tcBorders>
                    <w:tl2br w:val="nil"/>
                    <w:tr2bl w:val="nil"/>
                  </w:tcBorders>
                  <w:vAlign w:val="center"/>
                </w:tcPr>
                <w:p w14:paraId="3B109ADD">
                  <w:pPr>
                    <w:pStyle w:val="37"/>
                    <w:adjustRightInd w:val="0"/>
                    <w:snapToGrid w:val="0"/>
                    <w:spacing w:line="240" w:lineRule="auto"/>
                    <w:ind w:firstLine="0" w:firstLineChars="0"/>
                    <w:jc w:val="center"/>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lang w:val="en-US" w:eastAsia="zh-CN" w:bidi="ar-SA"/>
                    </w:rPr>
                    <w:t>0.012</w:t>
                  </w:r>
                </w:p>
              </w:tc>
              <w:tc>
                <w:tcPr>
                  <w:tcW w:w="1085" w:type="dxa"/>
                  <w:tcBorders>
                    <w:tl2br w:val="nil"/>
                    <w:tr2bl w:val="nil"/>
                  </w:tcBorders>
                  <w:shd w:val="clear" w:color="auto" w:fill="auto"/>
                  <w:vAlign w:val="center"/>
                </w:tcPr>
                <w:p w14:paraId="6044ED19">
                  <w:pPr>
                    <w:pStyle w:val="37"/>
                    <w:adjustRightInd w:val="0"/>
                    <w:snapToGrid w:val="0"/>
                    <w:spacing w:line="240" w:lineRule="auto"/>
                    <w:ind w:firstLine="0" w:firstLineChars="0"/>
                    <w:jc w:val="center"/>
                    <w:rPr>
                      <w:rFonts w:hint="eastAsia" w:ascii="Times New Roman" w:hAnsi="Times New Roman" w:cs="Times New Roman"/>
                      <w:bCs/>
                      <w:color w:val="auto"/>
                      <w:kern w:val="2"/>
                      <w:sz w:val="21"/>
                      <w:szCs w:val="21"/>
                      <w:vertAlign w:val="baseline"/>
                      <w:lang w:val="en-US" w:eastAsia="zh-CN" w:bidi="ar-SA"/>
                    </w:rPr>
                  </w:pPr>
                  <w:r>
                    <w:rPr>
                      <w:rFonts w:hint="eastAsia" w:ascii="Times New Roman" w:hAnsi="Times New Roman" w:eastAsia="宋体" w:cs="宋体"/>
                      <w:bCs/>
                      <w:color w:val="auto"/>
                      <w:kern w:val="2"/>
                      <w:sz w:val="21"/>
                      <w:szCs w:val="21"/>
                      <w:lang w:val="en-US" w:eastAsia="zh-CN" w:bidi="ar-SA"/>
                    </w:rPr>
                    <w:t>0.012</w:t>
                  </w:r>
                </w:p>
              </w:tc>
            </w:tr>
            <w:tr w14:paraId="42E2B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23" w:type="pct"/>
                  <w:gridSpan w:val="2"/>
                  <w:vMerge w:val="restart"/>
                  <w:tcBorders>
                    <w:tl2br w:val="nil"/>
                    <w:tr2bl w:val="nil"/>
                  </w:tcBorders>
                  <w:shd w:val="clear" w:color="auto" w:fill="auto"/>
                  <w:vAlign w:val="center"/>
                </w:tcPr>
                <w:p w14:paraId="34C50EBA">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排放口基本情况</w:t>
                  </w:r>
                </w:p>
              </w:tc>
              <w:tc>
                <w:tcPr>
                  <w:tcW w:w="1220" w:type="pct"/>
                  <w:tcBorders>
                    <w:tl2br w:val="nil"/>
                    <w:tr2bl w:val="nil"/>
                  </w:tcBorders>
                  <w:shd w:val="clear" w:color="auto" w:fill="auto"/>
                  <w:vAlign w:val="center"/>
                </w:tcPr>
                <w:p w14:paraId="6F9D889C">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编号</w:t>
                  </w:r>
                </w:p>
              </w:tc>
              <w:tc>
                <w:tcPr>
                  <w:tcW w:w="2346" w:type="pct"/>
                  <w:gridSpan w:val="2"/>
                  <w:tcBorders>
                    <w:tl2br w:val="nil"/>
                    <w:tr2bl w:val="nil"/>
                  </w:tcBorders>
                  <w:vAlign w:val="center"/>
                </w:tcPr>
                <w:p w14:paraId="4AE37059">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DA00</w:t>
                  </w:r>
                  <w:r>
                    <w:rPr>
                      <w:rFonts w:hint="eastAsia" w:ascii="Times New Roman" w:hAnsi="Times New Roman" w:cs="Times New Roman"/>
                      <w:bCs/>
                      <w:color w:val="auto"/>
                      <w:kern w:val="0"/>
                      <w:sz w:val="21"/>
                      <w:szCs w:val="21"/>
                      <w:lang w:val="en-US" w:eastAsia="zh-CN"/>
                    </w:rPr>
                    <w:t>1</w:t>
                  </w:r>
                </w:p>
              </w:tc>
              <w:tc>
                <w:tcPr>
                  <w:tcW w:w="709" w:type="pct"/>
                  <w:tcBorders>
                    <w:tl2br w:val="nil"/>
                    <w:tr2bl w:val="nil"/>
                  </w:tcBorders>
                  <w:vAlign w:val="center"/>
                </w:tcPr>
                <w:p w14:paraId="418CACDA">
                  <w:pPr>
                    <w:pStyle w:val="37"/>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w:t>
                  </w:r>
                </w:p>
              </w:tc>
            </w:tr>
            <w:tr w14:paraId="0C1D1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23" w:type="pct"/>
                  <w:gridSpan w:val="2"/>
                  <w:vMerge w:val="continue"/>
                  <w:tcBorders>
                    <w:tl2br w:val="nil"/>
                    <w:tr2bl w:val="nil"/>
                  </w:tcBorders>
                  <w:shd w:val="clear" w:color="auto" w:fill="auto"/>
                  <w:vAlign w:val="center"/>
                </w:tcPr>
                <w:p w14:paraId="78EA9B1D">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p>
              </w:tc>
              <w:tc>
                <w:tcPr>
                  <w:tcW w:w="1220" w:type="pct"/>
                  <w:tcBorders>
                    <w:tl2br w:val="nil"/>
                    <w:tr2bl w:val="nil"/>
                  </w:tcBorders>
                  <w:shd w:val="clear" w:color="auto" w:fill="auto"/>
                  <w:vAlign w:val="center"/>
                </w:tcPr>
                <w:p w14:paraId="76643A13">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名称</w:t>
                  </w:r>
                </w:p>
              </w:tc>
              <w:tc>
                <w:tcPr>
                  <w:tcW w:w="2346" w:type="pct"/>
                  <w:gridSpan w:val="2"/>
                  <w:tcBorders>
                    <w:tl2br w:val="nil"/>
                    <w:tr2bl w:val="nil"/>
                  </w:tcBorders>
                  <w:vAlign w:val="center"/>
                </w:tcPr>
                <w:p w14:paraId="63E105C9">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废气排放筒</w:t>
                  </w:r>
                </w:p>
              </w:tc>
              <w:tc>
                <w:tcPr>
                  <w:tcW w:w="709" w:type="pct"/>
                  <w:tcBorders>
                    <w:tl2br w:val="nil"/>
                    <w:tr2bl w:val="nil"/>
                  </w:tcBorders>
                  <w:vAlign w:val="center"/>
                </w:tcPr>
                <w:p w14:paraId="2B12E333">
                  <w:pPr>
                    <w:pStyle w:val="37"/>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w:t>
                  </w:r>
                </w:p>
              </w:tc>
            </w:tr>
            <w:tr w14:paraId="75B59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23" w:type="pct"/>
                  <w:gridSpan w:val="2"/>
                  <w:vMerge w:val="continue"/>
                  <w:tcBorders>
                    <w:tl2br w:val="nil"/>
                    <w:tr2bl w:val="nil"/>
                  </w:tcBorders>
                  <w:shd w:val="clear" w:color="auto" w:fill="auto"/>
                  <w:vAlign w:val="center"/>
                </w:tcPr>
                <w:p w14:paraId="001E449A">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p>
              </w:tc>
              <w:tc>
                <w:tcPr>
                  <w:tcW w:w="1220" w:type="pct"/>
                  <w:tcBorders>
                    <w:tl2br w:val="nil"/>
                    <w:tr2bl w:val="nil"/>
                  </w:tcBorders>
                  <w:shd w:val="clear" w:color="auto" w:fill="auto"/>
                  <w:vAlign w:val="center"/>
                </w:tcPr>
                <w:p w14:paraId="78099793">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类型</w:t>
                  </w:r>
                </w:p>
              </w:tc>
              <w:tc>
                <w:tcPr>
                  <w:tcW w:w="2346" w:type="pct"/>
                  <w:gridSpan w:val="2"/>
                  <w:tcBorders>
                    <w:tl2br w:val="nil"/>
                    <w:tr2bl w:val="nil"/>
                  </w:tcBorders>
                  <w:vAlign w:val="center"/>
                </w:tcPr>
                <w:p w14:paraId="7FAD8DBD">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一般排放口</w:t>
                  </w:r>
                </w:p>
              </w:tc>
              <w:tc>
                <w:tcPr>
                  <w:tcW w:w="709" w:type="pct"/>
                  <w:tcBorders>
                    <w:tl2br w:val="nil"/>
                    <w:tr2bl w:val="nil"/>
                  </w:tcBorders>
                  <w:vAlign w:val="center"/>
                </w:tcPr>
                <w:p w14:paraId="69DD56F6">
                  <w:pPr>
                    <w:pStyle w:val="37"/>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w:t>
                  </w:r>
                </w:p>
              </w:tc>
            </w:tr>
            <w:tr w14:paraId="461B5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944" w:type="pct"/>
                  <w:gridSpan w:val="3"/>
                  <w:tcBorders>
                    <w:tl2br w:val="nil"/>
                    <w:tr2bl w:val="nil"/>
                  </w:tcBorders>
                  <w:shd w:val="clear" w:color="auto" w:fill="auto"/>
                  <w:vAlign w:val="center"/>
                </w:tcPr>
                <w:p w14:paraId="16B16A95">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排放标准（mg/m</w:t>
                  </w:r>
                  <w:r>
                    <w:rPr>
                      <w:rFonts w:hint="default" w:ascii="Times New Roman" w:hAnsi="Times New Roman" w:cs="Times New Roman"/>
                      <w:bCs/>
                      <w:color w:val="auto"/>
                      <w:kern w:val="0"/>
                      <w:sz w:val="21"/>
                      <w:szCs w:val="21"/>
                      <w:vertAlign w:val="superscript"/>
                    </w:rPr>
                    <w:t>3</w:t>
                  </w:r>
                  <w:r>
                    <w:rPr>
                      <w:rFonts w:hint="default" w:ascii="Times New Roman" w:hAnsi="Times New Roman" w:cs="Times New Roman"/>
                      <w:bCs/>
                      <w:color w:val="auto"/>
                      <w:kern w:val="0"/>
                      <w:sz w:val="21"/>
                      <w:szCs w:val="21"/>
                    </w:rPr>
                    <w:t>）</w:t>
                  </w:r>
                </w:p>
              </w:tc>
              <w:tc>
                <w:tcPr>
                  <w:tcW w:w="1011" w:type="pct"/>
                  <w:tcBorders>
                    <w:tl2br w:val="nil"/>
                    <w:tr2bl w:val="nil"/>
                  </w:tcBorders>
                  <w:shd w:val="clear" w:color="auto" w:fill="auto"/>
                  <w:vAlign w:val="center"/>
                </w:tcPr>
                <w:p w14:paraId="41069BC3">
                  <w:pPr>
                    <w:pStyle w:val="37"/>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10</w:t>
                  </w:r>
                </w:p>
              </w:tc>
              <w:tc>
                <w:tcPr>
                  <w:tcW w:w="1334" w:type="pct"/>
                  <w:tcBorders>
                    <w:tl2br w:val="nil"/>
                    <w:tr2bl w:val="nil"/>
                  </w:tcBorders>
                  <w:shd w:val="clear" w:color="auto" w:fill="auto"/>
                  <w:vAlign w:val="center"/>
                </w:tcPr>
                <w:p w14:paraId="10769894">
                  <w:pPr>
                    <w:pStyle w:val="37"/>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10</w:t>
                  </w:r>
                </w:p>
              </w:tc>
              <w:tc>
                <w:tcPr>
                  <w:tcW w:w="709" w:type="pct"/>
                  <w:tcBorders>
                    <w:tl2br w:val="nil"/>
                    <w:tr2bl w:val="nil"/>
                  </w:tcBorders>
                  <w:shd w:val="clear" w:color="auto" w:fill="auto"/>
                  <w:vAlign w:val="center"/>
                </w:tcPr>
                <w:p w14:paraId="12567B77">
                  <w:pPr>
                    <w:pStyle w:val="37"/>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w:t>
                  </w:r>
                </w:p>
              </w:tc>
            </w:tr>
            <w:tr w14:paraId="151A4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944" w:type="pct"/>
                  <w:gridSpan w:val="3"/>
                  <w:tcBorders>
                    <w:tl2br w:val="nil"/>
                    <w:tr2bl w:val="nil"/>
                  </w:tcBorders>
                  <w:shd w:val="clear" w:color="auto" w:fill="auto"/>
                  <w:vAlign w:val="center"/>
                </w:tcPr>
                <w:p w14:paraId="1153557A">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1011" w:type="pct"/>
                  <w:tcBorders>
                    <w:tl2br w:val="nil"/>
                    <w:tr2bl w:val="nil"/>
                  </w:tcBorders>
                  <w:shd w:val="clear" w:color="auto" w:fill="auto"/>
                  <w:vAlign w:val="center"/>
                </w:tcPr>
                <w:p w14:paraId="6B87B56A">
                  <w:pPr>
                    <w:pStyle w:val="37"/>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1334" w:type="pct"/>
                  <w:tcBorders>
                    <w:tl2br w:val="nil"/>
                    <w:tr2bl w:val="nil"/>
                  </w:tcBorders>
                  <w:shd w:val="clear" w:color="auto" w:fill="auto"/>
                  <w:vAlign w:val="center"/>
                </w:tcPr>
                <w:p w14:paraId="789C6009">
                  <w:pPr>
                    <w:pStyle w:val="37"/>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c>
                <w:tcPr>
                  <w:tcW w:w="709" w:type="pct"/>
                  <w:tcBorders>
                    <w:tl2br w:val="nil"/>
                    <w:tr2bl w:val="nil"/>
                  </w:tcBorders>
                  <w:shd w:val="clear" w:color="auto" w:fill="auto"/>
                  <w:vAlign w:val="center"/>
                </w:tcPr>
                <w:p w14:paraId="35A225E4">
                  <w:pPr>
                    <w:pStyle w:val="37"/>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14:paraId="021B1A16">
            <w:pPr>
              <w:pStyle w:val="37"/>
              <w:numPr>
                <w:ilvl w:val="0"/>
                <w:numId w:val="0"/>
              </w:numPr>
              <w:adjustRightInd w:val="0"/>
              <w:snapToGrid w:val="0"/>
              <w:spacing w:line="360" w:lineRule="auto"/>
              <w:ind w:firstLine="480" w:firstLineChars="200"/>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cs="Times New Roman"/>
                <w:b w:val="0"/>
                <w:bCs/>
                <w:kern w:val="2"/>
                <w:sz w:val="24"/>
                <w:szCs w:val="24"/>
                <w:lang w:val="en-US" w:eastAsia="zh-CN" w:bidi="ar-SA"/>
              </w:rPr>
              <w:t>（2）</w:t>
            </w:r>
            <w:r>
              <w:rPr>
                <w:rFonts w:hint="default" w:ascii="Times New Roman" w:hAnsi="Times New Roman" w:eastAsia="宋体" w:cs="Times New Roman"/>
                <w:b w:val="0"/>
                <w:bCs/>
                <w:kern w:val="2"/>
                <w:sz w:val="24"/>
                <w:szCs w:val="24"/>
                <w:lang w:val="en-US" w:eastAsia="zh-CN" w:bidi="ar-SA"/>
              </w:rPr>
              <w:t>污染源强分析</w:t>
            </w:r>
          </w:p>
          <w:p w14:paraId="7E47B4E6">
            <w:pPr>
              <w:pStyle w:val="37"/>
              <w:numPr>
                <w:ilvl w:val="0"/>
                <w:numId w:val="0"/>
              </w:num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eastAsia="宋体" w:cs="宋体"/>
                <w:bCs/>
                <w:color w:val="auto"/>
                <w:sz w:val="24"/>
                <w:lang w:val="en-US" w:eastAsia="zh-CN"/>
              </w:rPr>
              <w:t>本项目产生废气主要为投料、包装</w:t>
            </w:r>
            <w:r>
              <w:rPr>
                <w:rFonts w:hint="eastAsia" w:ascii="Times New Roman" w:hAnsi="Times New Roman" w:cs="Times New Roman"/>
                <w:color w:val="auto"/>
                <w:sz w:val="24"/>
                <w:lang w:val="en-US" w:eastAsia="zh-CN"/>
              </w:rPr>
              <w:t>及车辆运输</w:t>
            </w:r>
            <w:r>
              <w:rPr>
                <w:rFonts w:hint="default" w:ascii="Times New Roman" w:hAnsi="Times New Roman" w:cs="Times New Roman"/>
                <w:color w:val="auto"/>
                <w:sz w:val="24"/>
              </w:rPr>
              <w:t>过程产生的粉尘</w:t>
            </w:r>
            <w:r>
              <w:rPr>
                <w:rFonts w:hint="eastAsia" w:ascii="Times New Roman" w:hAnsi="Times New Roman" w:cs="Times New Roman"/>
                <w:color w:val="auto"/>
                <w:sz w:val="24"/>
                <w:lang w:eastAsia="zh-CN"/>
              </w:rPr>
              <w:t>。</w:t>
            </w:r>
          </w:p>
          <w:p w14:paraId="14A3D8C8">
            <w:pPr>
              <w:pStyle w:val="37"/>
              <w:numPr>
                <w:ilvl w:val="0"/>
                <w:numId w:val="0"/>
              </w:numPr>
              <w:adjustRightInd w:val="0"/>
              <w:snapToGrid w:val="0"/>
              <w:spacing w:line="360" w:lineRule="auto"/>
              <w:ind w:firstLine="480" w:firstLineChars="200"/>
              <w:rPr>
                <w:rFonts w:hint="eastAsia" w:ascii="Times New Roman" w:hAnsi="Times New Roman" w:eastAsia="宋体" w:cs="宋体"/>
                <w:bCs/>
                <w:color w:val="auto"/>
                <w:sz w:val="24"/>
                <w:lang w:val="en-US" w:eastAsia="zh-CN"/>
              </w:rPr>
            </w:pPr>
            <w:r>
              <w:rPr>
                <w:rFonts w:hint="eastAsia" w:ascii="Times New Roman" w:hAnsi="Times New Roman" w:cs="Times New Roman"/>
                <w:color w:val="auto"/>
                <w:sz w:val="24"/>
                <w:lang w:val="en-US" w:eastAsia="zh-CN"/>
              </w:rPr>
              <w:t>①</w:t>
            </w:r>
            <w:r>
              <w:rPr>
                <w:rFonts w:hint="eastAsia" w:ascii="Times New Roman" w:hAnsi="Times New Roman" w:eastAsia="宋体" w:cs="宋体"/>
                <w:bCs/>
                <w:color w:val="auto"/>
                <w:sz w:val="24"/>
                <w:lang w:val="en-US" w:eastAsia="zh-CN"/>
              </w:rPr>
              <w:t>投料粉尘</w:t>
            </w:r>
          </w:p>
          <w:p w14:paraId="14608841">
            <w:pPr>
              <w:pStyle w:val="37"/>
              <w:numPr>
                <w:ilvl w:val="0"/>
                <w:numId w:val="0"/>
              </w:numPr>
              <w:adjustRightInd w:val="0"/>
              <w:snapToGrid w:val="0"/>
              <w:spacing w:line="360" w:lineRule="auto"/>
              <w:ind w:firstLine="480" w:firstLineChars="200"/>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本项目生产工艺过程与混凝土生产基本类似，投料工序中投料口逸出的无组织排放粉尘参照《逸散性工业粉尘控制技术》中“表13-2水泥生产的逸散尘排放因子”的“磨碎机泄漏、喂料、卸斗的排气”的排放因子：0.05kg/t</w:t>
            </w:r>
            <w:r>
              <w:rPr>
                <w:rFonts w:hint="eastAsia" w:ascii="宋体" w:hAnsi="宋体" w:eastAsia="宋体" w:cs="宋体"/>
                <w:bCs/>
                <w:color w:val="auto"/>
                <w:kern w:val="2"/>
                <w:sz w:val="24"/>
                <w:szCs w:val="22"/>
                <w:lang w:val="en-US" w:eastAsia="zh-CN" w:bidi="ar-SA"/>
              </w:rPr>
              <w:t>·产品</w:t>
            </w:r>
            <w:r>
              <w:rPr>
                <w:rFonts w:hint="eastAsia" w:ascii="Times New Roman" w:hAnsi="Times New Roman" w:eastAsia="宋体" w:cs="宋体"/>
                <w:bCs/>
                <w:color w:val="auto"/>
                <w:kern w:val="2"/>
                <w:sz w:val="24"/>
                <w:szCs w:val="22"/>
                <w:lang w:val="en-US" w:eastAsia="zh-CN" w:bidi="ar-SA"/>
              </w:rPr>
              <w:t>。本项目</w:t>
            </w:r>
            <w:r>
              <w:rPr>
                <w:rFonts w:hint="eastAsia" w:ascii="Times New Roman" w:hAnsi="Times New Roman" w:cs="Times New Roman"/>
                <w:bCs/>
                <w:color w:val="auto"/>
                <w:sz w:val="24"/>
                <w:lang w:val="en-US" w:eastAsia="zh-CN" w:bidi="ar"/>
              </w:rPr>
              <w:t>年产</w:t>
            </w:r>
            <w:r>
              <w:rPr>
                <w:rFonts w:hint="default" w:ascii="Times New Roman" w:hAnsi="Times New Roman" w:cs="Times New Roman"/>
                <w:bCs/>
                <w:color w:val="auto"/>
                <w:sz w:val="24"/>
                <w:lang w:val="en-US" w:eastAsia="zh-CN" w:bidi="ar"/>
              </w:rPr>
              <w:t>2300吨腻子粉、2000吨石膏粉、650吨砂浆</w:t>
            </w:r>
            <w:r>
              <w:rPr>
                <w:rFonts w:hint="eastAsia" w:ascii="Times New Roman" w:hAnsi="Times New Roman" w:eastAsia="宋体" w:cs="宋体"/>
                <w:bCs/>
                <w:color w:val="auto"/>
                <w:kern w:val="2"/>
                <w:sz w:val="24"/>
                <w:szCs w:val="22"/>
                <w:lang w:val="en-US" w:eastAsia="zh-CN" w:bidi="ar-SA"/>
              </w:rPr>
              <w:t>，则投料过程中颗粒物的产生量约为0.25t/a，产生速率为0.21kg/h。</w:t>
            </w:r>
          </w:p>
          <w:p w14:paraId="656010C1">
            <w:pPr>
              <w:pStyle w:val="37"/>
              <w:numPr>
                <w:ilvl w:val="0"/>
                <w:numId w:val="0"/>
              </w:numPr>
              <w:adjustRightInd w:val="0"/>
              <w:snapToGrid w:val="0"/>
              <w:spacing w:line="360" w:lineRule="auto"/>
              <w:ind w:firstLine="480" w:firstLineChars="200"/>
              <w:rPr>
                <w:rFonts w:hint="eastAsia" w:ascii="Times New Roman" w:hAnsi="Times New Roman" w:eastAsia="宋体" w:cs="宋体"/>
                <w:bCs/>
                <w:color w:val="auto"/>
                <w:sz w:val="24"/>
                <w:lang w:val="en-US" w:eastAsia="zh-CN"/>
              </w:rPr>
            </w:pPr>
            <w:r>
              <w:rPr>
                <w:rFonts w:hint="eastAsia" w:ascii="Times New Roman" w:hAnsi="Times New Roman" w:cs="Times New Roman"/>
                <w:color w:val="auto"/>
                <w:sz w:val="24"/>
                <w:lang w:val="en-US" w:eastAsia="zh-CN"/>
              </w:rPr>
              <w:t>②</w:t>
            </w:r>
            <w:r>
              <w:rPr>
                <w:rFonts w:hint="eastAsia" w:ascii="Times New Roman" w:hAnsi="Times New Roman" w:eastAsia="宋体" w:cs="宋体"/>
                <w:bCs/>
                <w:color w:val="auto"/>
                <w:sz w:val="24"/>
                <w:lang w:val="en-US" w:eastAsia="zh-CN"/>
              </w:rPr>
              <w:t>包装粉尘</w:t>
            </w:r>
          </w:p>
          <w:p w14:paraId="1B7D345A">
            <w:pPr>
              <w:pStyle w:val="37"/>
              <w:numPr>
                <w:ilvl w:val="0"/>
                <w:numId w:val="0"/>
              </w:numPr>
              <w:adjustRightInd w:val="0"/>
              <w:snapToGrid w:val="0"/>
              <w:spacing w:line="360" w:lineRule="auto"/>
              <w:ind w:firstLine="480" w:firstLineChars="200"/>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将成品包装的时候，下料口会逸散出颗粒物。生产工艺过程与混凝土生产基本类似，参考《逸散性工业粉尘控制技术》“第三十章水泥厂表13-2水泥袋装排放因子为0.005kg/t”，本项目</w:t>
            </w:r>
            <w:r>
              <w:rPr>
                <w:rFonts w:hint="eastAsia" w:ascii="Times New Roman" w:hAnsi="Times New Roman" w:cs="Times New Roman"/>
                <w:bCs/>
                <w:color w:val="auto"/>
                <w:sz w:val="24"/>
                <w:lang w:val="en-US" w:eastAsia="zh-CN" w:bidi="ar"/>
              </w:rPr>
              <w:t>年产</w:t>
            </w:r>
            <w:r>
              <w:rPr>
                <w:rFonts w:hint="default" w:ascii="Times New Roman" w:hAnsi="Times New Roman" w:cs="Times New Roman"/>
                <w:bCs/>
                <w:color w:val="auto"/>
                <w:sz w:val="24"/>
                <w:lang w:val="en-US" w:eastAsia="zh-CN" w:bidi="ar"/>
              </w:rPr>
              <w:t>2300吨腻子粉、2000吨石膏粉、650吨砂浆</w:t>
            </w:r>
            <w:r>
              <w:rPr>
                <w:rFonts w:hint="eastAsia" w:ascii="Times New Roman" w:hAnsi="Times New Roman" w:cs="Times New Roman"/>
                <w:bCs/>
                <w:color w:val="auto"/>
                <w:sz w:val="24"/>
                <w:lang w:val="en-US" w:eastAsia="zh-CN" w:bidi="ar"/>
              </w:rPr>
              <w:t>。</w:t>
            </w:r>
            <w:r>
              <w:rPr>
                <w:rFonts w:hint="eastAsia" w:ascii="Times New Roman" w:hAnsi="Times New Roman" w:eastAsia="宋体" w:cs="宋体"/>
                <w:bCs/>
                <w:color w:val="auto"/>
                <w:kern w:val="2"/>
                <w:sz w:val="24"/>
                <w:szCs w:val="22"/>
                <w:lang w:val="en-US" w:eastAsia="zh-CN" w:bidi="ar-SA"/>
              </w:rPr>
              <w:t>则打包过程中颗粒物的产生量约为0.025t/a，产生速率为0.021kg/h。</w:t>
            </w:r>
          </w:p>
          <w:p w14:paraId="7C37B604">
            <w:pPr>
              <w:pStyle w:val="37"/>
              <w:numPr>
                <w:ilvl w:val="0"/>
                <w:numId w:val="0"/>
              </w:numPr>
              <w:adjustRightInd w:val="0"/>
              <w:snapToGrid w:val="0"/>
              <w:spacing w:line="360" w:lineRule="auto"/>
              <w:ind w:firstLine="480" w:firstLineChars="200"/>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整个车间全封闭设计，投料口采用密闭</w:t>
            </w:r>
            <w:r>
              <w:rPr>
                <w:rFonts w:hint="default" w:ascii="Times New Roman" w:hAnsi="Times New Roman" w:eastAsia="宋体" w:cs="宋体"/>
                <w:bCs/>
                <w:color w:val="auto"/>
                <w:kern w:val="2"/>
                <w:sz w:val="24"/>
                <w:szCs w:val="22"/>
                <w:lang w:val="en-US" w:eastAsia="zh-CN" w:bidi="ar-SA"/>
              </w:rPr>
              <w:t>箱体侧吸方式收集粉尘</w:t>
            </w:r>
            <w:r>
              <w:rPr>
                <w:rFonts w:hint="eastAsia" w:ascii="Times New Roman" w:hAnsi="Times New Roman" w:eastAsia="宋体" w:cs="宋体"/>
                <w:bCs/>
                <w:color w:val="auto"/>
                <w:kern w:val="2"/>
                <w:sz w:val="24"/>
                <w:szCs w:val="22"/>
                <w:lang w:val="en-US" w:eastAsia="zh-CN" w:bidi="ar-SA"/>
              </w:rPr>
              <w:t>，下料口</w:t>
            </w:r>
            <w:r>
              <w:rPr>
                <w:rFonts w:hint="default" w:ascii="Times New Roman" w:hAnsi="Times New Roman" w:eastAsia="宋体" w:cs="宋体"/>
                <w:bCs/>
                <w:color w:val="auto"/>
                <w:kern w:val="2"/>
                <w:sz w:val="24"/>
                <w:szCs w:val="22"/>
                <w:lang w:val="en-US" w:eastAsia="zh-CN" w:bidi="ar-SA"/>
              </w:rPr>
              <w:t>使用集尘罩收集粉尘</w:t>
            </w:r>
            <w:r>
              <w:rPr>
                <w:rFonts w:hint="eastAsia" w:ascii="Times New Roman" w:hAnsi="Times New Roman" w:eastAsia="宋体" w:cs="宋体"/>
                <w:bCs/>
                <w:color w:val="auto"/>
                <w:kern w:val="2"/>
                <w:sz w:val="24"/>
                <w:szCs w:val="22"/>
                <w:lang w:val="en-US" w:eastAsia="zh-CN" w:bidi="ar-SA"/>
              </w:rPr>
              <w:t>，经过管道连接通过</w:t>
            </w:r>
            <w:r>
              <w:rPr>
                <w:rFonts w:hint="eastAsia" w:ascii="Times New Roman" w:hAnsi="Times New Roman"/>
                <w:color w:val="auto"/>
                <w:sz w:val="24"/>
              </w:rPr>
              <w:t>布袋除尘器处理后通过15米排气筒</w:t>
            </w:r>
            <w:r>
              <w:rPr>
                <w:rFonts w:hint="eastAsia" w:ascii="Times New Roman" w:hAnsi="Times New Roman"/>
                <w:color w:val="auto"/>
                <w:sz w:val="24"/>
                <w:lang w:eastAsia="zh-CN"/>
              </w:rPr>
              <w:t>（</w:t>
            </w:r>
            <w:r>
              <w:rPr>
                <w:rFonts w:hint="eastAsia" w:ascii="Times New Roman" w:hAnsi="Times New Roman"/>
                <w:color w:val="auto"/>
                <w:sz w:val="24"/>
                <w:lang w:val="en-US" w:eastAsia="zh-CN"/>
              </w:rPr>
              <w:t>DA001</w:t>
            </w:r>
            <w:r>
              <w:rPr>
                <w:rFonts w:hint="eastAsia" w:ascii="Times New Roman" w:hAnsi="Times New Roman"/>
                <w:color w:val="auto"/>
                <w:sz w:val="24"/>
                <w:lang w:eastAsia="zh-CN"/>
              </w:rPr>
              <w:t>）</w:t>
            </w:r>
            <w:r>
              <w:rPr>
                <w:rFonts w:hint="eastAsia" w:ascii="Times New Roman" w:hAnsi="Times New Roman"/>
                <w:color w:val="auto"/>
                <w:sz w:val="24"/>
              </w:rPr>
              <w:t>高空排放</w:t>
            </w:r>
            <w:r>
              <w:rPr>
                <w:rFonts w:hint="eastAsia" w:ascii="Times New Roman" w:hAnsi="Times New Roman" w:eastAsia="宋体" w:cs="宋体"/>
                <w:bCs/>
                <w:color w:val="auto"/>
                <w:kern w:val="2"/>
                <w:sz w:val="24"/>
                <w:szCs w:val="22"/>
                <w:lang w:val="en-US" w:eastAsia="zh-CN" w:bidi="ar-SA"/>
              </w:rPr>
              <w:t>。投料口密闭</w:t>
            </w:r>
            <w:r>
              <w:rPr>
                <w:rFonts w:hint="default" w:ascii="Times New Roman" w:hAnsi="Times New Roman" w:eastAsia="宋体" w:cs="宋体"/>
                <w:bCs/>
                <w:color w:val="auto"/>
                <w:kern w:val="2"/>
                <w:sz w:val="24"/>
                <w:szCs w:val="22"/>
                <w:lang w:val="en-US" w:eastAsia="zh-CN" w:bidi="ar-SA"/>
              </w:rPr>
              <w:t>箱体侧吸</w:t>
            </w:r>
            <w:r>
              <w:rPr>
                <w:rFonts w:hint="eastAsia" w:ascii="Times New Roman" w:hAnsi="Times New Roman" w:eastAsia="宋体" w:cs="宋体"/>
                <w:bCs/>
                <w:color w:val="auto"/>
                <w:kern w:val="2"/>
                <w:sz w:val="24"/>
                <w:szCs w:val="22"/>
                <w:lang w:val="en-US" w:eastAsia="zh-CN" w:bidi="ar-SA"/>
              </w:rPr>
              <w:t>收集效率为90%</w:t>
            </w:r>
            <w:r>
              <w:rPr>
                <w:rFonts w:hint="eastAsia" w:ascii="Times New Roman" w:hAnsi="Times New Roman" w:cs="Times New Roman"/>
                <w:b w:val="0"/>
                <w:bCs/>
                <w:kern w:val="2"/>
                <w:sz w:val="24"/>
                <w:szCs w:val="24"/>
                <w:lang w:val="en-US" w:eastAsia="zh-CN" w:bidi="ar-SA"/>
              </w:rPr>
              <w:t>，</w:t>
            </w:r>
            <w:r>
              <w:rPr>
                <w:rFonts w:hint="eastAsia" w:ascii="Times New Roman" w:hAnsi="Times New Roman" w:eastAsia="宋体" w:cs="宋体"/>
                <w:bCs/>
                <w:color w:val="auto"/>
                <w:kern w:val="2"/>
                <w:sz w:val="24"/>
                <w:szCs w:val="22"/>
                <w:lang w:val="en-US" w:eastAsia="zh-CN" w:bidi="ar-SA"/>
              </w:rPr>
              <w:t>下料口</w:t>
            </w:r>
            <w:r>
              <w:rPr>
                <w:rFonts w:hint="default" w:ascii="Times New Roman" w:hAnsi="Times New Roman" w:eastAsia="宋体" w:cs="宋体"/>
                <w:bCs/>
                <w:color w:val="auto"/>
                <w:kern w:val="2"/>
                <w:sz w:val="24"/>
                <w:szCs w:val="22"/>
                <w:lang w:val="en-US" w:eastAsia="zh-CN" w:bidi="ar-SA"/>
              </w:rPr>
              <w:t>集尘罩</w:t>
            </w:r>
            <w:r>
              <w:rPr>
                <w:rFonts w:hint="eastAsia" w:ascii="Times New Roman" w:hAnsi="Times New Roman" w:eastAsia="宋体" w:cs="宋体"/>
                <w:bCs/>
                <w:color w:val="auto"/>
                <w:kern w:val="2"/>
                <w:sz w:val="24"/>
                <w:szCs w:val="22"/>
                <w:lang w:val="en-US" w:eastAsia="zh-CN" w:bidi="ar-SA"/>
              </w:rPr>
              <w:t>收集效率为85%</w:t>
            </w:r>
            <w:r>
              <w:rPr>
                <w:rFonts w:hint="eastAsia" w:ascii="Times New Roman" w:hAnsi="Times New Roman" w:cs="Times New Roman"/>
                <w:b w:val="0"/>
                <w:bCs/>
                <w:kern w:val="2"/>
                <w:sz w:val="24"/>
                <w:szCs w:val="24"/>
                <w:lang w:val="en-US" w:eastAsia="zh-CN" w:bidi="ar-SA"/>
              </w:rPr>
              <w:t>，</w:t>
            </w:r>
            <w:r>
              <w:rPr>
                <w:rFonts w:hint="eastAsia" w:ascii="Times New Roman" w:hAnsi="Times New Roman" w:eastAsia="宋体" w:cs="宋体"/>
                <w:bCs/>
                <w:color w:val="auto"/>
                <w:kern w:val="2"/>
                <w:sz w:val="24"/>
                <w:szCs w:val="22"/>
                <w:lang w:val="en-US" w:eastAsia="zh-CN" w:bidi="ar-SA"/>
              </w:rPr>
              <w:t>布袋除尘器去除效率以99</w:t>
            </w:r>
            <w:r>
              <w:rPr>
                <w:rFonts w:hint="eastAsia" w:ascii="Times New Roman" w:hAnsi="Times New Roman" w:cs="宋体"/>
                <w:bCs/>
                <w:color w:val="auto"/>
                <w:kern w:val="2"/>
                <w:sz w:val="24"/>
                <w:szCs w:val="22"/>
                <w:lang w:val="en-US" w:eastAsia="zh-CN" w:bidi="ar-SA"/>
              </w:rPr>
              <w:t>.7</w:t>
            </w:r>
            <w:r>
              <w:rPr>
                <w:rFonts w:hint="eastAsia" w:ascii="Times New Roman" w:hAnsi="Times New Roman" w:eastAsia="宋体" w:cs="宋体"/>
                <w:bCs/>
                <w:color w:val="auto"/>
                <w:kern w:val="2"/>
                <w:sz w:val="24"/>
                <w:szCs w:val="22"/>
                <w:lang w:val="en-US" w:eastAsia="zh-CN" w:bidi="ar-SA"/>
              </w:rPr>
              <w:t>%计。</w:t>
            </w:r>
          </w:p>
          <w:p w14:paraId="0E6FC80E">
            <w:pPr>
              <w:pStyle w:val="37"/>
              <w:numPr>
                <w:ilvl w:val="0"/>
                <w:numId w:val="0"/>
              </w:numPr>
              <w:adjustRightInd w:val="0"/>
              <w:snapToGrid w:val="0"/>
              <w:spacing w:line="240" w:lineRule="auto"/>
              <w:ind w:left="420" w:leftChars="0"/>
              <w:jc w:val="center"/>
              <w:rPr>
                <w:rFonts w:hint="default" w:ascii="Times New Roman" w:hAnsi="Times New Roman" w:cs="Times New Roman"/>
                <w:b/>
                <w:bCs/>
                <w:color w:val="auto"/>
                <w:lang w:val="en-US" w:eastAsia="zh-CN" w:bidi="ar"/>
              </w:rPr>
            </w:pPr>
            <w:r>
              <w:rPr>
                <w:rFonts w:hint="default" w:ascii="Times New Roman" w:hAnsi="Times New Roman" w:cs="Times New Roman"/>
                <w:b/>
                <w:bCs/>
                <w:color w:val="auto"/>
                <w:lang w:bidi="ar"/>
              </w:rPr>
              <w:t>表4-</w:t>
            </w:r>
            <w:r>
              <w:rPr>
                <w:rFonts w:hint="eastAsia" w:ascii="Times New Roman" w:hAnsi="Times New Roman" w:cs="Times New Roman"/>
                <w:b/>
                <w:bCs/>
                <w:color w:val="auto"/>
                <w:lang w:val="en-US" w:eastAsia="zh-CN" w:bidi="ar"/>
              </w:rPr>
              <w:t>1  投料及包装粉尘产排情况</w:t>
            </w:r>
          </w:p>
          <w:tbl>
            <w:tblPr>
              <w:tblStyle w:val="25"/>
              <w:tblW w:w="7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23"/>
              <w:gridCol w:w="715"/>
              <w:gridCol w:w="1063"/>
              <w:gridCol w:w="851"/>
              <w:gridCol w:w="848"/>
              <w:gridCol w:w="955"/>
              <w:gridCol w:w="876"/>
              <w:gridCol w:w="785"/>
            </w:tblGrid>
            <w:tr w14:paraId="68FC5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3" w:type="dxa"/>
                  <w:vMerge w:val="restart"/>
                  <w:tcBorders>
                    <w:tl2br w:val="nil"/>
                    <w:tr2bl w:val="nil"/>
                  </w:tcBorders>
                  <w:vAlign w:val="center"/>
                </w:tcPr>
                <w:p w14:paraId="75AACEB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cs="Times New Roman"/>
                      <w:b/>
                      <w:bCs w:val="0"/>
                      <w:color w:val="auto"/>
                      <w:kern w:val="2"/>
                      <w:sz w:val="21"/>
                      <w:szCs w:val="21"/>
                      <w:vertAlign w:val="baseline"/>
                      <w:lang w:val="en-US" w:eastAsia="zh-CN" w:bidi="ar-SA"/>
                    </w:rPr>
                    <w:t>工序</w:t>
                  </w:r>
                </w:p>
              </w:tc>
              <w:tc>
                <w:tcPr>
                  <w:tcW w:w="723" w:type="dxa"/>
                  <w:vMerge w:val="restart"/>
                  <w:tcBorders>
                    <w:tl2br w:val="nil"/>
                    <w:tr2bl w:val="nil"/>
                  </w:tcBorders>
                  <w:shd w:val="clear" w:color="auto" w:fill="auto"/>
                  <w:vAlign w:val="center"/>
                </w:tcPr>
                <w:p w14:paraId="5145423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kern w:val="2"/>
                      <w:sz w:val="21"/>
                      <w:szCs w:val="21"/>
                      <w:vertAlign w:val="baseline"/>
                      <w:lang w:val="en-US" w:eastAsia="zh-CN" w:bidi="ar-SA"/>
                    </w:rPr>
                    <w:t>产生量</w:t>
                  </w:r>
                </w:p>
                <w:p w14:paraId="0184CFB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hAnsi="Times New Roman" w:eastAsia="宋体" w:cs="宋体"/>
                      <w:b w:val="0"/>
                      <w:bCs/>
                      <w:color w:val="auto"/>
                      <w:kern w:val="2"/>
                      <w:sz w:val="21"/>
                      <w:szCs w:val="21"/>
                      <w:lang w:val="en-US" w:eastAsia="zh-CN" w:bidi="ar-SA"/>
                    </w:rPr>
                    <w:t>t/a</w:t>
                  </w:r>
                </w:p>
              </w:tc>
              <w:tc>
                <w:tcPr>
                  <w:tcW w:w="715" w:type="dxa"/>
                  <w:vMerge w:val="restart"/>
                  <w:tcBorders>
                    <w:tl2br w:val="nil"/>
                    <w:tr2bl w:val="nil"/>
                  </w:tcBorders>
                  <w:vAlign w:val="center"/>
                </w:tcPr>
                <w:p w14:paraId="1F91481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宋体"/>
                      <w:b w:val="0"/>
                      <w:bCs/>
                      <w:color w:val="auto"/>
                      <w:kern w:val="2"/>
                      <w:sz w:val="21"/>
                      <w:szCs w:val="21"/>
                      <w:lang w:val="en-US" w:eastAsia="zh-CN" w:bidi="ar-SA"/>
                    </w:rPr>
                  </w:pPr>
                  <w:r>
                    <w:rPr>
                      <w:rFonts w:hint="default" w:ascii="Times New Roman" w:hAnsi="Times New Roman" w:eastAsia="宋体" w:cs="宋体"/>
                      <w:b w:val="0"/>
                      <w:bCs/>
                      <w:color w:val="auto"/>
                      <w:kern w:val="2"/>
                      <w:sz w:val="21"/>
                      <w:szCs w:val="21"/>
                      <w:lang w:val="en-US" w:eastAsia="zh-CN" w:bidi="ar-SA"/>
                    </w:rPr>
                    <w:t>产生</w:t>
                  </w:r>
                </w:p>
                <w:p w14:paraId="0DCD72B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宋体"/>
                      <w:b w:val="0"/>
                      <w:bCs/>
                      <w:color w:val="auto"/>
                      <w:kern w:val="2"/>
                      <w:sz w:val="21"/>
                      <w:szCs w:val="21"/>
                      <w:lang w:val="en-US" w:eastAsia="zh-CN" w:bidi="ar-SA"/>
                    </w:rPr>
                  </w:pPr>
                  <w:r>
                    <w:rPr>
                      <w:rFonts w:hint="eastAsia" w:ascii="Times New Roman" w:hAnsi="Times New Roman" w:eastAsia="宋体" w:cs="宋体"/>
                      <w:b w:val="0"/>
                      <w:bCs/>
                      <w:color w:val="auto"/>
                      <w:kern w:val="2"/>
                      <w:sz w:val="21"/>
                      <w:szCs w:val="21"/>
                      <w:lang w:val="en-US" w:eastAsia="zh-CN" w:bidi="ar-SA"/>
                    </w:rPr>
                    <w:t>速率</w:t>
                  </w:r>
                </w:p>
                <w:p w14:paraId="7916E4F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hAnsi="Times New Roman" w:eastAsia="宋体" w:cs="宋体"/>
                      <w:b w:val="0"/>
                      <w:bCs/>
                      <w:color w:val="auto"/>
                      <w:kern w:val="2"/>
                      <w:sz w:val="21"/>
                      <w:szCs w:val="21"/>
                      <w:lang w:val="en-US" w:eastAsia="zh-CN" w:bidi="ar-SA"/>
                    </w:rPr>
                    <w:t>kg/h</w:t>
                  </w:r>
                </w:p>
              </w:tc>
              <w:tc>
                <w:tcPr>
                  <w:tcW w:w="1063" w:type="dxa"/>
                  <w:vMerge w:val="restart"/>
                  <w:tcBorders>
                    <w:tl2br w:val="nil"/>
                    <w:tr2bl w:val="nil"/>
                  </w:tcBorders>
                  <w:vAlign w:val="center"/>
                </w:tcPr>
                <w:p w14:paraId="626757F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治理</w:t>
                  </w:r>
                </w:p>
                <w:p w14:paraId="44DC352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cs="Times New Roman"/>
                      <w:b/>
                      <w:bCs w:val="0"/>
                      <w:color w:val="auto"/>
                      <w:sz w:val="21"/>
                      <w:szCs w:val="21"/>
                    </w:rPr>
                    <w:t>设备</w:t>
                  </w:r>
                </w:p>
              </w:tc>
              <w:tc>
                <w:tcPr>
                  <w:tcW w:w="4315" w:type="dxa"/>
                  <w:gridSpan w:val="5"/>
                  <w:tcBorders>
                    <w:tl2br w:val="nil"/>
                    <w:tr2bl w:val="nil"/>
                  </w:tcBorders>
                  <w:vAlign w:val="center"/>
                </w:tcPr>
                <w:p w14:paraId="58A8741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kern w:val="2"/>
                      <w:sz w:val="21"/>
                      <w:szCs w:val="21"/>
                      <w:vertAlign w:val="baseline"/>
                      <w:lang w:val="en-US" w:eastAsia="zh-CN" w:bidi="ar-SA"/>
                    </w:rPr>
                  </w:pPr>
                  <w:r>
                    <w:rPr>
                      <w:rFonts w:hint="default" w:ascii="Times New Roman" w:hAnsi="Times New Roman" w:cs="Times New Roman"/>
                      <w:b/>
                      <w:bCs w:val="0"/>
                      <w:color w:val="auto"/>
                      <w:kern w:val="2"/>
                      <w:sz w:val="21"/>
                      <w:szCs w:val="21"/>
                      <w:vertAlign w:val="baseline"/>
                      <w:lang w:val="en-US" w:eastAsia="zh-CN" w:bidi="ar-SA"/>
                    </w:rPr>
                    <w:t>排放量</w:t>
                  </w:r>
                </w:p>
              </w:tc>
            </w:tr>
            <w:tr w14:paraId="0C216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03" w:type="dxa"/>
                  <w:vMerge w:val="continue"/>
                  <w:tcBorders>
                    <w:tl2br w:val="nil"/>
                    <w:tr2bl w:val="nil"/>
                  </w:tcBorders>
                  <w:vAlign w:val="center"/>
                </w:tcPr>
                <w:p w14:paraId="4DF3A951">
                  <w:pPr>
                    <w:pStyle w:val="3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rPr>
                  </w:pPr>
                </w:p>
              </w:tc>
              <w:tc>
                <w:tcPr>
                  <w:tcW w:w="723" w:type="dxa"/>
                  <w:vMerge w:val="continue"/>
                  <w:tcBorders>
                    <w:tl2br w:val="nil"/>
                    <w:tr2bl w:val="nil"/>
                  </w:tcBorders>
                  <w:shd w:val="clear" w:color="auto" w:fill="auto"/>
                  <w:vAlign w:val="center"/>
                </w:tcPr>
                <w:p w14:paraId="30BF3083">
                  <w:pPr>
                    <w:pStyle w:val="37"/>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kern w:val="2"/>
                      <w:sz w:val="21"/>
                      <w:szCs w:val="21"/>
                      <w:lang w:val="en-US" w:eastAsia="zh-CN" w:bidi="ar-SA"/>
                    </w:rPr>
                  </w:pPr>
                </w:p>
              </w:tc>
              <w:tc>
                <w:tcPr>
                  <w:tcW w:w="715" w:type="dxa"/>
                  <w:vMerge w:val="continue"/>
                  <w:tcBorders>
                    <w:tl2br w:val="nil"/>
                    <w:tr2bl w:val="nil"/>
                  </w:tcBorders>
                  <w:vAlign w:val="center"/>
                </w:tcPr>
                <w:p w14:paraId="5D997EEB">
                  <w:pPr>
                    <w:pStyle w:val="3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rPr>
                  </w:pPr>
                </w:p>
              </w:tc>
              <w:tc>
                <w:tcPr>
                  <w:tcW w:w="1063" w:type="dxa"/>
                  <w:vMerge w:val="continue"/>
                  <w:tcBorders>
                    <w:tl2br w:val="nil"/>
                    <w:tr2bl w:val="nil"/>
                  </w:tcBorders>
                  <w:vAlign w:val="center"/>
                </w:tcPr>
                <w:p w14:paraId="2E5D0B85">
                  <w:pPr>
                    <w:pStyle w:val="3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rPr>
                  </w:pPr>
                </w:p>
              </w:tc>
              <w:tc>
                <w:tcPr>
                  <w:tcW w:w="2654" w:type="dxa"/>
                  <w:gridSpan w:val="3"/>
                  <w:tcBorders>
                    <w:tl2br w:val="nil"/>
                    <w:tr2bl w:val="nil"/>
                  </w:tcBorders>
                  <w:vAlign w:val="center"/>
                </w:tcPr>
                <w:p w14:paraId="2F1647E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有组织</w:t>
                  </w:r>
                </w:p>
              </w:tc>
              <w:tc>
                <w:tcPr>
                  <w:tcW w:w="1661" w:type="dxa"/>
                  <w:gridSpan w:val="2"/>
                  <w:tcBorders>
                    <w:tl2br w:val="nil"/>
                    <w:tr2bl w:val="nil"/>
                  </w:tcBorders>
                  <w:vAlign w:val="center"/>
                </w:tcPr>
                <w:p w14:paraId="217B381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无组织</w:t>
                  </w:r>
                </w:p>
              </w:tc>
            </w:tr>
            <w:tr w14:paraId="09FD7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3" w:type="dxa"/>
                  <w:vMerge w:val="continue"/>
                  <w:tcBorders>
                    <w:tl2br w:val="nil"/>
                    <w:tr2bl w:val="nil"/>
                  </w:tcBorders>
                  <w:vAlign w:val="center"/>
                </w:tcPr>
                <w:p w14:paraId="6C6399C1">
                  <w:pPr>
                    <w:pStyle w:val="3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723" w:type="dxa"/>
                  <w:vMerge w:val="continue"/>
                  <w:tcBorders>
                    <w:tl2br w:val="nil"/>
                    <w:tr2bl w:val="nil"/>
                  </w:tcBorders>
                  <w:shd w:val="clear" w:color="auto" w:fill="auto"/>
                  <w:vAlign w:val="center"/>
                </w:tcPr>
                <w:p w14:paraId="22043793">
                  <w:pPr>
                    <w:pStyle w:val="37"/>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ascii="Calibri" w:hAnsi="Calibri" w:eastAsia="宋体" w:cs="Times New Roman"/>
                      <w:kern w:val="2"/>
                      <w:sz w:val="21"/>
                      <w:szCs w:val="21"/>
                      <w:lang w:val="en-US" w:eastAsia="zh-CN" w:bidi="ar-SA"/>
                    </w:rPr>
                  </w:pPr>
                </w:p>
              </w:tc>
              <w:tc>
                <w:tcPr>
                  <w:tcW w:w="715" w:type="dxa"/>
                  <w:vMerge w:val="continue"/>
                  <w:tcBorders>
                    <w:tl2br w:val="nil"/>
                    <w:tr2bl w:val="nil"/>
                  </w:tcBorders>
                  <w:vAlign w:val="center"/>
                </w:tcPr>
                <w:p w14:paraId="2473E7DA">
                  <w:pPr>
                    <w:pStyle w:val="3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1063" w:type="dxa"/>
                  <w:vMerge w:val="continue"/>
                  <w:tcBorders>
                    <w:tl2br w:val="nil"/>
                    <w:tr2bl w:val="nil"/>
                  </w:tcBorders>
                  <w:vAlign w:val="center"/>
                </w:tcPr>
                <w:p w14:paraId="38B46199">
                  <w:pPr>
                    <w:pStyle w:val="3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rPr>
                  </w:pPr>
                </w:p>
              </w:tc>
              <w:tc>
                <w:tcPr>
                  <w:tcW w:w="851" w:type="dxa"/>
                  <w:tcBorders>
                    <w:tl2br w:val="nil"/>
                    <w:tr2bl w:val="nil"/>
                  </w:tcBorders>
                  <w:vAlign w:val="center"/>
                </w:tcPr>
                <w:p w14:paraId="326E4CD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排放量</w:t>
                  </w:r>
                </w:p>
                <w:p w14:paraId="332DAAD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lang w:val="en-US" w:eastAsia="zh-CN"/>
                    </w:rPr>
                  </w:pPr>
                  <w:r>
                    <w:rPr>
                      <w:rFonts w:hint="eastAsia" w:ascii="Times New Roman" w:hAnsi="Times New Roman" w:eastAsia="宋体" w:cs="宋体"/>
                      <w:b/>
                      <w:bCs w:val="0"/>
                      <w:color w:val="auto"/>
                      <w:kern w:val="2"/>
                      <w:sz w:val="21"/>
                      <w:szCs w:val="21"/>
                      <w:lang w:val="en-US" w:eastAsia="zh-CN" w:bidi="ar-SA"/>
                    </w:rPr>
                    <w:t>t/a</w:t>
                  </w:r>
                </w:p>
              </w:tc>
              <w:tc>
                <w:tcPr>
                  <w:tcW w:w="848" w:type="dxa"/>
                  <w:tcBorders>
                    <w:tl2br w:val="nil"/>
                    <w:tr2bl w:val="nil"/>
                  </w:tcBorders>
                  <w:vAlign w:val="center"/>
                </w:tcPr>
                <w:p w14:paraId="658039A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产生</w:t>
                  </w:r>
                  <w:r>
                    <w:rPr>
                      <w:rFonts w:hint="eastAsia" w:ascii="Times New Roman" w:hAnsi="Times New Roman" w:eastAsia="宋体" w:cs="Times New Roman"/>
                      <w:b/>
                      <w:bCs w:val="0"/>
                      <w:sz w:val="21"/>
                      <w:szCs w:val="21"/>
                      <w:lang w:val="en-US" w:eastAsia="zh-CN"/>
                    </w:rPr>
                    <w:t>速率</w:t>
                  </w:r>
                </w:p>
                <w:p w14:paraId="7A2B25E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宋体"/>
                      <w:b w:val="0"/>
                      <w:bCs/>
                      <w:color w:val="auto"/>
                      <w:kern w:val="2"/>
                      <w:sz w:val="21"/>
                      <w:szCs w:val="21"/>
                      <w:lang w:val="en-US" w:eastAsia="zh-CN" w:bidi="ar-SA"/>
                    </w:rPr>
                    <w:t>kg/h</w:t>
                  </w:r>
                </w:p>
              </w:tc>
              <w:tc>
                <w:tcPr>
                  <w:tcW w:w="955" w:type="dxa"/>
                  <w:tcBorders>
                    <w:tl2br w:val="nil"/>
                    <w:tr2bl w:val="nil"/>
                  </w:tcBorders>
                  <w:vAlign w:val="center"/>
                </w:tcPr>
                <w:p w14:paraId="559A3C9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排放</w:t>
                  </w:r>
                </w:p>
                <w:p w14:paraId="3A988B3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浓度</w:t>
                  </w:r>
                </w:p>
                <w:p w14:paraId="38BEA90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z w:val="21"/>
                      <w:szCs w:val="21"/>
                      <w:lang w:val="en-US" w:eastAsia="zh-CN"/>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876" w:type="dxa"/>
                  <w:tcBorders>
                    <w:tl2br w:val="nil"/>
                    <w:tr2bl w:val="nil"/>
                  </w:tcBorders>
                  <w:vAlign w:val="center"/>
                </w:tcPr>
                <w:p w14:paraId="78290AB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排放量</w:t>
                  </w:r>
                </w:p>
                <w:p w14:paraId="15ADCE1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b/>
                      <w:bCs w:val="0"/>
                    </w:rPr>
                  </w:pPr>
                  <w:r>
                    <w:rPr>
                      <w:rFonts w:hint="eastAsia" w:ascii="Times New Roman" w:hAnsi="Times New Roman" w:eastAsia="宋体" w:cs="宋体"/>
                      <w:b/>
                      <w:bCs w:val="0"/>
                      <w:color w:val="auto"/>
                      <w:kern w:val="2"/>
                      <w:sz w:val="21"/>
                      <w:szCs w:val="21"/>
                      <w:lang w:val="en-US" w:eastAsia="zh-CN" w:bidi="ar-SA"/>
                    </w:rPr>
                    <w:t>t/a</w:t>
                  </w:r>
                </w:p>
              </w:tc>
              <w:tc>
                <w:tcPr>
                  <w:tcW w:w="785" w:type="dxa"/>
                  <w:tcBorders>
                    <w:tl2br w:val="nil"/>
                    <w:tr2bl w:val="nil"/>
                  </w:tcBorders>
                  <w:vAlign w:val="center"/>
                </w:tcPr>
                <w:p w14:paraId="452EA4E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宋体"/>
                      <w:b/>
                      <w:bCs w:val="0"/>
                      <w:color w:val="auto"/>
                      <w:kern w:val="2"/>
                      <w:sz w:val="21"/>
                      <w:szCs w:val="21"/>
                      <w:lang w:val="en-US" w:eastAsia="zh-CN" w:bidi="ar-SA"/>
                    </w:rPr>
                  </w:pPr>
                  <w:r>
                    <w:rPr>
                      <w:rFonts w:hint="default" w:ascii="Times New Roman" w:hAnsi="Times New Roman" w:eastAsia="宋体" w:cs="宋体"/>
                      <w:b/>
                      <w:bCs w:val="0"/>
                      <w:color w:val="auto"/>
                      <w:kern w:val="2"/>
                      <w:sz w:val="21"/>
                      <w:szCs w:val="21"/>
                      <w:lang w:val="en-US" w:eastAsia="zh-CN" w:bidi="ar-SA"/>
                    </w:rPr>
                    <w:t>产生</w:t>
                  </w:r>
                </w:p>
                <w:p w14:paraId="6C618A8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宋体"/>
                      <w:b/>
                      <w:bCs w:val="0"/>
                      <w:color w:val="auto"/>
                      <w:kern w:val="2"/>
                      <w:sz w:val="21"/>
                      <w:szCs w:val="21"/>
                      <w:lang w:val="en-US" w:eastAsia="zh-CN" w:bidi="ar-SA"/>
                    </w:rPr>
                  </w:pPr>
                  <w:r>
                    <w:rPr>
                      <w:rFonts w:hint="eastAsia" w:ascii="Times New Roman" w:hAnsi="Times New Roman" w:eastAsia="宋体" w:cs="宋体"/>
                      <w:b/>
                      <w:bCs w:val="0"/>
                      <w:color w:val="auto"/>
                      <w:kern w:val="2"/>
                      <w:sz w:val="21"/>
                      <w:szCs w:val="21"/>
                      <w:lang w:val="en-US" w:eastAsia="zh-CN" w:bidi="ar-SA"/>
                    </w:rPr>
                    <w:t>速率</w:t>
                  </w:r>
                </w:p>
                <w:p w14:paraId="346C269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b/>
                      <w:bCs w:val="0"/>
                    </w:rPr>
                  </w:pPr>
                  <w:r>
                    <w:rPr>
                      <w:rFonts w:hint="eastAsia" w:ascii="Times New Roman" w:hAnsi="Times New Roman" w:eastAsia="宋体" w:cs="宋体"/>
                      <w:b/>
                      <w:bCs w:val="0"/>
                      <w:color w:val="auto"/>
                      <w:kern w:val="2"/>
                      <w:sz w:val="21"/>
                      <w:szCs w:val="21"/>
                      <w:lang w:val="en-US" w:eastAsia="zh-CN" w:bidi="ar-SA"/>
                    </w:rPr>
                    <w:t>kg/h</w:t>
                  </w:r>
                </w:p>
              </w:tc>
            </w:tr>
            <w:tr w14:paraId="01667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03" w:type="dxa"/>
                  <w:tcBorders>
                    <w:tl2br w:val="nil"/>
                    <w:tr2bl w:val="nil"/>
                  </w:tcBorders>
                  <w:vAlign w:val="center"/>
                </w:tcPr>
                <w:p w14:paraId="271BB83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cs="Times New Roman"/>
                      <w:b w:val="0"/>
                      <w:bCs/>
                      <w:kern w:val="2"/>
                      <w:sz w:val="21"/>
                      <w:szCs w:val="21"/>
                      <w:lang w:val="en-US" w:eastAsia="zh-CN" w:bidi="ar-SA"/>
                    </w:rPr>
                    <w:t>投料</w:t>
                  </w:r>
                </w:p>
              </w:tc>
              <w:tc>
                <w:tcPr>
                  <w:tcW w:w="723" w:type="dxa"/>
                  <w:tcBorders>
                    <w:tl2br w:val="nil"/>
                    <w:tr2bl w:val="nil"/>
                  </w:tcBorders>
                  <w:shd w:val="clear" w:color="auto" w:fill="auto"/>
                  <w:vAlign w:val="center"/>
                </w:tcPr>
                <w:p w14:paraId="7C64280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0.25</w:t>
                  </w:r>
                </w:p>
              </w:tc>
              <w:tc>
                <w:tcPr>
                  <w:tcW w:w="715" w:type="dxa"/>
                  <w:tcBorders>
                    <w:tl2br w:val="nil"/>
                    <w:tr2bl w:val="nil"/>
                  </w:tcBorders>
                  <w:vAlign w:val="center"/>
                </w:tcPr>
                <w:p w14:paraId="38F444C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0.21</w:t>
                  </w:r>
                </w:p>
              </w:tc>
              <w:tc>
                <w:tcPr>
                  <w:tcW w:w="1063" w:type="dxa"/>
                  <w:vMerge w:val="restart"/>
                  <w:tcBorders>
                    <w:tl2br w:val="nil"/>
                    <w:tr2bl w:val="nil"/>
                  </w:tcBorders>
                  <w:vAlign w:val="center"/>
                </w:tcPr>
                <w:p w14:paraId="063771F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密闭</w:t>
                  </w:r>
                  <w:r>
                    <w:rPr>
                      <w:rFonts w:hint="default" w:ascii="Times New Roman" w:hAnsi="Times New Roman" w:eastAsia="宋体" w:cs="Times New Roman"/>
                      <w:color w:val="auto"/>
                      <w:sz w:val="21"/>
                      <w:szCs w:val="21"/>
                      <w:lang w:val="en-US" w:eastAsia="zh-CN"/>
                    </w:rPr>
                    <w:t>箱体侧吸</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集尘罩</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布袋</w:t>
                  </w:r>
                  <w:r>
                    <w:rPr>
                      <w:rFonts w:hint="default" w:ascii="Times New Roman" w:hAnsi="Times New Roman" w:eastAsia="宋体" w:cs="Times New Roman"/>
                      <w:color w:val="auto"/>
                      <w:sz w:val="21"/>
                      <w:szCs w:val="21"/>
                    </w:rPr>
                    <w:t>除尘器</w:t>
                  </w:r>
                </w:p>
              </w:tc>
              <w:tc>
                <w:tcPr>
                  <w:tcW w:w="851" w:type="dxa"/>
                  <w:vMerge w:val="restart"/>
                  <w:tcBorders>
                    <w:tl2br w:val="nil"/>
                    <w:tr2bl w:val="nil"/>
                  </w:tcBorders>
                  <w:vAlign w:val="center"/>
                </w:tcPr>
                <w:p w14:paraId="26F4E54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0.0007</w:t>
                  </w:r>
                </w:p>
              </w:tc>
              <w:tc>
                <w:tcPr>
                  <w:tcW w:w="848" w:type="dxa"/>
                  <w:vMerge w:val="restart"/>
                  <w:tcBorders>
                    <w:tl2br w:val="nil"/>
                    <w:tr2bl w:val="nil"/>
                  </w:tcBorders>
                  <w:vAlign w:val="center"/>
                </w:tcPr>
                <w:p w14:paraId="7BA8C0A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0.0006</w:t>
                  </w:r>
                </w:p>
              </w:tc>
              <w:tc>
                <w:tcPr>
                  <w:tcW w:w="955" w:type="dxa"/>
                  <w:vMerge w:val="restart"/>
                  <w:tcBorders>
                    <w:tl2br w:val="nil"/>
                    <w:tr2bl w:val="nil"/>
                  </w:tcBorders>
                  <w:shd w:val="clear" w:color="auto" w:fill="auto"/>
                  <w:vAlign w:val="center"/>
                </w:tcPr>
                <w:p w14:paraId="2217BB7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0.12</w:t>
                  </w:r>
                </w:p>
              </w:tc>
              <w:tc>
                <w:tcPr>
                  <w:tcW w:w="876" w:type="dxa"/>
                  <w:vMerge w:val="restart"/>
                  <w:tcBorders>
                    <w:tl2br w:val="nil"/>
                    <w:tr2bl w:val="nil"/>
                  </w:tcBorders>
                  <w:shd w:val="clear" w:color="auto" w:fill="auto"/>
                  <w:vAlign w:val="center"/>
                </w:tcPr>
                <w:p w14:paraId="14B72DE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0.028</w:t>
                  </w:r>
                </w:p>
              </w:tc>
              <w:tc>
                <w:tcPr>
                  <w:tcW w:w="785" w:type="dxa"/>
                  <w:vMerge w:val="restart"/>
                  <w:tcBorders>
                    <w:tl2br w:val="nil"/>
                    <w:tr2bl w:val="nil"/>
                  </w:tcBorders>
                  <w:vAlign w:val="center"/>
                </w:tcPr>
                <w:p w14:paraId="6F1C284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0.012</w:t>
                  </w:r>
                </w:p>
              </w:tc>
            </w:tr>
            <w:tr w14:paraId="0EE26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03" w:type="dxa"/>
                  <w:tcBorders>
                    <w:tl2br w:val="nil"/>
                    <w:tr2bl w:val="nil"/>
                  </w:tcBorders>
                  <w:vAlign w:val="center"/>
                </w:tcPr>
                <w:p w14:paraId="7D29EC3E">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cs="Times New Roman"/>
                      <w:b w:val="0"/>
                      <w:bCs/>
                      <w:kern w:val="2"/>
                      <w:sz w:val="21"/>
                      <w:szCs w:val="21"/>
                      <w:lang w:val="en-US" w:eastAsia="zh-CN" w:bidi="ar-SA"/>
                    </w:rPr>
                    <w:t>包装</w:t>
                  </w:r>
                </w:p>
              </w:tc>
              <w:tc>
                <w:tcPr>
                  <w:tcW w:w="723" w:type="dxa"/>
                  <w:tcBorders>
                    <w:tl2br w:val="nil"/>
                    <w:tr2bl w:val="nil"/>
                  </w:tcBorders>
                  <w:shd w:val="clear" w:color="auto" w:fill="auto"/>
                  <w:vAlign w:val="center"/>
                </w:tcPr>
                <w:p w14:paraId="5854EB8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eastAsia" w:ascii="Times New Roman" w:hAnsi="Times New Roman" w:eastAsia="宋体" w:cs="宋体"/>
                      <w:bCs/>
                      <w:color w:val="auto"/>
                      <w:kern w:val="2"/>
                      <w:sz w:val="21"/>
                      <w:szCs w:val="21"/>
                      <w:lang w:val="en-US" w:eastAsia="zh-CN" w:bidi="ar-SA"/>
                    </w:rPr>
                    <w:t>0.025</w:t>
                  </w:r>
                </w:p>
              </w:tc>
              <w:tc>
                <w:tcPr>
                  <w:tcW w:w="715" w:type="dxa"/>
                  <w:tcBorders>
                    <w:tl2br w:val="nil"/>
                    <w:tr2bl w:val="nil"/>
                  </w:tcBorders>
                  <w:vAlign w:val="center"/>
                </w:tcPr>
                <w:p w14:paraId="3EA9CEB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lang w:val="en-US" w:eastAsia="zh-CN" w:bidi="ar"/>
                    </w:rPr>
                  </w:pPr>
                  <w:r>
                    <w:rPr>
                      <w:rFonts w:hint="eastAsia" w:ascii="Times New Roman" w:hAnsi="Times New Roman" w:eastAsia="宋体" w:cs="宋体"/>
                      <w:bCs/>
                      <w:color w:val="auto"/>
                      <w:kern w:val="2"/>
                      <w:sz w:val="21"/>
                      <w:szCs w:val="21"/>
                      <w:lang w:val="en-US" w:eastAsia="zh-CN" w:bidi="ar-SA"/>
                    </w:rPr>
                    <w:t>0.021</w:t>
                  </w:r>
                </w:p>
              </w:tc>
              <w:tc>
                <w:tcPr>
                  <w:tcW w:w="1063" w:type="dxa"/>
                  <w:vMerge w:val="continue"/>
                  <w:tcBorders>
                    <w:tl2br w:val="nil"/>
                    <w:tr2bl w:val="nil"/>
                  </w:tcBorders>
                  <w:vAlign w:val="center"/>
                </w:tcPr>
                <w:p w14:paraId="4D04AAB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p>
              </w:tc>
              <w:tc>
                <w:tcPr>
                  <w:tcW w:w="851" w:type="dxa"/>
                  <w:vMerge w:val="continue"/>
                  <w:tcBorders>
                    <w:tl2br w:val="nil"/>
                    <w:tr2bl w:val="nil"/>
                  </w:tcBorders>
                  <w:vAlign w:val="center"/>
                </w:tcPr>
                <w:p w14:paraId="4A95014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p>
              </w:tc>
              <w:tc>
                <w:tcPr>
                  <w:tcW w:w="848" w:type="dxa"/>
                  <w:vMerge w:val="continue"/>
                  <w:tcBorders>
                    <w:tl2br w:val="nil"/>
                    <w:tr2bl w:val="nil"/>
                  </w:tcBorders>
                  <w:vAlign w:val="center"/>
                </w:tcPr>
                <w:p w14:paraId="7185CD9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p>
              </w:tc>
              <w:tc>
                <w:tcPr>
                  <w:tcW w:w="955" w:type="dxa"/>
                  <w:vMerge w:val="continue"/>
                  <w:tcBorders>
                    <w:tl2br w:val="nil"/>
                    <w:tr2bl w:val="nil"/>
                  </w:tcBorders>
                  <w:vAlign w:val="center"/>
                </w:tcPr>
                <w:p w14:paraId="197FD8F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p>
              </w:tc>
              <w:tc>
                <w:tcPr>
                  <w:tcW w:w="876" w:type="dxa"/>
                  <w:vMerge w:val="continue"/>
                  <w:tcBorders>
                    <w:tl2br w:val="nil"/>
                    <w:tr2bl w:val="nil"/>
                  </w:tcBorders>
                  <w:vAlign w:val="center"/>
                </w:tcPr>
                <w:p w14:paraId="05253B4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p>
              </w:tc>
              <w:tc>
                <w:tcPr>
                  <w:tcW w:w="785" w:type="dxa"/>
                  <w:vMerge w:val="continue"/>
                  <w:tcBorders>
                    <w:tl2br w:val="nil"/>
                    <w:tr2bl w:val="nil"/>
                  </w:tcBorders>
                  <w:vAlign w:val="center"/>
                </w:tcPr>
                <w:p w14:paraId="531533E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p>
              </w:tc>
            </w:tr>
          </w:tbl>
          <w:p w14:paraId="1C3101F8">
            <w:pPr>
              <w:pStyle w:val="37"/>
              <w:numPr>
                <w:ilvl w:val="0"/>
                <w:numId w:val="0"/>
              </w:numPr>
              <w:adjustRightInd w:val="0"/>
              <w:snapToGrid w:val="0"/>
              <w:spacing w:line="360" w:lineRule="auto"/>
              <w:ind w:left="420" w:leftChars="0"/>
              <w:rPr>
                <w:rFonts w:hint="eastAsia" w:ascii="Times New Roman" w:hAnsi="Times New Roman" w:cs="Times New Roman"/>
                <w:b w:val="0"/>
                <w:bCs/>
                <w:kern w:val="2"/>
                <w:sz w:val="24"/>
                <w:szCs w:val="24"/>
                <w:lang w:val="en-US" w:eastAsia="zh-CN" w:bidi="ar-SA"/>
              </w:rPr>
            </w:pPr>
            <w:r>
              <w:rPr>
                <w:rFonts w:hint="eastAsia" w:ascii="Times New Roman" w:hAnsi="Times New Roman" w:cs="Times New Roman"/>
                <w:b w:val="0"/>
                <w:bCs/>
                <w:kern w:val="2"/>
                <w:sz w:val="24"/>
                <w:szCs w:val="24"/>
                <w:lang w:val="en-US" w:eastAsia="zh-CN" w:bidi="ar-SA"/>
              </w:rPr>
              <w:t>③车辆运输扬尘</w:t>
            </w:r>
          </w:p>
          <w:p w14:paraId="460879DD">
            <w:pPr>
              <w:pStyle w:val="37"/>
              <w:adjustRightInd w:val="0"/>
              <w:snapToGrid w:val="0"/>
              <w:spacing w:line="360" w:lineRule="auto"/>
              <w:ind w:firstLine="480"/>
              <w:rPr>
                <w:rFonts w:cs="宋体"/>
                <w:bCs/>
                <w:color w:val="auto"/>
                <w:sz w:val="24"/>
                <w:lang w:bidi="ar"/>
              </w:rPr>
            </w:pPr>
            <w:r>
              <w:rPr>
                <w:rFonts w:hint="eastAsia" w:cs="宋体"/>
                <w:bCs/>
                <w:color w:val="auto"/>
                <w:sz w:val="24"/>
                <w:lang w:bidi="ar"/>
              </w:rPr>
              <w:t>本项目的原材料、成品均采用汽车运输，项目区汽车运输会产生一定的扬尘，汽车行驶</w:t>
            </w:r>
            <w:r>
              <w:rPr>
                <w:rFonts w:hint="eastAsia" w:cs="宋体"/>
                <w:bCs/>
                <w:color w:val="auto"/>
                <w:sz w:val="24"/>
                <w:lang w:eastAsia="zh-CN" w:bidi="ar"/>
              </w:rPr>
              <w:t>时</w:t>
            </w:r>
            <w:r>
              <w:rPr>
                <w:rFonts w:hint="eastAsia" w:cs="宋体"/>
                <w:bCs/>
                <w:color w:val="auto"/>
                <w:sz w:val="24"/>
                <w:lang w:bidi="ar"/>
              </w:rPr>
              <w:t>引起的路面扬尘与汽车速度、汽车质量及道路表面积扬尘量均</w:t>
            </w:r>
            <w:r>
              <w:rPr>
                <w:rFonts w:hint="eastAsia" w:cs="宋体"/>
                <w:bCs/>
                <w:color w:val="auto"/>
                <w:sz w:val="24"/>
                <w:lang w:eastAsia="zh-CN" w:bidi="ar"/>
              </w:rPr>
              <w:t>成正比</w:t>
            </w:r>
            <w:r>
              <w:rPr>
                <w:rFonts w:hint="eastAsia" w:cs="宋体"/>
                <w:bCs/>
                <w:color w:val="auto"/>
                <w:sz w:val="24"/>
                <w:lang w:bidi="ar"/>
              </w:rPr>
              <w:t>，其汽车扬尘量预测经验公式为：</w:t>
            </w:r>
          </w:p>
          <w:p w14:paraId="24307DBC">
            <w:pPr>
              <w:adjustRightInd w:val="0"/>
              <w:snapToGrid w:val="0"/>
              <w:spacing w:line="360" w:lineRule="auto"/>
              <w:jc w:val="center"/>
              <w:rPr>
                <w:rFonts w:ascii="Times New Roman" w:hAnsi="Times New Roman" w:cs="宋体"/>
                <w:bCs/>
                <w:color w:val="auto"/>
                <w:sz w:val="24"/>
                <w:lang w:bidi="ar"/>
              </w:rPr>
            </w:pPr>
            <w:r>
              <w:rPr>
                <w:rFonts w:ascii="Times New Roman" w:hAnsi="Times New Roman"/>
                <w:color w:val="auto"/>
                <w:szCs w:val="21"/>
              </w:rPr>
              <w:drawing>
                <wp:inline distT="0" distB="0" distL="0" distR="0">
                  <wp:extent cx="2148840" cy="757555"/>
                  <wp:effectExtent l="0" t="0" r="3810" b="4445"/>
                  <wp:docPr id="8" name="图片 38" descr="1629884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 descr="162988426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48840" cy="757555"/>
                          </a:xfrm>
                          <a:prstGeom prst="rect">
                            <a:avLst/>
                          </a:prstGeom>
                          <a:noFill/>
                          <a:ln>
                            <a:noFill/>
                          </a:ln>
                        </pic:spPr>
                      </pic:pic>
                    </a:graphicData>
                  </a:graphic>
                </wp:inline>
              </w:drawing>
            </w:r>
          </w:p>
          <w:p w14:paraId="2942A358">
            <w:pPr>
              <w:pStyle w:val="37"/>
              <w:adjustRightInd w:val="0"/>
              <w:snapToGrid w:val="0"/>
              <w:spacing w:line="360" w:lineRule="auto"/>
              <w:ind w:firstLine="480"/>
              <w:rPr>
                <w:rFonts w:hint="default" w:ascii="Times New Roman" w:hAnsi="Times New Roman" w:cs="Times New Roman"/>
                <w:bCs/>
                <w:color w:val="auto"/>
                <w:sz w:val="24"/>
                <w:lang w:bidi="ar"/>
              </w:rPr>
            </w:pPr>
            <w:r>
              <w:rPr>
                <w:rFonts w:hint="eastAsia" w:cs="宋体"/>
                <w:bCs/>
                <w:color w:val="auto"/>
                <w:sz w:val="24"/>
                <w:lang w:bidi="ar"/>
              </w:rPr>
              <w:t>式中：</w:t>
            </w:r>
            <w:r>
              <w:rPr>
                <w:rFonts w:hint="default" w:ascii="Times New Roman" w:hAnsi="Times New Roman" w:cs="Times New Roman"/>
                <w:bCs/>
                <w:color w:val="auto"/>
                <w:sz w:val="24"/>
                <w:lang w:bidi="ar"/>
              </w:rPr>
              <w:t>Q</w:t>
            </w:r>
            <w:r>
              <w:rPr>
                <w:rFonts w:hint="default" w:ascii="Times New Roman" w:hAnsi="Times New Roman" w:cs="Times New Roman"/>
                <w:bCs/>
                <w:color w:val="auto"/>
                <w:sz w:val="24"/>
                <w:vertAlign w:val="subscript"/>
                <w:lang w:bidi="ar"/>
              </w:rPr>
              <w:t>y</w:t>
            </w:r>
            <w:r>
              <w:rPr>
                <w:rFonts w:hint="default" w:ascii="Times New Roman" w:hAnsi="Times New Roman" w:cs="Times New Roman"/>
                <w:bCs/>
                <w:color w:val="auto"/>
                <w:sz w:val="24"/>
                <w:lang w:bidi="ar"/>
              </w:rPr>
              <w:t>—每辆汽车行驶扬尘量，kg/km·辆；</w:t>
            </w:r>
          </w:p>
          <w:p w14:paraId="649F5DFE">
            <w:pPr>
              <w:pStyle w:val="37"/>
              <w:adjustRightInd w:val="0"/>
              <w:snapToGrid w:val="0"/>
              <w:spacing w:line="360" w:lineRule="auto"/>
              <w:ind w:firstLine="1200" w:firstLineChars="5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Q</w:t>
            </w:r>
            <w:r>
              <w:rPr>
                <w:rFonts w:hint="default" w:ascii="Times New Roman" w:hAnsi="Times New Roman" w:cs="Times New Roman"/>
                <w:bCs/>
                <w:color w:val="auto"/>
                <w:sz w:val="24"/>
                <w:vertAlign w:val="subscript"/>
                <w:lang w:bidi="ar"/>
              </w:rPr>
              <w:t>t</w:t>
            </w:r>
            <w:r>
              <w:rPr>
                <w:rFonts w:hint="default" w:ascii="Times New Roman" w:hAnsi="Times New Roman" w:cs="Times New Roman"/>
                <w:bCs/>
                <w:color w:val="auto"/>
                <w:sz w:val="24"/>
                <w:lang w:bidi="ar"/>
              </w:rPr>
              <w:t>—运输途中起尘量，kg/a；</w:t>
            </w:r>
          </w:p>
          <w:p w14:paraId="4CE79FFC">
            <w:pPr>
              <w:pStyle w:val="37"/>
              <w:adjustRightInd w:val="0"/>
              <w:snapToGrid w:val="0"/>
              <w:spacing w:line="360" w:lineRule="auto"/>
              <w:ind w:firstLine="1200" w:firstLineChars="5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V—汽车行驶速度（km/h），本项目取15km/h；</w:t>
            </w:r>
          </w:p>
          <w:p w14:paraId="3C12FF4E">
            <w:pPr>
              <w:pStyle w:val="37"/>
              <w:adjustRightInd w:val="0"/>
              <w:snapToGrid w:val="0"/>
              <w:spacing w:line="360" w:lineRule="auto"/>
              <w:ind w:firstLine="1200" w:firstLineChars="5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M—汽车载重量（t），取25t；</w:t>
            </w:r>
          </w:p>
          <w:p w14:paraId="5AD23195">
            <w:pPr>
              <w:pStyle w:val="37"/>
              <w:adjustRightInd w:val="0"/>
              <w:snapToGrid w:val="0"/>
              <w:spacing w:line="360" w:lineRule="auto"/>
              <w:ind w:firstLine="1200" w:firstLineChars="5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P—道路表面扬尘量（kg/m</w:t>
            </w:r>
            <w:r>
              <w:rPr>
                <w:rFonts w:hint="default" w:ascii="Times New Roman" w:hAnsi="Times New Roman" w:cs="Times New Roman"/>
                <w:bCs/>
                <w:color w:val="auto"/>
                <w:sz w:val="24"/>
                <w:vertAlign w:val="superscript"/>
                <w:lang w:bidi="ar"/>
              </w:rPr>
              <w:t>2</w:t>
            </w:r>
            <w:r>
              <w:rPr>
                <w:rFonts w:hint="default" w:ascii="Times New Roman" w:hAnsi="Times New Roman" w:cs="Times New Roman"/>
                <w:bCs/>
                <w:color w:val="auto"/>
                <w:sz w:val="24"/>
                <w:lang w:bidi="ar"/>
              </w:rPr>
              <w:t>），取0.1kg/m</w:t>
            </w:r>
            <w:r>
              <w:rPr>
                <w:rFonts w:hint="default" w:ascii="Times New Roman" w:hAnsi="Times New Roman" w:cs="Times New Roman"/>
                <w:bCs/>
                <w:color w:val="auto"/>
                <w:sz w:val="24"/>
                <w:vertAlign w:val="superscript"/>
                <w:lang w:bidi="ar"/>
              </w:rPr>
              <w:t>2</w:t>
            </w:r>
            <w:r>
              <w:rPr>
                <w:rFonts w:hint="default" w:ascii="Times New Roman" w:hAnsi="Times New Roman" w:cs="Times New Roman"/>
                <w:bCs/>
                <w:color w:val="auto"/>
                <w:sz w:val="24"/>
                <w:lang w:bidi="ar"/>
              </w:rPr>
              <w:t>；</w:t>
            </w:r>
          </w:p>
          <w:p w14:paraId="408EC9F0">
            <w:pPr>
              <w:pStyle w:val="37"/>
              <w:adjustRightInd w:val="0"/>
              <w:snapToGrid w:val="0"/>
              <w:spacing w:line="360" w:lineRule="auto"/>
              <w:ind w:firstLine="1200" w:firstLineChars="5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L—运输距离（km），取0.1km；</w:t>
            </w:r>
          </w:p>
          <w:p w14:paraId="521CDA17">
            <w:pPr>
              <w:pStyle w:val="37"/>
              <w:adjustRightInd w:val="0"/>
              <w:snapToGrid w:val="0"/>
              <w:spacing w:line="360" w:lineRule="auto"/>
              <w:ind w:firstLine="1200" w:firstLineChars="5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Q—运输量，t/a，本项目原料和产品共计</w:t>
            </w:r>
            <w:r>
              <w:rPr>
                <w:rFonts w:hint="eastAsia" w:ascii="Times New Roman" w:hAnsi="Times New Roman" w:cs="Times New Roman"/>
                <w:bCs/>
                <w:color w:val="auto"/>
                <w:sz w:val="24"/>
                <w:lang w:val="en-US" w:eastAsia="zh-CN" w:bidi="ar"/>
              </w:rPr>
              <w:t>9946</w:t>
            </w:r>
            <w:r>
              <w:rPr>
                <w:rFonts w:hint="default" w:ascii="Times New Roman" w:hAnsi="Times New Roman" w:cs="Times New Roman"/>
                <w:bCs/>
                <w:color w:val="auto"/>
                <w:sz w:val="24"/>
                <w:lang w:bidi="ar"/>
              </w:rPr>
              <w:t>t/a。</w:t>
            </w:r>
          </w:p>
          <w:p w14:paraId="2D59E385">
            <w:pPr>
              <w:adjustRightInd w:val="0"/>
              <w:spacing w:line="360" w:lineRule="auto"/>
              <w:ind w:firstLine="480"/>
              <w:rPr>
                <w:rFonts w:hint="eastAsia" w:ascii="Times New Roman" w:hAnsi="Times New Roman"/>
                <w:color w:val="auto"/>
                <w:sz w:val="24"/>
              </w:rPr>
            </w:pPr>
            <w:r>
              <w:rPr>
                <w:rFonts w:ascii="Times New Roman" w:hAnsi="Times New Roman"/>
                <w:color w:val="auto"/>
                <w:sz w:val="24"/>
              </w:rPr>
              <w:t>经计算，在不采取措施的情况下，汽车行驶时扬尘量为0.</w:t>
            </w:r>
            <w:r>
              <w:rPr>
                <w:rFonts w:hint="eastAsia" w:ascii="Times New Roman" w:hAnsi="Times New Roman"/>
                <w:color w:val="auto"/>
                <w:sz w:val="24"/>
              </w:rPr>
              <w:t>35</w:t>
            </w:r>
            <w:r>
              <w:rPr>
                <w:rFonts w:ascii="Times New Roman" w:hAnsi="Times New Roman"/>
                <w:color w:val="auto"/>
                <w:sz w:val="24"/>
              </w:rPr>
              <w:t>kg/km·辆，则项目车辆运输起尘量约为0.</w:t>
            </w:r>
            <w:r>
              <w:rPr>
                <w:rFonts w:hint="eastAsia" w:ascii="Times New Roman" w:hAnsi="Times New Roman"/>
                <w:color w:val="auto"/>
                <w:sz w:val="24"/>
                <w:lang w:val="en-US" w:eastAsia="zh-CN"/>
              </w:rPr>
              <w:t>014</w:t>
            </w:r>
            <w:r>
              <w:rPr>
                <w:rFonts w:ascii="Times New Roman" w:hAnsi="Times New Roman"/>
                <w:color w:val="auto"/>
                <w:sz w:val="24"/>
              </w:rPr>
              <w:t>t/a。</w:t>
            </w:r>
            <w:r>
              <w:rPr>
                <w:rFonts w:hint="eastAsia" w:ascii="Times New Roman" w:hAnsi="Times New Roman"/>
                <w:color w:val="auto"/>
                <w:sz w:val="24"/>
              </w:rPr>
              <w:t>项目采取道路硬化</w:t>
            </w:r>
            <w:r>
              <w:rPr>
                <w:rFonts w:hint="eastAsia" w:ascii="Times New Roman" w:hAnsi="Times New Roman"/>
                <w:color w:val="auto"/>
                <w:sz w:val="24"/>
                <w:lang w:val="en-US" w:eastAsia="zh-CN"/>
              </w:rPr>
              <w:t>并洒水</w:t>
            </w:r>
            <w:r>
              <w:rPr>
                <w:rFonts w:hint="eastAsia" w:ascii="Times New Roman" w:hAnsi="Times New Roman"/>
                <w:color w:val="auto"/>
                <w:sz w:val="24"/>
              </w:rPr>
              <w:t>、厂区内减速慢行、车辆运输物料用篷布遮盖等措施，可使运输车辆扬尘得到有效控制，抑尘效率约80%，则扬尘排放量为0.0</w:t>
            </w:r>
            <w:r>
              <w:rPr>
                <w:rFonts w:hint="eastAsia" w:ascii="Times New Roman" w:hAnsi="Times New Roman"/>
                <w:color w:val="auto"/>
                <w:sz w:val="24"/>
                <w:lang w:val="en-US" w:eastAsia="zh-CN"/>
              </w:rPr>
              <w:t>028</w:t>
            </w:r>
            <w:r>
              <w:rPr>
                <w:rFonts w:hint="eastAsia" w:ascii="Times New Roman" w:hAnsi="Times New Roman"/>
                <w:color w:val="auto"/>
                <w:sz w:val="24"/>
              </w:rPr>
              <w:t>t/a</w:t>
            </w:r>
            <w:r>
              <w:rPr>
                <w:rFonts w:hint="eastAsia" w:ascii="Times New Roman" w:hAnsi="Times New Roman" w:eastAsia="宋体" w:cs="宋体"/>
                <w:bCs/>
                <w:color w:val="auto"/>
                <w:kern w:val="2"/>
                <w:sz w:val="24"/>
                <w:szCs w:val="22"/>
                <w:lang w:val="en-US" w:eastAsia="zh-CN" w:bidi="ar-SA"/>
              </w:rPr>
              <w:t>（产生速率为</w:t>
            </w:r>
            <w:r>
              <w:rPr>
                <w:rFonts w:hint="eastAsia" w:ascii="Times New Roman" w:hAnsi="Times New Roman" w:cs="宋体"/>
                <w:bCs/>
                <w:color w:val="auto"/>
                <w:kern w:val="2"/>
                <w:sz w:val="24"/>
                <w:szCs w:val="22"/>
                <w:lang w:val="en-US" w:eastAsia="zh-CN" w:bidi="ar-SA"/>
              </w:rPr>
              <w:t>0.012</w:t>
            </w:r>
            <w:r>
              <w:rPr>
                <w:rFonts w:hint="eastAsia" w:ascii="Times New Roman" w:hAnsi="Times New Roman" w:eastAsia="宋体" w:cs="宋体"/>
                <w:bCs/>
                <w:color w:val="auto"/>
                <w:kern w:val="2"/>
                <w:sz w:val="24"/>
                <w:szCs w:val="22"/>
                <w:lang w:val="en-US" w:eastAsia="zh-CN" w:bidi="ar-SA"/>
              </w:rPr>
              <w:t>kg/h）</w:t>
            </w:r>
            <w:r>
              <w:rPr>
                <w:rFonts w:hint="eastAsia" w:ascii="Times New Roman" w:hAnsi="Times New Roman" w:cs="宋体"/>
                <w:bCs/>
                <w:color w:val="auto"/>
                <w:kern w:val="2"/>
                <w:sz w:val="24"/>
                <w:szCs w:val="22"/>
                <w:lang w:val="en-US" w:eastAsia="zh-CN" w:bidi="ar-SA"/>
              </w:rPr>
              <w:t>。</w:t>
            </w:r>
          </w:p>
          <w:p w14:paraId="7AD32602">
            <w:pPr>
              <w:adjustRightInd w:val="0"/>
              <w:spacing w:line="360" w:lineRule="auto"/>
              <w:ind w:firstLine="480"/>
              <w:rPr>
                <w:rFonts w:hint="eastAsia" w:ascii="Times New Roman" w:hAnsi="Times New Roman"/>
                <w:color w:val="auto"/>
                <w:sz w:val="24"/>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3</w:t>
            </w:r>
            <w:r>
              <w:rPr>
                <w:rFonts w:hint="eastAsia" w:ascii="Times New Roman" w:hAnsi="Times New Roman"/>
                <w:color w:val="auto"/>
                <w:sz w:val="24"/>
                <w:lang w:eastAsia="zh-CN"/>
              </w:rPr>
              <w:t>）</w:t>
            </w:r>
            <w:r>
              <w:rPr>
                <w:rFonts w:hint="eastAsia" w:ascii="Times New Roman" w:hAnsi="Times New Roman"/>
                <w:color w:val="auto"/>
                <w:sz w:val="24"/>
              </w:rPr>
              <w:t>非正常工况废气排放量核算</w:t>
            </w:r>
          </w:p>
          <w:p w14:paraId="200AE820">
            <w:pPr>
              <w:adjustRightInd w:val="0"/>
              <w:spacing w:line="360" w:lineRule="auto"/>
              <w:ind w:firstLine="480"/>
              <w:rPr>
                <w:rFonts w:hint="eastAsia" w:ascii="Times New Roman" w:hAnsi="Times New Roman"/>
                <w:color w:val="auto"/>
                <w:sz w:val="24"/>
              </w:rPr>
            </w:pPr>
            <w:r>
              <w:rPr>
                <w:rFonts w:hint="eastAsia" w:ascii="Times New Roman" w:hAnsi="Times New Roman"/>
                <w:color w:val="auto"/>
                <w:sz w:val="24"/>
              </w:rPr>
              <w:t>根据项目污染物源强及治理措施情况，非正常工况主要考虑废气处理装置发生故障，效率以50%计，类比同类项目年发生频次小于1次/年，单次持续时间以30min计，非正常排放量核算见</w:t>
            </w:r>
            <w:r>
              <w:rPr>
                <w:rFonts w:hint="eastAsia" w:ascii="Times New Roman" w:hAnsi="Times New Roman"/>
                <w:color w:val="auto"/>
                <w:sz w:val="24"/>
              </w:rPr>
              <w:fldChar w:fldCharType="begin"/>
            </w:r>
            <w:r>
              <w:rPr>
                <w:rFonts w:hint="eastAsia" w:ascii="Times New Roman" w:hAnsi="Times New Roman"/>
                <w:color w:val="auto"/>
                <w:sz w:val="24"/>
              </w:rPr>
              <w:instrText xml:space="preserve"> HYPERLINK \l "_bookmark159" </w:instrText>
            </w:r>
            <w:r>
              <w:rPr>
                <w:rFonts w:hint="eastAsia" w:ascii="Times New Roman" w:hAnsi="Times New Roman"/>
                <w:color w:val="auto"/>
                <w:sz w:val="24"/>
              </w:rPr>
              <w:fldChar w:fldCharType="separate"/>
            </w:r>
            <w:r>
              <w:rPr>
                <w:rFonts w:hint="eastAsia" w:ascii="Times New Roman" w:hAnsi="Times New Roman"/>
                <w:color w:val="auto"/>
                <w:sz w:val="24"/>
              </w:rPr>
              <w:t>表</w:t>
            </w:r>
            <w:r>
              <w:rPr>
                <w:rFonts w:hint="eastAsia" w:ascii="Times New Roman" w:hAnsi="Times New Roman"/>
                <w:color w:val="auto"/>
                <w:sz w:val="24"/>
              </w:rPr>
              <w:fldChar w:fldCharType="end"/>
            </w:r>
            <w:r>
              <w:rPr>
                <w:rFonts w:hint="eastAsia" w:ascii="Times New Roman" w:hAnsi="Times New Roman"/>
                <w:color w:val="auto"/>
                <w:sz w:val="24"/>
              </w:rPr>
              <w:fldChar w:fldCharType="begin"/>
            </w:r>
            <w:r>
              <w:rPr>
                <w:rFonts w:hint="eastAsia" w:ascii="Times New Roman" w:hAnsi="Times New Roman"/>
                <w:color w:val="auto"/>
                <w:sz w:val="24"/>
              </w:rPr>
              <w:instrText xml:space="preserve"> HYPERLINK \l "_bookmark159" </w:instrText>
            </w:r>
            <w:r>
              <w:rPr>
                <w:rFonts w:hint="eastAsia" w:ascii="Times New Roman" w:hAnsi="Times New Roman"/>
                <w:color w:val="auto"/>
                <w:sz w:val="24"/>
              </w:rPr>
              <w:fldChar w:fldCharType="separate"/>
            </w:r>
            <w:r>
              <w:rPr>
                <w:rFonts w:hint="eastAsia" w:ascii="Times New Roman" w:hAnsi="Times New Roman"/>
                <w:color w:val="auto"/>
                <w:sz w:val="24"/>
              </w:rPr>
              <w:t>4-</w:t>
            </w:r>
            <w:r>
              <w:rPr>
                <w:rFonts w:hint="eastAsia" w:ascii="Times New Roman" w:hAnsi="Times New Roman"/>
                <w:color w:val="auto"/>
                <w:sz w:val="24"/>
                <w:lang w:val="en-US" w:eastAsia="zh-CN"/>
              </w:rPr>
              <w:t>2</w:t>
            </w:r>
            <w:r>
              <w:rPr>
                <w:rFonts w:hint="eastAsia" w:ascii="Times New Roman" w:hAnsi="Times New Roman"/>
                <w:color w:val="auto"/>
                <w:sz w:val="24"/>
              </w:rPr>
              <w:fldChar w:fldCharType="end"/>
            </w:r>
            <w:r>
              <w:rPr>
                <w:rFonts w:hint="eastAsia" w:ascii="Times New Roman" w:hAnsi="Times New Roman"/>
                <w:color w:val="auto"/>
                <w:sz w:val="24"/>
              </w:rPr>
              <w:t>。拟采取的防范措施如下：</w:t>
            </w:r>
          </w:p>
          <w:p w14:paraId="4AEDE9B1">
            <w:pPr>
              <w:adjustRightInd w:val="0"/>
              <w:spacing w:line="360" w:lineRule="auto"/>
              <w:ind w:firstLine="480"/>
              <w:rPr>
                <w:rFonts w:hint="eastAsia" w:ascii="Times New Roman" w:hAnsi="Times New Roman"/>
                <w:color w:val="auto"/>
                <w:sz w:val="24"/>
              </w:rPr>
            </w:pPr>
            <w:r>
              <w:rPr>
                <w:rFonts w:hint="eastAsia" w:ascii="Times New Roman" w:hAnsi="Times New Roman"/>
                <w:color w:val="auto"/>
                <w:sz w:val="24"/>
              </w:rPr>
              <w:t>①平时注意废气处理设施的维护，及时检查废气处理装置的有效性和设备的运行情况，确保废气处理系统正常运行；开、停、检修要有预案，有严密周全的计划，降低非正常排放几率，或使影响最小。</w:t>
            </w:r>
          </w:p>
          <w:p w14:paraId="6191AC33">
            <w:pPr>
              <w:adjustRightInd w:val="0"/>
              <w:spacing w:line="360" w:lineRule="auto"/>
              <w:ind w:firstLine="480"/>
              <w:rPr>
                <w:rFonts w:hint="eastAsia" w:ascii="Times New Roman" w:hAnsi="Times New Roman" w:eastAsia="宋体"/>
                <w:color w:val="auto"/>
                <w:sz w:val="24"/>
                <w:lang w:eastAsia="zh-CN"/>
              </w:rPr>
            </w:pPr>
            <w:r>
              <w:rPr>
                <w:rFonts w:hint="eastAsia" w:ascii="Times New Roman" w:hAnsi="Times New Roman"/>
                <w:color w:val="auto"/>
                <w:sz w:val="24"/>
              </w:rPr>
              <w:t>②应设有备用电源和备用处理设备和零件，如果非正常排放超标，应停产检修</w:t>
            </w:r>
            <w:r>
              <w:rPr>
                <w:rFonts w:hint="eastAsia" w:ascii="Times New Roman" w:hAnsi="Times New Roman"/>
                <w:color w:val="auto"/>
                <w:sz w:val="24"/>
                <w:lang w:eastAsia="zh-CN"/>
              </w:rPr>
              <w:t>。</w:t>
            </w:r>
          </w:p>
          <w:p w14:paraId="015719DC">
            <w:pPr>
              <w:adjustRightInd w:val="0"/>
              <w:spacing w:line="360" w:lineRule="auto"/>
              <w:ind w:firstLine="480"/>
              <w:rPr>
                <w:rFonts w:hint="eastAsia" w:ascii="Times New Roman" w:hAnsi="Times New Roman"/>
                <w:color w:val="auto"/>
                <w:sz w:val="24"/>
              </w:rPr>
            </w:pPr>
            <w:r>
              <w:rPr>
                <w:rFonts w:hint="eastAsia" w:ascii="Times New Roman" w:hAnsi="Times New Roman"/>
                <w:color w:val="auto"/>
                <w:sz w:val="24"/>
              </w:rPr>
              <w:t>③对员工进行岗位培训。做好值班记录，实行岗位责任制。</w:t>
            </w:r>
          </w:p>
          <w:p w14:paraId="3521B6ED">
            <w:pPr>
              <w:adjustRightInd w:val="0"/>
              <w:snapToGrid w:val="0"/>
              <w:ind w:firstLine="422" w:firstLineChars="200"/>
              <w:jc w:val="center"/>
              <w:rPr>
                <w:rFonts w:hint="default" w:ascii="Times New Roman" w:hAnsi="Times New Roman" w:cs="Times New Roman"/>
                <w:b/>
                <w:szCs w:val="21"/>
              </w:rPr>
            </w:pPr>
            <w:r>
              <w:rPr>
                <w:rFonts w:hint="default" w:ascii="Times New Roman" w:hAnsi="Times New Roman" w:cs="Times New Roman"/>
                <w:b/>
                <w:szCs w:val="21"/>
              </w:rPr>
              <w:t>表4</w:t>
            </w:r>
            <w:r>
              <w:rPr>
                <w:rFonts w:hint="eastAsia" w:ascii="Times New Roman" w:hAnsi="Times New Roman" w:cs="Times New Roman"/>
                <w:b/>
                <w:szCs w:val="21"/>
                <w:lang w:val="en-US" w:eastAsia="zh-CN"/>
              </w:rPr>
              <w:t>-2</w:t>
            </w:r>
            <w:r>
              <w:rPr>
                <w:rFonts w:hint="default" w:ascii="Times New Roman" w:hAnsi="Times New Roman" w:cs="Times New Roman"/>
                <w:b/>
                <w:szCs w:val="21"/>
                <w:lang w:val="en-US" w:eastAsia="zh-CN"/>
              </w:rPr>
              <w:t xml:space="preserve">  </w:t>
            </w:r>
            <w:r>
              <w:rPr>
                <w:rFonts w:hint="default" w:ascii="Times New Roman" w:hAnsi="Times New Roman" w:cs="Times New Roman"/>
                <w:b/>
                <w:szCs w:val="21"/>
              </w:rPr>
              <w:t>污染源非正常排放量核算表</w:t>
            </w:r>
          </w:p>
          <w:tbl>
            <w:tblPr>
              <w:tblStyle w:val="24"/>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535"/>
              <w:gridCol w:w="837"/>
              <w:gridCol w:w="1279"/>
              <w:gridCol w:w="876"/>
              <w:gridCol w:w="1022"/>
              <w:gridCol w:w="1081"/>
              <w:gridCol w:w="970"/>
              <w:gridCol w:w="886"/>
            </w:tblGrid>
            <w:tr w14:paraId="622C4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895" w:hRule="atLeast"/>
                <w:jc w:val="center"/>
              </w:trPr>
              <w:tc>
                <w:tcPr>
                  <w:tcW w:w="357" w:type="pct"/>
                  <w:tcBorders>
                    <w:tl2br w:val="nil"/>
                    <w:tr2bl w:val="nil"/>
                  </w:tcBorders>
                  <w:vAlign w:val="center"/>
                </w:tcPr>
                <w:p w14:paraId="09A6E68A">
                  <w:pPr>
                    <w:jc w:val="center"/>
                    <w:rPr>
                      <w:rFonts w:hint="default" w:ascii="Times New Roman" w:hAnsi="Times New Roman" w:cs="Times New Roman"/>
                      <w:b/>
                      <w:szCs w:val="21"/>
                    </w:rPr>
                  </w:pPr>
                  <w:r>
                    <w:rPr>
                      <w:rFonts w:hint="default" w:ascii="Times New Roman" w:hAnsi="Times New Roman" w:cs="Times New Roman"/>
                      <w:b/>
                      <w:szCs w:val="21"/>
                    </w:rPr>
                    <w:t>编号</w:t>
                  </w:r>
                </w:p>
              </w:tc>
              <w:tc>
                <w:tcPr>
                  <w:tcW w:w="559" w:type="pct"/>
                  <w:tcBorders>
                    <w:tl2br w:val="nil"/>
                    <w:tr2bl w:val="nil"/>
                  </w:tcBorders>
                  <w:vAlign w:val="center"/>
                </w:tcPr>
                <w:p w14:paraId="71151F38">
                  <w:pPr>
                    <w:jc w:val="center"/>
                    <w:rPr>
                      <w:rFonts w:hint="default" w:ascii="Times New Roman" w:hAnsi="Times New Roman" w:cs="Times New Roman"/>
                      <w:b/>
                      <w:szCs w:val="21"/>
                    </w:rPr>
                  </w:pPr>
                  <w:r>
                    <w:rPr>
                      <w:rFonts w:hint="default" w:ascii="Times New Roman" w:hAnsi="Times New Roman" w:cs="Times New Roman"/>
                      <w:b/>
                      <w:szCs w:val="21"/>
                    </w:rPr>
                    <w:t>非正常</w:t>
                  </w:r>
                </w:p>
                <w:p w14:paraId="11EB703F">
                  <w:pPr>
                    <w:jc w:val="center"/>
                    <w:rPr>
                      <w:rFonts w:hint="default" w:ascii="Times New Roman" w:hAnsi="Times New Roman" w:cs="Times New Roman"/>
                      <w:b/>
                      <w:szCs w:val="21"/>
                    </w:rPr>
                  </w:pPr>
                  <w:r>
                    <w:rPr>
                      <w:rFonts w:hint="default" w:ascii="Times New Roman" w:hAnsi="Times New Roman" w:cs="Times New Roman"/>
                      <w:b/>
                      <w:szCs w:val="21"/>
                    </w:rPr>
                    <w:t>排放源</w:t>
                  </w:r>
                </w:p>
              </w:tc>
              <w:tc>
                <w:tcPr>
                  <w:tcW w:w="854" w:type="pct"/>
                  <w:tcBorders>
                    <w:tl2br w:val="nil"/>
                    <w:tr2bl w:val="nil"/>
                  </w:tcBorders>
                  <w:vAlign w:val="center"/>
                </w:tcPr>
                <w:p w14:paraId="7EEC516B">
                  <w:pPr>
                    <w:jc w:val="center"/>
                    <w:rPr>
                      <w:rFonts w:hint="default" w:ascii="Times New Roman" w:hAnsi="Times New Roman" w:cs="Times New Roman"/>
                      <w:b/>
                      <w:szCs w:val="21"/>
                    </w:rPr>
                  </w:pPr>
                  <w:r>
                    <w:rPr>
                      <w:rFonts w:hint="default" w:ascii="Times New Roman" w:hAnsi="Times New Roman" w:cs="Times New Roman"/>
                      <w:b/>
                      <w:szCs w:val="21"/>
                    </w:rPr>
                    <w:t>非正常</w:t>
                  </w:r>
                </w:p>
                <w:p w14:paraId="5142DD19">
                  <w:pPr>
                    <w:jc w:val="center"/>
                    <w:rPr>
                      <w:rFonts w:hint="default" w:ascii="Times New Roman" w:hAnsi="Times New Roman" w:cs="Times New Roman"/>
                      <w:b/>
                      <w:szCs w:val="21"/>
                    </w:rPr>
                  </w:pPr>
                  <w:r>
                    <w:rPr>
                      <w:rFonts w:hint="default" w:ascii="Times New Roman" w:hAnsi="Times New Roman" w:cs="Times New Roman"/>
                      <w:b/>
                      <w:szCs w:val="21"/>
                    </w:rPr>
                    <w:t>排放原因</w:t>
                  </w:r>
                </w:p>
              </w:tc>
              <w:tc>
                <w:tcPr>
                  <w:tcW w:w="585" w:type="pct"/>
                  <w:tcBorders>
                    <w:tl2br w:val="nil"/>
                    <w:tr2bl w:val="nil"/>
                  </w:tcBorders>
                  <w:vAlign w:val="center"/>
                </w:tcPr>
                <w:p w14:paraId="7CEE0C5D">
                  <w:pPr>
                    <w:jc w:val="center"/>
                    <w:rPr>
                      <w:rFonts w:hint="default" w:ascii="Times New Roman" w:hAnsi="Times New Roman" w:cs="Times New Roman"/>
                      <w:b/>
                      <w:szCs w:val="21"/>
                    </w:rPr>
                  </w:pPr>
                  <w:r>
                    <w:rPr>
                      <w:rFonts w:hint="default" w:ascii="Times New Roman" w:hAnsi="Times New Roman" w:cs="Times New Roman"/>
                      <w:b/>
                      <w:szCs w:val="21"/>
                    </w:rPr>
                    <w:t>污染物</w:t>
                  </w:r>
                </w:p>
              </w:tc>
              <w:tc>
                <w:tcPr>
                  <w:tcW w:w="682" w:type="pct"/>
                  <w:tcBorders>
                    <w:tl2br w:val="nil"/>
                    <w:tr2bl w:val="nil"/>
                  </w:tcBorders>
                  <w:vAlign w:val="center"/>
                </w:tcPr>
                <w:p w14:paraId="54339CC9">
                  <w:pPr>
                    <w:jc w:val="center"/>
                    <w:rPr>
                      <w:rFonts w:hint="default" w:ascii="Times New Roman" w:hAnsi="Times New Roman" w:cs="Times New Roman"/>
                      <w:b/>
                      <w:szCs w:val="21"/>
                    </w:rPr>
                  </w:pPr>
                  <w:r>
                    <w:rPr>
                      <w:rFonts w:hint="default" w:ascii="Times New Roman" w:hAnsi="Times New Roman" w:cs="Times New Roman"/>
                      <w:b/>
                      <w:szCs w:val="21"/>
                    </w:rPr>
                    <w:t>非正常排放</w:t>
                  </w:r>
                  <w:r>
                    <w:rPr>
                      <w:rFonts w:hint="eastAsia" w:ascii="Times New Roman" w:hAnsi="Times New Roman" w:cs="Times New Roman"/>
                      <w:b/>
                      <w:szCs w:val="21"/>
                      <w:lang w:val="en-US" w:eastAsia="zh-CN"/>
                    </w:rPr>
                    <w:t>浓度</w:t>
                  </w:r>
                  <w:r>
                    <w:rPr>
                      <w:rFonts w:hint="default" w:ascii="Times New Roman" w:hAnsi="Times New Roman" w:cs="Times New Roman"/>
                      <w:b/>
                      <w:szCs w:val="21"/>
                    </w:rPr>
                    <w:t>（mg/m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722" w:type="pct"/>
                  <w:tcBorders>
                    <w:tl2br w:val="nil"/>
                    <w:tr2bl w:val="nil"/>
                  </w:tcBorders>
                  <w:vAlign w:val="center"/>
                </w:tcPr>
                <w:p w14:paraId="05752CA8">
                  <w:pPr>
                    <w:jc w:val="center"/>
                    <w:rPr>
                      <w:rFonts w:hint="eastAsia" w:ascii="Times New Roman" w:hAnsi="Times New Roman" w:eastAsia="宋体" w:cs="Times New Roman"/>
                      <w:b/>
                      <w:szCs w:val="21"/>
                      <w:lang w:eastAsia="zh-CN"/>
                    </w:rPr>
                  </w:pPr>
                  <w:r>
                    <w:rPr>
                      <w:rFonts w:hint="default" w:ascii="Times New Roman" w:hAnsi="Times New Roman" w:cs="Times New Roman"/>
                      <w:b/>
                      <w:szCs w:val="21"/>
                    </w:rPr>
                    <w:t>非正常排放速率</w:t>
                  </w:r>
                  <w:r>
                    <w:rPr>
                      <w:rFonts w:hint="eastAsia" w:ascii="Times New Roman" w:hAnsi="Times New Roman" w:cs="Times New Roman"/>
                      <w:b/>
                      <w:szCs w:val="21"/>
                      <w:lang w:eastAsia="zh-CN"/>
                    </w:rPr>
                    <w:t>（</w:t>
                  </w:r>
                  <w:r>
                    <w:rPr>
                      <w:rFonts w:hint="default" w:ascii="Times New Roman" w:hAnsi="Times New Roman" w:cs="Times New Roman"/>
                      <w:b/>
                      <w:szCs w:val="21"/>
                    </w:rPr>
                    <w:t>kg/h</w:t>
                  </w:r>
                  <w:r>
                    <w:rPr>
                      <w:rFonts w:hint="eastAsia" w:ascii="Times New Roman" w:hAnsi="Times New Roman" w:cs="Times New Roman"/>
                      <w:b/>
                      <w:szCs w:val="21"/>
                      <w:lang w:eastAsia="zh-CN"/>
                    </w:rPr>
                    <w:t>）</w:t>
                  </w:r>
                </w:p>
              </w:tc>
              <w:tc>
                <w:tcPr>
                  <w:tcW w:w="647" w:type="pct"/>
                  <w:tcBorders>
                    <w:tl2br w:val="nil"/>
                    <w:tr2bl w:val="nil"/>
                  </w:tcBorders>
                  <w:vAlign w:val="center"/>
                </w:tcPr>
                <w:p w14:paraId="6735B292">
                  <w:pPr>
                    <w:jc w:val="center"/>
                    <w:rPr>
                      <w:rFonts w:hint="default" w:ascii="Times New Roman" w:hAnsi="Times New Roman" w:cs="Times New Roman"/>
                      <w:b/>
                      <w:szCs w:val="21"/>
                    </w:rPr>
                  </w:pPr>
                  <w:r>
                    <w:rPr>
                      <w:rFonts w:hint="default" w:ascii="Times New Roman" w:hAnsi="Times New Roman" w:cs="Times New Roman"/>
                      <w:b/>
                      <w:szCs w:val="21"/>
                    </w:rPr>
                    <w:t>单次持续</w:t>
                  </w:r>
                </w:p>
                <w:p w14:paraId="68210B3E">
                  <w:pPr>
                    <w:jc w:val="center"/>
                    <w:rPr>
                      <w:rFonts w:hint="default" w:ascii="Times New Roman" w:hAnsi="Times New Roman" w:cs="Times New Roman"/>
                      <w:b/>
                      <w:szCs w:val="21"/>
                    </w:rPr>
                  </w:pPr>
                  <w:r>
                    <w:rPr>
                      <w:rFonts w:hint="default" w:ascii="Times New Roman" w:hAnsi="Times New Roman" w:cs="Times New Roman"/>
                      <w:b/>
                      <w:szCs w:val="21"/>
                    </w:rPr>
                    <w:t>时间/h</w:t>
                  </w:r>
                </w:p>
              </w:tc>
              <w:tc>
                <w:tcPr>
                  <w:tcW w:w="591" w:type="pct"/>
                  <w:tcBorders>
                    <w:tl2br w:val="nil"/>
                    <w:tr2bl w:val="nil"/>
                  </w:tcBorders>
                  <w:vAlign w:val="center"/>
                </w:tcPr>
                <w:p w14:paraId="7475B031">
                  <w:pPr>
                    <w:jc w:val="center"/>
                    <w:rPr>
                      <w:rFonts w:hint="default" w:ascii="Times New Roman" w:hAnsi="Times New Roman" w:cs="Times New Roman"/>
                      <w:b/>
                      <w:szCs w:val="21"/>
                    </w:rPr>
                  </w:pPr>
                  <w:r>
                    <w:rPr>
                      <w:rFonts w:hint="default" w:ascii="Times New Roman" w:hAnsi="Times New Roman" w:cs="Times New Roman"/>
                      <w:b/>
                      <w:szCs w:val="21"/>
                    </w:rPr>
                    <w:t>年发生</w:t>
                  </w:r>
                </w:p>
                <w:p w14:paraId="5A5FD9DC">
                  <w:pPr>
                    <w:jc w:val="center"/>
                    <w:rPr>
                      <w:rFonts w:hint="default" w:ascii="Times New Roman" w:hAnsi="Times New Roman" w:cs="Times New Roman"/>
                      <w:b/>
                      <w:szCs w:val="21"/>
                    </w:rPr>
                  </w:pPr>
                  <w:r>
                    <w:rPr>
                      <w:rFonts w:hint="default" w:ascii="Times New Roman" w:hAnsi="Times New Roman" w:cs="Times New Roman"/>
                      <w:b/>
                      <w:szCs w:val="21"/>
                    </w:rPr>
                    <w:t>频次/次</w:t>
                  </w:r>
                </w:p>
              </w:tc>
            </w:tr>
            <w:tr w14:paraId="0E922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616" w:hRule="atLeast"/>
                <w:jc w:val="center"/>
              </w:trPr>
              <w:tc>
                <w:tcPr>
                  <w:tcW w:w="357" w:type="pct"/>
                  <w:tcBorders>
                    <w:tl2br w:val="nil"/>
                    <w:tr2bl w:val="nil"/>
                  </w:tcBorders>
                  <w:vAlign w:val="center"/>
                </w:tcPr>
                <w:p w14:paraId="564CF5F8">
                  <w:pPr>
                    <w:jc w:val="center"/>
                    <w:rPr>
                      <w:rFonts w:hint="default" w:ascii="Times New Roman" w:hAnsi="Times New Roman" w:cs="Times New Roman"/>
                      <w:szCs w:val="21"/>
                    </w:rPr>
                  </w:pPr>
                  <w:r>
                    <w:rPr>
                      <w:rFonts w:hint="default" w:ascii="Times New Roman" w:hAnsi="Times New Roman" w:cs="Times New Roman"/>
                      <w:szCs w:val="21"/>
                    </w:rPr>
                    <w:t>1</w:t>
                  </w:r>
                </w:p>
              </w:tc>
              <w:tc>
                <w:tcPr>
                  <w:tcW w:w="559" w:type="pct"/>
                  <w:tcBorders>
                    <w:tl2br w:val="nil"/>
                    <w:tr2bl w:val="nil"/>
                  </w:tcBorders>
                  <w:vAlign w:val="center"/>
                </w:tcPr>
                <w:p w14:paraId="383507AE">
                  <w:pPr>
                    <w:jc w:val="center"/>
                    <w:rPr>
                      <w:rFonts w:hint="default" w:ascii="Times New Roman" w:hAnsi="Times New Roman" w:cs="Times New Roman"/>
                      <w:szCs w:val="21"/>
                    </w:rPr>
                  </w:pPr>
                  <w:r>
                    <w:rPr>
                      <w:rFonts w:hint="default" w:ascii="Times New Roman" w:hAnsi="Times New Roman" w:cs="Times New Roman"/>
                      <w:bCs/>
                      <w:color w:val="auto"/>
                      <w:kern w:val="0"/>
                      <w:sz w:val="21"/>
                      <w:szCs w:val="21"/>
                    </w:rPr>
                    <w:t>DA00</w:t>
                  </w:r>
                  <w:r>
                    <w:rPr>
                      <w:rFonts w:hint="eastAsia" w:ascii="Times New Roman" w:hAnsi="Times New Roman" w:cs="Times New Roman"/>
                      <w:bCs/>
                      <w:color w:val="auto"/>
                      <w:kern w:val="0"/>
                      <w:sz w:val="21"/>
                      <w:szCs w:val="21"/>
                      <w:lang w:val="en-US" w:eastAsia="zh-CN"/>
                    </w:rPr>
                    <w:t>1</w:t>
                  </w:r>
                </w:p>
              </w:tc>
              <w:tc>
                <w:tcPr>
                  <w:tcW w:w="854" w:type="pct"/>
                  <w:tcBorders>
                    <w:tl2br w:val="nil"/>
                    <w:tr2bl w:val="nil"/>
                  </w:tcBorders>
                  <w:vAlign w:val="center"/>
                </w:tcPr>
                <w:p w14:paraId="6059DAB8">
                  <w:pPr>
                    <w:jc w:val="center"/>
                    <w:rPr>
                      <w:rFonts w:hint="default" w:ascii="Times New Roman" w:hAnsi="Times New Roman" w:cs="Times New Roman"/>
                      <w:szCs w:val="21"/>
                    </w:rPr>
                  </w:pPr>
                  <w:r>
                    <w:rPr>
                      <w:rFonts w:hint="default" w:ascii="Times New Roman" w:hAnsi="Times New Roman" w:cs="Times New Roman"/>
                      <w:szCs w:val="21"/>
                    </w:rPr>
                    <w:t>污染防治设施故障</w:t>
                  </w:r>
                </w:p>
              </w:tc>
              <w:tc>
                <w:tcPr>
                  <w:tcW w:w="585" w:type="pct"/>
                  <w:tcBorders>
                    <w:tl2br w:val="nil"/>
                    <w:tr2bl w:val="nil"/>
                  </w:tcBorders>
                  <w:vAlign w:val="center"/>
                </w:tcPr>
                <w:p w14:paraId="0110D9B0">
                  <w:pPr>
                    <w:jc w:val="center"/>
                    <w:rPr>
                      <w:rFonts w:hint="default" w:ascii="Times New Roman" w:hAnsi="Times New Roman" w:cs="Times New Roman"/>
                      <w:szCs w:val="21"/>
                    </w:rPr>
                  </w:pPr>
                  <w:r>
                    <w:rPr>
                      <w:rFonts w:hint="default" w:ascii="Times New Roman" w:hAnsi="Times New Roman" w:cs="Times New Roman"/>
                      <w:szCs w:val="21"/>
                    </w:rPr>
                    <w:t>颗粒物</w:t>
                  </w:r>
                </w:p>
              </w:tc>
              <w:tc>
                <w:tcPr>
                  <w:tcW w:w="682" w:type="pct"/>
                  <w:tcBorders>
                    <w:tl2br w:val="nil"/>
                    <w:tr2bl w:val="nil"/>
                  </w:tcBorders>
                  <w:vAlign w:val="center"/>
                </w:tcPr>
                <w:p w14:paraId="212773B2">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128</w:t>
                  </w:r>
                </w:p>
              </w:tc>
              <w:tc>
                <w:tcPr>
                  <w:tcW w:w="722" w:type="pct"/>
                  <w:tcBorders>
                    <w:tl2br w:val="nil"/>
                    <w:tr2bl w:val="nil"/>
                  </w:tcBorders>
                  <w:vAlign w:val="center"/>
                </w:tcPr>
                <w:p w14:paraId="6B51C475">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0.64</w:t>
                  </w:r>
                </w:p>
              </w:tc>
              <w:tc>
                <w:tcPr>
                  <w:tcW w:w="647" w:type="pct"/>
                  <w:tcBorders>
                    <w:tl2br w:val="nil"/>
                    <w:tr2bl w:val="nil"/>
                  </w:tcBorders>
                  <w:vAlign w:val="center"/>
                </w:tcPr>
                <w:p w14:paraId="39F26700">
                  <w:pPr>
                    <w:jc w:val="center"/>
                    <w:rPr>
                      <w:rFonts w:hint="default" w:ascii="Times New Roman" w:hAnsi="Times New Roman" w:cs="Times New Roman"/>
                      <w:szCs w:val="21"/>
                    </w:rPr>
                  </w:pPr>
                  <w:r>
                    <w:rPr>
                      <w:rFonts w:hint="default" w:ascii="Times New Roman" w:hAnsi="Times New Roman" w:cs="Times New Roman"/>
                      <w:szCs w:val="21"/>
                    </w:rPr>
                    <w:t>0.5</w:t>
                  </w:r>
                </w:p>
              </w:tc>
              <w:tc>
                <w:tcPr>
                  <w:tcW w:w="591" w:type="pct"/>
                  <w:tcBorders>
                    <w:tl2br w:val="nil"/>
                    <w:tr2bl w:val="nil"/>
                  </w:tcBorders>
                  <w:vAlign w:val="center"/>
                </w:tcPr>
                <w:p w14:paraId="385FF2CB">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1</w:t>
                  </w:r>
                </w:p>
              </w:tc>
            </w:tr>
          </w:tbl>
          <w:p w14:paraId="05B1D989">
            <w:pPr>
              <w:adjustRightInd w:val="0"/>
              <w:spacing w:line="360" w:lineRule="auto"/>
              <w:ind w:firstLine="480"/>
              <w:rPr>
                <w:rFonts w:hint="eastAsia" w:ascii="Times New Roman" w:hAnsi="Times New Roman"/>
                <w:color w:val="auto"/>
                <w:sz w:val="24"/>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4</w:t>
            </w:r>
            <w:r>
              <w:rPr>
                <w:rFonts w:hint="eastAsia" w:ascii="Times New Roman" w:hAnsi="Times New Roman"/>
                <w:color w:val="auto"/>
                <w:sz w:val="24"/>
                <w:lang w:eastAsia="zh-CN"/>
              </w:rPr>
              <w:t>）</w:t>
            </w:r>
            <w:r>
              <w:rPr>
                <w:rFonts w:hint="eastAsia" w:ascii="Times New Roman" w:hAnsi="Times New Roman"/>
                <w:color w:val="auto"/>
                <w:sz w:val="24"/>
              </w:rPr>
              <w:t>废气污染防治措施可行性及其影响分析</w:t>
            </w:r>
          </w:p>
          <w:p w14:paraId="7CF22272">
            <w:pPr>
              <w:adjustRightInd w:val="0"/>
              <w:spacing w:line="360" w:lineRule="auto"/>
              <w:ind w:firstLine="480"/>
              <w:rPr>
                <w:rFonts w:hint="eastAsia" w:ascii="Times New Roman" w:hAnsi="Times New Roman"/>
                <w:color w:val="auto"/>
                <w:sz w:val="24"/>
              </w:rPr>
            </w:pPr>
            <w:r>
              <w:rPr>
                <w:rFonts w:hint="eastAsia" w:ascii="Times New Roman" w:hAnsi="Times New Roman"/>
                <w:color w:val="auto"/>
                <w:sz w:val="24"/>
              </w:rPr>
              <w:t>本项目产生的颗粒物通过布袋除尘器处理后通过15米高</w:t>
            </w:r>
            <w:r>
              <w:rPr>
                <w:rFonts w:hint="default" w:ascii="Times New Roman" w:hAnsi="Times New Roman" w:cs="Times New Roman"/>
                <w:bCs/>
                <w:color w:val="auto"/>
                <w:kern w:val="0"/>
                <w:sz w:val="24"/>
                <w:szCs w:val="24"/>
              </w:rPr>
              <w:t>DA00</w:t>
            </w:r>
            <w:r>
              <w:rPr>
                <w:rFonts w:hint="eastAsia" w:ascii="Times New Roman" w:hAnsi="Times New Roman" w:cs="Times New Roman"/>
                <w:bCs/>
                <w:color w:val="auto"/>
                <w:kern w:val="0"/>
                <w:sz w:val="24"/>
                <w:szCs w:val="24"/>
                <w:lang w:val="en-US" w:eastAsia="zh-CN"/>
              </w:rPr>
              <w:t>1</w:t>
            </w:r>
            <w:r>
              <w:rPr>
                <w:rFonts w:hint="eastAsia" w:ascii="Times New Roman" w:hAnsi="Times New Roman"/>
                <w:color w:val="auto"/>
                <w:sz w:val="24"/>
              </w:rPr>
              <w:t>排气筒高空排放。参考《排污许可证申请与核发技术规范 水泥工业》（HJ847-2017），本项目所用废气处理工艺均属于可行技术，排污许可证相关可行技术见下表。</w:t>
            </w:r>
          </w:p>
          <w:p w14:paraId="014FB89C">
            <w:pPr>
              <w:adjustRightInd w:val="0"/>
              <w:snapToGrid w:val="0"/>
              <w:jc w:val="center"/>
              <w:rPr>
                <w:rFonts w:hint="default" w:ascii="Times New Roman" w:hAnsi="Times New Roman" w:cs="Times New Roman"/>
                <w:b/>
                <w:sz w:val="21"/>
                <w:szCs w:val="21"/>
              </w:rPr>
            </w:pPr>
            <w:r>
              <w:rPr>
                <w:rFonts w:hint="eastAsia" w:ascii="Times New Roman" w:hAnsi="Times New Roman" w:cs="Times New Roman"/>
                <w:b/>
                <w:sz w:val="21"/>
                <w:szCs w:val="21"/>
              </w:rPr>
              <w:t>表</w:t>
            </w:r>
            <w:r>
              <w:rPr>
                <w:rFonts w:hint="default" w:ascii="Times New Roman" w:hAnsi="Times New Roman" w:cs="Times New Roman"/>
                <w:b/>
                <w:sz w:val="21"/>
                <w:szCs w:val="21"/>
              </w:rPr>
              <w:t>4</w:t>
            </w:r>
            <w:r>
              <w:rPr>
                <w:rFonts w:hint="eastAsia" w:ascii="Times New Roman" w:hAnsi="Times New Roman" w:cs="Times New Roman"/>
                <w:b/>
                <w:sz w:val="21"/>
                <w:szCs w:val="21"/>
                <w:lang w:val="en-US" w:eastAsia="zh-CN"/>
              </w:rPr>
              <w:t>-3</w:t>
            </w:r>
            <w:r>
              <w:rPr>
                <w:rFonts w:hint="eastAsia" w:ascii="Times New Roman" w:hAnsi="Times New Roman" w:cs="Times New Roman"/>
                <w:b/>
                <w:sz w:val="21"/>
                <w:szCs w:val="21"/>
              </w:rPr>
              <w:t xml:space="preserve"> </w:t>
            </w:r>
            <w:r>
              <w:rPr>
                <w:rFonts w:hint="eastAsia" w:ascii="Times New Roman" w:hAnsi="Times New Roman" w:cs="Times New Roman"/>
                <w:b/>
                <w:sz w:val="21"/>
                <w:szCs w:val="21"/>
                <w:lang w:val="en-US" w:eastAsia="zh-CN"/>
              </w:rPr>
              <w:t xml:space="preserve"> </w:t>
            </w:r>
            <w:r>
              <w:rPr>
                <w:rFonts w:hint="eastAsia" w:ascii="Times New Roman" w:hAnsi="Times New Roman" w:cs="Times New Roman"/>
                <w:b/>
                <w:sz w:val="21"/>
                <w:szCs w:val="21"/>
              </w:rPr>
              <w:t>排污许可证可行技术一览表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1817"/>
              <w:gridCol w:w="1090"/>
              <w:gridCol w:w="1089"/>
              <w:gridCol w:w="1430"/>
              <w:gridCol w:w="1271"/>
              <w:gridCol w:w="799"/>
            </w:tblGrid>
            <w:tr w14:paraId="7501B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1212" w:type="pct"/>
                  <w:tcBorders>
                    <w:tl2br w:val="nil"/>
                    <w:tr2bl w:val="nil"/>
                  </w:tcBorders>
                  <w:vAlign w:val="center"/>
                </w:tcPr>
                <w:p w14:paraId="10874232">
                  <w:pPr>
                    <w:adjustRightInd w:val="0"/>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排污许可规范</w:t>
                  </w:r>
                </w:p>
              </w:tc>
              <w:tc>
                <w:tcPr>
                  <w:tcW w:w="727" w:type="pct"/>
                  <w:tcBorders>
                    <w:tl2br w:val="nil"/>
                    <w:tr2bl w:val="nil"/>
                  </w:tcBorders>
                  <w:vAlign w:val="center"/>
                </w:tcPr>
                <w:p w14:paraId="28BAF6F2">
                  <w:pPr>
                    <w:adjustRightInd w:val="0"/>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产排污环节</w:t>
                  </w:r>
                </w:p>
              </w:tc>
              <w:tc>
                <w:tcPr>
                  <w:tcW w:w="726" w:type="pct"/>
                  <w:tcBorders>
                    <w:tl2br w:val="nil"/>
                    <w:tr2bl w:val="nil"/>
                  </w:tcBorders>
                  <w:vAlign w:val="center"/>
                </w:tcPr>
                <w:p w14:paraId="78D6DEBC">
                  <w:pPr>
                    <w:adjustRightInd w:val="0"/>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污染物种类</w:t>
                  </w:r>
                </w:p>
              </w:tc>
              <w:tc>
                <w:tcPr>
                  <w:tcW w:w="954" w:type="pct"/>
                  <w:tcBorders>
                    <w:tl2br w:val="nil"/>
                    <w:tr2bl w:val="nil"/>
                  </w:tcBorders>
                  <w:vAlign w:val="center"/>
                </w:tcPr>
                <w:p w14:paraId="7438566B">
                  <w:pPr>
                    <w:adjustRightInd w:val="0"/>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可行技术</w:t>
                  </w:r>
                </w:p>
              </w:tc>
              <w:tc>
                <w:tcPr>
                  <w:tcW w:w="848" w:type="pct"/>
                  <w:tcBorders>
                    <w:tl2br w:val="nil"/>
                    <w:tr2bl w:val="nil"/>
                  </w:tcBorders>
                  <w:vAlign w:val="center"/>
                </w:tcPr>
                <w:p w14:paraId="02A9180D">
                  <w:pPr>
                    <w:adjustRightInd w:val="0"/>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本项目处理设施</w:t>
                  </w:r>
                </w:p>
              </w:tc>
              <w:tc>
                <w:tcPr>
                  <w:tcW w:w="533" w:type="pct"/>
                  <w:tcBorders>
                    <w:tl2br w:val="nil"/>
                    <w:tr2bl w:val="nil"/>
                  </w:tcBorders>
                  <w:vAlign w:val="center"/>
                </w:tcPr>
                <w:p w14:paraId="55B0810C">
                  <w:pPr>
                    <w:adjustRightInd w:val="0"/>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是否属于可行技术</w:t>
                  </w:r>
                </w:p>
              </w:tc>
            </w:tr>
            <w:tr w14:paraId="096B7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630" w:hRule="atLeast"/>
                <w:jc w:val="center"/>
              </w:trPr>
              <w:tc>
                <w:tcPr>
                  <w:tcW w:w="1212" w:type="pct"/>
                  <w:tcBorders>
                    <w:tl2br w:val="nil"/>
                    <w:tr2bl w:val="nil"/>
                  </w:tcBorders>
                  <w:vAlign w:val="center"/>
                </w:tcPr>
                <w:p w14:paraId="43F52A61">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《排污许可证申请与核发技术规范 水泥工业》（HJ847-2017）</w:t>
                  </w:r>
                </w:p>
              </w:tc>
              <w:tc>
                <w:tcPr>
                  <w:tcW w:w="727" w:type="pct"/>
                  <w:tcBorders>
                    <w:tl2br w:val="nil"/>
                    <w:tr2bl w:val="nil"/>
                  </w:tcBorders>
                  <w:vAlign w:val="center"/>
                </w:tcPr>
                <w:p w14:paraId="10DAEB5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料仓、</w:t>
                  </w:r>
                  <w:r>
                    <w:rPr>
                      <w:rFonts w:hint="eastAsia" w:ascii="Times New Roman" w:hAnsi="Times New Roman" w:cs="Times New Roman"/>
                      <w:sz w:val="21"/>
                      <w:szCs w:val="21"/>
                      <w:lang w:val="en-US" w:eastAsia="zh-CN"/>
                    </w:rPr>
                    <w:t>搅拌及包装</w:t>
                  </w:r>
                </w:p>
              </w:tc>
              <w:tc>
                <w:tcPr>
                  <w:tcW w:w="726" w:type="pct"/>
                  <w:tcBorders>
                    <w:tl2br w:val="nil"/>
                    <w:tr2bl w:val="nil"/>
                  </w:tcBorders>
                  <w:vAlign w:val="center"/>
                </w:tcPr>
                <w:p w14:paraId="077039C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954" w:type="pct"/>
                  <w:tcBorders>
                    <w:tl2br w:val="nil"/>
                    <w:tr2bl w:val="nil"/>
                  </w:tcBorders>
                  <w:vAlign w:val="center"/>
                </w:tcPr>
                <w:p w14:paraId="03A1530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袋式除尘器</w:t>
                  </w:r>
                </w:p>
              </w:tc>
              <w:tc>
                <w:tcPr>
                  <w:tcW w:w="848" w:type="pct"/>
                  <w:tcBorders>
                    <w:tl2br w:val="nil"/>
                    <w:tr2bl w:val="nil"/>
                  </w:tcBorders>
                  <w:vAlign w:val="center"/>
                </w:tcPr>
                <w:p w14:paraId="6DEDB95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布袋除尘</w:t>
                  </w:r>
                </w:p>
              </w:tc>
              <w:tc>
                <w:tcPr>
                  <w:tcW w:w="533" w:type="pct"/>
                  <w:tcBorders>
                    <w:tl2br w:val="nil"/>
                    <w:tr2bl w:val="nil"/>
                  </w:tcBorders>
                  <w:vAlign w:val="center"/>
                </w:tcPr>
                <w:p w14:paraId="09C96F45">
                  <w:pPr>
                    <w:jc w:val="center"/>
                    <w:rPr>
                      <w:rFonts w:hint="default" w:ascii="Times New Roman" w:hAnsi="Times New Roman" w:cs="Times New Roman"/>
                      <w:sz w:val="21"/>
                      <w:szCs w:val="21"/>
                    </w:rPr>
                  </w:pPr>
                  <w:r>
                    <w:rPr>
                      <w:rFonts w:hint="default" w:ascii="Times New Roman" w:hAnsi="Times New Roman" w:cs="Times New Roman"/>
                      <w:sz w:val="21"/>
                      <w:szCs w:val="21"/>
                    </w:rPr>
                    <w:t>是</w:t>
                  </w:r>
                </w:p>
              </w:tc>
            </w:tr>
          </w:tbl>
          <w:p w14:paraId="6EB05298">
            <w:pPr>
              <w:adjustRightInd w:val="0"/>
              <w:spacing w:line="360" w:lineRule="auto"/>
              <w:ind w:firstLine="480"/>
              <w:rPr>
                <w:rFonts w:hint="eastAsia" w:ascii="Times New Roman" w:hAnsi="Times New Roman"/>
                <w:color w:val="auto"/>
                <w:sz w:val="24"/>
              </w:rPr>
            </w:pPr>
            <w:r>
              <w:rPr>
                <w:rFonts w:hint="eastAsia" w:ascii="Times New Roman" w:hAnsi="Times New Roman"/>
                <w:color w:val="auto"/>
                <w:sz w:val="24"/>
              </w:rPr>
              <w:t>项目所在地环境质量状况良好，生产车间50m范围内无环境保护目标。采取的污控措施具有针对性，预计对外环境及周边敏感目标的负面影响很低，可以接受。</w:t>
            </w:r>
          </w:p>
          <w:p w14:paraId="275FC8C7">
            <w:pPr>
              <w:numPr>
                <w:ilvl w:val="0"/>
                <w:numId w:val="0"/>
              </w:numPr>
              <w:adjustRightInd w:val="0"/>
              <w:spacing w:line="360" w:lineRule="auto"/>
              <w:ind w:firstLine="480" w:firstLineChars="200"/>
              <w:rPr>
                <w:rFonts w:hint="eastAsia" w:ascii="Times New Roman" w:hAnsi="Times New Roman"/>
                <w:color w:val="auto"/>
                <w:sz w:val="24"/>
                <w:lang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5</w:t>
            </w:r>
            <w:r>
              <w:rPr>
                <w:rFonts w:hint="eastAsia" w:ascii="Times New Roman" w:hAnsi="Times New Roman"/>
                <w:color w:val="auto"/>
                <w:sz w:val="24"/>
                <w:lang w:eastAsia="zh-CN"/>
              </w:rPr>
              <w:t>）自行监测计划</w:t>
            </w:r>
          </w:p>
          <w:p w14:paraId="4CA76867">
            <w:pPr>
              <w:numPr>
                <w:ilvl w:val="0"/>
                <w:numId w:val="0"/>
              </w:numPr>
              <w:adjustRightInd w:val="0"/>
              <w:spacing w:line="360" w:lineRule="auto"/>
              <w:ind w:firstLine="480" w:firstLineChars="200"/>
              <w:rPr>
                <w:rFonts w:ascii="Times New Roman" w:hAnsi="Times New Roman" w:cs="宋体"/>
                <w:bCs/>
                <w:color w:val="auto"/>
                <w:sz w:val="24"/>
              </w:rPr>
            </w:pPr>
            <w:r>
              <w:rPr>
                <w:rFonts w:hint="eastAsia" w:ascii="Times New Roman" w:hAnsi="Times New Roman" w:cs="宋体"/>
                <w:bCs/>
                <w:color w:val="auto"/>
                <w:sz w:val="24"/>
              </w:rPr>
              <w:t>根据《排污单位自行监测技术指南 总则》（HJ819-2017）和《排污单位自行监测技术指南 水泥工业》（HJ848-2017），建设单位结合自身条件和能力，利用自有人员、场所和设备自行监测；也可委托其他有资质的检（监）测机构代其开展自行监测，所有监测方法与分析方法采用现行国家或行业的有关标准或规范进行。本项目建成后废气污染源监测计划详见表4-</w:t>
            </w:r>
            <w:r>
              <w:rPr>
                <w:rFonts w:hint="eastAsia" w:ascii="Times New Roman" w:hAnsi="Times New Roman" w:cs="宋体"/>
                <w:bCs/>
                <w:color w:val="auto"/>
                <w:sz w:val="24"/>
                <w:lang w:val="en-US" w:eastAsia="zh-CN"/>
              </w:rPr>
              <w:t>4</w:t>
            </w:r>
            <w:r>
              <w:rPr>
                <w:rFonts w:hint="eastAsia" w:ascii="Times New Roman" w:hAnsi="Times New Roman" w:cs="宋体"/>
                <w:bCs/>
                <w:color w:val="auto"/>
                <w:sz w:val="24"/>
              </w:rPr>
              <w:t>。</w:t>
            </w:r>
          </w:p>
          <w:p w14:paraId="0F90689D">
            <w:pPr>
              <w:adjustRightInd w:val="0"/>
              <w:snapToGrid w:val="0"/>
              <w:spacing w:line="240" w:lineRule="auto"/>
              <w:jc w:val="center"/>
              <w:rPr>
                <w:rFonts w:ascii="Times New Roman" w:hAnsi="Times New Roman" w:cs="宋体"/>
                <w:b/>
                <w:bCs/>
                <w:color w:val="auto"/>
                <w:szCs w:val="21"/>
              </w:rPr>
            </w:pPr>
            <w:r>
              <w:rPr>
                <w:rFonts w:hint="eastAsia" w:ascii="Times New Roman" w:hAnsi="Times New Roman" w:cs="宋体"/>
                <w:b/>
                <w:bCs/>
                <w:color w:val="auto"/>
                <w:szCs w:val="21"/>
              </w:rPr>
              <w:t>表4-</w:t>
            </w:r>
            <w:r>
              <w:rPr>
                <w:rFonts w:hint="eastAsia" w:ascii="Times New Roman" w:hAnsi="Times New Roman" w:cs="宋体"/>
                <w:b/>
                <w:bCs/>
                <w:color w:val="auto"/>
                <w:szCs w:val="21"/>
                <w:lang w:val="en-US" w:eastAsia="zh-CN"/>
              </w:rPr>
              <w:t>4</w:t>
            </w:r>
            <w:r>
              <w:rPr>
                <w:rFonts w:hint="eastAsia" w:ascii="Times New Roman" w:hAnsi="Times New Roman" w:cs="宋体"/>
                <w:b/>
                <w:bCs/>
                <w:color w:val="auto"/>
                <w:szCs w:val="21"/>
              </w:rPr>
              <w:t xml:space="preserve">  项目废气污染源监测计划</w:t>
            </w:r>
          </w:p>
          <w:tbl>
            <w:tblPr>
              <w:tblStyle w:val="24"/>
              <w:tblW w:w="74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073"/>
              <w:gridCol w:w="1673"/>
              <w:gridCol w:w="1287"/>
              <w:gridCol w:w="2536"/>
            </w:tblGrid>
            <w:tr w14:paraId="51FB7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0" w:hRule="atLeast"/>
              </w:trPr>
              <w:tc>
                <w:tcPr>
                  <w:tcW w:w="929" w:type="dxa"/>
                  <w:shd w:val="clear" w:color="auto" w:fill="auto"/>
                  <w:vAlign w:val="center"/>
                </w:tcPr>
                <w:p w14:paraId="1B4E5123">
                  <w:pPr>
                    <w:adjustRightInd w:val="0"/>
                    <w:snapToGrid w:val="0"/>
                    <w:spacing w:line="240" w:lineRule="auto"/>
                    <w:jc w:val="center"/>
                    <w:rPr>
                      <w:rFonts w:cs="宋体"/>
                      <w:b/>
                      <w:bCs/>
                      <w:color w:val="auto"/>
                      <w:szCs w:val="21"/>
                    </w:rPr>
                  </w:pPr>
                  <w:r>
                    <w:rPr>
                      <w:rFonts w:hint="eastAsia" w:ascii="Times New Roman" w:hAnsi="Times New Roman" w:cs="宋体"/>
                      <w:b/>
                      <w:bCs/>
                      <w:color w:val="auto"/>
                      <w:szCs w:val="21"/>
                    </w:rPr>
                    <w:t>类型</w:t>
                  </w:r>
                </w:p>
              </w:tc>
              <w:tc>
                <w:tcPr>
                  <w:tcW w:w="1073" w:type="dxa"/>
                  <w:shd w:val="clear" w:color="auto" w:fill="auto"/>
                  <w:vAlign w:val="center"/>
                </w:tcPr>
                <w:p w14:paraId="283A4946">
                  <w:pPr>
                    <w:adjustRightInd w:val="0"/>
                    <w:snapToGrid w:val="0"/>
                    <w:spacing w:line="240" w:lineRule="auto"/>
                    <w:jc w:val="center"/>
                    <w:rPr>
                      <w:rFonts w:cs="宋体"/>
                      <w:b/>
                      <w:bCs/>
                      <w:color w:val="auto"/>
                      <w:szCs w:val="21"/>
                    </w:rPr>
                  </w:pPr>
                  <w:r>
                    <w:rPr>
                      <w:rFonts w:hint="eastAsia" w:ascii="Times New Roman" w:hAnsi="Times New Roman" w:cs="宋体"/>
                      <w:b/>
                      <w:bCs/>
                      <w:color w:val="auto"/>
                      <w:szCs w:val="21"/>
                    </w:rPr>
                    <w:t>监测因子</w:t>
                  </w:r>
                </w:p>
              </w:tc>
              <w:tc>
                <w:tcPr>
                  <w:tcW w:w="1673" w:type="dxa"/>
                  <w:shd w:val="clear" w:color="auto" w:fill="auto"/>
                  <w:vAlign w:val="center"/>
                </w:tcPr>
                <w:p w14:paraId="0AC4BBF5">
                  <w:pPr>
                    <w:adjustRightInd w:val="0"/>
                    <w:snapToGrid w:val="0"/>
                    <w:spacing w:line="240" w:lineRule="auto"/>
                    <w:jc w:val="center"/>
                    <w:rPr>
                      <w:rFonts w:cs="宋体"/>
                      <w:b/>
                      <w:bCs/>
                      <w:color w:val="auto"/>
                      <w:szCs w:val="21"/>
                    </w:rPr>
                  </w:pPr>
                  <w:r>
                    <w:rPr>
                      <w:rFonts w:hint="eastAsia" w:ascii="Times New Roman" w:hAnsi="Times New Roman" w:cs="宋体"/>
                      <w:b/>
                      <w:bCs/>
                      <w:color w:val="auto"/>
                      <w:szCs w:val="21"/>
                    </w:rPr>
                    <w:t>监测点位</w:t>
                  </w:r>
                </w:p>
              </w:tc>
              <w:tc>
                <w:tcPr>
                  <w:tcW w:w="1287" w:type="dxa"/>
                  <w:shd w:val="clear" w:color="auto" w:fill="auto"/>
                  <w:vAlign w:val="center"/>
                </w:tcPr>
                <w:p w14:paraId="5F6266FA">
                  <w:pPr>
                    <w:adjustRightInd w:val="0"/>
                    <w:snapToGrid w:val="0"/>
                    <w:spacing w:line="240" w:lineRule="auto"/>
                    <w:jc w:val="center"/>
                    <w:rPr>
                      <w:rFonts w:cs="宋体"/>
                      <w:b/>
                      <w:bCs/>
                      <w:color w:val="auto"/>
                      <w:szCs w:val="21"/>
                    </w:rPr>
                  </w:pPr>
                  <w:r>
                    <w:rPr>
                      <w:rFonts w:hint="eastAsia" w:ascii="Times New Roman" w:hAnsi="Times New Roman" w:cs="宋体"/>
                      <w:b/>
                      <w:bCs/>
                      <w:color w:val="auto"/>
                      <w:szCs w:val="21"/>
                    </w:rPr>
                    <w:t>监测频次</w:t>
                  </w:r>
                </w:p>
              </w:tc>
              <w:tc>
                <w:tcPr>
                  <w:tcW w:w="2536" w:type="dxa"/>
                  <w:shd w:val="clear" w:color="auto" w:fill="auto"/>
                  <w:vAlign w:val="center"/>
                </w:tcPr>
                <w:p w14:paraId="5B78BCA8">
                  <w:pPr>
                    <w:adjustRightInd w:val="0"/>
                    <w:snapToGrid w:val="0"/>
                    <w:spacing w:line="240" w:lineRule="auto"/>
                    <w:jc w:val="center"/>
                    <w:rPr>
                      <w:rFonts w:cs="宋体"/>
                      <w:b/>
                      <w:bCs/>
                      <w:color w:val="auto"/>
                      <w:szCs w:val="21"/>
                    </w:rPr>
                  </w:pPr>
                  <w:r>
                    <w:rPr>
                      <w:rFonts w:hint="eastAsia" w:ascii="Times New Roman" w:hAnsi="Times New Roman" w:cs="宋体"/>
                      <w:b/>
                      <w:bCs/>
                      <w:color w:val="auto"/>
                      <w:szCs w:val="21"/>
                    </w:rPr>
                    <w:t>执行标准</w:t>
                  </w:r>
                </w:p>
              </w:tc>
            </w:tr>
            <w:tr w14:paraId="06330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29" w:type="dxa"/>
                  <w:shd w:val="clear" w:color="auto" w:fill="auto"/>
                  <w:vAlign w:val="center"/>
                </w:tcPr>
                <w:p w14:paraId="7BB5DEAD">
                  <w:pPr>
                    <w:adjustRightInd w:val="0"/>
                    <w:snapToGrid w:val="0"/>
                    <w:spacing w:line="240" w:lineRule="auto"/>
                    <w:jc w:val="center"/>
                    <w:rPr>
                      <w:rFonts w:cs="宋体"/>
                      <w:bCs/>
                      <w:color w:val="auto"/>
                      <w:szCs w:val="21"/>
                    </w:rPr>
                  </w:pPr>
                  <w:r>
                    <w:rPr>
                      <w:rFonts w:hint="eastAsia" w:ascii="Times New Roman" w:hAnsi="Times New Roman" w:cs="宋体"/>
                      <w:bCs/>
                      <w:color w:val="auto"/>
                      <w:szCs w:val="21"/>
                    </w:rPr>
                    <w:t>有组织废气</w:t>
                  </w:r>
                </w:p>
              </w:tc>
              <w:tc>
                <w:tcPr>
                  <w:tcW w:w="1073" w:type="dxa"/>
                  <w:shd w:val="clear" w:color="auto" w:fill="auto"/>
                  <w:vAlign w:val="center"/>
                </w:tcPr>
                <w:p w14:paraId="17C6BCBD">
                  <w:pPr>
                    <w:adjustRightInd w:val="0"/>
                    <w:snapToGrid w:val="0"/>
                    <w:spacing w:line="240" w:lineRule="auto"/>
                    <w:jc w:val="center"/>
                    <w:rPr>
                      <w:rFonts w:cs="宋体"/>
                      <w:bCs/>
                      <w:color w:val="auto"/>
                      <w:szCs w:val="21"/>
                    </w:rPr>
                  </w:pPr>
                  <w:r>
                    <w:rPr>
                      <w:rFonts w:hint="eastAsia" w:ascii="Times New Roman" w:hAnsi="Times New Roman" w:cs="宋体"/>
                      <w:bCs/>
                      <w:color w:val="auto"/>
                      <w:szCs w:val="21"/>
                    </w:rPr>
                    <w:t>颗粒物</w:t>
                  </w:r>
                </w:p>
              </w:tc>
              <w:tc>
                <w:tcPr>
                  <w:tcW w:w="1673" w:type="dxa"/>
                  <w:shd w:val="clear" w:color="auto" w:fill="auto"/>
                  <w:vAlign w:val="center"/>
                </w:tcPr>
                <w:p w14:paraId="511C2135">
                  <w:pPr>
                    <w:adjustRightInd w:val="0"/>
                    <w:snapToGrid w:val="0"/>
                    <w:spacing w:line="240" w:lineRule="auto"/>
                    <w:jc w:val="center"/>
                    <w:rPr>
                      <w:rFonts w:hint="eastAsia" w:eastAsia="宋体" w:cs="宋体"/>
                      <w:bCs/>
                      <w:color w:val="auto"/>
                      <w:szCs w:val="21"/>
                      <w:lang w:eastAsia="zh-CN"/>
                    </w:rPr>
                  </w:pPr>
                  <w:r>
                    <w:rPr>
                      <w:rFonts w:hint="eastAsia" w:ascii="Times New Roman" w:hAnsi="Times New Roman" w:cs="宋体"/>
                      <w:bCs/>
                      <w:color w:val="auto"/>
                      <w:szCs w:val="21"/>
                      <w:lang w:val="en-US" w:eastAsia="zh-CN"/>
                    </w:rPr>
                    <w:t>DA001</w:t>
                  </w:r>
                </w:p>
              </w:tc>
              <w:tc>
                <w:tcPr>
                  <w:tcW w:w="1287" w:type="dxa"/>
                  <w:shd w:val="clear" w:color="auto" w:fill="auto"/>
                  <w:vAlign w:val="center"/>
                </w:tcPr>
                <w:p w14:paraId="1BB96777">
                  <w:pPr>
                    <w:adjustRightInd w:val="0"/>
                    <w:snapToGrid w:val="0"/>
                    <w:spacing w:line="240" w:lineRule="auto"/>
                    <w:jc w:val="center"/>
                    <w:rPr>
                      <w:rFonts w:cs="宋体"/>
                      <w:bCs/>
                      <w:color w:val="auto"/>
                      <w:szCs w:val="21"/>
                    </w:rPr>
                  </w:pPr>
                  <w:r>
                    <w:rPr>
                      <w:rFonts w:hint="eastAsia" w:ascii="Times New Roman" w:hAnsi="Times New Roman" w:cs="宋体"/>
                      <w:bCs/>
                      <w:color w:val="auto"/>
                      <w:szCs w:val="21"/>
                    </w:rPr>
                    <w:t>1次/两年</w:t>
                  </w:r>
                </w:p>
              </w:tc>
              <w:tc>
                <w:tcPr>
                  <w:tcW w:w="2536" w:type="dxa"/>
                  <w:shd w:val="clear" w:color="auto" w:fill="auto"/>
                  <w:vAlign w:val="center"/>
                </w:tcPr>
                <w:p w14:paraId="562B1E80">
                  <w:pPr>
                    <w:spacing w:line="240" w:lineRule="auto"/>
                    <w:jc w:val="center"/>
                    <w:rPr>
                      <w:color w:val="auto"/>
                    </w:rPr>
                  </w:pPr>
                  <w:r>
                    <w:rPr>
                      <w:rFonts w:hint="eastAsia" w:ascii="Times New Roman" w:hAnsi="Times New Roman"/>
                      <w:color w:val="auto"/>
                    </w:rPr>
                    <w:t>《关中地区重点行业大气污染物排放限值》（DB61/941-2018）表1中水泥仓及其他通风生产设备颗粒物排放浓度限值</w:t>
                  </w:r>
                </w:p>
              </w:tc>
            </w:tr>
            <w:tr w14:paraId="61A2D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29" w:type="dxa"/>
                  <w:shd w:val="clear" w:color="auto" w:fill="auto"/>
                  <w:vAlign w:val="center"/>
                </w:tcPr>
                <w:p w14:paraId="2AD53C91">
                  <w:pPr>
                    <w:adjustRightInd w:val="0"/>
                    <w:snapToGrid w:val="0"/>
                    <w:spacing w:line="240" w:lineRule="auto"/>
                    <w:jc w:val="center"/>
                    <w:rPr>
                      <w:rFonts w:cs="宋体"/>
                      <w:bCs/>
                      <w:color w:val="auto"/>
                      <w:szCs w:val="21"/>
                    </w:rPr>
                  </w:pPr>
                  <w:r>
                    <w:rPr>
                      <w:rFonts w:hint="eastAsia" w:ascii="Times New Roman" w:hAnsi="Times New Roman" w:cs="宋体"/>
                      <w:bCs/>
                      <w:color w:val="auto"/>
                      <w:szCs w:val="21"/>
                    </w:rPr>
                    <w:t>无组织废气</w:t>
                  </w:r>
                </w:p>
              </w:tc>
              <w:tc>
                <w:tcPr>
                  <w:tcW w:w="1073" w:type="dxa"/>
                  <w:shd w:val="clear" w:color="auto" w:fill="auto"/>
                  <w:vAlign w:val="center"/>
                </w:tcPr>
                <w:p w14:paraId="4A279717">
                  <w:pPr>
                    <w:adjustRightInd w:val="0"/>
                    <w:snapToGrid w:val="0"/>
                    <w:spacing w:line="240" w:lineRule="auto"/>
                    <w:jc w:val="center"/>
                    <w:rPr>
                      <w:rFonts w:cs="宋体"/>
                      <w:bCs/>
                      <w:color w:val="auto"/>
                      <w:szCs w:val="21"/>
                    </w:rPr>
                  </w:pPr>
                  <w:r>
                    <w:rPr>
                      <w:rFonts w:hint="eastAsia" w:ascii="Times New Roman" w:hAnsi="Times New Roman" w:cs="宋体"/>
                      <w:bCs/>
                      <w:color w:val="auto"/>
                      <w:szCs w:val="21"/>
                    </w:rPr>
                    <w:t>颗粒物</w:t>
                  </w:r>
                </w:p>
              </w:tc>
              <w:tc>
                <w:tcPr>
                  <w:tcW w:w="1673" w:type="dxa"/>
                  <w:shd w:val="clear" w:color="auto" w:fill="auto"/>
                  <w:vAlign w:val="center"/>
                </w:tcPr>
                <w:p w14:paraId="680ACE6C">
                  <w:pPr>
                    <w:adjustRightInd w:val="0"/>
                    <w:snapToGrid w:val="0"/>
                    <w:spacing w:line="240" w:lineRule="auto"/>
                    <w:jc w:val="center"/>
                    <w:rPr>
                      <w:rFonts w:cs="宋体"/>
                      <w:bCs/>
                      <w:color w:val="auto"/>
                      <w:szCs w:val="21"/>
                    </w:rPr>
                  </w:pPr>
                  <w:r>
                    <w:rPr>
                      <w:rFonts w:hint="eastAsia" w:ascii="Times New Roman" w:hAnsi="Times New Roman" w:cs="宋体"/>
                      <w:bCs/>
                      <w:color w:val="auto"/>
                      <w:szCs w:val="21"/>
                    </w:rPr>
                    <w:t>厂界（上风向布设1个参照点，下风向布设3个监控点）</w:t>
                  </w:r>
                </w:p>
              </w:tc>
              <w:tc>
                <w:tcPr>
                  <w:tcW w:w="1287" w:type="dxa"/>
                  <w:shd w:val="clear" w:color="auto" w:fill="auto"/>
                  <w:vAlign w:val="center"/>
                </w:tcPr>
                <w:p w14:paraId="5F1D7A43">
                  <w:pPr>
                    <w:adjustRightInd w:val="0"/>
                    <w:snapToGrid w:val="0"/>
                    <w:spacing w:line="240" w:lineRule="auto"/>
                    <w:jc w:val="center"/>
                    <w:rPr>
                      <w:rFonts w:cs="宋体"/>
                      <w:bCs/>
                      <w:color w:val="auto"/>
                      <w:szCs w:val="21"/>
                    </w:rPr>
                  </w:pPr>
                  <w:r>
                    <w:rPr>
                      <w:rFonts w:hint="eastAsia" w:ascii="Times New Roman" w:hAnsi="Times New Roman" w:cs="宋体"/>
                      <w:bCs/>
                      <w:color w:val="auto"/>
                      <w:szCs w:val="21"/>
                    </w:rPr>
                    <w:t>1次/每季度</w:t>
                  </w:r>
                </w:p>
              </w:tc>
              <w:tc>
                <w:tcPr>
                  <w:tcW w:w="2536" w:type="dxa"/>
                  <w:shd w:val="clear" w:color="auto" w:fill="auto"/>
                  <w:vAlign w:val="center"/>
                </w:tcPr>
                <w:p w14:paraId="463E3BD1">
                  <w:pPr>
                    <w:spacing w:line="240" w:lineRule="auto"/>
                    <w:jc w:val="center"/>
                    <w:rPr>
                      <w:color w:val="auto"/>
                    </w:rPr>
                  </w:pPr>
                  <w:r>
                    <w:rPr>
                      <w:rFonts w:hint="eastAsia" w:ascii="Times New Roman" w:hAnsi="Times New Roman"/>
                      <w:color w:val="auto"/>
                    </w:rPr>
                    <w:t>《水泥工业大气污染物排放标准》（GB4915-2013）中无组织排放限值</w:t>
                  </w:r>
                </w:p>
              </w:tc>
            </w:tr>
          </w:tbl>
          <w:p w14:paraId="5AC6818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宋体"/>
                <w:b/>
                <w:bCs w:val="0"/>
                <w:color w:val="auto"/>
                <w:kern w:val="2"/>
                <w:sz w:val="24"/>
                <w:szCs w:val="22"/>
                <w:lang w:val="en-US" w:eastAsia="zh-CN" w:bidi="ar-SA"/>
              </w:rPr>
            </w:pPr>
            <w:r>
              <w:rPr>
                <w:rFonts w:hint="eastAsia" w:ascii="Times New Roman" w:hAnsi="Times New Roman" w:eastAsia="宋体" w:cs="宋体"/>
                <w:b/>
                <w:bCs w:val="0"/>
                <w:color w:val="auto"/>
                <w:kern w:val="2"/>
                <w:sz w:val="24"/>
                <w:szCs w:val="22"/>
                <w:lang w:val="en-US" w:eastAsia="zh-CN" w:bidi="ar-SA"/>
              </w:rPr>
              <w:t>2</w:t>
            </w:r>
            <w:r>
              <w:rPr>
                <w:rFonts w:hint="eastAsia" w:ascii="Times New Roman" w:hAnsi="Times New Roman" w:cs="宋体"/>
                <w:b/>
                <w:bCs w:val="0"/>
                <w:color w:val="auto"/>
                <w:kern w:val="2"/>
                <w:sz w:val="24"/>
                <w:szCs w:val="22"/>
                <w:lang w:val="en-US" w:eastAsia="zh-CN" w:bidi="ar-SA"/>
              </w:rPr>
              <w:t>.</w:t>
            </w:r>
            <w:r>
              <w:rPr>
                <w:rFonts w:hint="eastAsia" w:ascii="Times New Roman" w:hAnsi="Times New Roman" w:eastAsia="宋体" w:cs="宋体"/>
                <w:b/>
                <w:bCs w:val="0"/>
                <w:color w:val="auto"/>
                <w:kern w:val="2"/>
                <w:sz w:val="24"/>
                <w:szCs w:val="22"/>
                <w:lang w:val="en-US" w:eastAsia="zh-CN" w:bidi="ar-SA"/>
              </w:rPr>
              <w:t>运营期废水</w:t>
            </w:r>
          </w:p>
          <w:p w14:paraId="117D02C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sz w:val="24"/>
                <w:lang w:val="en-US"/>
              </w:rPr>
            </w:pPr>
            <w:r>
              <w:rPr>
                <w:rFonts w:hint="default" w:ascii="Times New Roman" w:hAnsi="Times New Roman" w:cs="Times New Roman"/>
                <w:bCs/>
                <w:color w:val="auto"/>
                <w:kern w:val="2"/>
                <w:sz w:val="24"/>
                <w:szCs w:val="22"/>
                <w:lang w:val="en-US" w:eastAsia="zh-CN" w:bidi="ar-SA"/>
              </w:rPr>
              <w:t>（1）</w:t>
            </w:r>
            <w:r>
              <w:rPr>
                <w:rFonts w:hint="default" w:ascii="Times New Roman" w:hAnsi="Times New Roman" w:eastAsia="宋体" w:cs="Times New Roman"/>
                <w:bCs/>
                <w:color w:val="auto"/>
                <w:kern w:val="2"/>
                <w:sz w:val="24"/>
                <w:szCs w:val="22"/>
                <w:lang w:val="en-US" w:eastAsia="zh-CN" w:bidi="ar-SA"/>
              </w:rPr>
              <w:t>废水源强分析</w:t>
            </w:r>
          </w:p>
          <w:p w14:paraId="4EC4DB2D">
            <w:pPr>
              <w:pStyle w:val="35"/>
              <w:numPr>
                <w:ilvl w:val="0"/>
                <w:numId w:val="0"/>
              </w:numPr>
              <w:spacing w:line="360" w:lineRule="auto"/>
              <w:ind w:right="86" w:rightChars="0" w:firstLine="480" w:firstLineChars="200"/>
              <w:rPr>
                <w:rFonts w:hint="eastAsia" w:ascii="Times New Roman" w:hAnsi="Times New Roman" w:cs="Times New Roman"/>
                <w:sz w:val="24"/>
                <w:lang w:eastAsia="zh-CN"/>
              </w:rPr>
            </w:pPr>
            <w:r>
              <w:rPr>
                <w:rFonts w:hint="default" w:ascii="Times New Roman" w:hAnsi="Times New Roman" w:cs="Times New Roman"/>
                <w:sz w:val="24"/>
                <w:lang w:val="en-US"/>
              </w:rPr>
              <w:t>本项目劳动定员</w:t>
            </w:r>
            <w:r>
              <w:rPr>
                <w:rFonts w:hint="default" w:ascii="Times New Roman" w:hAnsi="Times New Roman" w:cs="Times New Roman"/>
                <w:sz w:val="24"/>
                <w:lang w:val="en-US" w:eastAsia="zh-CN"/>
              </w:rPr>
              <w:t>20</w:t>
            </w:r>
            <w:r>
              <w:rPr>
                <w:rFonts w:hint="default" w:ascii="Times New Roman" w:hAnsi="Times New Roman" w:cs="Times New Roman"/>
                <w:sz w:val="24"/>
                <w:lang w:val="en-US"/>
              </w:rPr>
              <w:t>人，无食堂，</w:t>
            </w:r>
            <w:r>
              <w:rPr>
                <w:rFonts w:hint="default" w:ascii="Times New Roman" w:hAnsi="Times New Roman" w:cs="Times New Roman"/>
                <w:color w:val="auto"/>
                <w:sz w:val="24"/>
              </w:rPr>
              <w:t>生活用水主要为职工盥洗用水。</w:t>
            </w:r>
            <w:r>
              <w:rPr>
                <w:rFonts w:hint="default" w:ascii="Times New Roman" w:hAnsi="Times New Roman" w:cs="Times New Roman"/>
                <w:sz w:val="24"/>
              </w:rPr>
              <w:t>参照</w:t>
            </w:r>
            <w:r>
              <w:rPr>
                <w:rFonts w:hint="default" w:ascii="Times New Roman" w:hAnsi="Times New Roman" w:cs="Times New Roman"/>
                <w:sz w:val="24"/>
                <w:shd w:val="clear" w:color="auto" w:fill="FFFFFF"/>
                <w:lang w:val="zh-TW" w:eastAsia="zh-TW" w:bidi="ar"/>
              </w:rPr>
              <w:t>《陕西省行业用水定额》</w:t>
            </w:r>
            <w:r>
              <w:rPr>
                <w:rFonts w:hint="default" w:ascii="Times New Roman" w:hAnsi="Times New Roman" w:cs="Times New Roman"/>
                <w:sz w:val="24"/>
                <w:shd w:val="clear" w:color="auto" w:fill="FFFFFF"/>
                <w:lang w:bidi="ar"/>
              </w:rPr>
              <w:t>（DB61/T</w:t>
            </w:r>
            <w:r>
              <w:rPr>
                <w:rFonts w:hint="default" w:ascii="Times New Roman" w:hAnsi="Times New Roman" w:cs="Times New Roman"/>
                <w:sz w:val="24"/>
                <w:shd w:val="clear" w:color="auto" w:fill="FFFFFF"/>
                <w:lang w:val="zh-TW" w:eastAsia="zh-TW" w:bidi="ar"/>
              </w:rPr>
              <w:t>943-20</w:t>
            </w:r>
            <w:r>
              <w:rPr>
                <w:rFonts w:hint="default" w:ascii="Times New Roman" w:hAnsi="Times New Roman" w:cs="Times New Roman"/>
                <w:sz w:val="24"/>
                <w:shd w:val="clear" w:color="auto" w:fill="FFFFFF"/>
                <w:lang w:val="en-US" w:bidi="ar"/>
              </w:rPr>
              <w:t>20</w:t>
            </w:r>
            <w:r>
              <w:rPr>
                <w:rFonts w:hint="default" w:ascii="Times New Roman" w:hAnsi="Times New Roman" w:cs="Times New Roman"/>
                <w:sz w:val="24"/>
                <w:shd w:val="clear" w:color="auto" w:fill="FFFFFF"/>
                <w:lang w:bidi="ar"/>
              </w:rPr>
              <w:t>），生活用水量按</w:t>
            </w:r>
            <w:r>
              <w:rPr>
                <w:rFonts w:hint="default" w:ascii="Times New Roman" w:hAnsi="Times New Roman" w:cs="Times New Roman"/>
                <w:sz w:val="24"/>
                <w:shd w:val="clear" w:color="auto" w:fill="FFFFFF"/>
                <w:lang w:val="en-US" w:eastAsia="zh-CN" w:bidi="ar"/>
              </w:rPr>
              <w:t>5</w:t>
            </w:r>
            <w:r>
              <w:rPr>
                <w:rFonts w:hint="default" w:ascii="Times New Roman" w:hAnsi="Times New Roman" w:cs="Times New Roman"/>
                <w:sz w:val="24"/>
                <w:shd w:val="clear" w:color="auto" w:fill="FFFFFF"/>
                <w:lang w:val="en-US" w:bidi="ar"/>
              </w:rPr>
              <w:t>0</w:t>
            </w:r>
            <w:r>
              <w:rPr>
                <w:rFonts w:hint="default" w:ascii="Times New Roman" w:hAnsi="Times New Roman" w:cs="Times New Roman"/>
                <w:snapToGrid w:val="0"/>
                <w:color w:val="000000"/>
                <w:sz w:val="24"/>
              </w:rPr>
              <w:t>L/人·d</w:t>
            </w:r>
            <w:r>
              <w:rPr>
                <w:rFonts w:hint="default" w:ascii="Times New Roman" w:hAnsi="Times New Roman" w:cs="Times New Roman"/>
                <w:snapToGrid w:val="0"/>
                <w:sz w:val="24"/>
              </w:rPr>
              <w:t>计，年工作</w:t>
            </w:r>
            <w:r>
              <w:rPr>
                <w:rFonts w:hint="default" w:ascii="Times New Roman" w:hAnsi="Times New Roman" w:cs="Times New Roman"/>
                <w:snapToGrid w:val="0"/>
                <w:sz w:val="24"/>
                <w:lang w:val="en-US" w:eastAsia="zh-CN"/>
              </w:rPr>
              <w:t>2</w:t>
            </w:r>
            <w:r>
              <w:rPr>
                <w:rFonts w:hint="default" w:ascii="Times New Roman" w:hAnsi="Times New Roman" w:cs="Times New Roman"/>
                <w:snapToGrid w:val="0"/>
                <w:sz w:val="24"/>
                <w:lang w:val="en-US"/>
              </w:rPr>
              <w:t>00天，</w:t>
            </w:r>
            <w:r>
              <w:rPr>
                <w:rFonts w:hint="default" w:ascii="Times New Roman" w:hAnsi="Times New Roman" w:cs="Times New Roman"/>
                <w:snapToGrid w:val="0"/>
                <w:sz w:val="24"/>
              </w:rPr>
              <w:t>则项目职工生活用水量为</w:t>
            </w:r>
            <w:r>
              <w:rPr>
                <w:rFonts w:hint="default" w:ascii="Times New Roman" w:hAnsi="Times New Roman" w:cs="Times New Roman"/>
                <w:snapToGrid w:val="0"/>
                <w:color w:val="000000"/>
                <w:sz w:val="24"/>
                <w:lang w:val="en-US" w:eastAsia="zh-CN"/>
              </w:rPr>
              <w:t>1</w:t>
            </w:r>
            <w:r>
              <w:rPr>
                <w:rFonts w:hint="default" w:ascii="Times New Roman" w:hAnsi="Times New Roman" w:cs="Times New Roman"/>
                <w:snapToGrid w:val="0"/>
                <w:color w:val="000000"/>
                <w:sz w:val="24"/>
                <w:lang w:val="en-US"/>
              </w:rPr>
              <w:t>m</w:t>
            </w:r>
            <w:r>
              <w:rPr>
                <w:rFonts w:hint="default" w:ascii="Times New Roman" w:hAnsi="Times New Roman" w:cs="Times New Roman"/>
                <w:snapToGrid w:val="0"/>
                <w:color w:val="000000"/>
                <w:sz w:val="24"/>
                <w:vertAlign w:val="superscript"/>
                <w:lang w:val="en-US"/>
              </w:rPr>
              <w:t>3</w:t>
            </w:r>
            <w:r>
              <w:rPr>
                <w:rFonts w:hint="default" w:ascii="Times New Roman" w:hAnsi="Times New Roman" w:cs="Times New Roman"/>
                <w:snapToGrid w:val="0"/>
                <w:color w:val="000000"/>
                <w:sz w:val="24"/>
                <w:lang w:val="en-US"/>
              </w:rPr>
              <w:t>/d（</w:t>
            </w:r>
            <w:r>
              <w:rPr>
                <w:rFonts w:hint="default" w:ascii="Times New Roman" w:hAnsi="Times New Roman" w:cs="Times New Roman"/>
                <w:snapToGrid w:val="0"/>
                <w:color w:val="000000"/>
                <w:sz w:val="24"/>
                <w:lang w:val="en-US" w:eastAsia="zh-CN"/>
              </w:rPr>
              <w:t>200</w:t>
            </w:r>
            <w:r>
              <w:rPr>
                <w:rFonts w:hint="default" w:ascii="Times New Roman" w:hAnsi="Times New Roman" w:cs="Times New Roman"/>
                <w:snapToGrid w:val="0"/>
                <w:color w:val="000000"/>
                <w:sz w:val="24"/>
                <w:lang w:val="en-US"/>
              </w:rPr>
              <w:t>m</w:t>
            </w:r>
            <w:r>
              <w:rPr>
                <w:rFonts w:hint="default" w:ascii="Times New Roman" w:hAnsi="Times New Roman" w:cs="Times New Roman"/>
                <w:snapToGrid w:val="0"/>
                <w:color w:val="000000"/>
                <w:sz w:val="24"/>
                <w:vertAlign w:val="superscript"/>
                <w:lang w:val="en-US"/>
              </w:rPr>
              <w:t>3</w:t>
            </w:r>
            <w:r>
              <w:rPr>
                <w:rFonts w:hint="default" w:ascii="Times New Roman" w:hAnsi="Times New Roman" w:cs="Times New Roman"/>
                <w:snapToGrid w:val="0"/>
                <w:color w:val="000000"/>
                <w:sz w:val="24"/>
                <w:lang w:val="en-US"/>
              </w:rPr>
              <w:t>/a）</w:t>
            </w:r>
            <w:r>
              <w:rPr>
                <w:rFonts w:hint="default" w:ascii="Times New Roman" w:hAnsi="Times New Roman" w:cs="Times New Roman"/>
                <w:snapToGrid w:val="0"/>
                <w:sz w:val="24"/>
                <w:lang w:val="en-US"/>
              </w:rPr>
              <w:t>。</w:t>
            </w:r>
            <w:r>
              <w:rPr>
                <w:rFonts w:hint="default" w:ascii="Times New Roman" w:hAnsi="Times New Roman" w:cs="Times New Roman"/>
                <w:color w:val="000000" w:themeColor="text1"/>
                <w:sz w:val="24"/>
                <w14:textFill>
                  <w14:solidFill>
                    <w14:schemeClr w14:val="tx1"/>
                  </w14:solidFill>
                </w14:textFill>
              </w:rPr>
              <w:t>生活污</w:t>
            </w:r>
            <w:r>
              <w:rPr>
                <w:rFonts w:hint="default" w:ascii="Times New Roman" w:hAnsi="Times New Roman" w:cs="Times New Roman"/>
                <w:sz w:val="24"/>
              </w:rPr>
              <w:t>水</w:t>
            </w:r>
            <w:r>
              <w:rPr>
                <w:rFonts w:hint="default" w:ascii="Times New Roman" w:hAnsi="Times New Roman" w:cs="Times New Roman"/>
                <w:color w:val="000000"/>
                <w:sz w:val="24"/>
              </w:rPr>
              <w:t>年排放量按用水量的80%计，则生活污水年排放量为</w:t>
            </w:r>
            <w:r>
              <w:rPr>
                <w:rFonts w:hint="eastAsia" w:ascii="Times New Roman" w:hAnsi="Times New Roman" w:cs="Times New Roman"/>
                <w:snapToGrid w:val="0"/>
                <w:color w:val="000000"/>
                <w:sz w:val="24"/>
                <w:lang w:val="en-US" w:eastAsia="zh-CN"/>
              </w:rPr>
              <w:t>0.8</w:t>
            </w:r>
            <w:r>
              <w:rPr>
                <w:rFonts w:hint="default" w:ascii="Times New Roman" w:hAnsi="Times New Roman" w:cs="Times New Roman"/>
                <w:snapToGrid w:val="0"/>
                <w:color w:val="000000"/>
                <w:sz w:val="24"/>
              </w:rPr>
              <w:t>m</w:t>
            </w:r>
            <w:r>
              <w:rPr>
                <w:rFonts w:hint="default" w:ascii="Times New Roman" w:hAnsi="Times New Roman" w:cs="Times New Roman"/>
                <w:snapToGrid w:val="0"/>
                <w:color w:val="000000"/>
                <w:sz w:val="24"/>
                <w:vertAlign w:val="superscript"/>
              </w:rPr>
              <w:t>3</w:t>
            </w:r>
            <w:r>
              <w:rPr>
                <w:rFonts w:hint="default" w:ascii="Times New Roman" w:hAnsi="Times New Roman" w:cs="Times New Roman"/>
                <w:snapToGrid w:val="0"/>
                <w:color w:val="000000"/>
                <w:sz w:val="24"/>
              </w:rPr>
              <w:t>/d</w:t>
            </w:r>
            <w:r>
              <w:rPr>
                <w:rFonts w:hint="default" w:ascii="Times New Roman" w:hAnsi="Times New Roman" w:cs="Times New Roman"/>
                <w:color w:val="000000"/>
                <w:sz w:val="24"/>
              </w:rPr>
              <w:t>（</w:t>
            </w:r>
            <w:r>
              <w:rPr>
                <w:rFonts w:hint="eastAsia" w:ascii="Times New Roman" w:hAnsi="Times New Roman" w:cs="Times New Roman"/>
                <w:color w:val="000000"/>
                <w:sz w:val="24"/>
                <w:lang w:val="en-US" w:eastAsia="zh-CN"/>
              </w:rPr>
              <w:t>160</w:t>
            </w:r>
            <w:r>
              <w:rPr>
                <w:rFonts w:hint="default" w:ascii="Times New Roman" w:hAnsi="Times New Roman" w:cs="Times New Roman"/>
                <w:color w:val="000000"/>
                <w:sz w:val="24"/>
              </w:rPr>
              <w:t>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/a）</w:t>
            </w:r>
            <w:r>
              <w:rPr>
                <w:rFonts w:hint="default" w:ascii="Times New Roman" w:hAnsi="Times New Roman" w:cs="Times New Roman"/>
                <w:sz w:val="24"/>
              </w:rPr>
              <w:t>，生活污水进入化粪池预处理后排入沣西新城大王污水处理厂</w:t>
            </w:r>
            <w:r>
              <w:rPr>
                <w:rFonts w:hint="eastAsia" w:ascii="Times New Roman" w:hAnsi="Times New Roman" w:cs="Times New Roman"/>
                <w:sz w:val="24"/>
                <w:lang w:eastAsia="zh-CN"/>
              </w:rPr>
              <w:t>，</w:t>
            </w:r>
            <w:r>
              <w:rPr>
                <w:rFonts w:hint="default" w:ascii="Times New Roman" w:hAnsi="Times New Roman" w:cs="Times New Roman"/>
                <w:sz w:val="24"/>
              </w:rPr>
              <w:t>处理达标后排入新河</w:t>
            </w:r>
            <w:r>
              <w:rPr>
                <w:rFonts w:hint="eastAsia" w:ascii="Times New Roman" w:hAnsi="Times New Roman" w:cs="Times New Roman"/>
                <w:sz w:val="24"/>
                <w:lang w:eastAsia="zh-CN"/>
              </w:rPr>
              <w:t>。</w:t>
            </w:r>
          </w:p>
          <w:p w14:paraId="3D5A5D98">
            <w:pPr>
              <w:pStyle w:val="35"/>
              <w:numPr>
                <w:ilvl w:val="0"/>
                <w:numId w:val="4"/>
              </w:numPr>
              <w:spacing w:line="360" w:lineRule="auto"/>
              <w:ind w:right="86" w:rightChars="0" w:firstLine="480" w:firstLineChars="200"/>
              <w:rPr>
                <w:rFonts w:hint="eastAsia" w:ascii="Times New Roman" w:hAnsi="Times New Roman" w:cs="宋体"/>
                <w:bCs/>
                <w:color w:val="auto"/>
                <w:kern w:val="2"/>
                <w:sz w:val="24"/>
                <w:szCs w:val="22"/>
                <w:lang w:val="en-US" w:eastAsia="zh-CN" w:bidi="ar-SA"/>
              </w:rPr>
            </w:pPr>
            <w:r>
              <w:rPr>
                <w:rFonts w:hint="eastAsia" w:ascii="Times New Roman" w:hAnsi="Times New Roman" w:cs="宋体"/>
                <w:bCs/>
                <w:color w:val="auto"/>
                <w:kern w:val="2"/>
                <w:sz w:val="24"/>
                <w:szCs w:val="22"/>
                <w:lang w:val="en-US" w:eastAsia="zh-CN" w:bidi="ar-SA"/>
              </w:rPr>
              <w:t>废水治理措施可行性分析</w:t>
            </w:r>
          </w:p>
          <w:p w14:paraId="68BB3F46">
            <w:pPr>
              <w:pStyle w:val="35"/>
              <w:numPr>
                <w:ilvl w:val="0"/>
                <w:numId w:val="0"/>
              </w:numPr>
              <w:spacing w:line="360" w:lineRule="auto"/>
              <w:ind w:right="86" w:rightChars="0" w:firstLine="480" w:firstLineChars="200"/>
              <w:rPr>
                <w:rFonts w:hint="eastAsia" w:ascii="Times New Roman" w:hAnsi="Times New Roman" w:cs="宋体"/>
                <w:bCs/>
                <w:color w:val="auto"/>
                <w:kern w:val="2"/>
                <w:sz w:val="24"/>
                <w:szCs w:val="22"/>
                <w:lang w:val="en-US" w:eastAsia="zh-CN" w:bidi="ar-SA"/>
              </w:rPr>
            </w:pPr>
            <w:r>
              <w:rPr>
                <w:rFonts w:hint="eastAsia" w:ascii="Times New Roman" w:hAnsi="Times New Roman" w:cs="宋体"/>
                <w:bCs/>
                <w:color w:val="auto"/>
                <w:kern w:val="2"/>
                <w:sz w:val="24"/>
                <w:szCs w:val="22"/>
                <w:lang w:val="en-US" w:eastAsia="zh-CN" w:bidi="ar-SA"/>
              </w:rPr>
              <w:t>项目按照“雨污分流、清污分流”要求建设厂区排水管网。生活污水经化粪池处理后，接管</w:t>
            </w:r>
            <w:r>
              <w:rPr>
                <w:rFonts w:hint="default" w:ascii="Times New Roman" w:hAnsi="Times New Roman" w:cs="Times New Roman"/>
                <w:sz w:val="24"/>
              </w:rPr>
              <w:t>沣西新城大王污水处理厂</w:t>
            </w:r>
            <w:r>
              <w:rPr>
                <w:rFonts w:hint="eastAsia" w:ascii="Times New Roman" w:hAnsi="Times New Roman" w:cs="宋体"/>
                <w:bCs/>
                <w:color w:val="auto"/>
                <w:kern w:val="2"/>
                <w:sz w:val="24"/>
                <w:szCs w:val="22"/>
                <w:lang w:val="en-US" w:eastAsia="zh-CN" w:bidi="ar-SA"/>
              </w:rPr>
              <w:t>。</w:t>
            </w:r>
          </w:p>
          <w:p w14:paraId="602DA8E1">
            <w:pPr>
              <w:pStyle w:val="35"/>
              <w:numPr>
                <w:ilvl w:val="0"/>
                <w:numId w:val="0"/>
              </w:numPr>
              <w:spacing w:line="360" w:lineRule="auto"/>
              <w:ind w:right="86" w:rightChars="0" w:firstLine="480" w:firstLineChars="200"/>
              <w:rPr>
                <w:rFonts w:hint="eastAsia" w:ascii="Times New Roman" w:hAnsi="Times New Roman" w:cs="宋体"/>
                <w:bCs/>
                <w:color w:val="auto"/>
                <w:kern w:val="2"/>
                <w:sz w:val="24"/>
                <w:szCs w:val="22"/>
                <w:lang w:val="en-US" w:eastAsia="zh-CN" w:bidi="ar-SA"/>
              </w:rPr>
            </w:pPr>
            <w:r>
              <w:rPr>
                <w:rFonts w:hint="eastAsia" w:ascii="Times New Roman" w:hAnsi="Times New Roman" w:cs="宋体"/>
                <w:bCs/>
                <w:color w:val="auto"/>
                <w:kern w:val="2"/>
                <w:sz w:val="24"/>
                <w:szCs w:val="22"/>
                <w:lang w:val="en-US" w:eastAsia="zh-CN" w:bidi="ar-SA"/>
              </w:rPr>
              <w:t>生活污水采用化粪池处理，是常规成熟稳定的工艺，处理后达到</w:t>
            </w:r>
            <w:r>
              <w:rPr>
                <w:rFonts w:hint="default" w:ascii="Times New Roman" w:hAnsi="Times New Roman" w:cs="Times New Roman"/>
                <w:sz w:val="24"/>
              </w:rPr>
              <w:t>沣西新城大王污水处理厂</w:t>
            </w:r>
            <w:r>
              <w:rPr>
                <w:rFonts w:hint="eastAsia" w:ascii="Times New Roman" w:hAnsi="Times New Roman" w:cs="宋体"/>
                <w:bCs/>
                <w:color w:val="auto"/>
                <w:kern w:val="2"/>
                <w:sz w:val="24"/>
                <w:szCs w:val="22"/>
                <w:lang w:val="en-US" w:eastAsia="zh-CN" w:bidi="ar-SA"/>
              </w:rPr>
              <w:t>接管标准，在技术上是完全可行的，可以做到稳定运行及达标排放。</w:t>
            </w:r>
          </w:p>
          <w:p w14:paraId="6FC701BF">
            <w:pPr>
              <w:pStyle w:val="35"/>
              <w:numPr>
                <w:ilvl w:val="0"/>
                <w:numId w:val="4"/>
              </w:numPr>
              <w:spacing w:line="360" w:lineRule="auto"/>
              <w:ind w:left="0" w:leftChars="0" w:right="86" w:rightChars="0" w:firstLine="480" w:firstLineChars="200"/>
              <w:rPr>
                <w:rFonts w:hint="eastAsia" w:ascii="Times New Roman" w:hAnsi="Times New Roman" w:cs="宋体"/>
                <w:bCs/>
                <w:color w:val="auto"/>
                <w:kern w:val="2"/>
                <w:sz w:val="24"/>
                <w:szCs w:val="22"/>
                <w:lang w:val="en-US" w:eastAsia="zh-CN" w:bidi="ar-SA"/>
              </w:rPr>
            </w:pPr>
            <w:r>
              <w:rPr>
                <w:rFonts w:hint="eastAsia" w:ascii="Times New Roman" w:hAnsi="Times New Roman" w:cs="宋体"/>
                <w:bCs/>
                <w:color w:val="auto"/>
                <w:kern w:val="2"/>
                <w:sz w:val="24"/>
                <w:szCs w:val="22"/>
                <w:lang w:val="en-US" w:eastAsia="zh-CN" w:bidi="ar-SA"/>
              </w:rPr>
              <w:t>依托污水处理设施的环境可行性评价</w:t>
            </w:r>
          </w:p>
          <w:p w14:paraId="0B9507E8">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ascii="Times New Roman" w:hAnsi="Times New Roman" w:cs="Times New Roman"/>
                <w:bCs/>
                <w:color w:val="auto"/>
                <w:kern w:val="2"/>
                <w:sz w:val="24"/>
                <w:szCs w:val="22"/>
                <w:lang w:val="en-US" w:eastAsia="zh-CN" w:bidi="ar-SA"/>
              </w:rPr>
            </w:pPr>
            <w:r>
              <w:rPr>
                <w:rFonts w:hint="default" w:ascii="Times New Roman" w:hAnsi="Times New Roman" w:cs="Times New Roman"/>
                <w:bCs/>
                <w:color w:val="auto"/>
                <w:kern w:val="2"/>
                <w:sz w:val="24"/>
                <w:szCs w:val="22"/>
                <w:lang w:val="en-US" w:eastAsia="zh-CN" w:bidi="ar-SA"/>
              </w:rPr>
              <w:t>沣西新城大王污水处理厂位于陕西省西咸新区沣西新城大王街道，总占地37.85亩，一期占地21.5亩。设计规模5000吨/日，远期达到10000吨/日。一期项目服务人口约3.1万人，已于2019年11月15日通水试运行。一期工程处理规模（2020年）为5000m³/d；二期工程处理规模（2030年）为10000m³/d。该污水处理厂采用立体生态处理工艺，立体生态处理工艺在生物池内，通过布设曝气系统、设置仿生生物膜填料、种植挺水植物、安装回流泵及搅拌机等一系列工程技术措施，创造有利于微生物生长繁殖的适宜环境，加速微生物的新陈代谢，利用生物池内生长的大量微生物，氧化分解污水中的各种污染物，并将其转化为稳定的无机物，从而实现去除污水中有机污染物的目的。出水水质达到《陕西省黄河流域污水综合排放标准》（DB61724-2018）表1中A标准要求，处理达标后的尾水排入新河进行生态补水。</w:t>
            </w:r>
          </w:p>
          <w:p w14:paraId="06BA5FC5">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综上所述，</w:t>
            </w:r>
            <w:r>
              <w:rPr>
                <w:rFonts w:hint="eastAsia" w:ascii="Times New Roman" w:hAnsi="Times New Roman" w:cs="宋体"/>
                <w:bCs/>
                <w:color w:val="auto"/>
                <w:kern w:val="2"/>
                <w:sz w:val="24"/>
                <w:szCs w:val="22"/>
                <w:lang w:val="en-US" w:eastAsia="zh-CN" w:bidi="ar-SA"/>
              </w:rPr>
              <w:t>沣西新城大王污水处理厂</w:t>
            </w:r>
            <w:r>
              <w:rPr>
                <w:rFonts w:hint="eastAsia" w:ascii="Times New Roman" w:hAnsi="Times New Roman" w:eastAsia="宋体" w:cs="宋体"/>
                <w:bCs/>
                <w:color w:val="auto"/>
                <w:kern w:val="2"/>
                <w:sz w:val="24"/>
                <w:szCs w:val="22"/>
                <w:lang w:val="en-US" w:eastAsia="zh-CN" w:bidi="ar-SA"/>
              </w:rPr>
              <w:t>从处理能力、服务范围等方面均能够满足本项目排水要求。由此可见，本项目排放的废水无论水量、水质均能满足</w:t>
            </w:r>
            <w:r>
              <w:rPr>
                <w:rFonts w:hint="eastAsia" w:ascii="Times New Roman" w:hAnsi="Times New Roman" w:cs="宋体"/>
                <w:bCs/>
                <w:color w:val="auto"/>
                <w:kern w:val="2"/>
                <w:sz w:val="24"/>
                <w:szCs w:val="22"/>
                <w:lang w:val="en-US" w:eastAsia="zh-CN" w:bidi="ar-SA"/>
              </w:rPr>
              <w:t>沣西新城大王污水处理厂</w:t>
            </w:r>
            <w:r>
              <w:rPr>
                <w:rFonts w:hint="eastAsia" w:ascii="Times New Roman" w:hAnsi="Times New Roman" w:eastAsia="宋体" w:cs="宋体"/>
                <w:bCs/>
                <w:color w:val="auto"/>
                <w:kern w:val="2"/>
                <w:sz w:val="24"/>
                <w:szCs w:val="22"/>
                <w:lang w:val="en-US" w:eastAsia="zh-CN" w:bidi="ar-SA"/>
              </w:rPr>
              <w:t>的接管要求，且接管量较少，对其负荷冲击较小，不会影响污水处理厂的正常运行，根据污水处理厂目前运行情况，运行稳定，出水能够达标排放，对受纳水体幸福港的影响较小，不会改变其现有的水质功能类别，因而废水进行接管处理是可行的。因此项目污水依托</w:t>
            </w:r>
            <w:r>
              <w:rPr>
                <w:rFonts w:hint="eastAsia" w:ascii="Times New Roman" w:hAnsi="Times New Roman" w:cs="宋体"/>
                <w:bCs/>
                <w:color w:val="auto"/>
                <w:kern w:val="2"/>
                <w:sz w:val="24"/>
                <w:szCs w:val="22"/>
                <w:lang w:val="en-US" w:eastAsia="zh-CN" w:bidi="ar-SA"/>
              </w:rPr>
              <w:t>沣西新城大王污水处理厂</w:t>
            </w:r>
            <w:r>
              <w:rPr>
                <w:rFonts w:hint="eastAsia" w:ascii="Times New Roman" w:hAnsi="Times New Roman" w:eastAsia="宋体" w:cs="宋体"/>
                <w:bCs/>
                <w:color w:val="auto"/>
                <w:kern w:val="2"/>
                <w:sz w:val="24"/>
                <w:szCs w:val="22"/>
                <w:lang w:val="en-US" w:eastAsia="zh-CN" w:bidi="ar-SA"/>
              </w:rPr>
              <w:t>间接排放，具有环境可行性。</w:t>
            </w:r>
          </w:p>
          <w:p w14:paraId="02C49018">
            <w:pPr>
              <w:pStyle w:val="35"/>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宋体"/>
                <w:bCs/>
                <w:color w:val="auto"/>
                <w:kern w:val="2"/>
                <w:sz w:val="24"/>
                <w:szCs w:val="22"/>
                <w:lang w:val="en-US" w:eastAsia="zh-CN" w:bidi="ar-SA"/>
              </w:rPr>
            </w:pPr>
            <w:r>
              <w:rPr>
                <w:rFonts w:hint="eastAsia" w:ascii="Times New Roman" w:hAnsi="Times New Roman" w:cs="宋体"/>
                <w:bCs/>
                <w:color w:val="auto"/>
                <w:kern w:val="2"/>
                <w:sz w:val="24"/>
                <w:szCs w:val="22"/>
                <w:lang w:val="en-US" w:eastAsia="zh-CN" w:bidi="ar-SA"/>
              </w:rPr>
              <w:t>监测要求</w:t>
            </w:r>
          </w:p>
          <w:p w14:paraId="24F2E29E">
            <w:pPr>
              <w:numPr>
                <w:ilvl w:val="0"/>
                <w:numId w:val="0"/>
              </w:numPr>
              <w:adjustRightInd w:val="0"/>
              <w:spacing w:line="360" w:lineRule="auto"/>
              <w:ind w:firstLine="480" w:firstLineChars="200"/>
              <w:rPr>
                <w:rFonts w:ascii="Times New Roman" w:hAnsi="Times New Roman" w:cs="宋体"/>
                <w:bCs/>
                <w:color w:val="auto"/>
                <w:sz w:val="24"/>
              </w:rPr>
            </w:pPr>
            <w:r>
              <w:rPr>
                <w:rFonts w:hint="eastAsia" w:ascii="Times New Roman" w:hAnsi="Times New Roman" w:cs="宋体"/>
                <w:bCs/>
                <w:color w:val="auto"/>
                <w:sz w:val="24"/>
              </w:rPr>
              <w:t>本项目建成后废</w:t>
            </w:r>
            <w:r>
              <w:rPr>
                <w:rFonts w:hint="eastAsia" w:ascii="Times New Roman" w:hAnsi="Times New Roman" w:cs="宋体"/>
                <w:bCs/>
                <w:color w:val="auto"/>
                <w:sz w:val="24"/>
                <w:lang w:val="en-US" w:eastAsia="zh-CN"/>
              </w:rPr>
              <w:t>水</w:t>
            </w:r>
            <w:r>
              <w:rPr>
                <w:rFonts w:hint="eastAsia" w:ascii="Times New Roman" w:hAnsi="Times New Roman" w:cs="宋体"/>
                <w:bCs/>
                <w:color w:val="auto"/>
                <w:sz w:val="24"/>
              </w:rPr>
              <w:t>污染源监测计划详见表4-</w:t>
            </w:r>
            <w:r>
              <w:rPr>
                <w:rFonts w:hint="eastAsia" w:ascii="Times New Roman" w:hAnsi="Times New Roman" w:cs="宋体"/>
                <w:bCs/>
                <w:color w:val="auto"/>
                <w:sz w:val="24"/>
                <w:lang w:val="en-US" w:eastAsia="zh-CN"/>
              </w:rPr>
              <w:t>5</w:t>
            </w:r>
            <w:r>
              <w:rPr>
                <w:rFonts w:hint="eastAsia" w:ascii="Times New Roman" w:hAnsi="Times New Roman" w:cs="宋体"/>
                <w:bCs/>
                <w:color w:val="auto"/>
                <w:sz w:val="24"/>
              </w:rPr>
              <w:t>。</w:t>
            </w:r>
          </w:p>
          <w:p w14:paraId="3456A4E9">
            <w:pPr>
              <w:pStyle w:val="35"/>
              <w:autoSpaceDE w:val="0"/>
              <w:autoSpaceDN w:val="0"/>
              <w:ind w:left="110" w:hanging="110" w:hangingChars="52"/>
              <w:jc w:val="center"/>
              <w:rPr>
                <w:rFonts w:hint="eastAsia" w:ascii="Times New Roman" w:hAnsi="Times New Roman" w:cs="Times New Roman"/>
                <w:b/>
                <w:bCs/>
                <w:sz w:val="21"/>
                <w:szCs w:val="21"/>
                <w:lang w:val="en-US"/>
              </w:rPr>
            </w:pPr>
            <w:r>
              <w:rPr>
                <w:rFonts w:hint="eastAsia" w:ascii="Times New Roman" w:hAnsi="Times New Roman" w:cs="Times New Roman"/>
                <w:b/>
                <w:bCs/>
                <w:sz w:val="21"/>
                <w:szCs w:val="21"/>
                <w:lang w:val="en-US" w:eastAsia="zh-CN"/>
              </w:rPr>
              <w:t xml:space="preserve">表4-5  </w:t>
            </w:r>
            <w:r>
              <w:rPr>
                <w:rFonts w:hint="eastAsia" w:ascii="Times New Roman" w:hAnsi="Times New Roman" w:cs="Times New Roman"/>
                <w:b/>
                <w:bCs/>
                <w:sz w:val="21"/>
                <w:szCs w:val="21"/>
                <w:lang w:val="en-US"/>
              </w:rPr>
              <w:t>废</w:t>
            </w:r>
            <w:r>
              <w:rPr>
                <w:rFonts w:hint="eastAsia" w:ascii="Times New Roman" w:hAnsi="Times New Roman" w:cs="Times New Roman"/>
                <w:b/>
                <w:bCs/>
                <w:sz w:val="21"/>
                <w:szCs w:val="21"/>
                <w:lang w:val="en-US" w:eastAsia="zh-CN"/>
              </w:rPr>
              <w:t>水</w:t>
            </w:r>
            <w:r>
              <w:rPr>
                <w:rFonts w:hint="eastAsia" w:ascii="Times New Roman" w:hAnsi="Times New Roman" w:cs="Times New Roman"/>
                <w:b/>
                <w:bCs/>
                <w:sz w:val="21"/>
                <w:szCs w:val="21"/>
                <w:lang w:val="en-US"/>
              </w:rPr>
              <w:t>污染源监测计划</w:t>
            </w:r>
          </w:p>
          <w:tbl>
            <w:tblPr>
              <w:tblStyle w:val="25"/>
              <w:tblW w:w="7525"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766"/>
              <w:gridCol w:w="2596"/>
              <w:gridCol w:w="1843"/>
            </w:tblGrid>
            <w:tr w14:paraId="720EC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tcBorders>
                    <w:tl2br w:val="nil"/>
                    <w:tr2bl w:val="nil"/>
                  </w:tcBorders>
                </w:tcPr>
                <w:p w14:paraId="685158A4">
                  <w:pPr>
                    <w:pStyle w:val="35"/>
                    <w:autoSpaceDE w:val="0"/>
                    <w:autoSpaceDN w:val="0"/>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1766" w:type="dxa"/>
                  <w:tcBorders>
                    <w:tl2br w:val="nil"/>
                    <w:tr2bl w:val="nil"/>
                  </w:tcBorders>
                </w:tcPr>
                <w:p w14:paraId="7BCCDBDC">
                  <w:pPr>
                    <w:pStyle w:val="35"/>
                    <w:autoSpaceDE w:val="0"/>
                    <w:autoSpaceDN w:val="0"/>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监测点位</w:t>
                  </w:r>
                </w:p>
              </w:tc>
              <w:tc>
                <w:tcPr>
                  <w:tcW w:w="2596" w:type="dxa"/>
                  <w:tcBorders>
                    <w:tl2br w:val="nil"/>
                    <w:tr2bl w:val="nil"/>
                  </w:tcBorders>
                </w:tcPr>
                <w:p w14:paraId="30ABA3AF">
                  <w:pPr>
                    <w:pStyle w:val="35"/>
                    <w:autoSpaceDE w:val="0"/>
                    <w:autoSpaceDN w:val="0"/>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监测因子</w:t>
                  </w:r>
                </w:p>
              </w:tc>
              <w:tc>
                <w:tcPr>
                  <w:tcW w:w="1843" w:type="dxa"/>
                  <w:tcBorders>
                    <w:tl2br w:val="nil"/>
                    <w:tr2bl w:val="nil"/>
                  </w:tcBorders>
                </w:tcPr>
                <w:p w14:paraId="6FBE21A3">
                  <w:pPr>
                    <w:pStyle w:val="35"/>
                    <w:autoSpaceDE w:val="0"/>
                    <w:autoSpaceDN w:val="0"/>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监测频次</w:t>
                  </w:r>
                </w:p>
              </w:tc>
            </w:tr>
            <w:tr w14:paraId="3704C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tcBorders>
                    <w:tl2br w:val="nil"/>
                    <w:tr2bl w:val="nil"/>
                  </w:tcBorders>
                  <w:vAlign w:val="center"/>
                </w:tcPr>
                <w:p w14:paraId="55952355">
                  <w:pPr>
                    <w:pStyle w:val="35"/>
                    <w:autoSpaceDE w:val="0"/>
                    <w:autoSpaceDN w:val="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生活污水</w:t>
                  </w:r>
                </w:p>
              </w:tc>
              <w:tc>
                <w:tcPr>
                  <w:tcW w:w="1766" w:type="dxa"/>
                  <w:tcBorders>
                    <w:tl2br w:val="nil"/>
                    <w:tr2bl w:val="nil"/>
                  </w:tcBorders>
                  <w:vAlign w:val="center"/>
                </w:tcPr>
                <w:p w14:paraId="136A3866">
                  <w:pPr>
                    <w:pStyle w:val="35"/>
                    <w:autoSpaceDE w:val="0"/>
                    <w:autoSpaceDN w:val="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企业总排口</w:t>
                  </w:r>
                </w:p>
              </w:tc>
              <w:tc>
                <w:tcPr>
                  <w:tcW w:w="2596" w:type="dxa"/>
                  <w:tcBorders>
                    <w:tl2br w:val="nil"/>
                    <w:tr2bl w:val="nil"/>
                  </w:tcBorders>
                  <w:vAlign w:val="center"/>
                </w:tcPr>
                <w:p w14:paraId="184AF926">
                  <w:pPr>
                    <w:pStyle w:val="35"/>
                    <w:autoSpaceDE w:val="0"/>
                    <w:autoSpaceDN w:val="0"/>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COD、BOD、SS、</w:t>
                  </w:r>
                </w:p>
                <w:p w14:paraId="0B2381F7">
                  <w:pPr>
                    <w:pStyle w:val="35"/>
                    <w:autoSpaceDE w:val="0"/>
                    <w:autoSpaceDN w:val="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氨氮、总磷、总氮</w:t>
                  </w:r>
                </w:p>
              </w:tc>
              <w:tc>
                <w:tcPr>
                  <w:tcW w:w="1843" w:type="dxa"/>
                  <w:tcBorders>
                    <w:tl2br w:val="nil"/>
                    <w:tr2bl w:val="nil"/>
                  </w:tcBorders>
                  <w:vAlign w:val="center"/>
                </w:tcPr>
                <w:p w14:paraId="1233BB0F">
                  <w:pPr>
                    <w:pStyle w:val="35"/>
                    <w:autoSpaceDE w:val="0"/>
                    <w:autoSpaceDN w:val="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半年一次</w:t>
                  </w:r>
                </w:p>
              </w:tc>
            </w:tr>
          </w:tbl>
          <w:p w14:paraId="5C30B20F">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left"/>
              <w:textAlignment w:val="auto"/>
              <w:rPr>
                <w:rFonts w:hint="eastAsia" w:ascii="Times New Roman" w:hAnsi="Times New Roman" w:eastAsia="宋体" w:cs="宋体"/>
                <w:b/>
                <w:bCs w:val="0"/>
                <w:color w:val="auto"/>
                <w:kern w:val="2"/>
                <w:sz w:val="24"/>
                <w:szCs w:val="22"/>
                <w:lang w:val="en-US" w:eastAsia="zh-CN" w:bidi="ar-SA"/>
              </w:rPr>
            </w:pPr>
            <w:r>
              <w:rPr>
                <w:rFonts w:hint="eastAsia" w:ascii="Times New Roman" w:hAnsi="Times New Roman" w:eastAsia="宋体" w:cs="宋体"/>
                <w:b/>
                <w:bCs w:val="0"/>
                <w:color w:val="auto"/>
                <w:kern w:val="2"/>
                <w:sz w:val="24"/>
                <w:szCs w:val="22"/>
                <w:lang w:val="en-US" w:eastAsia="zh-CN" w:bidi="ar-SA"/>
              </w:rPr>
              <w:t>3</w:t>
            </w:r>
            <w:r>
              <w:rPr>
                <w:rFonts w:hint="eastAsia" w:ascii="Times New Roman" w:hAnsi="Times New Roman" w:cs="宋体"/>
                <w:b/>
                <w:bCs w:val="0"/>
                <w:color w:val="auto"/>
                <w:kern w:val="2"/>
                <w:sz w:val="24"/>
                <w:szCs w:val="22"/>
                <w:lang w:val="en-US" w:eastAsia="zh-CN" w:bidi="ar-SA"/>
              </w:rPr>
              <w:t>.</w:t>
            </w:r>
            <w:r>
              <w:rPr>
                <w:rFonts w:hint="eastAsia" w:ascii="Times New Roman" w:hAnsi="Times New Roman" w:eastAsia="宋体" w:cs="宋体"/>
                <w:b/>
                <w:bCs w:val="0"/>
                <w:color w:val="auto"/>
                <w:kern w:val="2"/>
                <w:sz w:val="24"/>
                <w:szCs w:val="22"/>
                <w:lang w:val="en-US" w:eastAsia="zh-CN" w:bidi="ar-SA"/>
              </w:rPr>
              <w:t>运营期噪声</w:t>
            </w:r>
          </w:p>
          <w:p w14:paraId="0D3345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（1）噪声源强</w:t>
            </w:r>
          </w:p>
          <w:p w14:paraId="03ED20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本项目噪声源主要为</w:t>
            </w:r>
            <w:r>
              <w:rPr>
                <w:rFonts w:hint="eastAsia" w:ascii="Times New Roman" w:hAnsi="Times New Roman" w:eastAsia="宋体" w:cs="Times New Roman"/>
                <w:color w:val="000000"/>
                <w:sz w:val="24"/>
                <w:lang w:val="en-US" w:eastAsia="zh-CN"/>
              </w:rPr>
              <w:t>搅拌机</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包装机</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风机等机械</w:t>
            </w:r>
            <w:r>
              <w:rPr>
                <w:rFonts w:hint="default" w:ascii="Times New Roman" w:hAnsi="Times New Roman" w:eastAsia="宋体" w:cs="Times New Roman"/>
                <w:color w:val="000000"/>
                <w:sz w:val="24"/>
                <w:lang w:val="en-US" w:eastAsia="zh-CN"/>
              </w:rPr>
              <w:t>设备运行</w:t>
            </w:r>
            <w:r>
              <w:rPr>
                <w:rFonts w:hint="eastAsia" w:ascii="Times New Roman" w:hAnsi="Times New Roman" w:eastAsia="宋体" w:cs="Times New Roman"/>
                <w:color w:val="000000"/>
                <w:sz w:val="24"/>
                <w:lang w:val="en-US" w:eastAsia="zh-CN"/>
              </w:rPr>
              <w:t>过程中</w:t>
            </w:r>
            <w:r>
              <w:rPr>
                <w:rFonts w:hint="default" w:ascii="Times New Roman" w:hAnsi="Times New Roman" w:eastAsia="宋体" w:cs="Times New Roman"/>
                <w:color w:val="000000"/>
                <w:sz w:val="24"/>
                <w:lang w:val="en-US" w:eastAsia="zh-CN"/>
              </w:rPr>
              <w:t>产生</w:t>
            </w:r>
            <w:r>
              <w:rPr>
                <w:rFonts w:hint="eastAsia" w:ascii="Times New Roman" w:hAnsi="Times New Roman" w:eastAsia="宋体" w:cs="Times New Roman"/>
                <w:color w:val="000000"/>
                <w:sz w:val="24"/>
                <w:lang w:val="en-US" w:eastAsia="zh-CN"/>
              </w:rPr>
              <w:t>的</w:t>
            </w:r>
            <w:r>
              <w:rPr>
                <w:rFonts w:hint="default" w:ascii="Times New Roman" w:hAnsi="Times New Roman" w:eastAsia="宋体" w:cs="Times New Roman"/>
                <w:color w:val="000000"/>
                <w:sz w:val="24"/>
                <w:lang w:val="en-US" w:eastAsia="zh-CN"/>
              </w:rPr>
              <w:t>设备噪声，噪声源为</w:t>
            </w:r>
            <w:r>
              <w:rPr>
                <w:rFonts w:hint="eastAsia" w:ascii="Times New Roman" w:hAnsi="Times New Roman" w:eastAsia="宋体" w:cs="Times New Roman"/>
                <w:color w:val="000000"/>
                <w:sz w:val="24"/>
                <w:lang w:val="en-US" w:eastAsia="zh-CN"/>
              </w:rPr>
              <w:t>75</w:t>
            </w:r>
            <w:r>
              <w:rPr>
                <w:rFonts w:hint="default" w:ascii="Times New Roman" w:hAnsi="Times New Roman" w:eastAsia="宋体" w:cs="Times New Roman"/>
                <w:color w:val="000000"/>
                <w:sz w:val="24"/>
                <w:lang w:val="en-US" w:eastAsia="zh-CN"/>
              </w:rPr>
              <w:t>dB（A）-</w:t>
            </w:r>
            <w:r>
              <w:rPr>
                <w:rFonts w:hint="eastAsia" w:ascii="Times New Roman" w:hAnsi="Times New Roman" w:eastAsia="宋体" w:cs="Times New Roman"/>
                <w:color w:val="000000"/>
                <w:sz w:val="24"/>
                <w:lang w:val="en-US" w:eastAsia="zh-CN"/>
              </w:rPr>
              <w:t>90</w:t>
            </w:r>
            <w:r>
              <w:rPr>
                <w:rFonts w:hint="default" w:ascii="Times New Roman" w:hAnsi="Times New Roman" w:eastAsia="宋体" w:cs="Times New Roman"/>
                <w:color w:val="000000"/>
                <w:sz w:val="24"/>
                <w:lang w:val="en-US" w:eastAsia="zh-CN"/>
              </w:rPr>
              <w:t>dB（A），设备噪声值及治理措施见</w:t>
            </w:r>
            <w:r>
              <w:rPr>
                <w:rFonts w:hint="eastAsia" w:ascii="Times New Roman" w:hAnsi="Times New Roman" w:cs="Times New Roman"/>
                <w:color w:val="000000"/>
                <w:sz w:val="24"/>
                <w:lang w:val="en-US" w:eastAsia="zh-CN"/>
              </w:rPr>
              <w:t>下</w:t>
            </w:r>
            <w:r>
              <w:rPr>
                <w:rFonts w:hint="default" w:ascii="Times New Roman" w:hAnsi="Times New Roman" w:eastAsia="宋体" w:cs="Times New Roman"/>
                <w:color w:val="000000"/>
                <w:sz w:val="24"/>
                <w:lang w:val="en-US" w:eastAsia="zh-CN"/>
              </w:rPr>
              <w:t>表。</w:t>
            </w:r>
          </w:p>
          <w:p w14:paraId="7230DF6C">
            <w:pPr>
              <w:pStyle w:val="35"/>
              <w:autoSpaceDE w:val="0"/>
              <w:autoSpaceDN w:val="0"/>
              <w:ind w:left="110" w:hanging="110" w:hangingChars="52"/>
              <w:jc w:val="center"/>
              <w:rPr>
                <w:rFonts w:hint="eastAsia" w:ascii="Times New Roman" w:hAnsi="Times New Roman" w:eastAsia="宋体" w:cs="Times New Roman"/>
                <w:b/>
                <w:bCs/>
                <w:szCs w:val="21"/>
                <w:lang w:val="en-US" w:eastAsia="zh-CN"/>
              </w:rPr>
            </w:pPr>
            <w:r>
              <w:rPr>
                <w:rFonts w:ascii="Times New Roman" w:hAnsi="Times New Roman" w:cs="Times New Roman"/>
                <w:b/>
                <w:bCs/>
                <w:szCs w:val="21"/>
                <w:lang w:val="en-US"/>
              </w:rPr>
              <w:t>表4-</w:t>
            </w:r>
            <w:r>
              <w:rPr>
                <w:rFonts w:hint="eastAsia" w:ascii="Times New Roman" w:hAnsi="Times New Roman" w:cs="Times New Roman"/>
                <w:b/>
                <w:bCs/>
                <w:szCs w:val="21"/>
                <w:lang w:val="en-US" w:eastAsia="zh-CN"/>
              </w:rPr>
              <w:t>6</w:t>
            </w:r>
            <w:r>
              <w:rPr>
                <w:rFonts w:ascii="Times New Roman" w:hAnsi="Times New Roman" w:cs="Times New Roman"/>
                <w:b/>
                <w:bCs/>
                <w:szCs w:val="21"/>
                <w:lang w:val="en-US"/>
              </w:rPr>
              <w:t xml:space="preserve">  </w:t>
            </w:r>
            <w:r>
              <w:rPr>
                <w:rFonts w:ascii="Times New Roman" w:hAnsi="Times New Roman" w:cs="Times New Roman"/>
                <w:b/>
                <w:bCs/>
                <w:sz w:val="21"/>
                <w:szCs w:val="21"/>
                <w:lang w:val="en-US"/>
              </w:rPr>
              <w:t>主要设备噪声源强一览表</w:t>
            </w:r>
            <w:r>
              <w:rPr>
                <w:rFonts w:hint="eastAsia" w:ascii="Times New Roman" w:hAnsi="Times New Roman" w:cs="Times New Roman"/>
                <w:b/>
                <w:bCs/>
                <w:sz w:val="21"/>
                <w:szCs w:val="21"/>
                <w:lang w:val="en-US" w:eastAsia="zh-CN"/>
              </w:rPr>
              <w:t>（室内）</w:t>
            </w:r>
          </w:p>
          <w:tbl>
            <w:tblPr>
              <w:tblStyle w:val="25"/>
              <w:tblW w:w="76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330"/>
              <w:gridCol w:w="550"/>
              <w:gridCol w:w="650"/>
              <w:gridCol w:w="680"/>
              <w:gridCol w:w="620"/>
              <w:gridCol w:w="430"/>
              <w:gridCol w:w="660"/>
              <w:gridCol w:w="780"/>
              <w:gridCol w:w="780"/>
              <w:gridCol w:w="662"/>
            </w:tblGrid>
            <w:tr w14:paraId="7381C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 w:type="dxa"/>
                  <w:vMerge w:val="restart"/>
                  <w:tcBorders>
                    <w:tl2br w:val="nil"/>
                    <w:tr2bl w:val="nil"/>
                  </w:tcBorders>
                  <w:noWrap w:val="0"/>
                  <w:vAlign w:val="center"/>
                </w:tcPr>
                <w:p w14:paraId="225C05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lang w:val="en-US" w:eastAsia="zh-CN"/>
                    </w:rPr>
                    <w:t>车间</w:t>
                  </w:r>
                </w:p>
              </w:tc>
              <w:tc>
                <w:tcPr>
                  <w:tcW w:w="1330" w:type="dxa"/>
                  <w:vMerge w:val="restart"/>
                  <w:tcBorders>
                    <w:tl2br w:val="nil"/>
                    <w:tr2bl w:val="nil"/>
                  </w:tcBorders>
                  <w:noWrap w:val="0"/>
                  <w:vAlign w:val="center"/>
                </w:tcPr>
                <w:p w14:paraId="0F9FC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声源</w:t>
                  </w:r>
                </w:p>
                <w:p w14:paraId="3D2BC9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名称</w:t>
                  </w:r>
                </w:p>
              </w:tc>
              <w:tc>
                <w:tcPr>
                  <w:tcW w:w="550" w:type="dxa"/>
                  <w:vMerge w:val="restart"/>
                  <w:tcBorders>
                    <w:tl2br w:val="nil"/>
                    <w:tr2bl w:val="nil"/>
                  </w:tcBorders>
                  <w:noWrap w:val="0"/>
                  <w:vAlign w:val="center"/>
                </w:tcPr>
                <w:p w14:paraId="06025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声功率/dB</w:t>
                  </w:r>
                </w:p>
              </w:tc>
              <w:tc>
                <w:tcPr>
                  <w:tcW w:w="650" w:type="dxa"/>
                  <w:vMerge w:val="restart"/>
                  <w:tcBorders>
                    <w:tl2br w:val="nil"/>
                    <w:tr2bl w:val="nil"/>
                  </w:tcBorders>
                  <w:noWrap w:val="0"/>
                  <w:vAlign w:val="center"/>
                </w:tcPr>
                <w:p w14:paraId="10025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声源控制措施</w:t>
                  </w:r>
                </w:p>
              </w:tc>
              <w:tc>
                <w:tcPr>
                  <w:tcW w:w="1730" w:type="dxa"/>
                  <w:gridSpan w:val="3"/>
                  <w:tcBorders>
                    <w:tl2br w:val="nil"/>
                    <w:tr2bl w:val="nil"/>
                  </w:tcBorders>
                  <w:noWrap w:val="0"/>
                  <w:vAlign w:val="center"/>
                </w:tcPr>
                <w:p w14:paraId="75B64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空间相对位置m</w:t>
                  </w:r>
                </w:p>
              </w:tc>
              <w:tc>
                <w:tcPr>
                  <w:tcW w:w="660" w:type="dxa"/>
                  <w:vMerge w:val="restart"/>
                  <w:tcBorders>
                    <w:tl2br w:val="nil"/>
                    <w:tr2bl w:val="nil"/>
                  </w:tcBorders>
                  <w:noWrap w:val="0"/>
                  <w:vAlign w:val="center"/>
                </w:tcPr>
                <w:p w14:paraId="77BD0F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距室内边界m</w:t>
                  </w:r>
                </w:p>
              </w:tc>
              <w:tc>
                <w:tcPr>
                  <w:tcW w:w="780" w:type="dxa"/>
                  <w:vMerge w:val="restart"/>
                  <w:tcBorders>
                    <w:tl2br w:val="nil"/>
                    <w:tr2bl w:val="nil"/>
                  </w:tcBorders>
                  <w:noWrap w:val="0"/>
                  <w:vAlign w:val="center"/>
                </w:tcPr>
                <w:p w14:paraId="42466A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距室内边界声级/dB</w:t>
                  </w:r>
                </w:p>
              </w:tc>
              <w:tc>
                <w:tcPr>
                  <w:tcW w:w="780" w:type="dxa"/>
                  <w:vMerge w:val="restart"/>
                  <w:tcBorders>
                    <w:tl2br w:val="nil"/>
                    <w:tr2bl w:val="nil"/>
                  </w:tcBorders>
                  <w:noWrap w:val="0"/>
                  <w:vAlign w:val="center"/>
                </w:tcPr>
                <w:p w14:paraId="558DBF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建筑物插入损失/dB</w:t>
                  </w:r>
                </w:p>
              </w:tc>
              <w:tc>
                <w:tcPr>
                  <w:tcW w:w="662" w:type="dxa"/>
                  <w:vMerge w:val="restart"/>
                  <w:tcBorders>
                    <w:tl2br w:val="nil"/>
                    <w:tr2bl w:val="nil"/>
                  </w:tcBorders>
                  <w:noWrap w:val="0"/>
                  <w:vAlign w:val="center"/>
                </w:tcPr>
                <w:p w14:paraId="27C1D6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排放源强/dB</w:t>
                  </w:r>
                </w:p>
              </w:tc>
            </w:tr>
            <w:tr w14:paraId="0F7FB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 w:type="dxa"/>
                  <w:vMerge w:val="continue"/>
                  <w:tcBorders>
                    <w:tl2br w:val="nil"/>
                    <w:tr2bl w:val="nil"/>
                  </w:tcBorders>
                  <w:noWrap w:val="0"/>
                  <w:vAlign w:val="center"/>
                </w:tcPr>
                <w:p w14:paraId="45DC5C0C">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rPr>
                  </w:pPr>
                </w:p>
              </w:tc>
              <w:tc>
                <w:tcPr>
                  <w:tcW w:w="1330" w:type="dxa"/>
                  <w:vMerge w:val="continue"/>
                  <w:tcBorders>
                    <w:tl2br w:val="nil"/>
                    <w:tr2bl w:val="nil"/>
                  </w:tcBorders>
                  <w:noWrap w:val="0"/>
                  <w:vAlign w:val="center"/>
                </w:tcPr>
                <w:p w14:paraId="22209671">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rPr>
                  </w:pPr>
                </w:p>
              </w:tc>
              <w:tc>
                <w:tcPr>
                  <w:tcW w:w="550" w:type="dxa"/>
                  <w:vMerge w:val="continue"/>
                  <w:tcBorders>
                    <w:tl2br w:val="nil"/>
                    <w:tr2bl w:val="nil"/>
                  </w:tcBorders>
                  <w:noWrap w:val="0"/>
                  <w:vAlign w:val="center"/>
                </w:tcPr>
                <w:p w14:paraId="1D52EFDE">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rPr>
                  </w:pPr>
                </w:p>
              </w:tc>
              <w:tc>
                <w:tcPr>
                  <w:tcW w:w="650" w:type="dxa"/>
                  <w:vMerge w:val="continue"/>
                  <w:tcBorders>
                    <w:tl2br w:val="nil"/>
                    <w:tr2bl w:val="nil"/>
                  </w:tcBorders>
                  <w:noWrap w:val="0"/>
                  <w:vAlign w:val="center"/>
                </w:tcPr>
                <w:p w14:paraId="6A5F5718">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rPr>
                  </w:pPr>
                </w:p>
              </w:tc>
              <w:tc>
                <w:tcPr>
                  <w:tcW w:w="680" w:type="dxa"/>
                  <w:tcBorders>
                    <w:tl2br w:val="nil"/>
                    <w:tr2bl w:val="nil"/>
                  </w:tcBorders>
                  <w:noWrap w:val="0"/>
                  <w:vAlign w:val="center"/>
                </w:tcPr>
                <w:p w14:paraId="53E3BB1A">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X</w:t>
                  </w:r>
                </w:p>
              </w:tc>
              <w:tc>
                <w:tcPr>
                  <w:tcW w:w="620" w:type="dxa"/>
                  <w:tcBorders>
                    <w:tl2br w:val="nil"/>
                    <w:tr2bl w:val="nil"/>
                  </w:tcBorders>
                  <w:noWrap w:val="0"/>
                  <w:vAlign w:val="center"/>
                </w:tcPr>
                <w:p w14:paraId="1876D1C9">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Y</w:t>
                  </w:r>
                </w:p>
              </w:tc>
              <w:tc>
                <w:tcPr>
                  <w:tcW w:w="430" w:type="dxa"/>
                  <w:tcBorders>
                    <w:tl2br w:val="nil"/>
                    <w:tr2bl w:val="nil"/>
                  </w:tcBorders>
                  <w:noWrap w:val="0"/>
                  <w:vAlign w:val="center"/>
                </w:tcPr>
                <w:p w14:paraId="37B70787">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sz w:val="21"/>
                      <w:szCs w:val="21"/>
                    </w:rPr>
                    <w:t>Z</w:t>
                  </w:r>
                </w:p>
              </w:tc>
              <w:tc>
                <w:tcPr>
                  <w:tcW w:w="660" w:type="dxa"/>
                  <w:vMerge w:val="continue"/>
                  <w:tcBorders>
                    <w:tl2br w:val="nil"/>
                    <w:tr2bl w:val="nil"/>
                  </w:tcBorders>
                  <w:noWrap w:val="0"/>
                  <w:vAlign w:val="center"/>
                </w:tcPr>
                <w:p w14:paraId="5F8DDAEC">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780" w:type="dxa"/>
                  <w:vMerge w:val="continue"/>
                  <w:tcBorders>
                    <w:tl2br w:val="nil"/>
                    <w:tr2bl w:val="nil"/>
                  </w:tcBorders>
                  <w:noWrap w:val="0"/>
                  <w:vAlign w:val="center"/>
                </w:tcPr>
                <w:p w14:paraId="1897E5C2">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780" w:type="dxa"/>
                  <w:vMerge w:val="continue"/>
                  <w:tcBorders>
                    <w:tl2br w:val="nil"/>
                    <w:tr2bl w:val="nil"/>
                  </w:tcBorders>
                  <w:noWrap w:val="0"/>
                  <w:vAlign w:val="center"/>
                </w:tcPr>
                <w:p w14:paraId="7C069035">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662" w:type="dxa"/>
                  <w:vMerge w:val="continue"/>
                  <w:tcBorders>
                    <w:tl2br w:val="nil"/>
                    <w:tr2bl w:val="nil"/>
                  </w:tcBorders>
                  <w:noWrap w:val="0"/>
                  <w:vAlign w:val="center"/>
                </w:tcPr>
                <w:p w14:paraId="69B38D80">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r>
            <w:tr w14:paraId="040C1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 w:type="dxa"/>
                  <w:vMerge w:val="restart"/>
                  <w:tcBorders>
                    <w:tl2br w:val="nil"/>
                    <w:tr2bl w:val="nil"/>
                  </w:tcBorders>
                  <w:noWrap w:val="0"/>
                  <w:vAlign w:val="center"/>
                </w:tcPr>
                <w:p w14:paraId="0070A386">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1车间</w:t>
                  </w:r>
                </w:p>
              </w:tc>
              <w:tc>
                <w:tcPr>
                  <w:tcW w:w="1330" w:type="dxa"/>
                  <w:tcBorders>
                    <w:tl2br w:val="nil"/>
                    <w:tr2bl w:val="nil"/>
                  </w:tcBorders>
                  <w:noWrap w:val="0"/>
                  <w:vAlign w:val="center"/>
                </w:tcPr>
                <w:p w14:paraId="0D6C5B0D">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搅拌机</w:t>
                  </w:r>
                  <w:r>
                    <w:rPr>
                      <w:rFonts w:hint="eastAsia" w:ascii="Times New Roman" w:hAnsi="Times New Roman" w:cs="Times New Roman"/>
                      <w:kern w:val="2"/>
                      <w:sz w:val="21"/>
                      <w:szCs w:val="21"/>
                      <w:lang w:val="en-US" w:eastAsia="zh-CN" w:bidi="ar-SA"/>
                    </w:rPr>
                    <w:t>1#</w:t>
                  </w:r>
                </w:p>
              </w:tc>
              <w:tc>
                <w:tcPr>
                  <w:tcW w:w="550" w:type="dxa"/>
                  <w:tcBorders>
                    <w:tl2br w:val="nil"/>
                    <w:tr2bl w:val="nil"/>
                  </w:tcBorders>
                  <w:noWrap w:val="0"/>
                  <w:vAlign w:val="center"/>
                </w:tcPr>
                <w:p w14:paraId="055BAA8C">
                  <w:pPr>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650" w:type="dxa"/>
                  <w:vMerge w:val="restart"/>
                  <w:tcBorders>
                    <w:tl2br w:val="nil"/>
                    <w:tr2bl w:val="nil"/>
                  </w:tcBorders>
                  <w:noWrap w:val="0"/>
                  <w:vAlign w:val="center"/>
                </w:tcPr>
                <w:p w14:paraId="34AF79F2">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rPr>
                    <w:t>厂房</w:t>
                  </w:r>
                </w:p>
                <w:p w14:paraId="43074972">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rPr>
                    <w:t>隔声</w:t>
                  </w:r>
                </w:p>
                <w:p w14:paraId="6B6D1308">
                  <w:pPr>
                    <w:pStyle w:val="35"/>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rPr>
                    <w:t>减</w:t>
                  </w:r>
                  <w:r>
                    <w:rPr>
                      <w:rFonts w:hint="default" w:ascii="Times New Roman" w:hAnsi="Times New Roman" w:eastAsia="宋体" w:cs="Times New Roman"/>
                      <w:color w:val="000000"/>
                      <w:kern w:val="0"/>
                      <w:sz w:val="21"/>
                      <w:szCs w:val="21"/>
                    </w:rPr>
                    <w:t>振</w:t>
                  </w:r>
                </w:p>
              </w:tc>
              <w:tc>
                <w:tcPr>
                  <w:tcW w:w="680" w:type="dxa"/>
                  <w:tcBorders>
                    <w:tl2br w:val="nil"/>
                    <w:tr2bl w:val="nil"/>
                  </w:tcBorders>
                  <w:noWrap w:val="0"/>
                  <w:vAlign w:val="center"/>
                </w:tcPr>
                <w:p w14:paraId="3AB76DB1">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22</w:t>
                  </w:r>
                </w:p>
              </w:tc>
              <w:tc>
                <w:tcPr>
                  <w:tcW w:w="620" w:type="dxa"/>
                  <w:tcBorders>
                    <w:tl2br w:val="nil"/>
                    <w:tr2bl w:val="nil"/>
                  </w:tcBorders>
                  <w:noWrap w:val="0"/>
                  <w:vAlign w:val="center"/>
                </w:tcPr>
                <w:p w14:paraId="406C9F69">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55</w:t>
                  </w:r>
                </w:p>
              </w:tc>
              <w:tc>
                <w:tcPr>
                  <w:tcW w:w="430" w:type="dxa"/>
                  <w:tcBorders>
                    <w:tl2br w:val="nil"/>
                    <w:tr2bl w:val="nil"/>
                  </w:tcBorders>
                  <w:noWrap w:val="0"/>
                  <w:vAlign w:val="center"/>
                </w:tcPr>
                <w:p w14:paraId="711FF53E">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1</w:t>
                  </w:r>
                </w:p>
              </w:tc>
              <w:tc>
                <w:tcPr>
                  <w:tcW w:w="660" w:type="dxa"/>
                  <w:tcBorders>
                    <w:tl2br w:val="nil"/>
                    <w:tr2bl w:val="nil"/>
                  </w:tcBorders>
                  <w:noWrap w:val="0"/>
                  <w:vAlign w:val="center"/>
                </w:tcPr>
                <w:p w14:paraId="2CC5CD50">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3</w:t>
                  </w:r>
                </w:p>
              </w:tc>
              <w:tc>
                <w:tcPr>
                  <w:tcW w:w="780" w:type="dxa"/>
                  <w:tcBorders>
                    <w:tl2br w:val="nil"/>
                    <w:tr2bl w:val="nil"/>
                  </w:tcBorders>
                  <w:noWrap w:val="0"/>
                  <w:vAlign w:val="center"/>
                </w:tcPr>
                <w:p w14:paraId="7205E908">
                  <w:pPr>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70.5</w:t>
                  </w:r>
                </w:p>
              </w:tc>
              <w:tc>
                <w:tcPr>
                  <w:tcW w:w="780" w:type="dxa"/>
                  <w:vMerge w:val="restart"/>
                  <w:tcBorders>
                    <w:tl2br w:val="nil"/>
                    <w:tr2bl w:val="nil"/>
                  </w:tcBorders>
                  <w:noWrap w:val="0"/>
                  <w:vAlign w:val="center"/>
                </w:tcPr>
                <w:p w14:paraId="76330A8B">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20</w:t>
                  </w:r>
                </w:p>
              </w:tc>
              <w:tc>
                <w:tcPr>
                  <w:tcW w:w="662" w:type="dxa"/>
                  <w:vMerge w:val="restart"/>
                  <w:tcBorders>
                    <w:tl2br w:val="nil"/>
                    <w:tr2bl w:val="nil"/>
                  </w:tcBorders>
                  <w:noWrap w:val="0"/>
                  <w:vAlign w:val="center"/>
                </w:tcPr>
                <w:p w14:paraId="5D12BAA0">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62</w:t>
                  </w:r>
                </w:p>
              </w:tc>
            </w:tr>
            <w:tr w14:paraId="61CF0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 w:type="dxa"/>
                  <w:vMerge w:val="continue"/>
                  <w:tcBorders>
                    <w:tl2br w:val="nil"/>
                    <w:tr2bl w:val="nil"/>
                  </w:tcBorders>
                  <w:noWrap w:val="0"/>
                  <w:vAlign w:val="center"/>
                </w:tcPr>
                <w:p w14:paraId="1AD75846">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kern w:val="2"/>
                      <w:sz w:val="21"/>
                      <w:szCs w:val="21"/>
                      <w:lang w:val="en-US" w:eastAsia="zh-CN" w:bidi="ar-SA"/>
                    </w:rPr>
                  </w:pPr>
                </w:p>
              </w:tc>
              <w:tc>
                <w:tcPr>
                  <w:tcW w:w="1330" w:type="dxa"/>
                  <w:tcBorders>
                    <w:tl2br w:val="nil"/>
                    <w:tr2bl w:val="nil"/>
                  </w:tcBorders>
                  <w:noWrap w:val="0"/>
                  <w:vAlign w:val="center"/>
                </w:tcPr>
                <w:p w14:paraId="65A96FDB">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搅拌机</w:t>
                  </w:r>
                  <w:r>
                    <w:rPr>
                      <w:rFonts w:hint="eastAsia" w:ascii="Times New Roman" w:hAnsi="Times New Roman" w:cs="Times New Roman"/>
                      <w:kern w:val="2"/>
                      <w:sz w:val="21"/>
                      <w:szCs w:val="21"/>
                      <w:lang w:val="en-US" w:eastAsia="zh-CN" w:bidi="ar-SA"/>
                    </w:rPr>
                    <w:t>2#</w:t>
                  </w:r>
                </w:p>
              </w:tc>
              <w:tc>
                <w:tcPr>
                  <w:tcW w:w="550" w:type="dxa"/>
                  <w:tcBorders>
                    <w:tl2br w:val="nil"/>
                    <w:tr2bl w:val="nil"/>
                  </w:tcBorders>
                  <w:noWrap w:val="0"/>
                  <w:vAlign w:val="center"/>
                </w:tcPr>
                <w:p w14:paraId="3089E35A">
                  <w:pPr>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650" w:type="dxa"/>
                  <w:vMerge w:val="continue"/>
                  <w:tcBorders>
                    <w:tl2br w:val="nil"/>
                    <w:tr2bl w:val="nil"/>
                  </w:tcBorders>
                  <w:noWrap w:val="0"/>
                  <w:vAlign w:val="center"/>
                </w:tcPr>
                <w:p w14:paraId="46243E86">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rPr>
                  </w:pPr>
                </w:p>
              </w:tc>
              <w:tc>
                <w:tcPr>
                  <w:tcW w:w="680" w:type="dxa"/>
                  <w:tcBorders>
                    <w:tl2br w:val="nil"/>
                    <w:tr2bl w:val="nil"/>
                  </w:tcBorders>
                  <w:noWrap w:val="0"/>
                  <w:vAlign w:val="center"/>
                </w:tcPr>
                <w:p w14:paraId="7E9A9013">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22</w:t>
                  </w:r>
                </w:p>
              </w:tc>
              <w:tc>
                <w:tcPr>
                  <w:tcW w:w="620" w:type="dxa"/>
                  <w:tcBorders>
                    <w:tl2br w:val="nil"/>
                    <w:tr2bl w:val="nil"/>
                  </w:tcBorders>
                  <w:noWrap w:val="0"/>
                  <w:vAlign w:val="center"/>
                </w:tcPr>
                <w:p w14:paraId="1DE6DFDE">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50</w:t>
                  </w:r>
                </w:p>
              </w:tc>
              <w:tc>
                <w:tcPr>
                  <w:tcW w:w="430" w:type="dxa"/>
                  <w:tcBorders>
                    <w:tl2br w:val="nil"/>
                    <w:tr2bl w:val="nil"/>
                  </w:tcBorders>
                  <w:noWrap w:val="0"/>
                  <w:vAlign w:val="center"/>
                </w:tcPr>
                <w:p w14:paraId="40C079B9">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1</w:t>
                  </w:r>
                </w:p>
              </w:tc>
              <w:tc>
                <w:tcPr>
                  <w:tcW w:w="660" w:type="dxa"/>
                  <w:tcBorders>
                    <w:tl2br w:val="nil"/>
                    <w:tr2bl w:val="nil"/>
                  </w:tcBorders>
                  <w:noWrap w:val="0"/>
                  <w:vAlign w:val="center"/>
                </w:tcPr>
                <w:p w14:paraId="7F6A5726">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3</w:t>
                  </w:r>
                </w:p>
              </w:tc>
              <w:tc>
                <w:tcPr>
                  <w:tcW w:w="780" w:type="dxa"/>
                  <w:tcBorders>
                    <w:tl2br w:val="nil"/>
                    <w:tr2bl w:val="nil"/>
                  </w:tcBorders>
                  <w:noWrap w:val="0"/>
                  <w:vAlign w:val="center"/>
                </w:tcPr>
                <w:p w14:paraId="2BE8FA1A">
                  <w:pPr>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70.5</w:t>
                  </w:r>
                </w:p>
              </w:tc>
              <w:tc>
                <w:tcPr>
                  <w:tcW w:w="780" w:type="dxa"/>
                  <w:vMerge w:val="continue"/>
                  <w:tcBorders>
                    <w:tl2br w:val="nil"/>
                    <w:tr2bl w:val="nil"/>
                  </w:tcBorders>
                  <w:noWrap w:val="0"/>
                  <w:vAlign w:val="center"/>
                </w:tcPr>
                <w:p w14:paraId="4926A552">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662" w:type="dxa"/>
                  <w:vMerge w:val="continue"/>
                  <w:tcBorders>
                    <w:tl2br w:val="nil"/>
                    <w:tr2bl w:val="nil"/>
                  </w:tcBorders>
                  <w:noWrap w:val="0"/>
                  <w:vAlign w:val="center"/>
                </w:tcPr>
                <w:p w14:paraId="2275A774">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r>
            <w:tr w14:paraId="24101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 w:type="dxa"/>
                  <w:vMerge w:val="continue"/>
                  <w:tcBorders>
                    <w:tl2br w:val="nil"/>
                    <w:tr2bl w:val="nil"/>
                  </w:tcBorders>
                  <w:noWrap w:val="0"/>
                  <w:vAlign w:val="center"/>
                </w:tcPr>
                <w:p w14:paraId="4E820971">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kern w:val="2"/>
                      <w:sz w:val="21"/>
                      <w:szCs w:val="21"/>
                      <w:lang w:val="en-US" w:eastAsia="zh-CN" w:bidi="ar-SA"/>
                    </w:rPr>
                  </w:pPr>
                </w:p>
              </w:tc>
              <w:tc>
                <w:tcPr>
                  <w:tcW w:w="1330" w:type="dxa"/>
                  <w:tcBorders>
                    <w:tl2br w:val="nil"/>
                    <w:tr2bl w:val="nil"/>
                  </w:tcBorders>
                  <w:noWrap w:val="0"/>
                  <w:vAlign w:val="center"/>
                </w:tcPr>
                <w:p w14:paraId="4D140FC5">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搅拌机</w:t>
                  </w:r>
                  <w:r>
                    <w:rPr>
                      <w:rFonts w:hint="eastAsia" w:ascii="Times New Roman" w:hAnsi="Times New Roman" w:cs="Times New Roman"/>
                      <w:kern w:val="2"/>
                      <w:sz w:val="21"/>
                      <w:szCs w:val="21"/>
                      <w:lang w:val="en-US" w:eastAsia="zh-CN" w:bidi="ar-SA"/>
                    </w:rPr>
                    <w:t>3#</w:t>
                  </w:r>
                </w:p>
              </w:tc>
              <w:tc>
                <w:tcPr>
                  <w:tcW w:w="550" w:type="dxa"/>
                  <w:tcBorders>
                    <w:tl2br w:val="nil"/>
                    <w:tr2bl w:val="nil"/>
                  </w:tcBorders>
                  <w:noWrap w:val="0"/>
                  <w:vAlign w:val="center"/>
                </w:tcPr>
                <w:p w14:paraId="326BB9FA">
                  <w:pPr>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650" w:type="dxa"/>
                  <w:vMerge w:val="continue"/>
                  <w:tcBorders>
                    <w:tl2br w:val="nil"/>
                    <w:tr2bl w:val="nil"/>
                  </w:tcBorders>
                  <w:noWrap w:val="0"/>
                  <w:vAlign w:val="center"/>
                </w:tcPr>
                <w:p w14:paraId="42396A11">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rPr>
                  </w:pPr>
                </w:p>
              </w:tc>
              <w:tc>
                <w:tcPr>
                  <w:tcW w:w="680" w:type="dxa"/>
                  <w:tcBorders>
                    <w:tl2br w:val="nil"/>
                    <w:tr2bl w:val="nil"/>
                  </w:tcBorders>
                  <w:noWrap w:val="0"/>
                  <w:vAlign w:val="center"/>
                </w:tcPr>
                <w:p w14:paraId="7276E6CD">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22</w:t>
                  </w:r>
                </w:p>
              </w:tc>
              <w:tc>
                <w:tcPr>
                  <w:tcW w:w="620" w:type="dxa"/>
                  <w:tcBorders>
                    <w:tl2br w:val="nil"/>
                    <w:tr2bl w:val="nil"/>
                  </w:tcBorders>
                  <w:noWrap w:val="0"/>
                  <w:vAlign w:val="center"/>
                </w:tcPr>
                <w:p w14:paraId="7667EF44">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45</w:t>
                  </w:r>
                </w:p>
              </w:tc>
              <w:tc>
                <w:tcPr>
                  <w:tcW w:w="430" w:type="dxa"/>
                  <w:tcBorders>
                    <w:tl2br w:val="nil"/>
                    <w:tr2bl w:val="nil"/>
                  </w:tcBorders>
                  <w:noWrap w:val="0"/>
                  <w:vAlign w:val="center"/>
                </w:tcPr>
                <w:p w14:paraId="4CFBEEE7">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1</w:t>
                  </w:r>
                </w:p>
              </w:tc>
              <w:tc>
                <w:tcPr>
                  <w:tcW w:w="660" w:type="dxa"/>
                  <w:tcBorders>
                    <w:tl2br w:val="nil"/>
                    <w:tr2bl w:val="nil"/>
                  </w:tcBorders>
                  <w:noWrap w:val="0"/>
                  <w:vAlign w:val="center"/>
                </w:tcPr>
                <w:p w14:paraId="0B3EA202">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3</w:t>
                  </w:r>
                </w:p>
              </w:tc>
              <w:tc>
                <w:tcPr>
                  <w:tcW w:w="780" w:type="dxa"/>
                  <w:tcBorders>
                    <w:tl2br w:val="nil"/>
                    <w:tr2bl w:val="nil"/>
                  </w:tcBorders>
                  <w:noWrap w:val="0"/>
                  <w:vAlign w:val="center"/>
                </w:tcPr>
                <w:p w14:paraId="44211E34">
                  <w:pPr>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70.5</w:t>
                  </w:r>
                </w:p>
              </w:tc>
              <w:tc>
                <w:tcPr>
                  <w:tcW w:w="780" w:type="dxa"/>
                  <w:vMerge w:val="continue"/>
                  <w:tcBorders>
                    <w:tl2br w:val="nil"/>
                    <w:tr2bl w:val="nil"/>
                  </w:tcBorders>
                  <w:noWrap w:val="0"/>
                  <w:vAlign w:val="center"/>
                </w:tcPr>
                <w:p w14:paraId="546CFDFD">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662" w:type="dxa"/>
                  <w:vMerge w:val="continue"/>
                  <w:tcBorders>
                    <w:tl2br w:val="nil"/>
                    <w:tr2bl w:val="nil"/>
                  </w:tcBorders>
                  <w:noWrap w:val="0"/>
                  <w:vAlign w:val="center"/>
                </w:tcPr>
                <w:p w14:paraId="4B25985B">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r>
            <w:tr w14:paraId="1B0DA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 w:type="dxa"/>
                  <w:vMerge w:val="continue"/>
                  <w:tcBorders>
                    <w:tl2br w:val="nil"/>
                    <w:tr2bl w:val="nil"/>
                  </w:tcBorders>
                  <w:noWrap w:val="0"/>
                  <w:vAlign w:val="center"/>
                </w:tcPr>
                <w:p w14:paraId="231619DC">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kern w:val="2"/>
                      <w:sz w:val="21"/>
                      <w:szCs w:val="21"/>
                      <w:lang w:val="en-US" w:eastAsia="zh-CN" w:bidi="ar-SA"/>
                    </w:rPr>
                  </w:pPr>
                </w:p>
              </w:tc>
              <w:tc>
                <w:tcPr>
                  <w:tcW w:w="1330" w:type="dxa"/>
                  <w:tcBorders>
                    <w:tl2br w:val="nil"/>
                    <w:tr2bl w:val="nil"/>
                  </w:tcBorders>
                  <w:noWrap w:val="0"/>
                  <w:vAlign w:val="center"/>
                </w:tcPr>
                <w:p w14:paraId="74D7CDC6">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气泵</w:t>
                  </w:r>
                </w:p>
              </w:tc>
              <w:tc>
                <w:tcPr>
                  <w:tcW w:w="550" w:type="dxa"/>
                  <w:tcBorders>
                    <w:tl2br w:val="nil"/>
                    <w:tr2bl w:val="nil"/>
                  </w:tcBorders>
                  <w:noWrap w:val="0"/>
                  <w:vAlign w:val="center"/>
                </w:tcPr>
                <w:p w14:paraId="57937E17">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w:t>
                  </w:r>
                </w:p>
              </w:tc>
              <w:tc>
                <w:tcPr>
                  <w:tcW w:w="650" w:type="dxa"/>
                  <w:vMerge w:val="continue"/>
                  <w:tcBorders>
                    <w:tl2br w:val="nil"/>
                    <w:tr2bl w:val="nil"/>
                  </w:tcBorders>
                  <w:noWrap w:val="0"/>
                  <w:vAlign w:val="center"/>
                </w:tcPr>
                <w:p w14:paraId="73859339">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rPr>
                  </w:pPr>
                </w:p>
              </w:tc>
              <w:tc>
                <w:tcPr>
                  <w:tcW w:w="680" w:type="dxa"/>
                  <w:tcBorders>
                    <w:tl2br w:val="nil"/>
                    <w:tr2bl w:val="nil"/>
                  </w:tcBorders>
                  <w:noWrap w:val="0"/>
                  <w:vAlign w:val="center"/>
                </w:tcPr>
                <w:p w14:paraId="3DF294AA">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22</w:t>
                  </w:r>
                </w:p>
              </w:tc>
              <w:tc>
                <w:tcPr>
                  <w:tcW w:w="620" w:type="dxa"/>
                  <w:tcBorders>
                    <w:tl2br w:val="nil"/>
                    <w:tr2bl w:val="nil"/>
                  </w:tcBorders>
                  <w:noWrap w:val="0"/>
                  <w:vAlign w:val="center"/>
                </w:tcPr>
                <w:p w14:paraId="00F8117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45</w:t>
                  </w:r>
                </w:p>
              </w:tc>
              <w:tc>
                <w:tcPr>
                  <w:tcW w:w="430" w:type="dxa"/>
                  <w:tcBorders>
                    <w:tl2br w:val="nil"/>
                    <w:tr2bl w:val="nil"/>
                  </w:tcBorders>
                  <w:noWrap w:val="0"/>
                  <w:vAlign w:val="center"/>
                </w:tcPr>
                <w:p w14:paraId="7566E83B">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p>
              </w:tc>
              <w:tc>
                <w:tcPr>
                  <w:tcW w:w="660" w:type="dxa"/>
                  <w:tcBorders>
                    <w:tl2br w:val="nil"/>
                    <w:tr2bl w:val="nil"/>
                  </w:tcBorders>
                  <w:noWrap w:val="0"/>
                  <w:vAlign w:val="center"/>
                </w:tcPr>
                <w:p w14:paraId="5E59590C">
                  <w:pPr>
                    <w:pStyle w:val="35"/>
                    <w:ind w:right="84" w:rightChars="0"/>
                    <w:jc w:val="center"/>
                    <w:rPr>
                      <w:rFonts w:hint="default" w:ascii="Times New Roman" w:hAnsi="Times New Roman" w:eastAsia="宋体" w:cs="Times New Roman"/>
                      <w:color w:val="000000"/>
                      <w:kern w:val="2"/>
                      <w:sz w:val="21"/>
                      <w:szCs w:val="21"/>
                      <w:lang w:val="en-US" w:eastAsia="zh-CN" w:bidi="zh-CN"/>
                    </w:rPr>
                  </w:pPr>
                  <w:r>
                    <w:rPr>
                      <w:rFonts w:hint="eastAsia" w:ascii="Times New Roman" w:hAnsi="Times New Roman" w:cs="Times New Roman"/>
                      <w:color w:val="000000"/>
                      <w:szCs w:val="21"/>
                      <w:lang w:val="en-US" w:eastAsia="zh-CN"/>
                    </w:rPr>
                    <w:t>3</w:t>
                  </w:r>
                </w:p>
              </w:tc>
              <w:tc>
                <w:tcPr>
                  <w:tcW w:w="780" w:type="dxa"/>
                  <w:tcBorders>
                    <w:tl2br w:val="nil"/>
                    <w:tr2bl w:val="nil"/>
                  </w:tcBorders>
                  <w:noWrap w:val="0"/>
                  <w:vAlign w:val="center"/>
                </w:tcPr>
                <w:p w14:paraId="297CD6BE">
                  <w:pPr>
                    <w:pStyle w:val="35"/>
                    <w:spacing w:line="240" w:lineRule="auto"/>
                    <w:ind w:right="84" w:rightChars="0"/>
                    <w:jc w:val="center"/>
                    <w:rPr>
                      <w:rFonts w:hint="default" w:ascii="Times New Roman" w:hAnsi="Times New Roman" w:eastAsia="宋体" w:cs="Times New Roman"/>
                      <w:color w:val="000000"/>
                      <w:kern w:val="2"/>
                      <w:sz w:val="21"/>
                      <w:szCs w:val="21"/>
                      <w:lang w:val="en-US" w:eastAsia="zh-CN" w:bidi="zh-CN"/>
                    </w:rPr>
                  </w:pPr>
                  <w:r>
                    <w:rPr>
                      <w:rFonts w:hint="eastAsia" w:ascii="Times New Roman" w:hAnsi="Times New Roman" w:cs="Times New Roman"/>
                      <w:color w:val="000000"/>
                      <w:kern w:val="2"/>
                      <w:sz w:val="21"/>
                      <w:szCs w:val="21"/>
                      <w:lang w:val="en-US" w:eastAsia="zh-CN" w:bidi="zh-CN"/>
                    </w:rPr>
                    <w:t>80</w:t>
                  </w:r>
                </w:p>
              </w:tc>
              <w:tc>
                <w:tcPr>
                  <w:tcW w:w="780" w:type="dxa"/>
                  <w:vMerge w:val="continue"/>
                  <w:tcBorders>
                    <w:tl2br w:val="nil"/>
                    <w:tr2bl w:val="nil"/>
                  </w:tcBorders>
                  <w:noWrap w:val="0"/>
                  <w:vAlign w:val="center"/>
                </w:tcPr>
                <w:p w14:paraId="183F82F4">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662" w:type="dxa"/>
                  <w:vMerge w:val="continue"/>
                  <w:tcBorders>
                    <w:tl2br w:val="nil"/>
                    <w:tr2bl w:val="nil"/>
                  </w:tcBorders>
                  <w:noWrap w:val="0"/>
                  <w:vAlign w:val="center"/>
                </w:tcPr>
                <w:p w14:paraId="7F41FABF">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r>
            <w:tr w14:paraId="08EAB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 w:type="dxa"/>
                  <w:vMerge w:val="continue"/>
                  <w:tcBorders>
                    <w:tl2br w:val="nil"/>
                    <w:tr2bl w:val="nil"/>
                  </w:tcBorders>
                  <w:noWrap w:val="0"/>
                  <w:vAlign w:val="center"/>
                </w:tcPr>
                <w:p w14:paraId="078290B8">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kern w:val="2"/>
                      <w:sz w:val="21"/>
                      <w:szCs w:val="21"/>
                      <w:lang w:val="en-US" w:eastAsia="zh-CN" w:bidi="ar-SA"/>
                    </w:rPr>
                  </w:pPr>
                </w:p>
              </w:tc>
              <w:tc>
                <w:tcPr>
                  <w:tcW w:w="1330" w:type="dxa"/>
                  <w:tcBorders>
                    <w:tl2br w:val="nil"/>
                    <w:tr2bl w:val="nil"/>
                  </w:tcBorders>
                  <w:noWrap w:val="0"/>
                  <w:vAlign w:val="center"/>
                </w:tcPr>
                <w:p w14:paraId="5CE47073">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风机</w:t>
                  </w:r>
                </w:p>
              </w:tc>
              <w:tc>
                <w:tcPr>
                  <w:tcW w:w="550" w:type="dxa"/>
                  <w:tcBorders>
                    <w:tl2br w:val="nil"/>
                    <w:tr2bl w:val="nil"/>
                  </w:tcBorders>
                  <w:noWrap w:val="0"/>
                  <w:vAlign w:val="center"/>
                </w:tcPr>
                <w:p w14:paraId="1299C044">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90</w:t>
                  </w:r>
                </w:p>
              </w:tc>
              <w:tc>
                <w:tcPr>
                  <w:tcW w:w="650" w:type="dxa"/>
                  <w:vMerge w:val="continue"/>
                  <w:tcBorders>
                    <w:tl2br w:val="nil"/>
                    <w:tr2bl w:val="nil"/>
                  </w:tcBorders>
                  <w:noWrap w:val="0"/>
                  <w:vAlign w:val="center"/>
                </w:tcPr>
                <w:p w14:paraId="6B5BCEB3">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sz w:val="21"/>
                      <w:szCs w:val="21"/>
                    </w:rPr>
                  </w:pPr>
                </w:p>
              </w:tc>
              <w:tc>
                <w:tcPr>
                  <w:tcW w:w="680" w:type="dxa"/>
                  <w:tcBorders>
                    <w:tl2br w:val="nil"/>
                    <w:tr2bl w:val="nil"/>
                  </w:tcBorders>
                  <w:noWrap w:val="0"/>
                  <w:vAlign w:val="center"/>
                </w:tcPr>
                <w:p w14:paraId="0F858CE6">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25</w:t>
                  </w:r>
                </w:p>
              </w:tc>
              <w:tc>
                <w:tcPr>
                  <w:tcW w:w="620" w:type="dxa"/>
                  <w:tcBorders>
                    <w:tl2br w:val="nil"/>
                    <w:tr2bl w:val="nil"/>
                  </w:tcBorders>
                  <w:noWrap w:val="0"/>
                  <w:vAlign w:val="center"/>
                </w:tcPr>
                <w:p w14:paraId="709919F4">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63</w:t>
                  </w:r>
                </w:p>
              </w:tc>
              <w:tc>
                <w:tcPr>
                  <w:tcW w:w="430" w:type="dxa"/>
                  <w:tcBorders>
                    <w:tl2br w:val="nil"/>
                    <w:tr2bl w:val="nil"/>
                  </w:tcBorders>
                  <w:noWrap w:val="0"/>
                  <w:vAlign w:val="center"/>
                </w:tcPr>
                <w:p w14:paraId="73943E12">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p>
              </w:tc>
              <w:tc>
                <w:tcPr>
                  <w:tcW w:w="660" w:type="dxa"/>
                  <w:tcBorders>
                    <w:tl2br w:val="nil"/>
                    <w:tr2bl w:val="nil"/>
                  </w:tcBorders>
                  <w:noWrap w:val="0"/>
                  <w:vAlign w:val="center"/>
                </w:tcPr>
                <w:p w14:paraId="4CD1052D">
                  <w:pPr>
                    <w:pStyle w:val="35"/>
                    <w:ind w:right="84" w:rightChars="0"/>
                    <w:jc w:val="center"/>
                    <w:rPr>
                      <w:rFonts w:hint="eastAsia" w:ascii="Times New Roman" w:hAnsi="Times New Roman" w:eastAsia="宋体" w:cs="Times New Roman"/>
                      <w:color w:val="000000"/>
                      <w:kern w:val="2"/>
                      <w:sz w:val="21"/>
                      <w:szCs w:val="21"/>
                      <w:lang w:val="en-US" w:eastAsia="zh-CN" w:bidi="zh-CN"/>
                    </w:rPr>
                  </w:pPr>
                  <w:r>
                    <w:rPr>
                      <w:rFonts w:hint="eastAsia" w:ascii="Times New Roman" w:hAnsi="Times New Roman" w:cs="Times New Roman"/>
                      <w:color w:val="000000"/>
                      <w:szCs w:val="21"/>
                      <w:lang w:val="en-US" w:eastAsia="zh-CN"/>
                    </w:rPr>
                    <w:t>5</w:t>
                  </w:r>
                </w:p>
              </w:tc>
              <w:tc>
                <w:tcPr>
                  <w:tcW w:w="780" w:type="dxa"/>
                  <w:tcBorders>
                    <w:tl2br w:val="nil"/>
                    <w:tr2bl w:val="nil"/>
                  </w:tcBorders>
                  <w:noWrap w:val="0"/>
                  <w:vAlign w:val="center"/>
                </w:tcPr>
                <w:p w14:paraId="5FC028FF">
                  <w:pPr>
                    <w:pStyle w:val="35"/>
                    <w:spacing w:line="240" w:lineRule="auto"/>
                    <w:ind w:right="84" w:rightChars="0"/>
                    <w:jc w:val="center"/>
                    <w:rPr>
                      <w:rFonts w:hint="default" w:ascii="Times New Roman" w:hAnsi="Times New Roman" w:eastAsia="宋体" w:cs="Times New Roman"/>
                      <w:color w:val="000000"/>
                      <w:kern w:val="2"/>
                      <w:sz w:val="21"/>
                      <w:szCs w:val="21"/>
                      <w:lang w:val="en-US" w:eastAsia="zh-CN" w:bidi="zh-CN"/>
                    </w:rPr>
                  </w:pPr>
                  <w:r>
                    <w:rPr>
                      <w:rFonts w:hint="eastAsia" w:ascii="Times New Roman" w:hAnsi="Times New Roman" w:cs="Times New Roman"/>
                      <w:color w:val="000000"/>
                      <w:kern w:val="2"/>
                      <w:sz w:val="21"/>
                      <w:szCs w:val="21"/>
                      <w:lang w:val="en-US" w:eastAsia="zh-CN" w:bidi="zh-CN"/>
                    </w:rPr>
                    <w:t>76</w:t>
                  </w:r>
                </w:p>
              </w:tc>
              <w:tc>
                <w:tcPr>
                  <w:tcW w:w="780" w:type="dxa"/>
                  <w:vMerge w:val="continue"/>
                  <w:tcBorders>
                    <w:tl2br w:val="nil"/>
                    <w:tr2bl w:val="nil"/>
                  </w:tcBorders>
                  <w:noWrap w:val="0"/>
                  <w:vAlign w:val="center"/>
                </w:tcPr>
                <w:p w14:paraId="62EF6417">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662" w:type="dxa"/>
                  <w:vMerge w:val="continue"/>
                  <w:tcBorders>
                    <w:tl2br w:val="nil"/>
                    <w:tr2bl w:val="nil"/>
                  </w:tcBorders>
                  <w:noWrap w:val="0"/>
                  <w:vAlign w:val="center"/>
                </w:tcPr>
                <w:p w14:paraId="59E9BD46">
                  <w:pPr>
                    <w:pStyle w:val="35"/>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000000"/>
                      <w:sz w:val="21"/>
                      <w:szCs w:val="21"/>
                      <w:vertAlign w:val="baseline"/>
                      <w:lang w:val="en-US" w:eastAsia="zh-CN"/>
                    </w:rPr>
                  </w:pPr>
                </w:p>
              </w:tc>
            </w:tr>
            <w:tr w14:paraId="68464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35" w:type="dxa"/>
                  <w:gridSpan w:val="11"/>
                  <w:tcBorders>
                    <w:tl2br w:val="nil"/>
                    <w:tr2bl w:val="nil"/>
                  </w:tcBorders>
                  <w:noWrap w:val="0"/>
                  <w:vAlign w:val="center"/>
                </w:tcPr>
                <w:p w14:paraId="081CE852">
                  <w:pPr>
                    <w:pStyle w:val="35"/>
                    <w:keepNext w:val="0"/>
                    <w:keepLines w:val="0"/>
                    <w:pageBreakBefore w:val="0"/>
                    <w:kinsoku/>
                    <w:wordWrap/>
                    <w:overflowPunct/>
                    <w:topLinePunct w:val="0"/>
                    <w:bidi w:val="0"/>
                    <w:adjustRightInd/>
                    <w:snapToGrid/>
                    <w:spacing w:line="240" w:lineRule="auto"/>
                    <w:ind w:right="84" w:rightChars="0"/>
                    <w:jc w:val="left"/>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注：以厂房西南角为原点（0,0,0）</w:t>
                  </w:r>
                </w:p>
              </w:tc>
            </w:tr>
          </w:tbl>
          <w:p w14:paraId="4ADA1671">
            <w:pPr>
              <w:pStyle w:val="46"/>
              <w:keepNext w:val="0"/>
              <w:keepLines w:val="0"/>
              <w:pageBreakBefore w:val="0"/>
              <w:numPr>
                <w:ilvl w:val="0"/>
                <w:numId w:val="5"/>
              </w:numPr>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kern w:val="2"/>
                <w:sz w:val="24"/>
                <w:szCs w:val="22"/>
                <w:lang w:val="en-US" w:eastAsia="zh-CN" w:bidi="zh-CN"/>
              </w:rPr>
            </w:pPr>
            <w:r>
              <w:rPr>
                <w:rFonts w:hint="default" w:ascii="Times New Roman" w:hAnsi="Times New Roman" w:eastAsia="宋体" w:cs="Times New Roman"/>
                <w:kern w:val="2"/>
                <w:sz w:val="24"/>
                <w:szCs w:val="22"/>
                <w:lang w:val="en-US" w:eastAsia="zh-CN" w:bidi="zh-CN"/>
              </w:rPr>
              <w:t>噪声预测</w:t>
            </w:r>
          </w:p>
          <w:p w14:paraId="3E9C80B2">
            <w:pPr>
              <w:pStyle w:val="46"/>
              <w:keepNext w:val="0"/>
              <w:keepLines w:val="0"/>
              <w:pageBreakBefore w:val="0"/>
              <w:numPr>
                <w:ilvl w:val="0"/>
                <w:numId w:val="0"/>
              </w:numPr>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kern w:val="2"/>
                <w:sz w:val="24"/>
                <w:szCs w:val="22"/>
                <w:lang w:val="en-US" w:eastAsia="zh-CN" w:bidi="zh-CN"/>
              </w:rPr>
            </w:pPr>
            <w:r>
              <w:rPr>
                <w:rFonts w:hint="default" w:ascii="Times New Roman" w:hAnsi="Times New Roman" w:eastAsia="宋体" w:cs="Times New Roman"/>
                <w:kern w:val="2"/>
                <w:sz w:val="24"/>
                <w:szCs w:val="22"/>
                <w:lang w:val="en-US" w:eastAsia="zh-CN" w:bidi="zh-CN"/>
              </w:rPr>
              <w:t>①室外声源</w:t>
            </w:r>
          </w:p>
          <w:p w14:paraId="018D1863">
            <w:pPr>
              <w:pStyle w:val="46"/>
              <w:keepNext w:val="0"/>
              <w:keepLines w:val="0"/>
              <w:pageBreakBefore w:val="0"/>
              <w:numPr>
                <w:ilvl w:val="0"/>
                <w:numId w:val="0"/>
              </w:numPr>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kern w:val="2"/>
                <w:sz w:val="24"/>
                <w:szCs w:val="22"/>
                <w:lang w:val="en-US" w:eastAsia="zh-CN" w:bidi="zh-CN"/>
              </w:rPr>
            </w:pPr>
            <w:r>
              <w:rPr>
                <w:rFonts w:hint="default" w:ascii="Times New Roman" w:hAnsi="Times New Roman" w:eastAsia="宋体" w:cs="Times New Roman"/>
                <w:kern w:val="2"/>
                <w:sz w:val="24"/>
                <w:szCs w:val="22"/>
                <w:lang w:val="en-US" w:eastAsia="zh-CN" w:bidi="zh-CN"/>
              </w:rPr>
              <w:t>户外声传播衰减包括几何发散（Adiv）、大气吸收（Aatm）、地面效应（Agr）、障碍物屏蔽（Abar）、其他多方面效应（Amisc）引起的衰减。</w:t>
            </w:r>
          </w:p>
          <w:p w14:paraId="48833C14">
            <w:pPr>
              <w:pStyle w:val="20"/>
              <w:keepNext w:val="0"/>
              <w:keepLines w:val="0"/>
              <w:pageBreakBefore w:val="0"/>
              <w:kinsoku/>
              <w:wordWrap/>
              <w:overflowPunct/>
              <w:topLinePunct w:val="0"/>
              <w:autoSpaceDE/>
              <w:autoSpaceDN/>
              <w:bidi w:val="0"/>
              <w:spacing w:line="360" w:lineRule="auto"/>
              <w:ind w:left="0" w:leftChars="0" w:right="0" w:firstLine="480" w:firstLineChars="200"/>
              <w:jc w:val="both"/>
              <w:textAlignment w:val="auto"/>
              <w:rPr>
                <w:rFonts w:hint="default" w:ascii="Times New Roman" w:hAnsi="Times New Roman" w:cs="Times New Roman"/>
                <w:sz w:val="24"/>
                <w:lang w:bidi="zh-CN"/>
              </w:rPr>
            </w:pPr>
            <w:r>
              <w:rPr>
                <w:rFonts w:hint="default" w:ascii="Times New Roman" w:hAnsi="Times New Roman" w:cs="Times New Roman"/>
                <w:sz w:val="24"/>
                <w:lang w:bidi="zh-CN"/>
              </w:rPr>
              <w:t>在环境影响评价中，应根据声源声功能率或参考位置处的声压级，户外声传播衰减，计算预测点声级，具体公式如下所示：预测点的A声及LA（r）按以下公式计算，即将8个倍频带声压级合成，计算出预测点的A声[LA（r）]，具体公式如下所示：</w:t>
            </w:r>
          </w:p>
          <w:p w14:paraId="47E055E8">
            <w:pPr>
              <w:keepNext w:val="0"/>
              <w:keepLines w:val="0"/>
              <w:pageBreakBefore w:val="0"/>
              <w:kinsoku/>
              <w:wordWrap/>
              <w:overflowPunct/>
              <w:topLinePunct w:val="0"/>
              <w:autoSpaceDE/>
              <w:autoSpaceDN/>
              <w:bidi w:val="0"/>
              <w:spacing w:line="360" w:lineRule="auto"/>
              <w:ind w:right="0" w:firstLine="420" w:firstLineChars="200"/>
              <w:jc w:val="center"/>
              <w:textAlignment w:val="auto"/>
            </w:pPr>
            <w:r>
              <w:rPr>
                <w:position w:val="-14"/>
              </w:rPr>
              <w:object>
                <v:shape id="_x0000_i1027" o:spt="75" type="#_x0000_t75" style="height:24pt;width:301.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p>
          <w:p w14:paraId="70FE6002">
            <w:pPr>
              <w:keepNext w:val="0"/>
              <w:keepLines w:val="0"/>
              <w:pageBreakBefore w:val="0"/>
              <w:widowControl/>
              <w:kinsoku/>
              <w:wordWrap/>
              <w:overflowPunct/>
              <w:topLinePunct w:val="0"/>
              <w:autoSpaceDE/>
              <w:autoSpaceDN/>
              <w:bidi w:val="0"/>
              <w:spacing w:line="360" w:lineRule="auto"/>
              <w:ind w:right="0" w:firstLine="480" w:firstLineChars="200"/>
              <w:jc w:val="left"/>
              <w:textAlignment w:val="auto"/>
              <w:rPr>
                <w:kern w:val="0"/>
                <w:sz w:val="24"/>
              </w:rPr>
            </w:pPr>
            <w:r>
              <w:rPr>
                <w:kern w:val="0"/>
                <w:sz w:val="24"/>
              </w:rPr>
              <w:t>式中：</w:t>
            </w:r>
          </w:p>
          <w:p w14:paraId="2F4CD9BB">
            <w:pPr>
              <w:keepNext w:val="0"/>
              <w:keepLines w:val="0"/>
              <w:pageBreakBefore w:val="0"/>
              <w:widowControl/>
              <w:kinsoku/>
              <w:wordWrap/>
              <w:overflowPunct/>
              <w:topLinePunct w:val="0"/>
              <w:autoSpaceDE/>
              <w:autoSpaceDN/>
              <w:bidi w:val="0"/>
              <w:spacing w:line="360" w:lineRule="auto"/>
              <w:ind w:right="0" w:firstLine="480" w:firstLineChars="200"/>
              <w:jc w:val="left"/>
              <w:textAlignment w:val="auto"/>
            </w:pPr>
            <w:r>
              <w:rPr>
                <w:kern w:val="0"/>
                <w:sz w:val="24"/>
              </w:rPr>
              <w:t>L</w:t>
            </w:r>
            <w:r>
              <w:rPr>
                <w:kern w:val="0"/>
                <w:sz w:val="24"/>
                <w:vertAlign w:val="subscript"/>
              </w:rPr>
              <w:t>P</w:t>
            </w:r>
            <w:r>
              <w:rPr>
                <w:kern w:val="0"/>
                <w:sz w:val="24"/>
              </w:rPr>
              <w:t>（r）—预测点</w:t>
            </w:r>
            <w:r>
              <w:rPr>
                <w:rFonts w:hint="eastAsia"/>
                <w:kern w:val="0"/>
                <w:sz w:val="24"/>
                <w:lang w:eastAsia="zh-CN"/>
              </w:rPr>
              <w:t>处</w:t>
            </w:r>
            <w:r>
              <w:rPr>
                <w:kern w:val="0"/>
                <w:sz w:val="24"/>
              </w:rPr>
              <w:t>声压级，dB（A）；</w:t>
            </w:r>
          </w:p>
          <w:p w14:paraId="038CCF42">
            <w:pPr>
              <w:keepNext w:val="0"/>
              <w:keepLines w:val="0"/>
              <w:pageBreakBefore w:val="0"/>
              <w:widowControl/>
              <w:kinsoku/>
              <w:wordWrap/>
              <w:overflowPunct/>
              <w:topLinePunct w:val="0"/>
              <w:autoSpaceDE/>
              <w:autoSpaceDN/>
              <w:bidi w:val="0"/>
              <w:spacing w:line="360" w:lineRule="auto"/>
              <w:ind w:right="0" w:firstLine="480" w:firstLineChars="200"/>
              <w:jc w:val="left"/>
              <w:textAlignment w:val="auto"/>
              <w:rPr>
                <w:kern w:val="0"/>
                <w:sz w:val="24"/>
              </w:rPr>
            </w:pPr>
            <w:r>
              <w:rPr>
                <w:kern w:val="0"/>
                <w:sz w:val="24"/>
              </w:rPr>
              <w:t>L</w:t>
            </w:r>
            <w:r>
              <w:rPr>
                <w:kern w:val="0"/>
                <w:sz w:val="24"/>
                <w:vertAlign w:val="subscript"/>
              </w:rPr>
              <w:t>P</w:t>
            </w:r>
            <w:r>
              <w:rPr>
                <w:kern w:val="0"/>
                <w:sz w:val="24"/>
              </w:rPr>
              <w:t>（r</w:t>
            </w:r>
            <w:r>
              <w:rPr>
                <w:kern w:val="0"/>
                <w:sz w:val="24"/>
                <w:vertAlign w:val="subscript"/>
              </w:rPr>
              <w:t>0</w:t>
            </w:r>
            <w:r>
              <w:rPr>
                <w:kern w:val="0"/>
                <w:sz w:val="24"/>
              </w:rPr>
              <w:t>）—参考位置r</w:t>
            </w:r>
            <w:r>
              <w:rPr>
                <w:kern w:val="0"/>
                <w:sz w:val="24"/>
                <w:vertAlign w:val="subscript"/>
              </w:rPr>
              <w:t>0</w:t>
            </w:r>
            <w:r>
              <w:rPr>
                <w:kern w:val="0"/>
                <w:sz w:val="24"/>
              </w:rPr>
              <w:t>处的声压级，dB；</w:t>
            </w:r>
          </w:p>
          <w:p w14:paraId="1629B504">
            <w:pPr>
              <w:pStyle w:val="10"/>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D</w:t>
            </w:r>
            <w:r>
              <w:rPr>
                <w:rFonts w:ascii="Times New Roman" w:hAnsi="Times New Roman" w:eastAsia="宋体" w:cs="Times New Roman"/>
                <w:kern w:val="0"/>
                <w:sz w:val="24"/>
                <w:szCs w:val="24"/>
                <w:vertAlign w:val="subscript"/>
                <w:lang w:eastAsia="zh-CN"/>
              </w:rPr>
              <w:t>C</w:t>
            </w:r>
            <w:r>
              <w:rPr>
                <w:rFonts w:ascii="Times New Roman" w:hAnsi="Times New Roman" w:eastAsia="宋体" w:cs="Times New Roman"/>
                <w:kern w:val="0"/>
                <w:sz w:val="24"/>
                <w:szCs w:val="24"/>
                <w:lang w:eastAsia="zh-CN"/>
              </w:rPr>
              <w:t>—向性校正，它描述点声源的等效连续声压级与产生声功率级Lw的全向点声源在规定方向的声级的偏差程度，dB；</w:t>
            </w:r>
          </w:p>
          <w:p w14:paraId="4EC61338">
            <w:pPr>
              <w:pStyle w:val="10"/>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A</w:t>
            </w:r>
            <w:r>
              <w:rPr>
                <w:rFonts w:ascii="Times New Roman" w:hAnsi="Times New Roman" w:eastAsia="宋体" w:cs="Times New Roman"/>
                <w:kern w:val="0"/>
                <w:sz w:val="24"/>
                <w:szCs w:val="24"/>
                <w:vertAlign w:val="subscript"/>
                <w:lang w:eastAsia="zh-CN"/>
              </w:rPr>
              <w:t>div</w:t>
            </w:r>
            <w:r>
              <w:rPr>
                <w:rFonts w:ascii="Times New Roman" w:hAnsi="Times New Roman" w:eastAsia="宋体" w:cs="Times New Roman"/>
                <w:kern w:val="0"/>
                <w:sz w:val="24"/>
                <w:szCs w:val="24"/>
                <w:lang w:eastAsia="zh-CN"/>
              </w:rPr>
              <w:t>—几何发散引起的衰减，dB；</w:t>
            </w:r>
          </w:p>
          <w:p w14:paraId="2F888A4E">
            <w:pPr>
              <w:pStyle w:val="10"/>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A</w:t>
            </w:r>
            <w:r>
              <w:rPr>
                <w:rFonts w:ascii="Times New Roman" w:hAnsi="Times New Roman" w:eastAsia="宋体" w:cs="Times New Roman"/>
                <w:kern w:val="0"/>
                <w:sz w:val="24"/>
                <w:szCs w:val="24"/>
                <w:vertAlign w:val="subscript"/>
                <w:lang w:eastAsia="zh-CN"/>
              </w:rPr>
              <w:t>atm</w:t>
            </w:r>
            <w:r>
              <w:rPr>
                <w:rFonts w:ascii="Times New Roman" w:hAnsi="Times New Roman" w:eastAsia="宋体" w:cs="Times New Roman"/>
                <w:kern w:val="0"/>
                <w:sz w:val="24"/>
                <w:szCs w:val="24"/>
                <w:lang w:eastAsia="zh-CN"/>
              </w:rPr>
              <w:t>—大气吸收引起的衰减，dB；</w:t>
            </w:r>
          </w:p>
          <w:p w14:paraId="5076EFB7">
            <w:pPr>
              <w:pStyle w:val="10"/>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A</w:t>
            </w:r>
            <w:r>
              <w:rPr>
                <w:rFonts w:ascii="Times New Roman" w:hAnsi="Times New Roman" w:eastAsia="宋体" w:cs="Times New Roman"/>
                <w:kern w:val="0"/>
                <w:sz w:val="24"/>
                <w:szCs w:val="24"/>
                <w:vertAlign w:val="subscript"/>
                <w:lang w:eastAsia="zh-CN"/>
              </w:rPr>
              <w:t>gr</w:t>
            </w:r>
            <w:r>
              <w:rPr>
                <w:rFonts w:ascii="Times New Roman" w:hAnsi="Times New Roman" w:eastAsia="宋体" w:cs="Times New Roman"/>
                <w:kern w:val="0"/>
                <w:sz w:val="24"/>
                <w:szCs w:val="24"/>
                <w:lang w:eastAsia="zh-CN"/>
              </w:rPr>
              <w:t>—地面效应引起的衰减，dB；</w:t>
            </w:r>
          </w:p>
          <w:p w14:paraId="23D3D26F">
            <w:pPr>
              <w:pStyle w:val="10"/>
              <w:spacing w:line="360" w:lineRule="auto"/>
              <w:ind w:firstLine="480" w:firstLineChars="200"/>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A</w:t>
            </w:r>
            <w:r>
              <w:rPr>
                <w:rFonts w:ascii="Times New Roman" w:hAnsi="Times New Roman" w:eastAsia="宋体" w:cs="Times New Roman"/>
                <w:kern w:val="0"/>
                <w:sz w:val="24"/>
                <w:szCs w:val="24"/>
                <w:vertAlign w:val="subscript"/>
                <w:lang w:eastAsia="zh-CN"/>
              </w:rPr>
              <w:t>bar</w:t>
            </w:r>
            <w:r>
              <w:rPr>
                <w:rFonts w:ascii="Times New Roman" w:hAnsi="Times New Roman" w:eastAsia="宋体" w:cs="Times New Roman"/>
                <w:kern w:val="0"/>
                <w:sz w:val="24"/>
                <w:szCs w:val="24"/>
                <w:lang w:eastAsia="zh-CN"/>
              </w:rPr>
              <w:t>—障碍物屏蔽引起的衰减，dB；</w:t>
            </w:r>
          </w:p>
          <w:p w14:paraId="633D8D5B">
            <w:pPr>
              <w:pStyle w:val="10"/>
              <w:spacing w:line="360" w:lineRule="auto"/>
              <w:ind w:firstLine="480" w:firstLineChars="200"/>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A</w:t>
            </w:r>
            <w:r>
              <w:rPr>
                <w:rFonts w:ascii="Times New Roman" w:hAnsi="Times New Roman" w:eastAsia="宋体" w:cs="Times New Roman"/>
                <w:kern w:val="0"/>
                <w:sz w:val="24"/>
                <w:szCs w:val="24"/>
                <w:vertAlign w:val="subscript"/>
                <w:lang w:eastAsia="zh-CN"/>
              </w:rPr>
              <w:t>misc</w:t>
            </w:r>
            <w:r>
              <w:rPr>
                <w:rFonts w:ascii="Times New Roman" w:hAnsi="Times New Roman" w:eastAsia="宋体" w:cs="Times New Roman"/>
                <w:kern w:val="0"/>
                <w:sz w:val="24"/>
                <w:szCs w:val="24"/>
                <w:lang w:eastAsia="zh-CN"/>
              </w:rPr>
              <w:t>—其他多方面效应引起的衰减，dB</w:t>
            </w:r>
          </w:p>
          <w:p w14:paraId="3662068E">
            <w:pPr>
              <w:pStyle w:val="1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预测点的A声级L</w:t>
            </w:r>
            <w:r>
              <w:rPr>
                <w:rFonts w:hint="default" w:ascii="Times New Roman" w:hAnsi="Times New Roman" w:cs="Times New Roman"/>
                <w:kern w:val="0"/>
                <w:sz w:val="15"/>
                <w:szCs w:val="15"/>
              </w:rPr>
              <w:t>A</w:t>
            </w:r>
            <w:r>
              <w:rPr>
                <w:rFonts w:hint="default" w:ascii="Times New Roman" w:hAnsi="Times New Roman" w:cs="Times New Roman"/>
                <w:kern w:val="0"/>
                <w:sz w:val="24"/>
              </w:rPr>
              <w:t>（r）按以下公式计算，即将8个倍频带声压级合成，计算出预测点的A声级[L</w:t>
            </w:r>
            <w:r>
              <w:rPr>
                <w:rFonts w:hint="default" w:ascii="Times New Roman" w:hAnsi="Times New Roman" w:cs="Times New Roman"/>
                <w:kern w:val="0"/>
                <w:sz w:val="15"/>
                <w:szCs w:val="15"/>
              </w:rPr>
              <w:t>A</w:t>
            </w:r>
            <w:r>
              <w:rPr>
                <w:rFonts w:hint="default" w:ascii="Times New Roman" w:hAnsi="Times New Roman" w:cs="Times New Roman"/>
                <w:kern w:val="0"/>
                <w:sz w:val="24"/>
              </w:rPr>
              <w:t>（r）]，公式如下所示：</w:t>
            </w:r>
          </w:p>
          <w:p w14:paraId="05A13F7E">
            <w:pPr>
              <w:widowControl/>
              <w:spacing w:line="360" w:lineRule="auto"/>
              <w:ind w:firstLine="480" w:firstLineChars="200"/>
              <w:jc w:val="center"/>
            </w:pPr>
            <w:r>
              <w:rPr>
                <w:kern w:val="0"/>
                <w:position w:val="-32"/>
                <w:sz w:val="24"/>
              </w:rPr>
              <w:object>
                <v:shape id="_x0000_i1028" o:spt="75" type="#_x0000_t75" style="height:45.7pt;width:169.8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p>
          <w:p w14:paraId="784E1DC4">
            <w:pPr>
              <w:widowControl/>
              <w:spacing w:line="360" w:lineRule="auto"/>
              <w:ind w:firstLine="480" w:firstLineChars="200"/>
              <w:jc w:val="left"/>
              <w:rPr>
                <w:kern w:val="0"/>
                <w:sz w:val="24"/>
              </w:rPr>
            </w:pPr>
            <w:r>
              <w:rPr>
                <w:kern w:val="0"/>
                <w:sz w:val="24"/>
              </w:rPr>
              <w:t>式中：</w:t>
            </w:r>
          </w:p>
          <w:p w14:paraId="287EBEE5">
            <w:pPr>
              <w:widowControl/>
              <w:spacing w:line="360" w:lineRule="auto"/>
              <w:ind w:firstLine="480" w:firstLineChars="200"/>
              <w:jc w:val="left"/>
              <w:rPr>
                <w:rFonts w:hint="default" w:ascii="Times New Roman" w:hAnsi="Times New Roman" w:cs="Times New Roman"/>
              </w:rPr>
            </w:pPr>
            <w:r>
              <w:rPr>
                <w:rFonts w:hint="default" w:ascii="Times New Roman" w:hAnsi="Times New Roman" w:cs="Times New Roman"/>
                <w:kern w:val="0"/>
                <w:sz w:val="24"/>
              </w:rPr>
              <w:t>L</w:t>
            </w:r>
            <w:r>
              <w:rPr>
                <w:rFonts w:hint="default" w:ascii="Times New Roman" w:hAnsi="Times New Roman" w:cs="Times New Roman"/>
                <w:kern w:val="0"/>
                <w:sz w:val="15"/>
                <w:szCs w:val="15"/>
              </w:rPr>
              <w:t>A</w:t>
            </w:r>
            <w:r>
              <w:rPr>
                <w:rFonts w:hint="default" w:ascii="Times New Roman" w:hAnsi="Times New Roman" w:cs="Times New Roman"/>
                <w:kern w:val="0"/>
                <w:sz w:val="24"/>
              </w:rPr>
              <w:t>（r）——距声源r处的A声级，dB（A）；</w:t>
            </w:r>
          </w:p>
          <w:p w14:paraId="5DF9680C">
            <w:pPr>
              <w:widowControl/>
              <w:spacing w:line="360" w:lineRule="auto"/>
              <w:ind w:firstLine="480" w:firstLineChars="200"/>
              <w:jc w:val="left"/>
              <w:rPr>
                <w:rFonts w:hint="default" w:ascii="Times New Roman" w:hAnsi="Times New Roman" w:cs="Times New Roman"/>
              </w:rPr>
            </w:pPr>
            <w:r>
              <w:rPr>
                <w:rFonts w:hint="default" w:ascii="Times New Roman" w:hAnsi="Times New Roman" w:cs="Times New Roman"/>
                <w:kern w:val="0"/>
                <w:sz w:val="24"/>
              </w:rPr>
              <w:t>L</w:t>
            </w:r>
            <w:r>
              <w:rPr>
                <w:rFonts w:hint="default" w:ascii="Times New Roman" w:hAnsi="Times New Roman" w:cs="Times New Roman"/>
                <w:kern w:val="0"/>
                <w:sz w:val="15"/>
                <w:szCs w:val="15"/>
              </w:rPr>
              <w:t>pi</w:t>
            </w:r>
            <w:r>
              <w:rPr>
                <w:rFonts w:hint="default" w:ascii="Times New Roman" w:hAnsi="Times New Roman" w:cs="Times New Roman"/>
                <w:kern w:val="0"/>
                <w:sz w:val="24"/>
              </w:rPr>
              <w:t>（r）——预测点（r）处，第i倍频带声压级，dB；</w:t>
            </w:r>
          </w:p>
          <w:p w14:paraId="618DD6B8">
            <w:pPr>
              <w:widowControl/>
              <w:spacing w:line="360" w:lineRule="auto"/>
              <w:ind w:firstLine="480" w:firstLineChars="200"/>
              <w:jc w:val="left"/>
              <w:rPr>
                <w:rFonts w:hint="default" w:ascii="Times New Roman" w:hAnsi="Times New Roman" w:cs="Times New Roman"/>
              </w:rPr>
            </w:pPr>
            <w:r>
              <w:rPr>
                <w:rFonts w:hint="default" w:ascii="Times New Roman" w:hAnsi="Times New Roman" w:cs="Times New Roman"/>
                <w:kern w:val="0"/>
                <w:sz w:val="24"/>
              </w:rPr>
              <w:t>ΔLi ——第i倍频带的A计权网络修正值，dB；</w:t>
            </w:r>
          </w:p>
          <w:p w14:paraId="395A2F65">
            <w:pPr>
              <w:widowControl/>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在只考虑几何发散衰减时，按下式进行核算：</w:t>
            </w:r>
          </w:p>
          <w:p w14:paraId="2C469D96">
            <w:pPr>
              <w:pStyle w:val="22"/>
              <w:spacing w:line="360" w:lineRule="auto"/>
              <w:ind w:firstLine="320"/>
              <w:jc w:val="center"/>
              <w:rPr>
                <w:rFonts w:ascii="Times New Roman" w:hAnsi="Times New Roman" w:eastAsia="宋体" w:cs="Times New Roman"/>
                <w:position w:val="-12"/>
                <w:lang w:eastAsia="zh-CN"/>
              </w:rPr>
            </w:pPr>
            <w:r>
              <w:rPr>
                <w:rFonts w:ascii="Times New Roman" w:hAnsi="Times New Roman" w:eastAsia="宋体" w:cs="Times New Roman"/>
                <w:position w:val="-12"/>
                <w:lang w:eastAsia="zh-CN"/>
              </w:rPr>
              <w:object>
                <v:shape id="_x0000_i1029" o:spt="75" type="#_x0000_t75" style="height:24.75pt;width:134.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p>
          <w:p w14:paraId="1D2CBE73">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ascii="Times New Roman" w:hAnsi="Times New Roman" w:cs="Times New Roman"/>
                <w:kern w:val="0"/>
                <w:sz w:val="24"/>
              </w:rPr>
            </w:pPr>
            <w:r>
              <w:rPr>
                <w:rFonts w:hint="default" w:ascii="Times New Roman" w:hAnsi="Times New Roman" w:cs="Times New Roman"/>
                <w:kern w:val="0"/>
                <w:sz w:val="24"/>
              </w:rPr>
              <w:t>式中</w:t>
            </w:r>
          </w:p>
          <w:p w14:paraId="49BB1C11">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ascii="Times New Roman" w:hAnsi="Times New Roman" w:cs="Times New Roman"/>
                <w:kern w:val="0"/>
                <w:sz w:val="24"/>
              </w:rPr>
            </w:pPr>
            <w:r>
              <w:rPr>
                <w:rFonts w:hint="default" w:ascii="Times New Roman" w:hAnsi="Times New Roman" w:cs="Times New Roman"/>
                <w:kern w:val="0"/>
                <w:sz w:val="24"/>
              </w:rPr>
              <w:t>L</w:t>
            </w:r>
            <w:r>
              <w:rPr>
                <w:rFonts w:hint="default" w:ascii="Times New Roman" w:hAnsi="Times New Roman" w:cs="Times New Roman"/>
                <w:kern w:val="0"/>
                <w:sz w:val="15"/>
                <w:szCs w:val="15"/>
              </w:rPr>
              <w:t>A</w:t>
            </w:r>
            <w:r>
              <w:rPr>
                <w:rFonts w:hint="default" w:ascii="Times New Roman" w:hAnsi="Times New Roman" w:cs="Times New Roman"/>
                <w:kern w:val="0"/>
                <w:sz w:val="24"/>
              </w:rPr>
              <w:t>（r）——距声源r处的A声级，dB（A）；</w:t>
            </w:r>
          </w:p>
          <w:p w14:paraId="3FE3CDC7">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ascii="Times New Roman" w:hAnsi="Times New Roman" w:cs="Times New Roman"/>
                <w:kern w:val="0"/>
                <w:sz w:val="24"/>
              </w:rPr>
            </w:pPr>
            <w:r>
              <w:rPr>
                <w:rFonts w:hint="default" w:ascii="Times New Roman" w:hAnsi="Times New Roman" w:cs="Times New Roman"/>
                <w:kern w:val="0"/>
                <w:sz w:val="24"/>
              </w:rPr>
              <w:t>L</w:t>
            </w:r>
            <w:r>
              <w:rPr>
                <w:rFonts w:hint="default" w:ascii="Times New Roman" w:hAnsi="Times New Roman" w:cs="Times New Roman"/>
                <w:kern w:val="0"/>
                <w:sz w:val="15"/>
                <w:szCs w:val="15"/>
              </w:rPr>
              <w:t>pi</w:t>
            </w:r>
            <w:r>
              <w:rPr>
                <w:rFonts w:hint="default" w:ascii="Times New Roman" w:hAnsi="Times New Roman" w:cs="Times New Roman"/>
                <w:kern w:val="0"/>
                <w:sz w:val="24"/>
              </w:rPr>
              <w:t>（r</w:t>
            </w:r>
            <w:r>
              <w:rPr>
                <w:rFonts w:hint="default" w:ascii="Times New Roman" w:hAnsi="Times New Roman" w:cs="Times New Roman"/>
                <w:kern w:val="0"/>
                <w:sz w:val="15"/>
                <w:szCs w:val="15"/>
              </w:rPr>
              <w:t>0</w:t>
            </w:r>
            <w:r>
              <w:rPr>
                <w:rFonts w:hint="default" w:ascii="Times New Roman" w:hAnsi="Times New Roman" w:cs="Times New Roman"/>
                <w:kern w:val="0"/>
                <w:sz w:val="24"/>
              </w:rPr>
              <w:t>）——预测点r</w:t>
            </w:r>
            <w:r>
              <w:rPr>
                <w:rFonts w:hint="default" w:ascii="Times New Roman" w:hAnsi="Times New Roman" w:cs="Times New Roman"/>
                <w:kern w:val="0"/>
                <w:sz w:val="15"/>
                <w:szCs w:val="15"/>
              </w:rPr>
              <w:t>0</w:t>
            </w:r>
            <w:r>
              <w:rPr>
                <w:rFonts w:hint="default" w:ascii="Times New Roman" w:hAnsi="Times New Roman" w:cs="Times New Roman"/>
                <w:kern w:val="0"/>
                <w:sz w:val="24"/>
              </w:rPr>
              <w:t>处的A声级，dB（A）；</w:t>
            </w:r>
          </w:p>
          <w:p w14:paraId="7878CF98">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ascii="Times New Roman" w:hAnsi="Times New Roman" w:cs="Times New Roman"/>
                <w:kern w:val="0"/>
                <w:sz w:val="24"/>
              </w:rPr>
            </w:pPr>
            <w:r>
              <w:rPr>
                <w:rFonts w:hint="default" w:ascii="Times New Roman" w:hAnsi="Times New Roman" w:cs="Times New Roman"/>
                <w:kern w:val="0"/>
                <w:sz w:val="24"/>
              </w:rPr>
              <w:t>A</w:t>
            </w:r>
            <w:r>
              <w:rPr>
                <w:rFonts w:hint="default" w:ascii="Times New Roman" w:hAnsi="Times New Roman" w:cs="Times New Roman"/>
                <w:kern w:val="0"/>
                <w:sz w:val="15"/>
                <w:szCs w:val="15"/>
              </w:rPr>
              <w:t>div</w:t>
            </w:r>
            <w:r>
              <w:rPr>
                <w:rFonts w:hint="default" w:ascii="Times New Roman" w:hAnsi="Times New Roman" w:cs="Times New Roman"/>
                <w:kern w:val="0"/>
                <w:sz w:val="24"/>
              </w:rPr>
              <w:t>——几何发散引起的衰减，dB。</w:t>
            </w:r>
          </w:p>
          <w:p w14:paraId="24783B8D">
            <w:pPr>
              <w:widowControl/>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lang w:val="en-US" w:eastAsia="zh-CN"/>
              </w:rPr>
              <w:t>②</w:t>
            </w:r>
            <w:r>
              <w:rPr>
                <w:rFonts w:hint="default" w:ascii="Times New Roman" w:hAnsi="Times New Roman" w:cs="Times New Roman"/>
                <w:kern w:val="0"/>
                <w:sz w:val="24"/>
              </w:rPr>
              <w:t>室内声源</w:t>
            </w:r>
          </w:p>
          <w:p w14:paraId="60254A14">
            <w:pPr>
              <w:widowControl/>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对室内噪声源采用等效室外声源声功率级法进行计算。设靠近开口处（或窗户）室内、室外某倍频带的声压级分别为Lp1和Lp2。</w:t>
            </w:r>
          </w:p>
          <w:p w14:paraId="5503C1B7">
            <w:pPr>
              <w:widowControl/>
              <w:spacing w:line="360" w:lineRule="auto"/>
              <w:jc w:val="center"/>
              <w:rPr>
                <w:kern w:val="0"/>
                <w:sz w:val="24"/>
              </w:rPr>
            </w:pPr>
            <w:r>
              <w:drawing>
                <wp:inline distT="0" distB="0" distL="114300" distR="114300">
                  <wp:extent cx="1500505" cy="759460"/>
                  <wp:effectExtent l="0" t="0" r="4445" b="254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4"/>
                          <a:stretch>
                            <a:fillRect/>
                          </a:stretch>
                        </pic:blipFill>
                        <pic:spPr>
                          <a:xfrm>
                            <a:off x="0" y="0"/>
                            <a:ext cx="1500505" cy="759460"/>
                          </a:xfrm>
                          <a:prstGeom prst="rect">
                            <a:avLst/>
                          </a:prstGeom>
                          <a:noFill/>
                          <a:ln>
                            <a:noFill/>
                          </a:ln>
                        </pic:spPr>
                      </pic:pic>
                    </a:graphicData>
                  </a:graphic>
                </wp:inline>
              </w:drawing>
            </w:r>
          </w:p>
          <w:p w14:paraId="321CF86A">
            <w:pPr>
              <w:widowControl/>
              <w:spacing w:line="360" w:lineRule="auto"/>
              <w:ind w:firstLine="480" w:firstLineChars="200"/>
              <w:jc w:val="left"/>
              <w:rPr>
                <w:kern w:val="0"/>
                <w:sz w:val="24"/>
              </w:rPr>
            </w:pPr>
            <w:r>
              <w:rPr>
                <w:kern w:val="0"/>
                <w:sz w:val="24"/>
              </w:rPr>
              <w:t>若声源所在室内声场为近似扩散声场，则室外的倍频带声压级可按下式近似求出：</w:t>
            </w:r>
          </w:p>
          <w:p w14:paraId="575A72DA">
            <w:pPr>
              <w:widowControl/>
              <w:spacing w:line="360" w:lineRule="auto"/>
              <w:ind w:firstLine="480" w:firstLineChars="200"/>
              <w:jc w:val="center"/>
              <w:rPr>
                <w:rFonts w:hint="default" w:ascii="Times New Roman" w:hAnsi="Times New Roman" w:cs="Times New Roman"/>
                <w:kern w:val="0"/>
                <w:sz w:val="24"/>
              </w:rPr>
            </w:pPr>
            <m:oMathPara>
              <m:oMath>
                <m:sSub>
                  <m:sSubPr>
                    <m:ctrlPr>
                      <w:rPr>
                        <w:rFonts w:hint="default" w:ascii="Cambria Math" w:hAnsi="Cambria Math" w:cs="Times New Roman"/>
                        <w:kern w:val="0"/>
                        <w:sz w:val="24"/>
                      </w:rPr>
                    </m:ctrlPr>
                  </m:sSubPr>
                  <m:e>
                    <m:r>
                      <m:rPr>
                        <m:sty m:val="p"/>
                      </m:rPr>
                      <w:rPr>
                        <w:rFonts w:hint="default" w:ascii="Cambria Math" w:hAnsi="Cambria Math" w:cs="Times New Roman"/>
                        <w:kern w:val="0"/>
                        <w:sz w:val="24"/>
                      </w:rPr>
                      <m:t>L</m:t>
                    </m:r>
                    <m:ctrlPr>
                      <w:rPr>
                        <w:rFonts w:hint="default" w:ascii="Cambria Math" w:hAnsi="Cambria Math" w:cs="Times New Roman"/>
                        <w:kern w:val="0"/>
                        <w:sz w:val="24"/>
                      </w:rPr>
                    </m:ctrlPr>
                  </m:e>
                  <m:sub>
                    <m:r>
                      <m:rPr>
                        <m:sty m:val="p"/>
                      </m:rPr>
                      <w:rPr>
                        <w:rFonts w:hint="default" w:ascii="Cambria Math" w:hAnsi="Cambria Math" w:cs="Times New Roman"/>
                        <w:kern w:val="0"/>
                        <w:sz w:val="24"/>
                      </w:rPr>
                      <m:t>p2</m:t>
                    </m:r>
                    <m:ctrlPr>
                      <w:rPr>
                        <w:rFonts w:hint="default" w:ascii="Cambria Math" w:hAnsi="Cambria Math" w:cs="Times New Roman"/>
                        <w:kern w:val="0"/>
                        <w:sz w:val="24"/>
                      </w:rPr>
                    </m:ctrlPr>
                  </m:sub>
                </m:sSub>
                <m:r>
                  <m:rPr>
                    <m:sty m:val="p"/>
                  </m:rPr>
                  <w:rPr>
                    <w:rFonts w:hint="default" w:ascii="Cambria Math" w:hAnsi="Cambria Math" w:cs="Times New Roman"/>
                    <w:kern w:val="0"/>
                    <w:sz w:val="24"/>
                  </w:rPr>
                  <m:t>=</m:t>
                </m:r>
                <m:sSub>
                  <m:sSubPr>
                    <m:ctrlPr>
                      <w:rPr>
                        <w:rFonts w:hint="default" w:ascii="Cambria Math" w:hAnsi="Cambria Math" w:cs="Times New Roman"/>
                        <w:kern w:val="0"/>
                        <w:sz w:val="24"/>
                      </w:rPr>
                    </m:ctrlPr>
                  </m:sSubPr>
                  <m:e>
                    <m:r>
                      <m:rPr>
                        <m:sty m:val="p"/>
                      </m:rPr>
                      <w:rPr>
                        <w:rFonts w:hint="default" w:ascii="Cambria Math" w:hAnsi="Cambria Math" w:cs="Times New Roman"/>
                        <w:kern w:val="0"/>
                        <w:sz w:val="24"/>
                      </w:rPr>
                      <m:t>L</m:t>
                    </m:r>
                    <m:ctrlPr>
                      <w:rPr>
                        <w:rFonts w:hint="default" w:ascii="Cambria Math" w:hAnsi="Cambria Math" w:cs="Times New Roman"/>
                        <w:kern w:val="0"/>
                        <w:sz w:val="24"/>
                      </w:rPr>
                    </m:ctrlPr>
                  </m:e>
                  <m:sub>
                    <m:r>
                      <m:rPr>
                        <m:sty m:val="p"/>
                      </m:rPr>
                      <w:rPr>
                        <w:rFonts w:hint="default" w:ascii="Cambria Math" w:hAnsi="Cambria Math" w:cs="Times New Roman"/>
                        <w:kern w:val="0"/>
                        <w:sz w:val="24"/>
                      </w:rPr>
                      <m:t>p1</m:t>
                    </m:r>
                    <m:ctrlPr>
                      <w:rPr>
                        <w:rFonts w:hint="default" w:ascii="Cambria Math" w:hAnsi="Cambria Math" w:cs="Times New Roman"/>
                        <w:kern w:val="0"/>
                        <w:sz w:val="24"/>
                      </w:rPr>
                    </m:ctrlPr>
                  </m:sub>
                </m:sSub>
                <m:r>
                  <m:rPr>
                    <m:sty m:val="p"/>
                  </m:rPr>
                  <w:rPr>
                    <w:rFonts w:hint="default" w:ascii="Cambria Math" w:hAnsi="Cambria Math" w:cs="Times New Roman"/>
                    <w:kern w:val="0"/>
                    <w:sz w:val="24"/>
                  </w:rPr>
                  <m:t>−(TL+6)</m:t>
                </m:r>
              </m:oMath>
            </m:oMathPara>
          </w:p>
          <w:p w14:paraId="312035E2">
            <w:pPr>
              <w:widowControl/>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式中：</w:t>
            </w:r>
          </w:p>
          <w:p w14:paraId="2B0653FF">
            <w:pPr>
              <w:widowControl/>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TL—隔墙（或窗户）倍频带的隔声量，dB（A），本项目隔声量取</w:t>
            </w:r>
            <w:r>
              <w:rPr>
                <w:rFonts w:hint="eastAsia" w:ascii="Times New Roman" w:hAnsi="Times New Roman" w:cs="Times New Roman"/>
                <w:kern w:val="0"/>
                <w:sz w:val="24"/>
                <w:lang w:val="en-US" w:eastAsia="zh-CN"/>
              </w:rPr>
              <w:t>20</w:t>
            </w:r>
            <w:r>
              <w:rPr>
                <w:rFonts w:hint="default" w:ascii="Times New Roman" w:hAnsi="Times New Roman" w:cs="Times New Roman"/>
                <w:kern w:val="0"/>
                <w:sz w:val="24"/>
              </w:rPr>
              <w:t>。</w:t>
            </w:r>
          </w:p>
          <w:p w14:paraId="105B3C37">
            <w:pPr>
              <w:widowControl/>
              <w:spacing w:line="360" w:lineRule="auto"/>
              <w:ind w:firstLine="480" w:firstLineChars="200"/>
              <w:jc w:val="left"/>
              <w:rPr>
                <w:kern w:val="0"/>
                <w:sz w:val="24"/>
              </w:rPr>
            </w:pPr>
            <w:r>
              <w:rPr>
                <w:kern w:val="0"/>
                <w:sz w:val="24"/>
              </w:rPr>
              <w:t>也可按照下式计算某一室内声源靠近围护结构处产生的倍频带声压级：</w:t>
            </w:r>
          </w:p>
          <w:p w14:paraId="6C750D23">
            <w:pPr>
              <w:widowControl/>
              <w:spacing w:line="360" w:lineRule="auto"/>
              <w:jc w:val="center"/>
              <w:rPr>
                <w:kern w:val="0"/>
                <w:sz w:val="24"/>
              </w:rPr>
            </w:pPr>
            <w:r>
              <w:rPr>
                <w:kern w:val="0"/>
                <w:position w:val="-28"/>
                <w:sz w:val="24"/>
              </w:rPr>
              <w:object>
                <v:shape id="_x0000_i1030" o:spt="75" type="#_x0000_t75" style="height:33pt;width:135.7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p>
          <w:p w14:paraId="79DB8D73">
            <w:pPr>
              <w:widowControl/>
              <w:spacing w:line="360" w:lineRule="auto"/>
              <w:ind w:firstLine="480" w:firstLineChars="200"/>
              <w:jc w:val="left"/>
              <w:rPr>
                <w:kern w:val="0"/>
                <w:sz w:val="24"/>
              </w:rPr>
            </w:pPr>
            <w:r>
              <w:rPr>
                <w:kern w:val="0"/>
                <w:sz w:val="24"/>
              </w:rPr>
              <w:t>式中：</w:t>
            </w:r>
          </w:p>
          <w:p w14:paraId="2D3C2C7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kern w:val="0"/>
                <w:sz w:val="24"/>
              </w:rPr>
              <w:t>Q—指向性因数；通常对无指向性声源，当声源放在房间中心时，Q=1；当入在一面墙的中心时，Q=2；当放在两面墙夹角处时，Q=4；当放在三面墙夹角处时，Q=8；</w:t>
            </w:r>
          </w:p>
          <w:p w14:paraId="21D05B8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kern w:val="0"/>
                <w:sz w:val="24"/>
              </w:rPr>
              <w:t>R—房间常数；R=Sα/（1−α），S为房间内表面面积，m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；α为平均吸声系数，本技改项目取0.2；</w:t>
            </w:r>
          </w:p>
          <w:p w14:paraId="6E10FDB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kern w:val="0"/>
                <w:sz w:val="24"/>
              </w:rPr>
              <w:t>r——声源到靠近围护结构某点处的距离，m。</w:t>
            </w:r>
          </w:p>
          <w:p w14:paraId="0B36AE1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kern w:val="0"/>
                <w:sz w:val="24"/>
              </w:rPr>
              <w:t>所有室内声源在围护结构处产生的i倍频带叠加声压级的计算：</w:t>
            </w:r>
          </w:p>
          <w:p w14:paraId="06BB9C52">
            <w:pPr>
              <w:widowControl/>
              <w:spacing w:line="360" w:lineRule="auto"/>
              <w:ind w:firstLine="480" w:firstLineChars="200"/>
              <w:jc w:val="center"/>
              <w:rPr>
                <w:kern w:val="0"/>
                <w:sz w:val="24"/>
              </w:rPr>
            </w:pPr>
            <w:r>
              <w:rPr>
                <w:kern w:val="0"/>
                <w:position w:val="-32"/>
                <w:sz w:val="24"/>
              </w:rPr>
              <w:object>
                <v:shape id="_x0000_i1031" o:spt="75" type="#_x0000_t75" style="height:35.65pt;width:107.55pt;" o:ole="t" filled="f" o:preferrelative="t" stroked="f" coordsize="21600,21600">
                  <v:path/>
                  <v:fill on="f" focussize="0,0"/>
                  <v:stroke on="f"/>
                  <v:imagedata r:id="rId28" o:title=""/>
                  <o:lock v:ext="edit" aspectratio="t"/>
                  <w10:wrap type="none"/>
                  <w10:anchorlock/>
                </v:shape>
                <o:OLEObject Type="Embed" ProgID="Equation.3" ShapeID="_x0000_i1031" DrawAspect="Content" ObjectID="_1468075731" r:id="rId27">
                  <o:LockedField>false</o:LockedField>
                </o:OLEObject>
              </w:object>
            </w:r>
          </w:p>
          <w:p w14:paraId="57838850">
            <w:pPr>
              <w:widowControl/>
              <w:spacing w:line="360" w:lineRule="auto"/>
              <w:ind w:firstLine="480" w:firstLineChars="200"/>
              <w:jc w:val="left"/>
              <w:rPr>
                <w:kern w:val="0"/>
                <w:sz w:val="24"/>
              </w:rPr>
            </w:pPr>
            <w:r>
              <w:rPr>
                <w:kern w:val="0"/>
                <w:sz w:val="24"/>
              </w:rPr>
              <w:t>式中：</w:t>
            </w:r>
          </w:p>
          <w:p w14:paraId="7365CAE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kern w:val="0"/>
                <w:sz w:val="24"/>
              </w:rPr>
              <w:t>L</w:t>
            </w:r>
            <w:r>
              <w:rPr>
                <w:rFonts w:hint="default" w:ascii="Times New Roman" w:hAnsi="Times New Roman" w:cs="Times New Roman"/>
                <w:kern w:val="0"/>
                <w:sz w:val="24"/>
                <w:vertAlign w:val="subscript"/>
              </w:rPr>
              <w:t>P1i</w:t>
            </w:r>
            <w:r>
              <w:rPr>
                <w:rFonts w:hint="default" w:ascii="Times New Roman" w:hAnsi="Times New Roman" w:cs="Times New Roman"/>
                <w:kern w:val="0"/>
                <w:sz w:val="24"/>
              </w:rPr>
              <w:t>（T）—靠近围护结构处室内N个声源i倍频带的叠加声压级，dB；</w:t>
            </w:r>
          </w:p>
          <w:p w14:paraId="12E29E2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kern w:val="0"/>
                <w:sz w:val="24"/>
              </w:rPr>
              <w:t>L</w:t>
            </w:r>
            <w:r>
              <w:rPr>
                <w:rFonts w:hint="default" w:ascii="Times New Roman" w:hAnsi="Times New Roman" w:cs="Times New Roman"/>
                <w:kern w:val="0"/>
                <w:sz w:val="24"/>
                <w:vertAlign w:val="subscript"/>
              </w:rPr>
              <w:t>P1j</w:t>
            </w:r>
            <w:r>
              <w:rPr>
                <w:rFonts w:hint="default" w:ascii="Times New Roman" w:hAnsi="Times New Roman" w:cs="Times New Roman"/>
                <w:kern w:val="0"/>
                <w:sz w:val="24"/>
              </w:rPr>
              <w:t>—室内j声源i倍频带的声压级，dB；</w:t>
            </w:r>
          </w:p>
          <w:p w14:paraId="6DC5D6C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kern w:val="0"/>
                <w:sz w:val="24"/>
              </w:rPr>
              <w:t>N—室内声源总数；</w:t>
            </w:r>
          </w:p>
          <w:p w14:paraId="5ECD26D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kern w:val="0"/>
                <w:sz w:val="24"/>
              </w:rPr>
            </w:pPr>
            <w:r>
              <w:rPr>
                <w:rFonts w:hint="default" w:ascii="Times New Roman" w:hAnsi="Times New Roman" w:cs="Times New Roman"/>
                <w:kern w:val="0"/>
                <w:sz w:val="24"/>
              </w:rPr>
              <w:t>在室内近似为扩散声场时，按下式计算出靠近室外围护结构处的声压级：</w:t>
            </w:r>
          </w:p>
          <w:p w14:paraId="48D3671F">
            <w:pPr>
              <w:widowControl/>
              <w:spacing w:line="360" w:lineRule="auto"/>
              <w:ind w:firstLine="480" w:firstLineChars="200"/>
              <w:jc w:val="center"/>
              <w:rPr>
                <w:kern w:val="0"/>
                <w:sz w:val="24"/>
              </w:rPr>
            </w:pPr>
            <w:r>
              <w:rPr>
                <w:kern w:val="0"/>
                <w:position w:val="-12"/>
                <w:sz w:val="24"/>
              </w:rPr>
              <w:object>
                <v:shape id="_x0000_i1032" o:spt="75" type="#_x0000_t75" style="height:21pt;width:161.25pt;" o:ole="t"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2" r:id="rId29">
                  <o:LockedField>false</o:LockedField>
                </o:OLEObject>
              </w:object>
            </w:r>
          </w:p>
          <w:p w14:paraId="74EC3C51">
            <w:pPr>
              <w:widowControl/>
              <w:spacing w:line="360" w:lineRule="auto"/>
              <w:ind w:firstLine="480" w:firstLineChars="200"/>
              <w:jc w:val="left"/>
              <w:rPr>
                <w:kern w:val="0"/>
                <w:sz w:val="24"/>
              </w:rPr>
            </w:pPr>
            <w:r>
              <w:rPr>
                <w:kern w:val="0"/>
                <w:sz w:val="24"/>
              </w:rPr>
              <w:t>式中：</w:t>
            </w:r>
          </w:p>
          <w:p w14:paraId="0AF453D9">
            <w:pPr>
              <w:widowControl/>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L</w:t>
            </w:r>
            <w:r>
              <w:rPr>
                <w:rFonts w:hint="default" w:ascii="Times New Roman" w:hAnsi="Times New Roman" w:cs="Times New Roman"/>
                <w:kern w:val="0"/>
                <w:sz w:val="24"/>
                <w:vertAlign w:val="subscript"/>
              </w:rPr>
              <w:t>P2i</w:t>
            </w:r>
            <w:r>
              <w:rPr>
                <w:rFonts w:hint="default" w:ascii="Times New Roman" w:hAnsi="Times New Roman" w:cs="Times New Roman"/>
                <w:kern w:val="0"/>
                <w:sz w:val="24"/>
              </w:rPr>
              <w:t>（T）—靠近围护结构处室外N个声源i倍频带的叠加声压级，dB；</w:t>
            </w:r>
          </w:p>
          <w:p w14:paraId="403FCB70">
            <w:pPr>
              <w:widowControl/>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T</w:t>
            </w:r>
            <w:r>
              <w:rPr>
                <w:rFonts w:hint="default" w:ascii="Times New Roman" w:hAnsi="Times New Roman" w:cs="Times New Roman"/>
                <w:kern w:val="0"/>
                <w:sz w:val="24"/>
                <w:vertAlign w:val="subscript"/>
              </w:rPr>
              <w:t>Li</w:t>
            </w:r>
            <w:r>
              <w:rPr>
                <w:rFonts w:hint="default" w:ascii="Times New Roman" w:hAnsi="Times New Roman" w:cs="Times New Roman"/>
                <w:kern w:val="0"/>
                <w:sz w:val="24"/>
              </w:rPr>
              <w:t>—围护结构i倍频带的隔声量，dB；</w:t>
            </w:r>
          </w:p>
          <w:p w14:paraId="0FC14613">
            <w:pPr>
              <w:widowControl/>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将室外声源的声压级和透过面积换算成等效的室外声源，计算出中心位置于透声面积（S）处的等效声源的倍频带声功率级，见下式：</w:t>
            </w:r>
          </w:p>
          <w:p w14:paraId="1EF75709">
            <w:pPr>
              <w:widowControl/>
              <w:spacing w:line="360" w:lineRule="auto"/>
              <w:ind w:firstLine="480" w:firstLineChars="200"/>
              <w:jc w:val="center"/>
              <w:rPr>
                <w:kern w:val="0"/>
                <w:sz w:val="24"/>
              </w:rPr>
            </w:pPr>
            <w:r>
              <w:rPr>
                <w:kern w:val="0"/>
                <w:position w:val="-12"/>
                <w:sz w:val="24"/>
              </w:rPr>
              <w:object>
                <v:shape id="_x0000_i1033" o:spt="75" type="#_x0000_t75" style="height:21.75pt;width:126.7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3" r:id="rId31">
                  <o:LockedField>false</o:LockedField>
                </o:OLEObject>
              </w:object>
            </w:r>
          </w:p>
          <w:p w14:paraId="64EA7B64">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kern w:val="0"/>
                <w:sz w:val="24"/>
              </w:rPr>
              <w:t>然后按室外声源预测方法计算预测点处的A声级。</w:t>
            </w:r>
          </w:p>
          <w:p w14:paraId="371BEA8D">
            <w:pPr>
              <w:pStyle w:val="20"/>
              <w:spacing w:line="360" w:lineRule="auto"/>
              <w:ind w:left="0" w:leftChars="0" w:firstLine="480" w:firstLineChars="200"/>
              <w:rPr>
                <w:rFonts w:hint="default" w:ascii="Times New Roman" w:hAnsi="Times New Roman" w:cs="Times New Roman"/>
                <w:sz w:val="24"/>
              </w:rPr>
            </w:pPr>
            <w:r>
              <w:rPr>
                <w:rFonts w:hint="default" w:ascii="Times New Roman" w:hAnsi="Times New Roman" w:cs="Times New Roman"/>
                <w:sz w:val="24"/>
              </w:rPr>
              <w:t>③计算总声压级</w:t>
            </w:r>
          </w:p>
          <w:p w14:paraId="5052DC55">
            <w:pPr>
              <w:pStyle w:val="20"/>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sz w:val="24"/>
              </w:rPr>
              <w:t>为预测项目噪声源对周围声环境的影响情况，首先预测噪声源随距离的衰减，然后将噪声源产生的噪声值与区域噪声背景值叠加，即可以预测不同距离的噪声值。叠加公式为：</w:t>
            </w:r>
          </w:p>
          <w:p w14:paraId="41C0891E">
            <w:pPr>
              <w:spacing w:line="360" w:lineRule="auto"/>
              <w:jc w:val="center"/>
            </w:pPr>
            <w:r>
              <w:rPr>
                <w:position w:val="-14"/>
              </w:rPr>
              <w:object>
                <v:shape id="_x0000_i1034" o:spt="75" type="#_x0000_t75" style="height:24.75pt;width:154.5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4" r:id="rId33">
                  <o:LockedField>false</o:LockedField>
                </o:OLEObject>
              </w:object>
            </w:r>
          </w:p>
          <w:p w14:paraId="1916A24C">
            <w:pPr>
              <w:pStyle w:val="20"/>
              <w:spacing w:line="360" w:lineRule="auto"/>
              <w:ind w:left="900" w:hanging="480"/>
              <w:rPr>
                <w:sz w:val="24"/>
              </w:rPr>
            </w:pPr>
            <w:r>
              <w:rPr>
                <w:sz w:val="24"/>
              </w:rPr>
              <w:t>式中：</w:t>
            </w:r>
          </w:p>
          <w:p w14:paraId="6145C949">
            <w:pPr>
              <w:pStyle w:val="20"/>
              <w:spacing w:line="360" w:lineRule="auto"/>
              <w:ind w:left="900" w:hanging="480"/>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eq</w:t>
            </w:r>
            <w:r>
              <w:rPr>
                <w:rFonts w:hint="default" w:ascii="Times New Roman" w:hAnsi="Times New Roman" w:cs="Times New Roman"/>
                <w:sz w:val="24"/>
              </w:rPr>
              <w:t>——预测等效声级，dB（A）；</w:t>
            </w:r>
          </w:p>
          <w:p w14:paraId="2F330CB6">
            <w:pPr>
              <w:pStyle w:val="20"/>
              <w:spacing w:line="360" w:lineRule="auto"/>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eqg</w:t>
            </w:r>
            <w:r>
              <w:rPr>
                <w:rFonts w:hint="default" w:ascii="Times New Roman" w:hAnsi="Times New Roman" w:cs="Times New Roman"/>
                <w:sz w:val="24"/>
              </w:rPr>
              <w:t>——建设项目声源在预测点的等效声级贡献值，dB（A）；</w:t>
            </w:r>
          </w:p>
          <w:p w14:paraId="6BF691A0">
            <w:pPr>
              <w:pStyle w:val="20"/>
              <w:spacing w:line="360" w:lineRule="auto"/>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eqb</w:t>
            </w:r>
            <w:r>
              <w:rPr>
                <w:rFonts w:hint="default" w:ascii="Times New Roman" w:hAnsi="Times New Roman" w:cs="Times New Roman"/>
                <w:sz w:val="24"/>
              </w:rPr>
              <w:t>——预测点的背景值，dB（A）。</w:t>
            </w:r>
          </w:p>
          <w:p w14:paraId="4EE00432">
            <w:pPr>
              <w:pStyle w:val="20"/>
              <w:spacing w:line="360" w:lineRule="auto"/>
              <w:ind w:left="0" w:leftChars="0" w:firstLine="480" w:firstLineChars="200"/>
              <w:rPr>
                <w:rFonts w:hint="default" w:ascii="Times New Roman" w:hAnsi="Times New Roman" w:cs="Times New Roman"/>
                <w:sz w:val="24"/>
              </w:rPr>
            </w:pPr>
            <w:r>
              <w:rPr>
                <w:rFonts w:hint="default" w:ascii="Times New Roman" w:hAnsi="Times New Roman" w:cs="Times New Roman"/>
                <w:sz w:val="24"/>
              </w:rPr>
              <w:t>④模式中参数的确定</w:t>
            </w:r>
          </w:p>
          <w:p w14:paraId="5128AD0D">
            <w:pPr>
              <w:pStyle w:val="20"/>
              <w:spacing w:line="360" w:lineRule="auto"/>
              <w:ind w:left="0" w:leftChars="0" w:firstLine="480" w:firstLineChars="200"/>
              <w:jc w:val="both"/>
              <w:rPr>
                <w:rFonts w:hint="default" w:ascii="Times New Roman" w:hAnsi="Times New Roman" w:cs="Times New Roman"/>
                <w:sz w:val="24"/>
              </w:rPr>
            </w:pPr>
            <w:r>
              <w:rPr>
                <w:rFonts w:hint="default" w:ascii="Times New Roman" w:hAnsi="Times New Roman" w:cs="Times New Roman"/>
                <w:sz w:val="24"/>
              </w:rPr>
              <w:t>预测中重点考虑几何衰减、建筑物阻挡隔声，忽略大气衰减、地面效应等综合考虑项目噪声源分布、产生情况及降噪措施后，按上述模式计算各预测点的影响值预测，具体预测结果见表4-</w:t>
            </w:r>
            <w:r>
              <w:rPr>
                <w:rFonts w:hint="eastAsia" w:ascii="Times New Roman" w:hAnsi="Times New Roman" w:cs="Times New Roman"/>
                <w:sz w:val="24"/>
                <w:lang w:val="en-US" w:eastAsia="zh-CN"/>
              </w:rPr>
              <w:t>7</w:t>
            </w:r>
            <w:r>
              <w:rPr>
                <w:rFonts w:hint="default" w:ascii="Times New Roman" w:hAnsi="Times New Roman" w:cs="Times New Roman"/>
                <w:sz w:val="24"/>
              </w:rPr>
              <w:t>。</w:t>
            </w:r>
          </w:p>
          <w:p w14:paraId="1371ABEC">
            <w:pPr>
              <w:spacing w:line="240" w:lineRule="auto"/>
              <w:jc w:val="center"/>
              <w:rPr>
                <w:rFonts w:hint="eastAsia"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rPr>
              <w:t>表</w:t>
            </w:r>
            <w:r>
              <w:rPr>
                <w:rFonts w:hint="eastAsia" w:ascii="Times New Roman" w:hAnsi="Times New Roman" w:cs="Times New Roman"/>
                <w:b/>
                <w:bCs/>
                <w:color w:val="000000"/>
                <w:sz w:val="21"/>
                <w:szCs w:val="21"/>
                <w:lang w:val="en-US" w:eastAsia="zh-CN"/>
              </w:rPr>
              <w:t xml:space="preserve">4-7  </w:t>
            </w:r>
            <w:r>
              <w:rPr>
                <w:rFonts w:hint="default" w:ascii="Times New Roman" w:hAnsi="Times New Roman" w:cs="Times New Roman"/>
                <w:b/>
                <w:bCs/>
                <w:color w:val="000000"/>
                <w:sz w:val="21"/>
                <w:szCs w:val="21"/>
              </w:rPr>
              <w:t>本项目厂界噪声预测结果dB</w:t>
            </w:r>
            <w:r>
              <w:rPr>
                <w:rFonts w:hint="eastAsia" w:cs="Times New Roman"/>
                <w:b/>
                <w:bCs/>
                <w:color w:val="000000"/>
                <w:sz w:val="21"/>
                <w:szCs w:val="21"/>
                <w:lang w:eastAsia="zh-CN"/>
              </w:rPr>
              <w:t>（</w:t>
            </w:r>
            <w:r>
              <w:rPr>
                <w:rFonts w:hint="default" w:ascii="Times New Roman" w:hAnsi="Times New Roman" w:cs="Times New Roman"/>
                <w:b/>
                <w:bCs/>
                <w:color w:val="000000"/>
                <w:sz w:val="21"/>
                <w:szCs w:val="21"/>
              </w:rPr>
              <w:t>A</w:t>
            </w:r>
            <w:r>
              <w:rPr>
                <w:rFonts w:hint="eastAsia" w:cs="Times New Roman"/>
                <w:b/>
                <w:bCs/>
                <w:color w:val="000000"/>
                <w:sz w:val="21"/>
                <w:szCs w:val="21"/>
                <w:lang w:eastAsia="zh-CN"/>
              </w:rPr>
              <w:t>）</w:t>
            </w:r>
          </w:p>
          <w:tbl>
            <w:tblPr>
              <w:tblStyle w:val="25"/>
              <w:tblW w:w="7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25"/>
              <w:gridCol w:w="890"/>
              <w:gridCol w:w="868"/>
              <w:gridCol w:w="739"/>
              <w:gridCol w:w="706"/>
              <w:gridCol w:w="723"/>
              <w:gridCol w:w="706"/>
              <w:gridCol w:w="722"/>
              <w:gridCol w:w="708"/>
            </w:tblGrid>
            <w:tr w14:paraId="5DB91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51" w:type="dxa"/>
                  <w:vMerge w:val="restart"/>
                  <w:tcBorders>
                    <w:tl2br w:val="nil"/>
                    <w:tr2bl w:val="nil"/>
                  </w:tcBorders>
                  <w:noWrap w:val="0"/>
                  <w:vAlign w:val="center"/>
                </w:tcPr>
                <w:p w14:paraId="7F887DDE">
                  <w:pPr>
                    <w:pStyle w:val="20"/>
                    <w:ind w:left="0" w:leftChars="0" w:firstLine="0" w:firstLineChars="0"/>
                    <w:jc w:val="center"/>
                    <w:rPr>
                      <w:rFonts w:hint="default" w:eastAsia="宋体"/>
                      <w:color w:val="000000"/>
                      <w:vertAlign w:val="baseline"/>
                      <w:lang w:val="en-US" w:eastAsia="zh-CN"/>
                    </w:rPr>
                  </w:pPr>
                  <w:r>
                    <w:rPr>
                      <w:rFonts w:hint="eastAsia" w:eastAsia="宋体"/>
                      <w:b/>
                      <w:bCs/>
                      <w:color w:val="000000"/>
                      <w:vertAlign w:val="baseline"/>
                      <w:lang w:val="en-US" w:eastAsia="zh-CN"/>
                    </w:rPr>
                    <w:t>建筑物名称</w:t>
                  </w:r>
                </w:p>
              </w:tc>
              <w:tc>
                <w:tcPr>
                  <w:tcW w:w="825" w:type="dxa"/>
                  <w:vMerge w:val="restart"/>
                  <w:tcBorders>
                    <w:tl2br w:val="nil"/>
                    <w:tr2bl w:val="nil"/>
                  </w:tcBorders>
                  <w:noWrap w:val="0"/>
                  <w:vAlign w:val="center"/>
                </w:tcPr>
                <w:p w14:paraId="53BDFC95">
                  <w:pPr>
                    <w:pStyle w:val="20"/>
                    <w:ind w:left="0" w:leftChars="0" w:firstLine="0" w:firstLineChars="0"/>
                    <w:jc w:val="center"/>
                    <w:rPr>
                      <w:rFonts w:hint="eastAsia"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排放源强/dB</w:t>
                  </w:r>
                </w:p>
                <w:p w14:paraId="17C63E24">
                  <w:pPr>
                    <w:pStyle w:val="20"/>
                    <w:ind w:left="0" w:leftChars="0" w:firstLine="0" w:firstLineChars="0"/>
                    <w:jc w:val="center"/>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color w:val="000000"/>
                      <w:sz w:val="21"/>
                      <w:szCs w:val="21"/>
                      <w:lang w:val="en-US" w:eastAsia="zh-CN"/>
                    </w:rPr>
                    <w:t>（</w:t>
                  </w:r>
                  <w:r>
                    <w:rPr>
                      <w:rFonts w:hint="eastAsia" w:ascii="Times New Roman" w:hAnsi="Times New Roman" w:eastAsia="宋体" w:cs="Times New Roman"/>
                      <w:b/>
                      <w:color w:val="000000"/>
                      <w:sz w:val="21"/>
                      <w:szCs w:val="21"/>
                      <w:lang w:val="en-US" w:eastAsia="zh-CN"/>
                    </w:rPr>
                    <w:t>A</w:t>
                  </w:r>
                  <w:r>
                    <w:rPr>
                      <w:rFonts w:hint="eastAsia" w:ascii="Times New Roman" w:hAnsi="Times New Roman" w:cs="Times New Roman"/>
                      <w:b/>
                      <w:color w:val="000000"/>
                      <w:sz w:val="21"/>
                      <w:szCs w:val="21"/>
                      <w:lang w:val="en-US" w:eastAsia="zh-CN"/>
                    </w:rPr>
                    <w:t>）</w:t>
                  </w:r>
                </w:p>
              </w:tc>
              <w:tc>
                <w:tcPr>
                  <w:tcW w:w="1758" w:type="dxa"/>
                  <w:gridSpan w:val="2"/>
                  <w:tcBorders>
                    <w:tl2br w:val="nil"/>
                    <w:tr2bl w:val="nil"/>
                  </w:tcBorders>
                  <w:noWrap w:val="0"/>
                  <w:vAlign w:val="center"/>
                </w:tcPr>
                <w:p w14:paraId="4C0615F7">
                  <w:pPr>
                    <w:pStyle w:val="20"/>
                    <w:spacing w:line="240" w:lineRule="auto"/>
                    <w:ind w:left="0" w:leftChars="0" w:firstLine="0" w:firstLineChars="0"/>
                    <w:jc w:val="both"/>
                    <w:rPr>
                      <w:rFonts w:hint="eastAsia"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kern w:val="2"/>
                      <w:sz w:val="21"/>
                      <w:szCs w:val="21"/>
                      <w:lang w:val="en-US" w:eastAsia="zh-CN" w:bidi="ar-SA"/>
                    </w:rPr>
                    <w:t>建筑物外噪声</w:t>
                  </w:r>
                </w:p>
                <w:p w14:paraId="13845559">
                  <w:pPr>
                    <w:pStyle w:val="20"/>
                    <w:spacing w:line="240" w:lineRule="auto"/>
                    <w:ind w:left="0" w:leftChars="0" w:firstLine="0" w:firstLineChars="0"/>
                    <w:jc w:val="center"/>
                    <w:rPr>
                      <w:rFonts w:hint="default"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kern w:val="2"/>
                      <w:sz w:val="21"/>
                      <w:szCs w:val="21"/>
                      <w:lang w:val="en-US" w:eastAsia="zh-CN" w:bidi="ar-SA"/>
                    </w:rPr>
                    <w:t>（东</w:t>
                  </w:r>
                  <w:r>
                    <w:rPr>
                      <w:rFonts w:hint="eastAsia" w:ascii="Times New Roman" w:hAnsi="Times New Roman" w:cs="Times New Roman"/>
                      <w:b/>
                      <w:bCs/>
                      <w:color w:val="000000"/>
                      <w:kern w:val="2"/>
                      <w:sz w:val="21"/>
                      <w:szCs w:val="21"/>
                      <w:lang w:val="en-US" w:eastAsia="zh-CN" w:bidi="ar-SA"/>
                    </w:rPr>
                    <w:t>厂界</w:t>
                  </w:r>
                  <w:r>
                    <w:rPr>
                      <w:rFonts w:hint="eastAsia" w:ascii="Times New Roman" w:hAnsi="Times New Roman" w:eastAsia="宋体" w:cs="Times New Roman"/>
                      <w:b/>
                      <w:bCs/>
                      <w:color w:val="000000"/>
                      <w:kern w:val="2"/>
                      <w:sz w:val="21"/>
                      <w:szCs w:val="21"/>
                      <w:lang w:val="en-US" w:eastAsia="zh-CN" w:bidi="ar-SA"/>
                    </w:rPr>
                    <w:t>）</w:t>
                  </w:r>
                </w:p>
              </w:tc>
              <w:tc>
                <w:tcPr>
                  <w:tcW w:w="1445" w:type="dxa"/>
                  <w:gridSpan w:val="2"/>
                  <w:tcBorders>
                    <w:tl2br w:val="nil"/>
                    <w:tr2bl w:val="nil"/>
                  </w:tcBorders>
                  <w:noWrap w:val="0"/>
                  <w:vAlign w:val="center"/>
                </w:tcPr>
                <w:p w14:paraId="06479CB2">
                  <w:pPr>
                    <w:pStyle w:val="20"/>
                    <w:spacing w:line="240" w:lineRule="auto"/>
                    <w:ind w:left="0" w:leftChars="0" w:firstLine="0" w:firstLineChars="0"/>
                    <w:jc w:val="both"/>
                    <w:rPr>
                      <w:rFonts w:hint="default"/>
                      <w:b/>
                      <w:bCs/>
                      <w:color w:val="000000"/>
                      <w:vertAlign w:val="baseline"/>
                    </w:rPr>
                  </w:pPr>
                  <w:r>
                    <w:rPr>
                      <w:rFonts w:hint="eastAsia" w:ascii="Times New Roman" w:hAnsi="Times New Roman" w:eastAsia="宋体" w:cs="Times New Roman"/>
                      <w:b/>
                      <w:bCs/>
                      <w:color w:val="000000"/>
                      <w:kern w:val="2"/>
                      <w:sz w:val="21"/>
                      <w:szCs w:val="21"/>
                      <w:lang w:val="en-US" w:eastAsia="zh-CN" w:bidi="ar-SA"/>
                    </w:rPr>
                    <w:t>建筑物外噪声（</w:t>
                  </w:r>
                  <w:r>
                    <w:rPr>
                      <w:rFonts w:hint="eastAsia" w:ascii="Times New Roman" w:hAnsi="Times New Roman" w:cs="Times New Roman"/>
                      <w:b/>
                      <w:bCs/>
                      <w:color w:val="000000"/>
                      <w:kern w:val="2"/>
                      <w:sz w:val="21"/>
                      <w:szCs w:val="21"/>
                      <w:lang w:val="en-US" w:eastAsia="zh-CN" w:bidi="ar-SA"/>
                    </w:rPr>
                    <w:t>南厂界</w:t>
                  </w:r>
                  <w:r>
                    <w:rPr>
                      <w:rFonts w:hint="eastAsia" w:ascii="Times New Roman" w:hAnsi="Times New Roman" w:eastAsia="宋体" w:cs="Times New Roman"/>
                      <w:b/>
                      <w:bCs/>
                      <w:color w:val="000000"/>
                      <w:kern w:val="2"/>
                      <w:sz w:val="21"/>
                      <w:szCs w:val="21"/>
                      <w:lang w:val="en-US" w:eastAsia="zh-CN" w:bidi="ar-SA"/>
                    </w:rPr>
                    <w:t>）</w:t>
                  </w:r>
                </w:p>
              </w:tc>
              <w:tc>
                <w:tcPr>
                  <w:tcW w:w="1429" w:type="dxa"/>
                  <w:gridSpan w:val="2"/>
                  <w:tcBorders>
                    <w:tl2br w:val="nil"/>
                    <w:tr2bl w:val="nil"/>
                  </w:tcBorders>
                  <w:noWrap w:val="0"/>
                  <w:vAlign w:val="center"/>
                </w:tcPr>
                <w:p w14:paraId="049F1388">
                  <w:pPr>
                    <w:pStyle w:val="20"/>
                    <w:spacing w:line="240" w:lineRule="auto"/>
                    <w:ind w:left="0" w:leftChars="0" w:firstLine="0" w:firstLineChars="0"/>
                    <w:jc w:val="center"/>
                    <w:rPr>
                      <w:rFonts w:hint="default"/>
                      <w:b/>
                      <w:bCs/>
                      <w:color w:val="000000"/>
                      <w:vertAlign w:val="baseline"/>
                    </w:rPr>
                  </w:pPr>
                  <w:r>
                    <w:rPr>
                      <w:rFonts w:hint="eastAsia" w:ascii="Times New Roman" w:hAnsi="Times New Roman" w:eastAsia="宋体" w:cs="Times New Roman"/>
                      <w:b/>
                      <w:bCs/>
                      <w:color w:val="000000"/>
                      <w:kern w:val="2"/>
                      <w:sz w:val="21"/>
                      <w:szCs w:val="21"/>
                      <w:lang w:val="en-US" w:eastAsia="zh-CN" w:bidi="ar-SA"/>
                    </w:rPr>
                    <w:t>建筑物外噪声（西</w:t>
                  </w:r>
                  <w:r>
                    <w:rPr>
                      <w:rFonts w:hint="eastAsia" w:ascii="Times New Roman" w:hAnsi="Times New Roman" w:cs="Times New Roman"/>
                      <w:b/>
                      <w:bCs/>
                      <w:color w:val="000000"/>
                      <w:kern w:val="2"/>
                      <w:sz w:val="21"/>
                      <w:szCs w:val="21"/>
                      <w:lang w:val="en-US" w:eastAsia="zh-CN" w:bidi="ar-SA"/>
                    </w:rPr>
                    <w:t>厂界</w:t>
                  </w:r>
                  <w:r>
                    <w:rPr>
                      <w:rFonts w:hint="eastAsia" w:ascii="Times New Roman" w:hAnsi="Times New Roman" w:eastAsia="宋体" w:cs="Times New Roman"/>
                      <w:b/>
                      <w:bCs/>
                      <w:color w:val="000000"/>
                      <w:kern w:val="2"/>
                      <w:sz w:val="21"/>
                      <w:szCs w:val="21"/>
                      <w:lang w:val="en-US" w:eastAsia="zh-CN" w:bidi="ar-SA"/>
                    </w:rPr>
                    <w:t>）</w:t>
                  </w:r>
                </w:p>
              </w:tc>
              <w:tc>
                <w:tcPr>
                  <w:tcW w:w="1430" w:type="dxa"/>
                  <w:gridSpan w:val="2"/>
                  <w:tcBorders>
                    <w:tl2br w:val="nil"/>
                    <w:tr2bl w:val="nil"/>
                  </w:tcBorders>
                  <w:noWrap w:val="0"/>
                  <w:vAlign w:val="center"/>
                </w:tcPr>
                <w:p w14:paraId="327C2A1A">
                  <w:pPr>
                    <w:pStyle w:val="20"/>
                    <w:spacing w:line="240" w:lineRule="auto"/>
                    <w:ind w:left="0" w:leftChars="0" w:firstLine="0" w:firstLineChars="0"/>
                    <w:jc w:val="center"/>
                    <w:rPr>
                      <w:rFonts w:hint="default"/>
                      <w:b/>
                      <w:bCs/>
                      <w:color w:val="000000"/>
                      <w:vertAlign w:val="baseline"/>
                    </w:rPr>
                  </w:pPr>
                  <w:r>
                    <w:rPr>
                      <w:rFonts w:hint="eastAsia" w:ascii="Times New Roman" w:hAnsi="Times New Roman" w:eastAsia="宋体" w:cs="Times New Roman"/>
                      <w:b/>
                      <w:bCs/>
                      <w:color w:val="000000"/>
                      <w:kern w:val="2"/>
                      <w:sz w:val="21"/>
                      <w:szCs w:val="21"/>
                      <w:lang w:val="en-US" w:eastAsia="zh-CN" w:bidi="ar-SA"/>
                    </w:rPr>
                    <w:t>建筑物外噪声（</w:t>
                  </w:r>
                  <w:r>
                    <w:rPr>
                      <w:rFonts w:hint="eastAsia" w:ascii="Times New Roman" w:hAnsi="Times New Roman" w:cs="Times New Roman"/>
                      <w:b/>
                      <w:bCs/>
                      <w:color w:val="000000"/>
                      <w:kern w:val="2"/>
                      <w:sz w:val="21"/>
                      <w:szCs w:val="21"/>
                      <w:lang w:val="en-US" w:eastAsia="zh-CN" w:bidi="ar-SA"/>
                    </w:rPr>
                    <w:t>北厂界</w:t>
                  </w:r>
                  <w:r>
                    <w:rPr>
                      <w:rFonts w:hint="eastAsia" w:ascii="Times New Roman" w:hAnsi="Times New Roman" w:eastAsia="宋体" w:cs="Times New Roman"/>
                      <w:b/>
                      <w:bCs/>
                      <w:color w:val="000000"/>
                      <w:kern w:val="2"/>
                      <w:sz w:val="21"/>
                      <w:szCs w:val="21"/>
                      <w:lang w:val="en-US" w:eastAsia="zh-CN" w:bidi="ar-SA"/>
                    </w:rPr>
                    <w:t>）</w:t>
                  </w:r>
                </w:p>
              </w:tc>
            </w:tr>
            <w:tr w14:paraId="5D596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751" w:type="dxa"/>
                  <w:vMerge w:val="continue"/>
                  <w:tcBorders>
                    <w:tl2br w:val="nil"/>
                    <w:tr2bl w:val="nil"/>
                  </w:tcBorders>
                  <w:noWrap w:val="0"/>
                  <w:vAlign w:val="center"/>
                </w:tcPr>
                <w:p w14:paraId="7D4E362B">
                  <w:pPr>
                    <w:pStyle w:val="20"/>
                    <w:jc w:val="center"/>
                    <w:rPr>
                      <w:rFonts w:hint="default"/>
                      <w:b w:val="0"/>
                      <w:bCs w:val="0"/>
                      <w:color w:val="000000"/>
                      <w:vertAlign w:val="baseline"/>
                    </w:rPr>
                  </w:pPr>
                </w:p>
              </w:tc>
              <w:tc>
                <w:tcPr>
                  <w:tcW w:w="825" w:type="dxa"/>
                  <w:vMerge w:val="continue"/>
                  <w:tcBorders>
                    <w:tl2br w:val="nil"/>
                    <w:tr2bl w:val="nil"/>
                  </w:tcBorders>
                  <w:noWrap w:val="0"/>
                  <w:vAlign w:val="center"/>
                </w:tcPr>
                <w:p w14:paraId="050FCB03">
                  <w:pPr>
                    <w:pStyle w:val="20"/>
                    <w:jc w:val="center"/>
                    <w:rPr>
                      <w:rFonts w:hint="default"/>
                      <w:b w:val="0"/>
                      <w:bCs w:val="0"/>
                      <w:color w:val="000000"/>
                      <w:vertAlign w:val="baseline"/>
                    </w:rPr>
                  </w:pPr>
                </w:p>
              </w:tc>
              <w:tc>
                <w:tcPr>
                  <w:tcW w:w="890" w:type="dxa"/>
                  <w:tcBorders>
                    <w:tl2br w:val="nil"/>
                    <w:tr2bl w:val="nil"/>
                  </w:tcBorders>
                  <w:noWrap w:val="0"/>
                  <w:vAlign w:val="center"/>
                </w:tcPr>
                <w:p w14:paraId="201E4B01">
                  <w:pPr>
                    <w:pStyle w:val="20"/>
                    <w:spacing w:line="240" w:lineRule="auto"/>
                    <w:ind w:left="0" w:leftChars="0" w:firstLine="0" w:firstLineChars="0"/>
                    <w:jc w:val="center"/>
                    <w:rPr>
                      <w:rFonts w:hint="default"/>
                      <w:b w:val="0"/>
                      <w:bCs w:val="0"/>
                      <w:color w:val="000000"/>
                      <w:sz w:val="21"/>
                      <w:szCs w:val="21"/>
                      <w:lang w:val="en-US" w:eastAsia="zh-CN"/>
                    </w:rPr>
                  </w:pPr>
                  <w:r>
                    <w:rPr>
                      <w:rFonts w:hint="eastAsia"/>
                      <w:b w:val="0"/>
                      <w:bCs w:val="0"/>
                      <w:color w:val="000000"/>
                      <w:sz w:val="21"/>
                      <w:szCs w:val="21"/>
                      <w:lang w:val="en-US" w:eastAsia="zh-CN"/>
                    </w:rPr>
                    <w:t>声压级</w:t>
                  </w:r>
                  <w:r>
                    <w:rPr>
                      <w:rFonts w:hint="eastAsia" w:ascii="Times New Roman" w:hAnsi="Times New Roman" w:eastAsia="宋体" w:cs="Times New Roman"/>
                      <w:b w:val="0"/>
                      <w:bCs w:val="0"/>
                      <w:color w:val="000000"/>
                      <w:sz w:val="21"/>
                      <w:szCs w:val="21"/>
                      <w:lang w:val="en-US" w:eastAsia="zh-CN"/>
                    </w:rPr>
                    <w:t>/dB</w:t>
                  </w:r>
                  <w:r>
                    <w:rPr>
                      <w:rFonts w:hint="eastAsia" w:ascii="Times New Roman" w:hAnsi="Times New Roman" w:cs="Times New Roman"/>
                      <w:b w:val="0"/>
                      <w:bCs w:val="0"/>
                      <w:color w:val="000000"/>
                      <w:sz w:val="21"/>
                      <w:szCs w:val="21"/>
                      <w:lang w:val="en-US" w:eastAsia="zh-CN"/>
                    </w:rPr>
                    <w:t>（</w:t>
                  </w:r>
                  <w:r>
                    <w:rPr>
                      <w:rFonts w:hint="eastAsia" w:ascii="Times New Roman" w:hAnsi="Times New Roman" w:eastAsia="宋体" w:cs="Times New Roman"/>
                      <w:b w:val="0"/>
                      <w:bCs w:val="0"/>
                      <w:color w:val="000000"/>
                      <w:sz w:val="21"/>
                      <w:szCs w:val="21"/>
                      <w:lang w:val="en-US" w:eastAsia="zh-CN"/>
                    </w:rPr>
                    <w:t>A</w:t>
                  </w:r>
                  <w:r>
                    <w:rPr>
                      <w:rFonts w:hint="eastAsia" w:ascii="Times New Roman" w:hAnsi="Times New Roman" w:cs="Times New Roman"/>
                      <w:b w:val="0"/>
                      <w:bCs w:val="0"/>
                      <w:color w:val="000000"/>
                      <w:sz w:val="21"/>
                      <w:szCs w:val="21"/>
                      <w:lang w:val="en-US" w:eastAsia="zh-CN"/>
                    </w:rPr>
                    <w:t>）</w:t>
                  </w:r>
                </w:p>
              </w:tc>
              <w:tc>
                <w:tcPr>
                  <w:tcW w:w="868" w:type="dxa"/>
                  <w:tcBorders>
                    <w:tl2br w:val="nil"/>
                    <w:tr2bl w:val="nil"/>
                  </w:tcBorders>
                  <w:noWrap w:val="0"/>
                  <w:vAlign w:val="center"/>
                </w:tcPr>
                <w:p w14:paraId="0C88BD8A">
                  <w:pPr>
                    <w:pStyle w:val="20"/>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建筑物外距厂界距离</w:t>
                  </w:r>
                  <w:r>
                    <w:rPr>
                      <w:rFonts w:hint="eastAsia" w:ascii="Times New Roman" w:hAnsi="Times New Roman" w:cs="Times New Roman"/>
                      <w:b w:val="0"/>
                      <w:bCs w:val="0"/>
                      <w:color w:val="000000"/>
                      <w:kern w:val="2"/>
                      <w:sz w:val="21"/>
                      <w:szCs w:val="21"/>
                      <w:lang w:val="en-US" w:eastAsia="zh-CN" w:bidi="ar-SA"/>
                    </w:rPr>
                    <w:t>m</w:t>
                  </w:r>
                </w:p>
              </w:tc>
              <w:tc>
                <w:tcPr>
                  <w:tcW w:w="739" w:type="dxa"/>
                  <w:tcBorders>
                    <w:tl2br w:val="nil"/>
                    <w:tr2bl w:val="nil"/>
                  </w:tcBorders>
                  <w:noWrap w:val="0"/>
                  <w:vAlign w:val="center"/>
                </w:tcPr>
                <w:p w14:paraId="2F06111E">
                  <w:pPr>
                    <w:pStyle w:val="20"/>
                    <w:spacing w:line="240" w:lineRule="auto"/>
                    <w:ind w:left="0" w:leftChars="0"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b w:val="0"/>
                      <w:bCs w:val="0"/>
                      <w:color w:val="000000"/>
                      <w:sz w:val="21"/>
                      <w:szCs w:val="21"/>
                      <w:lang w:val="en-US" w:eastAsia="zh-CN"/>
                    </w:rPr>
                    <w:t>声压级</w:t>
                  </w:r>
                  <w:r>
                    <w:rPr>
                      <w:rFonts w:hint="eastAsia" w:ascii="Times New Roman" w:hAnsi="Times New Roman" w:eastAsia="宋体" w:cs="Times New Roman"/>
                      <w:b w:val="0"/>
                      <w:bCs w:val="0"/>
                      <w:color w:val="000000"/>
                      <w:sz w:val="21"/>
                      <w:szCs w:val="21"/>
                      <w:lang w:val="en-US" w:eastAsia="zh-CN"/>
                    </w:rPr>
                    <w:t>/dB</w:t>
                  </w:r>
                </w:p>
                <w:p w14:paraId="58F974A2">
                  <w:pPr>
                    <w:pStyle w:val="20"/>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sz w:val="21"/>
                      <w:szCs w:val="21"/>
                      <w:lang w:val="en-US" w:eastAsia="zh-CN"/>
                    </w:rPr>
                    <w:t>（</w:t>
                  </w:r>
                  <w:r>
                    <w:rPr>
                      <w:rFonts w:hint="eastAsia" w:ascii="Times New Roman" w:hAnsi="Times New Roman" w:eastAsia="宋体" w:cs="Times New Roman"/>
                      <w:b w:val="0"/>
                      <w:bCs w:val="0"/>
                      <w:color w:val="000000"/>
                      <w:sz w:val="21"/>
                      <w:szCs w:val="21"/>
                      <w:lang w:val="en-US" w:eastAsia="zh-CN"/>
                    </w:rPr>
                    <w:t>A</w:t>
                  </w:r>
                  <w:r>
                    <w:rPr>
                      <w:rFonts w:hint="eastAsia" w:ascii="Times New Roman" w:hAnsi="Times New Roman" w:cs="Times New Roman"/>
                      <w:b w:val="0"/>
                      <w:bCs w:val="0"/>
                      <w:color w:val="000000"/>
                      <w:sz w:val="21"/>
                      <w:szCs w:val="21"/>
                      <w:lang w:val="en-US" w:eastAsia="zh-CN"/>
                    </w:rPr>
                    <w:t>）</w:t>
                  </w:r>
                </w:p>
              </w:tc>
              <w:tc>
                <w:tcPr>
                  <w:tcW w:w="706" w:type="dxa"/>
                  <w:tcBorders>
                    <w:tl2br w:val="nil"/>
                    <w:tr2bl w:val="nil"/>
                  </w:tcBorders>
                  <w:noWrap w:val="0"/>
                  <w:vAlign w:val="center"/>
                </w:tcPr>
                <w:p w14:paraId="56A82303">
                  <w:pPr>
                    <w:pStyle w:val="20"/>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建筑物外距厂界距离</w:t>
                  </w:r>
                  <w:r>
                    <w:rPr>
                      <w:rFonts w:hint="eastAsia" w:ascii="Times New Roman" w:hAnsi="Times New Roman" w:cs="Times New Roman"/>
                      <w:b w:val="0"/>
                      <w:bCs w:val="0"/>
                      <w:color w:val="000000"/>
                      <w:kern w:val="2"/>
                      <w:sz w:val="21"/>
                      <w:szCs w:val="21"/>
                      <w:lang w:val="en-US" w:eastAsia="zh-CN" w:bidi="ar-SA"/>
                    </w:rPr>
                    <w:t>m</w:t>
                  </w:r>
                </w:p>
              </w:tc>
              <w:tc>
                <w:tcPr>
                  <w:tcW w:w="723" w:type="dxa"/>
                  <w:tcBorders>
                    <w:tl2br w:val="nil"/>
                    <w:tr2bl w:val="nil"/>
                  </w:tcBorders>
                  <w:noWrap w:val="0"/>
                  <w:vAlign w:val="center"/>
                </w:tcPr>
                <w:p w14:paraId="0DC0831B">
                  <w:pPr>
                    <w:pStyle w:val="20"/>
                    <w:spacing w:line="240" w:lineRule="auto"/>
                    <w:ind w:left="0" w:leftChars="0"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b w:val="0"/>
                      <w:bCs w:val="0"/>
                      <w:color w:val="000000"/>
                      <w:sz w:val="21"/>
                      <w:szCs w:val="21"/>
                      <w:lang w:val="en-US" w:eastAsia="zh-CN"/>
                    </w:rPr>
                    <w:t>声压级</w:t>
                  </w:r>
                  <w:r>
                    <w:rPr>
                      <w:rFonts w:hint="eastAsia" w:ascii="Times New Roman" w:hAnsi="Times New Roman" w:eastAsia="宋体" w:cs="Times New Roman"/>
                      <w:b w:val="0"/>
                      <w:bCs w:val="0"/>
                      <w:color w:val="000000"/>
                      <w:sz w:val="21"/>
                      <w:szCs w:val="21"/>
                      <w:lang w:val="en-US" w:eastAsia="zh-CN"/>
                    </w:rPr>
                    <w:t>/dB</w:t>
                  </w:r>
                </w:p>
                <w:p w14:paraId="3EB44790">
                  <w:pPr>
                    <w:pStyle w:val="20"/>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sz w:val="21"/>
                      <w:szCs w:val="21"/>
                      <w:lang w:val="en-US" w:eastAsia="zh-CN"/>
                    </w:rPr>
                    <w:t>（</w:t>
                  </w:r>
                  <w:r>
                    <w:rPr>
                      <w:rFonts w:hint="eastAsia" w:ascii="Times New Roman" w:hAnsi="Times New Roman" w:eastAsia="宋体" w:cs="Times New Roman"/>
                      <w:b w:val="0"/>
                      <w:bCs w:val="0"/>
                      <w:color w:val="000000"/>
                      <w:sz w:val="21"/>
                      <w:szCs w:val="21"/>
                      <w:lang w:val="en-US" w:eastAsia="zh-CN"/>
                    </w:rPr>
                    <w:t>A</w:t>
                  </w:r>
                  <w:r>
                    <w:rPr>
                      <w:rFonts w:hint="eastAsia" w:ascii="Times New Roman" w:hAnsi="Times New Roman" w:cs="Times New Roman"/>
                      <w:b w:val="0"/>
                      <w:bCs w:val="0"/>
                      <w:color w:val="000000"/>
                      <w:sz w:val="21"/>
                      <w:szCs w:val="21"/>
                      <w:lang w:val="en-US" w:eastAsia="zh-CN"/>
                    </w:rPr>
                    <w:t>）</w:t>
                  </w:r>
                </w:p>
              </w:tc>
              <w:tc>
                <w:tcPr>
                  <w:tcW w:w="706" w:type="dxa"/>
                  <w:tcBorders>
                    <w:tl2br w:val="nil"/>
                    <w:tr2bl w:val="nil"/>
                  </w:tcBorders>
                  <w:noWrap w:val="0"/>
                  <w:vAlign w:val="center"/>
                </w:tcPr>
                <w:p w14:paraId="55A9BDD8">
                  <w:pPr>
                    <w:pStyle w:val="20"/>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建筑物外距厂界距离</w:t>
                  </w:r>
                  <w:r>
                    <w:rPr>
                      <w:rFonts w:hint="eastAsia" w:ascii="Times New Roman" w:hAnsi="Times New Roman" w:cs="Times New Roman"/>
                      <w:b w:val="0"/>
                      <w:bCs w:val="0"/>
                      <w:color w:val="000000"/>
                      <w:kern w:val="2"/>
                      <w:sz w:val="21"/>
                      <w:szCs w:val="21"/>
                      <w:lang w:val="en-US" w:eastAsia="zh-CN" w:bidi="ar-SA"/>
                    </w:rPr>
                    <w:t>m</w:t>
                  </w:r>
                </w:p>
              </w:tc>
              <w:tc>
                <w:tcPr>
                  <w:tcW w:w="722" w:type="dxa"/>
                  <w:tcBorders>
                    <w:tl2br w:val="nil"/>
                    <w:tr2bl w:val="nil"/>
                  </w:tcBorders>
                  <w:noWrap w:val="0"/>
                  <w:vAlign w:val="center"/>
                </w:tcPr>
                <w:p w14:paraId="355A0451">
                  <w:pPr>
                    <w:pStyle w:val="20"/>
                    <w:spacing w:line="240" w:lineRule="auto"/>
                    <w:ind w:left="0" w:leftChars="0" w:firstLine="0" w:firstLineChars="0"/>
                    <w:jc w:val="center"/>
                    <w:rPr>
                      <w:rFonts w:hint="eastAsia" w:ascii="Times New Roman" w:hAnsi="Times New Roman" w:eastAsia="宋体" w:cs="Times New Roman"/>
                      <w:b w:val="0"/>
                      <w:bCs w:val="0"/>
                      <w:color w:val="000000"/>
                      <w:sz w:val="21"/>
                      <w:szCs w:val="21"/>
                      <w:lang w:val="en-US" w:eastAsia="zh-CN"/>
                    </w:rPr>
                  </w:pPr>
                  <w:r>
                    <w:rPr>
                      <w:rFonts w:hint="eastAsia"/>
                      <w:b w:val="0"/>
                      <w:bCs w:val="0"/>
                      <w:color w:val="000000"/>
                      <w:sz w:val="21"/>
                      <w:szCs w:val="21"/>
                      <w:lang w:val="en-US" w:eastAsia="zh-CN"/>
                    </w:rPr>
                    <w:t>声压级</w:t>
                  </w:r>
                  <w:r>
                    <w:rPr>
                      <w:rFonts w:hint="eastAsia" w:ascii="Times New Roman" w:hAnsi="Times New Roman" w:eastAsia="宋体" w:cs="Times New Roman"/>
                      <w:b w:val="0"/>
                      <w:bCs w:val="0"/>
                      <w:color w:val="000000"/>
                      <w:sz w:val="21"/>
                      <w:szCs w:val="21"/>
                      <w:lang w:val="en-US" w:eastAsia="zh-CN"/>
                    </w:rPr>
                    <w:t>/dB</w:t>
                  </w:r>
                </w:p>
                <w:p w14:paraId="5A5E9091">
                  <w:pPr>
                    <w:pStyle w:val="20"/>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sz w:val="21"/>
                      <w:szCs w:val="21"/>
                      <w:lang w:val="en-US" w:eastAsia="zh-CN"/>
                    </w:rPr>
                    <w:t>（</w:t>
                  </w:r>
                  <w:r>
                    <w:rPr>
                      <w:rFonts w:hint="eastAsia" w:ascii="Times New Roman" w:hAnsi="Times New Roman" w:eastAsia="宋体" w:cs="Times New Roman"/>
                      <w:b w:val="0"/>
                      <w:bCs w:val="0"/>
                      <w:color w:val="000000"/>
                      <w:sz w:val="21"/>
                      <w:szCs w:val="21"/>
                      <w:lang w:val="en-US" w:eastAsia="zh-CN"/>
                    </w:rPr>
                    <w:t>A</w:t>
                  </w:r>
                  <w:r>
                    <w:rPr>
                      <w:rFonts w:hint="eastAsia" w:ascii="Times New Roman" w:hAnsi="Times New Roman" w:cs="Times New Roman"/>
                      <w:b w:val="0"/>
                      <w:bCs w:val="0"/>
                      <w:color w:val="000000"/>
                      <w:sz w:val="21"/>
                      <w:szCs w:val="21"/>
                      <w:lang w:val="en-US" w:eastAsia="zh-CN"/>
                    </w:rPr>
                    <w:t>）</w:t>
                  </w:r>
                </w:p>
              </w:tc>
              <w:tc>
                <w:tcPr>
                  <w:tcW w:w="708" w:type="dxa"/>
                  <w:tcBorders>
                    <w:tl2br w:val="nil"/>
                    <w:tr2bl w:val="nil"/>
                  </w:tcBorders>
                  <w:noWrap w:val="0"/>
                  <w:vAlign w:val="center"/>
                </w:tcPr>
                <w:p w14:paraId="556D077F">
                  <w:pPr>
                    <w:pStyle w:val="20"/>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建筑物外距厂界距离</w:t>
                  </w:r>
                  <w:r>
                    <w:rPr>
                      <w:rFonts w:hint="eastAsia" w:ascii="Times New Roman" w:hAnsi="Times New Roman" w:cs="Times New Roman"/>
                      <w:b w:val="0"/>
                      <w:bCs w:val="0"/>
                      <w:color w:val="000000"/>
                      <w:kern w:val="2"/>
                      <w:sz w:val="21"/>
                      <w:szCs w:val="21"/>
                      <w:lang w:val="en-US" w:eastAsia="zh-CN" w:bidi="ar-SA"/>
                    </w:rPr>
                    <w:t>m</w:t>
                  </w:r>
                </w:p>
              </w:tc>
            </w:tr>
            <w:tr w14:paraId="42229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51" w:type="dxa"/>
                  <w:tcBorders>
                    <w:tl2br w:val="nil"/>
                    <w:tr2bl w:val="nil"/>
                  </w:tcBorders>
                  <w:noWrap w:val="0"/>
                  <w:vAlign w:val="center"/>
                </w:tcPr>
                <w:p w14:paraId="6FFB7E14">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1</w:t>
                  </w:r>
                  <w:r>
                    <w:rPr>
                      <w:rFonts w:hint="eastAsia" w:ascii="Times New Roman" w:hAnsi="Times New Roman" w:cs="Times New Roman"/>
                      <w:snapToGrid w:val="0"/>
                      <w:color w:val="000000"/>
                      <w:kern w:val="0"/>
                      <w:sz w:val="21"/>
                      <w:szCs w:val="21"/>
                      <w:lang w:val="en-US" w:eastAsia="zh-CN"/>
                    </w:rPr>
                    <w:t>#</w:t>
                  </w:r>
                </w:p>
                <w:p w14:paraId="1218ED06">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车间</w:t>
                  </w:r>
                </w:p>
              </w:tc>
              <w:tc>
                <w:tcPr>
                  <w:tcW w:w="825" w:type="dxa"/>
                  <w:tcBorders>
                    <w:tl2br w:val="nil"/>
                    <w:tr2bl w:val="nil"/>
                  </w:tcBorders>
                  <w:noWrap w:val="0"/>
                  <w:vAlign w:val="center"/>
                </w:tcPr>
                <w:p w14:paraId="0CE7332C">
                  <w:pPr>
                    <w:pStyle w:val="35"/>
                    <w:keepNext w:val="0"/>
                    <w:keepLines w:val="0"/>
                    <w:pageBreakBefore w:val="0"/>
                    <w:numPr>
                      <w:ilvl w:val="0"/>
                      <w:numId w:val="0"/>
                    </w:numPr>
                    <w:kinsoku/>
                    <w:wordWrap/>
                    <w:overflowPunct/>
                    <w:topLinePunct w:val="0"/>
                    <w:bidi w:val="0"/>
                    <w:adjustRightInd/>
                    <w:snapToGrid/>
                    <w:spacing w:line="240" w:lineRule="auto"/>
                    <w:ind w:left="0" w:leftChars="0" w:right="84" w:rightChars="0" w:firstLine="0" w:firstLineChars="0"/>
                    <w:jc w:val="center"/>
                    <w:textAlignment w:val="auto"/>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62</w:t>
                  </w:r>
                </w:p>
              </w:tc>
              <w:tc>
                <w:tcPr>
                  <w:tcW w:w="890" w:type="dxa"/>
                  <w:tcBorders>
                    <w:tl2br w:val="nil"/>
                    <w:tr2bl w:val="nil"/>
                  </w:tcBorders>
                  <w:noWrap w:val="0"/>
                  <w:vAlign w:val="center"/>
                </w:tcPr>
                <w:p w14:paraId="78684902">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34</w:t>
                  </w:r>
                </w:p>
              </w:tc>
              <w:tc>
                <w:tcPr>
                  <w:tcW w:w="868" w:type="dxa"/>
                  <w:tcBorders>
                    <w:tl2br w:val="nil"/>
                    <w:tr2bl w:val="nil"/>
                  </w:tcBorders>
                  <w:noWrap w:val="0"/>
                  <w:vAlign w:val="center"/>
                </w:tcPr>
                <w:p w14:paraId="21B9DD2B">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25</w:t>
                  </w:r>
                </w:p>
              </w:tc>
              <w:tc>
                <w:tcPr>
                  <w:tcW w:w="739" w:type="dxa"/>
                  <w:tcBorders>
                    <w:tl2br w:val="nil"/>
                    <w:tr2bl w:val="nil"/>
                  </w:tcBorders>
                  <w:noWrap w:val="0"/>
                  <w:vAlign w:val="center"/>
                </w:tcPr>
                <w:p w14:paraId="05E97E7B">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62</w:t>
                  </w:r>
                </w:p>
              </w:tc>
              <w:tc>
                <w:tcPr>
                  <w:tcW w:w="706" w:type="dxa"/>
                  <w:tcBorders>
                    <w:tl2br w:val="nil"/>
                    <w:tr2bl w:val="nil"/>
                  </w:tcBorders>
                  <w:noWrap w:val="0"/>
                  <w:vAlign w:val="center"/>
                </w:tcPr>
                <w:p w14:paraId="0542FA40">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1</w:t>
                  </w:r>
                </w:p>
              </w:tc>
              <w:tc>
                <w:tcPr>
                  <w:tcW w:w="723" w:type="dxa"/>
                  <w:tcBorders>
                    <w:tl2br w:val="nil"/>
                    <w:tr2bl w:val="nil"/>
                  </w:tcBorders>
                  <w:noWrap w:val="0"/>
                  <w:vAlign w:val="center"/>
                </w:tcPr>
                <w:p w14:paraId="373D1BFE">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62</w:t>
                  </w:r>
                </w:p>
              </w:tc>
              <w:tc>
                <w:tcPr>
                  <w:tcW w:w="706" w:type="dxa"/>
                  <w:tcBorders>
                    <w:tl2br w:val="nil"/>
                    <w:tr2bl w:val="nil"/>
                  </w:tcBorders>
                  <w:noWrap w:val="0"/>
                  <w:vAlign w:val="center"/>
                </w:tcPr>
                <w:p w14:paraId="416D68D6">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1</w:t>
                  </w:r>
                </w:p>
              </w:tc>
              <w:tc>
                <w:tcPr>
                  <w:tcW w:w="722" w:type="dxa"/>
                  <w:tcBorders>
                    <w:tl2br w:val="nil"/>
                    <w:tr2bl w:val="nil"/>
                  </w:tcBorders>
                  <w:noWrap w:val="0"/>
                  <w:vAlign w:val="center"/>
                </w:tcPr>
                <w:p w14:paraId="6A85E36A">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24</w:t>
                  </w:r>
                </w:p>
              </w:tc>
              <w:tc>
                <w:tcPr>
                  <w:tcW w:w="708" w:type="dxa"/>
                  <w:tcBorders>
                    <w:tl2br w:val="nil"/>
                    <w:tr2bl w:val="nil"/>
                  </w:tcBorders>
                  <w:noWrap w:val="0"/>
                  <w:vAlign w:val="center"/>
                </w:tcPr>
                <w:p w14:paraId="29761C9F">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80</w:t>
                  </w:r>
                </w:p>
              </w:tc>
            </w:tr>
            <w:tr w14:paraId="0150A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51" w:type="dxa"/>
                  <w:vMerge w:val="restart"/>
                  <w:tcBorders>
                    <w:tl2br w:val="nil"/>
                    <w:tr2bl w:val="nil"/>
                  </w:tcBorders>
                  <w:noWrap w:val="0"/>
                  <w:vAlign w:val="center"/>
                </w:tcPr>
                <w:p w14:paraId="175FD6D8">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标准值</w:t>
                  </w:r>
                </w:p>
              </w:tc>
              <w:tc>
                <w:tcPr>
                  <w:tcW w:w="825" w:type="dxa"/>
                  <w:tcBorders>
                    <w:tl2br w:val="nil"/>
                    <w:tr2bl w:val="nil"/>
                  </w:tcBorders>
                  <w:noWrap w:val="0"/>
                  <w:vAlign w:val="center"/>
                </w:tcPr>
                <w:p w14:paraId="42448593">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昼间</w:t>
                  </w:r>
                </w:p>
              </w:tc>
              <w:tc>
                <w:tcPr>
                  <w:tcW w:w="1758" w:type="dxa"/>
                  <w:gridSpan w:val="2"/>
                  <w:tcBorders>
                    <w:tl2br w:val="nil"/>
                    <w:tr2bl w:val="nil"/>
                  </w:tcBorders>
                  <w:shd w:val="clear" w:color="auto" w:fill="auto"/>
                  <w:noWrap w:val="0"/>
                  <w:vAlign w:val="center"/>
                </w:tcPr>
                <w:p w14:paraId="2F484D14">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6</w:t>
                  </w:r>
                  <w:r>
                    <w:rPr>
                      <w:rFonts w:hint="eastAsia" w:ascii="Times New Roman" w:hAnsi="Times New Roman" w:cs="Times New Roman"/>
                      <w:snapToGrid w:val="0"/>
                      <w:color w:val="000000"/>
                      <w:kern w:val="0"/>
                      <w:sz w:val="21"/>
                      <w:szCs w:val="21"/>
                      <w:lang w:val="en-US" w:eastAsia="zh-CN"/>
                    </w:rPr>
                    <w:t>5</w:t>
                  </w:r>
                </w:p>
              </w:tc>
              <w:tc>
                <w:tcPr>
                  <w:tcW w:w="1445" w:type="dxa"/>
                  <w:gridSpan w:val="2"/>
                  <w:tcBorders>
                    <w:tl2br w:val="nil"/>
                    <w:tr2bl w:val="nil"/>
                  </w:tcBorders>
                  <w:shd w:val="clear" w:color="auto" w:fill="auto"/>
                  <w:noWrap w:val="0"/>
                  <w:vAlign w:val="center"/>
                </w:tcPr>
                <w:p w14:paraId="27B319CD">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6</w:t>
                  </w:r>
                  <w:r>
                    <w:rPr>
                      <w:rFonts w:hint="eastAsia" w:ascii="Times New Roman" w:hAnsi="Times New Roman" w:cs="Times New Roman"/>
                      <w:snapToGrid w:val="0"/>
                      <w:color w:val="000000"/>
                      <w:kern w:val="0"/>
                      <w:sz w:val="21"/>
                      <w:szCs w:val="21"/>
                      <w:lang w:val="en-US" w:eastAsia="zh-CN"/>
                    </w:rPr>
                    <w:t>5</w:t>
                  </w:r>
                </w:p>
              </w:tc>
              <w:tc>
                <w:tcPr>
                  <w:tcW w:w="1429" w:type="dxa"/>
                  <w:gridSpan w:val="2"/>
                  <w:tcBorders>
                    <w:tl2br w:val="nil"/>
                    <w:tr2bl w:val="nil"/>
                  </w:tcBorders>
                  <w:shd w:val="clear" w:color="auto" w:fill="auto"/>
                  <w:noWrap w:val="0"/>
                  <w:vAlign w:val="center"/>
                </w:tcPr>
                <w:p w14:paraId="2B594B98">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6</w:t>
                  </w:r>
                  <w:r>
                    <w:rPr>
                      <w:rFonts w:hint="eastAsia" w:ascii="Times New Roman" w:hAnsi="Times New Roman" w:cs="Times New Roman"/>
                      <w:snapToGrid w:val="0"/>
                      <w:color w:val="000000"/>
                      <w:kern w:val="0"/>
                      <w:sz w:val="21"/>
                      <w:szCs w:val="21"/>
                      <w:lang w:val="en-US" w:eastAsia="zh-CN"/>
                    </w:rPr>
                    <w:t>5</w:t>
                  </w:r>
                </w:p>
              </w:tc>
              <w:tc>
                <w:tcPr>
                  <w:tcW w:w="1430" w:type="dxa"/>
                  <w:gridSpan w:val="2"/>
                  <w:tcBorders>
                    <w:tl2br w:val="nil"/>
                    <w:tr2bl w:val="nil"/>
                  </w:tcBorders>
                  <w:shd w:val="clear" w:color="auto" w:fill="auto"/>
                  <w:noWrap w:val="0"/>
                  <w:vAlign w:val="center"/>
                </w:tcPr>
                <w:p w14:paraId="655321DB">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6</w:t>
                  </w:r>
                  <w:r>
                    <w:rPr>
                      <w:rFonts w:hint="eastAsia" w:ascii="Times New Roman" w:hAnsi="Times New Roman" w:cs="Times New Roman"/>
                      <w:snapToGrid w:val="0"/>
                      <w:color w:val="000000"/>
                      <w:kern w:val="0"/>
                      <w:sz w:val="21"/>
                      <w:szCs w:val="21"/>
                      <w:lang w:val="en-US" w:eastAsia="zh-CN"/>
                    </w:rPr>
                    <w:t>5</w:t>
                  </w:r>
                </w:p>
              </w:tc>
            </w:tr>
            <w:tr w14:paraId="02198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51" w:type="dxa"/>
                  <w:vMerge w:val="continue"/>
                  <w:tcBorders>
                    <w:tl2br w:val="nil"/>
                    <w:tr2bl w:val="nil"/>
                  </w:tcBorders>
                  <w:noWrap w:val="0"/>
                  <w:vAlign w:val="center"/>
                </w:tcPr>
                <w:p w14:paraId="78B99D17">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p>
              </w:tc>
              <w:tc>
                <w:tcPr>
                  <w:tcW w:w="825" w:type="dxa"/>
                  <w:tcBorders>
                    <w:tl2br w:val="nil"/>
                    <w:tr2bl w:val="nil"/>
                  </w:tcBorders>
                  <w:noWrap w:val="0"/>
                  <w:vAlign w:val="center"/>
                </w:tcPr>
                <w:p w14:paraId="3307E659">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cs="Times New Roman"/>
                      <w:snapToGrid w:val="0"/>
                      <w:color w:val="000000"/>
                      <w:kern w:val="0"/>
                      <w:sz w:val="21"/>
                      <w:szCs w:val="21"/>
                      <w:lang w:val="en-US" w:eastAsia="zh-CN" w:bidi="ar-SA"/>
                    </w:rPr>
                    <w:t>夜间</w:t>
                  </w:r>
                </w:p>
              </w:tc>
              <w:tc>
                <w:tcPr>
                  <w:tcW w:w="1758" w:type="dxa"/>
                  <w:gridSpan w:val="2"/>
                  <w:tcBorders>
                    <w:tl2br w:val="nil"/>
                    <w:tr2bl w:val="nil"/>
                  </w:tcBorders>
                  <w:noWrap w:val="0"/>
                  <w:vAlign w:val="center"/>
                </w:tcPr>
                <w:p w14:paraId="33985885">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55</w:t>
                  </w:r>
                </w:p>
              </w:tc>
              <w:tc>
                <w:tcPr>
                  <w:tcW w:w="1445" w:type="dxa"/>
                  <w:gridSpan w:val="2"/>
                  <w:tcBorders>
                    <w:tl2br w:val="nil"/>
                    <w:tr2bl w:val="nil"/>
                  </w:tcBorders>
                  <w:noWrap w:val="0"/>
                  <w:vAlign w:val="center"/>
                </w:tcPr>
                <w:p w14:paraId="2DC3234A">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55</w:t>
                  </w:r>
                </w:p>
              </w:tc>
              <w:tc>
                <w:tcPr>
                  <w:tcW w:w="1429" w:type="dxa"/>
                  <w:gridSpan w:val="2"/>
                  <w:tcBorders>
                    <w:tl2br w:val="nil"/>
                    <w:tr2bl w:val="nil"/>
                  </w:tcBorders>
                  <w:noWrap w:val="0"/>
                  <w:vAlign w:val="center"/>
                </w:tcPr>
                <w:p w14:paraId="093519E3">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55</w:t>
                  </w:r>
                </w:p>
              </w:tc>
              <w:tc>
                <w:tcPr>
                  <w:tcW w:w="1430" w:type="dxa"/>
                  <w:gridSpan w:val="2"/>
                  <w:tcBorders>
                    <w:tl2br w:val="nil"/>
                    <w:tr2bl w:val="nil"/>
                  </w:tcBorders>
                  <w:noWrap w:val="0"/>
                  <w:vAlign w:val="center"/>
                </w:tcPr>
                <w:p w14:paraId="7417F54D">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55</w:t>
                  </w:r>
                </w:p>
              </w:tc>
            </w:tr>
            <w:tr w14:paraId="0D895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51" w:type="dxa"/>
                  <w:vMerge w:val="restart"/>
                  <w:tcBorders>
                    <w:tl2br w:val="nil"/>
                    <w:tr2bl w:val="nil"/>
                  </w:tcBorders>
                  <w:noWrap w:val="0"/>
                  <w:vAlign w:val="center"/>
                </w:tcPr>
                <w:p w14:paraId="5ABDF995">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预测</w:t>
                  </w:r>
                </w:p>
                <w:p w14:paraId="4D653D83">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结果</w:t>
                  </w:r>
                </w:p>
              </w:tc>
              <w:tc>
                <w:tcPr>
                  <w:tcW w:w="825" w:type="dxa"/>
                  <w:tcBorders>
                    <w:tl2br w:val="nil"/>
                    <w:tr2bl w:val="nil"/>
                  </w:tcBorders>
                  <w:noWrap w:val="0"/>
                  <w:vAlign w:val="center"/>
                </w:tcPr>
                <w:p w14:paraId="740C2A9C">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昼间</w:t>
                  </w:r>
                </w:p>
              </w:tc>
              <w:tc>
                <w:tcPr>
                  <w:tcW w:w="1758" w:type="dxa"/>
                  <w:gridSpan w:val="2"/>
                  <w:tcBorders>
                    <w:tl2br w:val="nil"/>
                    <w:tr2bl w:val="nil"/>
                  </w:tcBorders>
                  <w:noWrap w:val="0"/>
                  <w:vAlign w:val="center"/>
                </w:tcPr>
                <w:p w14:paraId="4CA870CD">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达标</w:t>
                  </w:r>
                </w:p>
              </w:tc>
              <w:tc>
                <w:tcPr>
                  <w:tcW w:w="1445" w:type="dxa"/>
                  <w:gridSpan w:val="2"/>
                  <w:tcBorders>
                    <w:tl2br w:val="nil"/>
                    <w:tr2bl w:val="nil"/>
                  </w:tcBorders>
                  <w:noWrap w:val="0"/>
                  <w:vAlign w:val="center"/>
                </w:tcPr>
                <w:p w14:paraId="7E22B9EF">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达标</w:t>
                  </w:r>
                </w:p>
              </w:tc>
              <w:tc>
                <w:tcPr>
                  <w:tcW w:w="1429" w:type="dxa"/>
                  <w:gridSpan w:val="2"/>
                  <w:tcBorders>
                    <w:tl2br w:val="nil"/>
                    <w:tr2bl w:val="nil"/>
                  </w:tcBorders>
                  <w:noWrap w:val="0"/>
                  <w:vAlign w:val="center"/>
                </w:tcPr>
                <w:p w14:paraId="7710068A">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达标</w:t>
                  </w:r>
                </w:p>
              </w:tc>
              <w:tc>
                <w:tcPr>
                  <w:tcW w:w="1430" w:type="dxa"/>
                  <w:gridSpan w:val="2"/>
                  <w:tcBorders>
                    <w:tl2br w:val="nil"/>
                    <w:tr2bl w:val="nil"/>
                  </w:tcBorders>
                  <w:noWrap w:val="0"/>
                  <w:vAlign w:val="center"/>
                </w:tcPr>
                <w:p w14:paraId="7D443304">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达标</w:t>
                  </w:r>
                </w:p>
              </w:tc>
            </w:tr>
            <w:tr w14:paraId="73D74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1" w:type="dxa"/>
                  <w:vMerge w:val="continue"/>
                  <w:tcBorders>
                    <w:tl2br w:val="nil"/>
                    <w:tr2bl w:val="nil"/>
                  </w:tcBorders>
                  <w:noWrap w:val="0"/>
                  <w:vAlign w:val="center"/>
                </w:tcPr>
                <w:p w14:paraId="53717B21">
                  <w:pPr>
                    <w:pStyle w:val="20"/>
                    <w:ind w:left="0" w:leftChars="0" w:firstLine="0" w:firstLineChars="0"/>
                    <w:jc w:val="center"/>
                    <w:rPr>
                      <w:rFonts w:hint="default" w:ascii="Times New Roman" w:hAnsi="Times New Roman" w:eastAsia="宋体" w:cs="Times New Roman"/>
                      <w:snapToGrid w:val="0"/>
                      <w:color w:val="000000"/>
                      <w:kern w:val="0"/>
                      <w:sz w:val="21"/>
                      <w:szCs w:val="21"/>
                      <w:lang w:val="en-US" w:eastAsia="zh-CN"/>
                    </w:rPr>
                  </w:pPr>
                </w:p>
              </w:tc>
              <w:tc>
                <w:tcPr>
                  <w:tcW w:w="825" w:type="dxa"/>
                  <w:tcBorders>
                    <w:tl2br w:val="nil"/>
                    <w:tr2bl w:val="nil"/>
                  </w:tcBorders>
                  <w:noWrap w:val="0"/>
                  <w:vAlign w:val="center"/>
                </w:tcPr>
                <w:p w14:paraId="0DD48A87">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夜间</w:t>
                  </w:r>
                </w:p>
              </w:tc>
              <w:tc>
                <w:tcPr>
                  <w:tcW w:w="1758" w:type="dxa"/>
                  <w:gridSpan w:val="2"/>
                  <w:tcBorders>
                    <w:tl2br w:val="nil"/>
                    <w:tr2bl w:val="nil"/>
                  </w:tcBorders>
                  <w:noWrap w:val="0"/>
                  <w:vAlign w:val="center"/>
                </w:tcPr>
                <w:p w14:paraId="6A68F2D7">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达标</w:t>
                  </w:r>
                </w:p>
              </w:tc>
              <w:tc>
                <w:tcPr>
                  <w:tcW w:w="1445" w:type="dxa"/>
                  <w:gridSpan w:val="2"/>
                  <w:tcBorders>
                    <w:tl2br w:val="nil"/>
                    <w:tr2bl w:val="nil"/>
                  </w:tcBorders>
                  <w:noWrap w:val="0"/>
                  <w:vAlign w:val="center"/>
                </w:tcPr>
                <w:p w14:paraId="0D4A1593">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达标</w:t>
                  </w:r>
                </w:p>
              </w:tc>
              <w:tc>
                <w:tcPr>
                  <w:tcW w:w="1429" w:type="dxa"/>
                  <w:gridSpan w:val="2"/>
                  <w:tcBorders>
                    <w:tl2br w:val="nil"/>
                    <w:tr2bl w:val="nil"/>
                  </w:tcBorders>
                  <w:noWrap w:val="0"/>
                  <w:vAlign w:val="center"/>
                </w:tcPr>
                <w:p w14:paraId="5C16A563">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达标</w:t>
                  </w:r>
                </w:p>
              </w:tc>
              <w:tc>
                <w:tcPr>
                  <w:tcW w:w="1430" w:type="dxa"/>
                  <w:gridSpan w:val="2"/>
                  <w:tcBorders>
                    <w:tl2br w:val="nil"/>
                    <w:tr2bl w:val="nil"/>
                  </w:tcBorders>
                  <w:noWrap w:val="0"/>
                  <w:vAlign w:val="center"/>
                </w:tcPr>
                <w:p w14:paraId="4B781404">
                  <w:pPr>
                    <w:pStyle w:val="20"/>
                    <w:ind w:left="0" w:leftChars="0" w:firstLine="0" w:firstLineChars="0"/>
                    <w:jc w:val="center"/>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达标</w:t>
                  </w:r>
                </w:p>
              </w:tc>
            </w:tr>
          </w:tbl>
          <w:p w14:paraId="67F71A1F">
            <w:pPr>
              <w:pStyle w:val="20"/>
              <w:spacing w:line="360" w:lineRule="auto"/>
              <w:ind w:left="0" w:leftChars="0" w:firstLine="480" w:firstLineChars="200"/>
              <w:rPr>
                <w:rFonts w:hint="default" w:ascii="Times New Roman" w:hAnsi="Times New Roman" w:eastAsia="宋体" w:cs="Times New Roman"/>
                <w:b w:val="0"/>
                <w:bCs w:val="0"/>
                <w:color w:val="000000"/>
                <w:sz w:val="24"/>
                <w:lang w:val="en-US" w:eastAsia="zh-CN"/>
              </w:rPr>
            </w:pPr>
            <w:r>
              <w:rPr>
                <w:rFonts w:hint="default" w:ascii="Times New Roman" w:hAnsi="Times New Roman" w:eastAsia="宋体" w:cs="Times New Roman"/>
                <w:b w:val="0"/>
                <w:bCs w:val="0"/>
                <w:color w:val="000000"/>
                <w:sz w:val="24"/>
                <w:lang w:val="en-US" w:eastAsia="zh-CN"/>
              </w:rPr>
              <w:t>由上表可知，项目实施后，在采取相应降噪、隔声等措施的情况下，本项目东侧、南侧、西侧、北侧厂界噪声预测值满足《工业企业厂界环境噪声排放标准》（GB12348-2008）</w:t>
            </w:r>
            <w:r>
              <w:rPr>
                <w:rFonts w:hint="eastAsia" w:ascii="Times New Roman" w:hAnsi="Times New Roman" w:cs="Times New Roman"/>
                <w:b w:val="0"/>
                <w:bCs w:val="0"/>
                <w:color w:val="000000"/>
                <w:sz w:val="24"/>
                <w:lang w:val="en-US" w:eastAsia="zh-CN"/>
              </w:rPr>
              <w:t>3类</w:t>
            </w:r>
            <w:r>
              <w:rPr>
                <w:rFonts w:hint="default" w:ascii="Times New Roman" w:hAnsi="Times New Roman" w:eastAsia="宋体" w:cs="Times New Roman"/>
                <w:b w:val="0"/>
                <w:bCs w:val="0"/>
                <w:color w:val="000000"/>
                <w:sz w:val="24"/>
                <w:lang w:val="en-US" w:eastAsia="zh-CN"/>
              </w:rPr>
              <w:t>区标准</w:t>
            </w:r>
            <w:r>
              <w:rPr>
                <w:rFonts w:hint="eastAsia" w:ascii="Times New Roman" w:hAnsi="Times New Roman" w:eastAsia="宋体" w:cs="Times New Roman"/>
                <w:b w:val="0"/>
                <w:bCs w:val="0"/>
                <w:color w:val="000000"/>
                <w:sz w:val="24"/>
                <w:lang w:val="en-US" w:eastAsia="zh-CN"/>
              </w:rPr>
              <w:t>。</w:t>
            </w:r>
          </w:p>
          <w:p w14:paraId="59AD6514">
            <w:pPr>
              <w:pStyle w:val="20"/>
              <w:spacing w:line="360" w:lineRule="auto"/>
              <w:ind w:left="0" w:leftChars="0" w:firstLine="480" w:firstLineChars="200"/>
              <w:rPr>
                <w:rFonts w:hint="eastAsia" w:ascii="Times New Roman" w:hAnsi="Times New Roman" w:eastAsia="宋体" w:cs="Times New Roman"/>
                <w:b w:val="0"/>
                <w:bCs w:val="0"/>
                <w:color w:val="000000"/>
                <w:sz w:val="24"/>
                <w:lang w:val="en-US" w:eastAsia="zh-CN"/>
              </w:rPr>
            </w:pPr>
            <w:r>
              <w:rPr>
                <w:rFonts w:hint="eastAsia" w:ascii="Times New Roman" w:hAnsi="Times New Roman" w:eastAsia="宋体" w:cs="Times New Roman"/>
                <w:b w:val="0"/>
                <w:bCs w:val="0"/>
                <w:color w:val="000000"/>
                <w:sz w:val="24"/>
                <w:lang w:val="en-US" w:eastAsia="zh-CN"/>
              </w:rPr>
              <w:t>（3）</w:t>
            </w:r>
            <w:r>
              <w:rPr>
                <w:rFonts w:hint="default" w:ascii="Times New Roman" w:hAnsi="Times New Roman" w:eastAsia="宋体" w:cs="Times New Roman"/>
                <w:b w:val="0"/>
                <w:bCs w:val="0"/>
                <w:color w:val="000000"/>
                <w:sz w:val="24"/>
                <w:lang w:val="en-US" w:eastAsia="zh-CN"/>
              </w:rPr>
              <w:t>降噪措施</w:t>
            </w:r>
          </w:p>
          <w:p w14:paraId="6953CD9D">
            <w:pPr>
              <w:pStyle w:val="20"/>
              <w:spacing w:line="360" w:lineRule="auto"/>
              <w:ind w:left="0" w:leftChars="0" w:firstLine="480" w:firstLineChars="200"/>
              <w:rPr>
                <w:rFonts w:hint="eastAsia" w:ascii="Times New Roman" w:hAnsi="Times New Roman" w:eastAsia="宋体" w:cs="Times New Roman"/>
                <w:b w:val="0"/>
                <w:bCs w:val="0"/>
                <w:color w:val="000000"/>
                <w:sz w:val="24"/>
                <w:lang w:val="en-US" w:eastAsia="zh-CN"/>
              </w:rPr>
            </w:pPr>
            <w:r>
              <w:rPr>
                <w:rFonts w:hint="default" w:ascii="Times New Roman" w:hAnsi="Times New Roman" w:eastAsia="宋体" w:cs="Times New Roman"/>
                <w:b w:val="0"/>
                <w:bCs w:val="0"/>
                <w:color w:val="000000"/>
                <w:sz w:val="24"/>
                <w:lang w:val="en-US" w:eastAsia="zh-CN"/>
              </w:rPr>
              <w:fldChar w:fldCharType="begin"/>
            </w:r>
            <w:r>
              <w:rPr>
                <w:rFonts w:hint="default" w:ascii="Times New Roman" w:hAnsi="Times New Roman" w:eastAsia="宋体" w:cs="Times New Roman"/>
                <w:b w:val="0"/>
                <w:bCs w:val="0"/>
                <w:color w:val="000000"/>
                <w:sz w:val="24"/>
                <w:lang w:val="en-US" w:eastAsia="zh-CN"/>
              </w:rPr>
              <w:instrText xml:space="preserve"> = 1 \* GB3 \* MERGEFORMAT </w:instrText>
            </w:r>
            <w:r>
              <w:rPr>
                <w:rFonts w:hint="default" w:ascii="Times New Roman" w:hAnsi="Times New Roman" w:eastAsia="宋体" w:cs="Times New Roman"/>
                <w:b w:val="0"/>
                <w:bCs w:val="0"/>
                <w:color w:val="000000"/>
                <w:sz w:val="24"/>
                <w:lang w:val="en-US" w:eastAsia="zh-CN"/>
              </w:rPr>
              <w:fldChar w:fldCharType="separate"/>
            </w:r>
            <w:r>
              <w:rPr>
                <w:rFonts w:hint="default" w:ascii="Times New Roman" w:hAnsi="Times New Roman" w:eastAsia="宋体" w:cs="Times New Roman"/>
                <w:b w:val="0"/>
                <w:bCs w:val="0"/>
                <w:color w:val="000000"/>
                <w:sz w:val="24"/>
                <w:lang w:val="en-US" w:eastAsia="zh-CN"/>
              </w:rPr>
              <w:t>①</w:t>
            </w:r>
            <w:r>
              <w:rPr>
                <w:rFonts w:hint="default" w:ascii="Times New Roman" w:hAnsi="Times New Roman" w:eastAsia="宋体" w:cs="Times New Roman"/>
                <w:b w:val="0"/>
                <w:bCs w:val="0"/>
                <w:color w:val="000000"/>
                <w:sz w:val="24"/>
                <w:lang w:val="en-US" w:eastAsia="zh-CN"/>
              </w:rPr>
              <w:fldChar w:fldCharType="end"/>
            </w:r>
            <w:r>
              <w:rPr>
                <w:rFonts w:hint="eastAsia" w:ascii="Times New Roman" w:hAnsi="Times New Roman" w:eastAsia="宋体" w:cs="Times New Roman"/>
                <w:b w:val="0"/>
                <w:bCs w:val="0"/>
                <w:color w:val="000000"/>
                <w:sz w:val="24"/>
                <w:lang w:val="en-US" w:eastAsia="zh-CN"/>
              </w:rPr>
              <w:t>选用行业内先进低噪声设备，从源头削减噪声；</w:t>
            </w:r>
          </w:p>
          <w:p w14:paraId="5FA077BE">
            <w:pPr>
              <w:pStyle w:val="20"/>
              <w:spacing w:line="360" w:lineRule="auto"/>
              <w:ind w:left="0" w:leftChars="0" w:firstLine="480" w:firstLineChars="200"/>
              <w:rPr>
                <w:rFonts w:hint="eastAsia" w:ascii="Times New Roman" w:hAnsi="Times New Roman" w:eastAsia="宋体" w:cs="Times New Roman"/>
                <w:b w:val="0"/>
                <w:bCs w:val="0"/>
                <w:color w:val="000000"/>
                <w:sz w:val="24"/>
                <w:lang w:val="en-US" w:eastAsia="zh-CN"/>
              </w:rPr>
            </w:pPr>
            <w:r>
              <w:rPr>
                <w:rFonts w:hint="default" w:ascii="Times New Roman" w:hAnsi="Times New Roman" w:eastAsia="宋体" w:cs="Times New Roman"/>
                <w:b w:val="0"/>
                <w:bCs w:val="0"/>
                <w:color w:val="000000"/>
                <w:sz w:val="24"/>
                <w:lang w:val="en-US" w:eastAsia="zh-CN"/>
              </w:rPr>
              <w:t>②</w:t>
            </w:r>
            <w:r>
              <w:rPr>
                <w:rFonts w:hint="eastAsia" w:ascii="Times New Roman" w:hAnsi="Times New Roman" w:eastAsia="宋体" w:cs="Times New Roman"/>
                <w:b w:val="0"/>
                <w:bCs w:val="0"/>
                <w:color w:val="000000"/>
                <w:sz w:val="24"/>
                <w:lang w:val="en-US" w:eastAsia="zh-CN"/>
              </w:rPr>
              <w:t>针对生产设备进行减震降噪等措施确保厂界达标排放；</w:t>
            </w:r>
          </w:p>
          <w:p w14:paraId="7FA3CF88">
            <w:pPr>
              <w:pStyle w:val="20"/>
              <w:spacing w:line="360" w:lineRule="auto"/>
              <w:ind w:left="0" w:leftChars="0" w:firstLine="480" w:firstLineChars="200"/>
              <w:rPr>
                <w:rFonts w:hint="default" w:ascii="Times New Roman" w:hAnsi="Times New Roman" w:eastAsia="宋体" w:cs="Times New Roman"/>
                <w:b w:val="0"/>
                <w:bCs w:val="0"/>
                <w:color w:val="000000"/>
                <w:sz w:val="24"/>
                <w:lang w:val="en-US" w:eastAsia="zh-CN"/>
              </w:rPr>
            </w:pPr>
            <w:r>
              <w:rPr>
                <w:rFonts w:hint="eastAsia" w:ascii="Times New Roman" w:hAnsi="Times New Roman" w:eastAsia="宋体" w:cs="Times New Roman"/>
                <w:b w:val="0"/>
                <w:bCs w:val="0"/>
                <w:color w:val="000000"/>
                <w:sz w:val="24"/>
                <w:lang w:val="en-US" w:eastAsia="zh-CN"/>
              </w:rPr>
              <w:t>③建议罐车气泵粉料入仓过程在封闭或半封闭棚内进行</w:t>
            </w:r>
          </w:p>
          <w:p w14:paraId="574F3CC9">
            <w:pPr>
              <w:pStyle w:val="20"/>
              <w:spacing w:line="360" w:lineRule="auto"/>
              <w:ind w:left="0" w:leftChars="0" w:firstLine="480" w:firstLineChars="200"/>
              <w:rPr>
                <w:rFonts w:hint="eastAsia" w:ascii="Times New Roman" w:hAnsi="Times New Roman" w:eastAsia="宋体" w:cs="Times New Roman"/>
                <w:b w:val="0"/>
                <w:bCs w:val="0"/>
                <w:color w:val="000000"/>
                <w:sz w:val="24"/>
                <w:lang w:val="en-US" w:eastAsia="zh-CN"/>
              </w:rPr>
            </w:pPr>
            <w:r>
              <w:rPr>
                <w:rFonts w:hint="default" w:ascii="Times New Roman" w:hAnsi="Times New Roman" w:eastAsia="宋体" w:cs="Times New Roman"/>
                <w:b w:val="0"/>
                <w:bCs w:val="0"/>
                <w:color w:val="000000"/>
                <w:sz w:val="24"/>
                <w:lang w:val="en-US" w:eastAsia="zh-CN"/>
              </w:rPr>
              <w:t>④</w:t>
            </w:r>
            <w:r>
              <w:rPr>
                <w:rFonts w:hint="eastAsia" w:ascii="Times New Roman" w:hAnsi="Times New Roman" w:eastAsia="宋体" w:cs="Times New Roman"/>
                <w:b w:val="0"/>
                <w:bCs w:val="0"/>
                <w:color w:val="000000"/>
                <w:sz w:val="24"/>
                <w:lang w:val="en-US" w:eastAsia="zh-CN"/>
              </w:rPr>
              <w:t>对设备定期维护，使设备处于良好的运转状态；</w:t>
            </w:r>
          </w:p>
          <w:p w14:paraId="7DD7F6BA">
            <w:pPr>
              <w:pStyle w:val="20"/>
              <w:spacing w:line="360" w:lineRule="auto"/>
              <w:ind w:left="0" w:leftChars="0" w:firstLine="480" w:firstLineChars="200"/>
              <w:rPr>
                <w:rFonts w:hint="eastAsia" w:ascii="Times New Roman" w:hAnsi="Times New Roman" w:eastAsia="宋体" w:cs="Times New Roman"/>
                <w:b w:val="0"/>
                <w:bCs w:val="0"/>
                <w:color w:val="000000"/>
                <w:sz w:val="24"/>
                <w:lang w:val="en-US" w:eastAsia="zh-CN"/>
              </w:rPr>
            </w:pPr>
            <w:r>
              <w:rPr>
                <w:rFonts w:hint="eastAsia" w:ascii="Times New Roman" w:hAnsi="Times New Roman" w:eastAsia="宋体" w:cs="Times New Roman"/>
                <w:b w:val="0"/>
                <w:bCs w:val="0"/>
                <w:color w:val="000000"/>
                <w:sz w:val="24"/>
                <w:lang w:val="en-US" w:eastAsia="zh-CN"/>
              </w:rPr>
              <w:t>⑤合理安排生产时间，项目夜间不生产。</w:t>
            </w:r>
          </w:p>
          <w:p w14:paraId="2EDA1ECD">
            <w:pPr>
              <w:pStyle w:val="20"/>
              <w:spacing w:line="360" w:lineRule="auto"/>
              <w:ind w:left="0" w:leftChars="0" w:firstLine="480" w:firstLineChars="200"/>
              <w:rPr>
                <w:rFonts w:hint="eastAsia" w:ascii="Times New Roman" w:hAnsi="Times New Roman" w:eastAsia="宋体" w:cs="Times New Roman"/>
                <w:b w:val="0"/>
                <w:bCs w:val="0"/>
                <w:color w:val="000000"/>
                <w:sz w:val="24"/>
                <w:lang w:val="en-US" w:eastAsia="zh-CN"/>
              </w:rPr>
            </w:pPr>
            <w:r>
              <w:rPr>
                <w:rFonts w:hint="eastAsia" w:ascii="Times New Roman" w:hAnsi="Times New Roman" w:eastAsia="宋体" w:cs="Times New Roman"/>
                <w:b w:val="0"/>
                <w:bCs w:val="0"/>
                <w:color w:val="000000"/>
                <w:sz w:val="24"/>
                <w:lang w:val="en-US" w:eastAsia="zh-CN"/>
              </w:rPr>
              <w:t>采取上述措施后，生产设备产生的噪声经基础减振、厂房隔声及距离衰减后，对周边环境影响较小。</w:t>
            </w:r>
          </w:p>
          <w:p w14:paraId="4C812B59">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4</w:t>
            </w:r>
            <w:r>
              <w:rPr>
                <w:rFonts w:hint="default" w:ascii="Times New Roman" w:hAnsi="Times New Roman" w:eastAsia="宋体" w:cs="Times New Roman"/>
                <w:color w:val="000000"/>
                <w:sz w:val="24"/>
                <w:lang w:eastAsia="zh-CN"/>
              </w:rPr>
              <w:t>）监测要求</w:t>
            </w:r>
          </w:p>
          <w:p w14:paraId="0D27E783">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根据《排污单位自行监测技术指南 总则》（HJ819-2017）和《排污单位自行监测技术指南 水泥工业》（HJ848-2017），建设单位结合自身条件和能力，利用自有人员、场所和设备自行监测；也可委托其他有资质的检（监）测机构代其开展自行监测，所有监测方法与分析方法采用现行国家或行业的有关标准或规范进行。本项目建成后噪声污染源监测计划详见表4-</w:t>
            </w:r>
            <w:r>
              <w:rPr>
                <w:rFonts w:hint="eastAsia" w:ascii="Times New Roman" w:hAnsi="Times New Roman" w:cs="Times New Roman"/>
                <w:color w:val="000000"/>
                <w:sz w:val="24"/>
                <w:lang w:val="en-US" w:eastAsia="zh-CN"/>
              </w:rPr>
              <w:t>8</w:t>
            </w:r>
            <w:r>
              <w:rPr>
                <w:rFonts w:hint="default" w:ascii="Times New Roman" w:hAnsi="Times New Roman" w:eastAsia="宋体" w:cs="Times New Roman"/>
                <w:color w:val="000000"/>
                <w:sz w:val="24"/>
                <w:lang w:eastAsia="zh-CN"/>
              </w:rPr>
              <w:t>。</w:t>
            </w:r>
          </w:p>
          <w:p w14:paraId="20C2D5C6">
            <w:pPr>
              <w:adjustRightInd w:val="0"/>
              <w:snapToGrid w:val="0"/>
              <w:spacing w:line="240" w:lineRule="auto"/>
              <w:jc w:val="center"/>
              <w:rPr>
                <w:rFonts w:ascii="Times New Roman" w:hAnsi="Times New Roman" w:cs="宋体"/>
                <w:b/>
                <w:bCs/>
                <w:color w:val="auto"/>
                <w:szCs w:val="21"/>
              </w:rPr>
            </w:pPr>
            <w:r>
              <w:rPr>
                <w:rFonts w:hint="eastAsia" w:ascii="Times New Roman" w:hAnsi="Times New Roman" w:cs="宋体"/>
                <w:b/>
                <w:bCs/>
                <w:color w:val="auto"/>
                <w:szCs w:val="21"/>
              </w:rPr>
              <w:t>表4-</w:t>
            </w:r>
            <w:r>
              <w:rPr>
                <w:rFonts w:hint="eastAsia" w:ascii="Times New Roman" w:hAnsi="Times New Roman" w:cs="宋体"/>
                <w:b/>
                <w:bCs/>
                <w:color w:val="auto"/>
                <w:szCs w:val="21"/>
                <w:lang w:val="en-US" w:eastAsia="zh-CN"/>
              </w:rPr>
              <w:t>8</w:t>
            </w:r>
            <w:r>
              <w:rPr>
                <w:rFonts w:hint="eastAsia" w:ascii="Times New Roman" w:hAnsi="Times New Roman" w:cs="宋体"/>
                <w:b/>
                <w:bCs/>
                <w:color w:val="auto"/>
                <w:szCs w:val="21"/>
              </w:rPr>
              <w:t xml:space="preserve">  噪声监测计划表</w:t>
            </w:r>
          </w:p>
          <w:tbl>
            <w:tblPr>
              <w:tblStyle w:val="24"/>
              <w:tblW w:w="76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28"/>
              <w:gridCol w:w="1092"/>
              <w:gridCol w:w="1229"/>
              <w:gridCol w:w="1092"/>
              <w:gridCol w:w="2286"/>
            </w:tblGrid>
            <w:tr w14:paraId="06481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shd w:val="clear" w:color="auto" w:fill="auto"/>
                  <w:vAlign w:val="center"/>
                </w:tcPr>
                <w:p w14:paraId="16712C2A">
                  <w:pPr>
                    <w:adjustRightInd w:val="0"/>
                    <w:snapToGrid w:val="0"/>
                    <w:spacing w:line="240" w:lineRule="auto"/>
                    <w:jc w:val="center"/>
                    <w:rPr>
                      <w:rFonts w:ascii="Times New Roman" w:hAnsi="Times New Roman" w:cs="宋体"/>
                      <w:b/>
                      <w:bCs/>
                      <w:color w:val="auto"/>
                      <w:kern w:val="0"/>
                      <w:sz w:val="20"/>
                      <w:szCs w:val="21"/>
                    </w:rPr>
                  </w:pPr>
                  <w:r>
                    <w:rPr>
                      <w:rFonts w:hint="eastAsia" w:ascii="Times New Roman" w:hAnsi="Times New Roman" w:cs="宋体"/>
                      <w:b/>
                      <w:bCs/>
                      <w:color w:val="auto"/>
                      <w:kern w:val="0"/>
                      <w:sz w:val="20"/>
                      <w:szCs w:val="21"/>
                    </w:rPr>
                    <w:t>类别</w:t>
                  </w:r>
                </w:p>
              </w:tc>
              <w:tc>
                <w:tcPr>
                  <w:tcW w:w="1228" w:type="dxa"/>
                  <w:shd w:val="clear" w:color="auto" w:fill="auto"/>
                  <w:vAlign w:val="center"/>
                </w:tcPr>
                <w:p w14:paraId="17AC80A9">
                  <w:pPr>
                    <w:adjustRightInd w:val="0"/>
                    <w:snapToGrid w:val="0"/>
                    <w:spacing w:line="240" w:lineRule="auto"/>
                    <w:jc w:val="center"/>
                    <w:rPr>
                      <w:rFonts w:ascii="Times New Roman" w:hAnsi="Times New Roman" w:cs="宋体"/>
                      <w:b/>
                      <w:bCs/>
                      <w:color w:val="auto"/>
                      <w:kern w:val="0"/>
                      <w:sz w:val="20"/>
                      <w:szCs w:val="21"/>
                    </w:rPr>
                  </w:pPr>
                  <w:r>
                    <w:rPr>
                      <w:rFonts w:hint="eastAsia" w:ascii="Times New Roman" w:hAnsi="Times New Roman" w:cs="宋体"/>
                      <w:b/>
                      <w:bCs/>
                      <w:color w:val="auto"/>
                      <w:kern w:val="0"/>
                      <w:sz w:val="20"/>
                      <w:szCs w:val="21"/>
                    </w:rPr>
                    <w:t>监测点位</w:t>
                  </w:r>
                </w:p>
              </w:tc>
              <w:tc>
                <w:tcPr>
                  <w:tcW w:w="1092" w:type="dxa"/>
                  <w:shd w:val="clear" w:color="auto" w:fill="auto"/>
                  <w:vAlign w:val="center"/>
                </w:tcPr>
                <w:p w14:paraId="5E1C4C41">
                  <w:pPr>
                    <w:adjustRightInd w:val="0"/>
                    <w:snapToGrid w:val="0"/>
                    <w:spacing w:line="240" w:lineRule="auto"/>
                    <w:jc w:val="center"/>
                    <w:rPr>
                      <w:rFonts w:ascii="Times New Roman" w:hAnsi="Times New Roman" w:cs="宋体"/>
                      <w:b/>
                      <w:bCs/>
                      <w:color w:val="auto"/>
                      <w:kern w:val="0"/>
                      <w:sz w:val="20"/>
                      <w:szCs w:val="21"/>
                    </w:rPr>
                  </w:pPr>
                  <w:r>
                    <w:rPr>
                      <w:rFonts w:hint="eastAsia" w:ascii="Times New Roman" w:hAnsi="Times New Roman" w:cs="宋体"/>
                      <w:b/>
                      <w:bCs/>
                      <w:color w:val="auto"/>
                      <w:kern w:val="0"/>
                      <w:sz w:val="20"/>
                      <w:szCs w:val="21"/>
                    </w:rPr>
                    <w:t>监测项目</w:t>
                  </w:r>
                </w:p>
              </w:tc>
              <w:tc>
                <w:tcPr>
                  <w:tcW w:w="1229" w:type="dxa"/>
                  <w:shd w:val="clear" w:color="auto" w:fill="auto"/>
                  <w:vAlign w:val="center"/>
                </w:tcPr>
                <w:p w14:paraId="7CEA9AE6">
                  <w:pPr>
                    <w:adjustRightInd w:val="0"/>
                    <w:snapToGrid w:val="0"/>
                    <w:spacing w:line="240" w:lineRule="auto"/>
                    <w:jc w:val="center"/>
                    <w:rPr>
                      <w:rFonts w:ascii="Times New Roman" w:hAnsi="Times New Roman" w:cs="宋体"/>
                      <w:b/>
                      <w:bCs/>
                      <w:color w:val="auto"/>
                      <w:kern w:val="0"/>
                      <w:sz w:val="20"/>
                      <w:szCs w:val="21"/>
                    </w:rPr>
                  </w:pPr>
                  <w:r>
                    <w:rPr>
                      <w:rFonts w:hint="eastAsia" w:ascii="Times New Roman" w:hAnsi="Times New Roman" w:cs="宋体"/>
                      <w:b/>
                      <w:bCs/>
                      <w:color w:val="auto"/>
                      <w:kern w:val="0"/>
                      <w:sz w:val="20"/>
                      <w:szCs w:val="21"/>
                    </w:rPr>
                    <w:t>监测频率</w:t>
                  </w:r>
                </w:p>
              </w:tc>
              <w:tc>
                <w:tcPr>
                  <w:tcW w:w="1092" w:type="dxa"/>
                  <w:shd w:val="clear" w:color="auto" w:fill="auto"/>
                  <w:vAlign w:val="center"/>
                </w:tcPr>
                <w:p w14:paraId="54763CAC">
                  <w:pPr>
                    <w:adjustRightInd w:val="0"/>
                    <w:snapToGrid w:val="0"/>
                    <w:spacing w:line="240" w:lineRule="auto"/>
                    <w:jc w:val="center"/>
                    <w:rPr>
                      <w:rFonts w:ascii="Times New Roman" w:hAnsi="Times New Roman" w:cs="宋体"/>
                      <w:b/>
                      <w:bCs/>
                      <w:color w:val="auto"/>
                      <w:kern w:val="0"/>
                      <w:sz w:val="20"/>
                      <w:szCs w:val="21"/>
                    </w:rPr>
                  </w:pPr>
                  <w:r>
                    <w:rPr>
                      <w:rFonts w:hint="eastAsia" w:ascii="Times New Roman" w:hAnsi="Times New Roman" w:cs="宋体"/>
                      <w:b/>
                      <w:bCs/>
                      <w:color w:val="auto"/>
                      <w:kern w:val="0"/>
                      <w:sz w:val="20"/>
                      <w:szCs w:val="21"/>
                    </w:rPr>
                    <w:t>排放限值</w:t>
                  </w:r>
                </w:p>
              </w:tc>
              <w:tc>
                <w:tcPr>
                  <w:tcW w:w="2286" w:type="dxa"/>
                  <w:shd w:val="clear" w:color="auto" w:fill="auto"/>
                  <w:vAlign w:val="center"/>
                </w:tcPr>
                <w:p w14:paraId="0D3FBB2C">
                  <w:pPr>
                    <w:adjustRightInd w:val="0"/>
                    <w:snapToGrid w:val="0"/>
                    <w:spacing w:line="240" w:lineRule="auto"/>
                    <w:jc w:val="center"/>
                    <w:rPr>
                      <w:rFonts w:ascii="Times New Roman" w:hAnsi="Times New Roman" w:cs="宋体"/>
                      <w:b/>
                      <w:bCs/>
                      <w:color w:val="auto"/>
                      <w:kern w:val="0"/>
                      <w:sz w:val="20"/>
                      <w:szCs w:val="21"/>
                    </w:rPr>
                  </w:pPr>
                  <w:r>
                    <w:rPr>
                      <w:rFonts w:hint="eastAsia" w:ascii="Times New Roman" w:hAnsi="Times New Roman" w:cs="宋体"/>
                      <w:b/>
                      <w:bCs/>
                      <w:color w:val="auto"/>
                      <w:kern w:val="0"/>
                      <w:sz w:val="20"/>
                      <w:szCs w:val="21"/>
                    </w:rPr>
                    <w:t>执行排放标准</w:t>
                  </w:r>
                </w:p>
              </w:tc>
            </w:tr>
            <w:tr w14:paraId="2F5F1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10" w:type="dxa"/>
                  <w:shd w:val="clear" w:color="auto" w:fill="auto"/>
                  <w:vAlign w:val="center"/>
                </w:tcPr>
                <w:p w14:paraId="171AEC09">
                  <w:pPr>
                    <w:adjustRightInd w:val="0"/>
                    <w:snapToGrid w:val="0"/>
                    <w:spacing w:line="240" w:lineRule="auto"/>
                    <w:jc w:val="center"/>
                    <w:rPr>
                      <w:rFonts w:ascii="Times New Roman" w:hAnsi="Times New Roman" w:cs="宋体"/>
                      <w:bCs/>
                      <w:color w:val="auto"/>
                      <w:kern w:val="0"/>
                      <w:sz w:val="20"/>
                      <w:szCs w:val="21"/>
                    </w:rPr>
                  </w:pPr>
                  <w:r>
                    <w:rPr>
                      <w:rFonts w:hint="eastAsia" w:ascii="Times New Roman" w:hAnsi="Times New Roman" w:cs="宋体"/>
                      <w:bCs/>
                      <w:color w:val="auto"/>
                      <w:kern w:val="0"/>
                      <w:sz w:val="20"/>
                      <w:szCs w:val="21"/>
                    </w:rPr>
                    <w:t>厂界噪声</w:t>
                  </w:r>
                </w:p>
              </w:tc>
              <w:tc>
                <w:tcPr>
                  <w:tcW w:w="1228" w:type="dxa"/>
                  <w:shd w:val="clear" w:color="auto" w:fill="auto"/>
                  <w:vAlign w:val="center"/>
                </w:tcPr>
                <w:p w14:paraId="2F3A4D25">
                  <w:pPr>
                    <w:adjustRightInd w:val="0"/>
                    <w:snapToGrid w:val="0"/>
                    <w:spacing w:line="240" w:lineRule="auto"/>
                    <w:jc w:val="center"/>
                    <w:rPr>
                      <w:rFonts w:ascii="Times New Roman" w:hAnsi="Times New Roman" w:cs="宋体"/>
                      <w:bCs/>
                      <w:color w:val="auto"/>
                      <w:kern w:val="0"/>
                      <w:sz w:val="20"/>
                      <w:szCs w:val="21"/>
                    </w:rPr>
                  </w:pPr>
                  <w:r>
                    <w:rPr>
                      <w:rFonts w:hint="eastAsia" w:ascii="Times New Roman" w:hAnsi="Times New Roman" w:cs="宋体"/>
                      <w:bCs/>
                      <w:color w:val="auto"/>
                      <w:kern w:val="0"/>
                      <w:sz w:val="20"/>
                      <w:szCs w:val="21"/>
                    </w:rPr>
                    <w:t>厂界外1m</w:t>
                  </w:r>
                </w:p>
              </w:tc>
              <w:tc>
                <w:tcPr>
                  <w:tcW w:w="1092" w:type="dxa"/>
                  <w:shd w:val="clear" w:color="auto" w:fill="auto"/>
                  <w:vAlign w:val="center"/>
                </w:tcPr>
                <w:p w14:paraId="40388C74">
                  <w:pPr>
                    <w:adjustRightInd w:val="0"/>
                    <w:snapToGrid w:val="0"/>
                    <w:spacing w:line="240" w:lineRule="auto"/>
                    <w:jc w:val="center"/>
                    <w:rPr>
                      <w:rFonts w:ascii="Times New Roman" w:hAnsi="Times New Roman" w:cs="宋体"/>
                      <w:bCs/>
                      <w:color w:val="auto"/>
                      <w:kern w:val="0"/>
                      <w:sz w:val="20"/>
                      <w:szCs w:val="21"/>
                    </w:rPr>
                  </w:pPr>
                  <w:r>
                    <w:rPr>
                      <w:rFonts w:hint="eastAsia" w:ascii="Times New Roman" w:hAnsi="Times New Roman" w:cs="宋体"/>
                      <w:bCs/>
                      <w:color w:val="auto"/>
                      <w:kern w:val="0"/>
                      <w:sz w:val="20"/>
                      <w:szCs w:val="21"/>
                    </w:rPr>
                    <w:t>等效连续A声级</w:t>
                  </w:r>
                </w:p>
              </w:tc>
              <w:tc>
                <w:tcPr>
                  <w:tcW w:w="1229" w:type="dxa"/>
                  <w:shd w:val="clear" w:color="auto" w:fill="auto"/>
                  <w:vAlign w:val="center"/>
                </w:tcPr>
                <w:p w14:paraId="7800DB0F">
                  <w:pPr>
                    <w:adjustRightInd w:val="0"/>
                    <w:snapToGrid w:val="0"/>
                    <w:spacing w:line="240" w:lineRule="auto"/>
                    <w:jc w:val="center"/>
                    <w:rPr>
                      <w:rFonts w:ascii="Times New Roman" w:hAnsi="Times New Roman" w:cs="宋体"/>
                      <w:bCs/>
                      <w:color w:val="auto"/>
                      <w:kern w:val="0"/>
                      <w:sz w:val="20"/>
                      <w:szCs w:val="21"/>
                    </w:rPr>
                  </w:pPr>
                  <w:r>
                    <w:rPr>
                      <w:rFonts w:hint="eastAsia" w:ascii="Times New Roman" w:hAnsi="Times New Roman" w:cs="宋体"/>
                      <w:bCs/>
                      <w:color w:val="auto"/>
                      <w:kern w:val="0"/>
                      <w:sz w:val="20"/>
                      <w:szCs w:val="21"/>
                    </w:rPr>
                    <w:t>1次/季度，昼夜监测</w:t>
                  </w:r>
                </w:p>
              </w:tc>
              <w:tc>
                <w:tcPr>
                  <w:tcW w:w="1092" w:type="dxa"/>
                  <w:shd w:val="clear" w:color="auto" w:fill="auto"/>
                  <w:vAlign w:val="center"/>
                </w:tcPr>
                <w:p w14:paraId="2D522FD5">
                  <w:pPr>
                    <w:adjustRightInd w:val="0"/>
                    <w:snapToGrid w:val="0"/>
                    <w:spacing w:line="240" w:lineRule="auto"/>
                    <w:jc w:val="center"/>
                    <w:rPr>
                      <w:rFonts w:ascii="Times New Roman" w:hAnsi="Times New Roman" w:cs="宋体"/>
                      <w:bCs/>
                      <w:color w:val="auto"/>
                      <w:kern w:val="0"/>
                      <w:sz w:val="20"/>
                      <w:szCs w:val="21"/>
                    </w:rPr>
                  </w:pPr>
                  <w:r>
                    <w:rPr>
                      <w:rFonts w:hint="eastAsia" w:ascii="Times New Roman" w:hAnsi="Times New Roman" w:cs="宋体"/>
                      <w:bCs/>
                      <w:color w:val="auto"/>
                      <w:kern w:val="0"/>
                      <w:sz w:val="20"/>
                      <w:szCs w:val="21"/>
                    </w:rPr>
                    <w:t>昼间：60dB（A）</w:t>
                  </w:r>
                </w:p>
                <w:p w14:paraId="70E00296">
                  <w:pPr>
                    <w:adjustRightInd w:val="0"/>
                    <w:snapToGrid w:val="0"/>
                    <w:spacing w:line="240" w:lineRule="auto"/>
                    <w:jc w:val="center"/>
                    <w:rPr>
                      <w:rFonts w:ascii="Times New Roman" w:hAnsi="Times New Roman" w:cs="宋体"/>
                      <w:bCs/>
                      <w:color w:val="auto"/>
                      <w:kern w:val="0"/>
                      <w:sz w:val="20"/>
                      <w:szCs w:val="21"/>
                    </w:rPr>
                  </w:pPr>
                  <w:r>
                    <w:rPr>
                      <w:rFonts w:hint="eastAsia" w:ascii="Times New Roman" w:hAnsi="Times New Roman" w:cs="宋体"/>
                      <w:bCs/>
                      <w:color w:val="auto"/>
                      <w:kern w:val="0"/>
                      <w:sz w:val="20"/>
                      <w:szCs w:val="21"/>
                    </w:rPr>
                    <w:t>夜间：50dB（A）</w:t>
                  </w:r>
                </w:p>
              </w:tc>
              <w:tc>
                <w:tcPr>
                  <w:tcW w:w="2286" w:type="dxa"/>
                  <w:shd w:val="clear" w:color="auto" w:fill="auto"/>
                  <w:vAlign w:val="center"/>
                </w:tcPr>
                <w:p w14:paraId="5C05785A">
                  <w:pPr>
                    <w:adjustRightInd w:val="0"/>
                    <w:snapToGrid w:val="0"/>
                    <w:spacing w:line="240" w:lineRule="auto"/>
                    <w:jc w:val="center"/>
                    <w:rPr>
                      <w:rFonts w:hint="eastAsia" w:ascii="Times New Roman" w:hAnsi="Times New Roman" w:eastAsia="宋体" w:cs="宋体"/>
                      <w:bCs/>
                      <w:color w:val="auto"/>
                      <w:kern w:val="0"/>
                      <w:sz w:val="20"/>
                      <w:szCs w:val="21"/>
                      <w:lang w:eastAsia="zh-CN"/>
                    </w:rPr>
                  </w:pPr>
                  <w:r>
                    <w:rPr>
                      <w:rFonts w:hint="eastAsia" w:ascii="Times New Roman" w:hAnsi="Times New Roman" w:cs="宋体"/>
                      <w:bCs/>
                      <w:color w:val="auto"/>
                      <w:kern w:val="0"/>
                      <w:sz w:val="20"/>
                      <w:szCs w:val="21"/>
                    </w:rPr>
                    <w:t>《工业企业厂界环境噪声排放标准》（GB12348-2008）中</w:t>
                  </w:r>
                  <w:r>
                    <w:rPr>
                      <w:rFonts w:hint="eastAsia" w:ascii="Times New Roman" w:hAnsi="Times New Roman" w:cs="宋体"/>
                      <w:bCs/>
                      <w:color w:val="auto"/>
                      <w:kern w:val="0"/>
                      <w:sz w:val="20"/>
                      <w:szCs w:val="21"/>
                      <w:lang w:eastAsia="zh-CN"/>
                    </w:rPr>
                    <w:t>3类</w:t>
                  </w:r>
                </w:p>
              </w:tc>
            </w:tr>
          </w:tbl>
          <w:p w14:paraId="0AD50992">
            <w:pPr>
              <w:adjustRightInd w:val="0"/>
              <w:snapToGrid w:val="0"/>
              <w:spacing w:line="360" w:lineRule="auto"/>
              <w:ind w:firstLine="480" w:firstLineChars="200"/>
              <w:rPr>
                <w:rFonts w:ascii="Times New Roman" w:hAnsi="Times New Roman" w:cs="宋体"/>
                <w:bCs/>
                <w:color w:val="auto"/>
                <w:sz w:val="24"/>
              </w:rPr>
            </w:pPr>
            <w:r>
              <w:rPr>
                <w:rFonts w:hint="eastAsia" w:ascii="Times New Roman" w:hAnsi="Times New Roman" w:cs="宋体"/>
                <w:bCs/>
                <w:color w:val="auto"/>
                <w:sz w:val="24"/>
              </w:rPr>
              <w:t>本项目建成运行期间，建议按照监测技术指南和相关规范对边界噪声进行监测，确保厂界噪声达标排放。</w:t>
            </w:r>
          </w:p>
          <w:p w14:paraId="78D0BDE5">
            <w:pPr>
              <w:pStyle w:val="20"/>
              <w:numPr>
                <w:ilvl w:val="0"/>
                <w:numId w:val="0"/>
              </w:numPr>
              <w:spacing w:line="360" w:lineRule="auto"/>
              <w:ind w:leftChars="0"/>
              <w:rPr>
                <w:rFonts w:hint="default" w:ascii="Times New Roman" w:hAnsi="Times New Roman" w:eastAsia="宋体" w:cs="Times New Roman"/>
                <w:b/>
                <w:bCs/>
                <w:color w:val="000000"/>
                <w:kern w:val="2"/>
                <w:sz w:val="24"/>
                <w:szCs w:val="22"/>
                <w:lang w:val="en-US" w:eastAsia="zh-CN" w:bidi="ar-SA"/>
              </w:rPr>
            </w:pPr>
            <w:r>
              <w:rPr>
                <w:rFonts w:hint="eastAsia" w:ascii="Times New Roman" w:hAnsi="Times New Roman" w:cs="Times New Roman"/>
                <w:b/>
                <w:bCs/>
                <w:color w:val="000000"/>
                <w:kern w:val="2"/>
                <w:sz w:val="24"/>
                <w:szCs w:val="22"/>
                <w:lang w:val="en-US" w:eastAsia="zh-CN" w:bidi="ar-SA"/>
              </w:rPr>
              <w:t>4.</w:t>
            </w:r>
            <w:r>
              <w:rPr>
                <w:rFonts w:hint="default" w:ascii="Times New Roman" w:hAnsi="Times New Roman" w:eastAsia="宋体" w:cs="Times New Roman"/>
                <w:b/>
                <w:bCs/>
                <w:color w:val="000000"/>
                <w:kern w:val="2"/>
                <w:sz w:val="24"/>
                <w:szCs w:val="22"/>
                <w:lang w:val="en-US" w:eastAsia="zh-CN" w:bidi="ar-SA"/>
              </w:rPr>
              <w:t>固体废物</w:t>
            </w:r>
          </w:p>
          <w:p w14:paraId="334A6F4C">
            <w:pPr>
              <w:pStyle w:val="20"/>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生活垃圾</w:t>
            </w:r>
          </w:p>
          <w:p w14:paraId="4B53B964">
            <w:pPr>
              <w:pStyle w:val="35"/>
              <w:spacing w:line="360" w:lineRule="auto"/>
              <w:ind w:firstLine="480" w:firstLineChars="200"/>
              <w:jc w:val="both"/>
              <w:rPr>
                <w:rFonts w:ascii="Times New Roman" w:hAnsi="Times New Roman" w:cs="Times New Roman"/>
                <w:sz w:val="24"/>
                <w:lang w:val="en-US"/>
              </w:rPr>
            </w:pPr>
            <w:r>
              <w:rPr>
                <w:rFonts w:hint="eastAsia" w:ascii="Times New Roman" w:hAnsi="Times New Roman" w:cs="Times New Roman"/>
                <w:sz w:val="24"/>
                <w:lang w:val="en-US" w:eastAsia="zh-CN"/>
              </w:rPr>
              <w:t>本</w:t>
            </w:r>
            <w:r>
              <w:rPr>
                <w:rFonts w:ascii="Times New Roman" w:hAnsi="Times New Roman" w:cs="Times New Roman"/>
                <w:sz w:val="24"/>
                <w:lang w:val="en-US"/>
              </w:rPr>
              <w:t>项目劳动定员</w:t>
            </w:r>
            <w:r>
              <w:rPr>
                <w:rFonts w:hint="eastAsia" w:ascii="Times New Roman" w:hAnsi="Times New Roman" w:cs="Times New Roman"/>
                <w:sz w:val="24"/>
                <w:lang w:val="en-US" w:eastAsia="zh-CN"/>
              </w:rPr>
              <w:t>20</w:t>
            </w:r>
            <w:r>
              <w:rPr>
                <w:rFonts w:ascii="Times New Roman" w:hAnsi="Times New Roman" w:cs="Times New Roman"/>
                <w:sz w:val="24"/>
                <w:lang w:val="en-US"/>
              </w:rPr>
              <w:t>人，年工作</w:t>
            </w:r>
            <w:r>
              <w:rPr>
                <w:rFonts w:hint="eastAsia" w:ascii="Times New Roman" w:hAnsi="Times New Roman" w:cs="Times New Roman"/>
                <w:sz w:val="24"/>
                <w:lang w:val="en-US" w:eastAsia="zh-CN"/>
              </w:rPr>
              <w:t>2</w:t>
            </w:r>
            <w:r>
              <w:rPr>
                <w:rFonts w:ascii="Times New Roman" w:hAnsi="Times New Roman" w:cs="Times New Roman"/>
                <w:sz w:val="24"/>
                <w:lang w:val="en-US"/>
              </w:rPr>
              <w:t>00天，经查阅《第二次全国污染源普查 城镇生活源产排污系数手册》，生活垃圾产生量按0.44kg/d·人计，</w:t>
            </w:r>
            <w:r>
              <w:rPr>
                <w:rFonts w:hint="eastAsia" w:ascii="Times New Roman" w:hAnsi="Times New Roman" w:cs="Times New Roman"/>
                <w:sz w:val="24"/>
                <w:lang w:val="en-US" w:eastAsia="zh-CN"/>
              </w:rPr>
              <w:t>则</w:t>
            </w:r>
            <w:r>
              <w:rPr>
                <w:rFonts w:ascii="Times New Roman" w:hAnsi="Times New Roman" w:cs="Times New Roman"/>
                <w:sz w:val="24"/>
                <w:lang w:val="en-US"/>
              </w:rPr>
              <w:t>项目生活垃圾产生量为</w:t>
            </w:r>
            <w:r>
              <w:rPr>
                <w:rFonts w:hint="eastAsia" w:ascii="Times New Roman" w:hAnsi="Times New Roman" w:cs="Times New Roman"/>
                <w:sz w:val="24"/>
                <w:lang w:val="en-US" w:eastAsia="zh-CN"/>
              </w:rPr>
              <w:t>1.76</w:t>
            </w:r>
            <w:r>
              <w:rPr>
                <w:rFonts w:ascii="Times New Roman" w:hAnsi="Times New Roman" w:cs="Times New Roman"/>
                <w:sz w:val="24"/>
                <w:lang w:val="en-US"/>
              </w:rPr>
              <w:t>t/a。厂内设置垃圾桶，生活垃圾定期交由当地环卫部门清运处置。</w:t>
            </w:r>
          </w:p>
          <w:p w14:paraId="362C0CD6">
            <w:pPr>
              <w:pStyle w:val="20"/>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000000"/>
                <w:kern w:val="2"/>
                <w:sz w:val="24"/>
                <w:szCs w:val="22"/>
                <w:lang w:val="en-US" w:eastAsia="zh-CN" w:bidi="ar-SA"/>
              </w:rPr>
              <w:t>一般工业固体废物</w:t>
            </w:r>
          </w:p>
          <w:p w14:paraId="585EB012">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本项目一般工业固体废物主要</w:t>
            </w:r>
            <w:r>
              <w:rPr>
                <w:rFonts w:hint="default" w:ascii="Times New Roman" w:hAnsi="Times New Roman" w:eastAsia="宋体" w:cs="Times New Roman"/>
                <w:color w:val="auto"/>
                <w:sz w:val="24"/>
              </w:rPr>
              <w:t>为</w:t>
            </w:r>
            <w:r>
              <w:rPr>
                <w:rFonts w:hint="eastAsia" w:ascii="Times New Roman" w:hAnsi="Times New Roman" w:eastAsia="宋体" w:cs="Times New Roman"/>
                <w:color w:val="auto"/>
                <w:sz w:val="24"/>
              </w:rPr>
              <w:t>废包装袋</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废布袋、</w:t>
            </w:r>
            <w:r>
              <w:rPr>
                <w:rFonts w:hint="default" w:ascii="Times New Roman" w:hAnsi="Times New Roman" w:eastAsia="宋体" w:cs="Times New Roman"/>
                <w:color w:val="auto"/>
                <w:sz w:val="24"/>
              </w:rPr>
              <w:t>除尘</w:t>
            </w:r>
            <w:r>
              <w:rPr>
                <w:rFonts w:hint="default" w:ascii="Times New Roman" w:hAnsi="Times New Roman" w:cs="Times New Roman"/>
                <w:color w:val="auto"/>
                <w:sz w:val="24"/>
              </w:rPr>
              <w:t>器收集的粉尘。</w:t>
            </w:r>
          </w:p>
          <w:p w14:paraId="1F0557B2">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①废包装袋</w:t>
            </w:r>
          </w:p>
          <w:p w14:paraId="74D0D26A">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根据建设单位提供资料，</w:t>
            </w:r>
            <w:r>
              <w:rPr>
                <w:rFonts w:hint="default" w:ascii="Times New Roman" w:hAnsi="Times New Roman" w:eastAsia="宋体" w:cs="Times New Roman"/>
                <w:color w:val="auto"/>
                <w:sz w:val="24"/>
              </w:rPr>
              <w:t>废包装袋产生量约为0.2t/a，对照《国家危险废物名录》（2021年版），不属于危险废物，属于一般工业固废，对照《一般固体废物分类与代码》（GB/T39198-2020），固废代码为303-999-99</w:t>
            </w:r>
            <w:r>
              <w:rPr>
                <w:rFonts w:hint="default" w:ascii="Times New Roman" w:hAnsi="Times New Roman" w:eastAsia="宋体" w:cs="Times New Roman"/>
                <w:color w:val="auto"/>
                <w:sz w:val="24"/>
                <w:lang w:val="en-US" w:eastAsia="zh-CN"/>
              </w:rPr>
              <w:t>。废包装袋收集后堆存一般固体废物暂存间，定期外售物资回收公司综合利用。</w:t>
            </w:r>
          </w:p>
          <w:p w14:paraId="40B82317">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②废布袋</w:t>
            </w:r>
          </w:p>
          <w:p w14:paraId="44B69442">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根据企业提供资料，项目废气处理产生的废布袋为0.1t/a，经对照《国家危险废物名录》（2021年版），不属于危险废物，属于一般工业固废，对照《一般固体废物分类与代码》（GB/T39198-2020），固废代码为303-999-66。废布袋</w:t>
            </w:r>
            <w:r>
              <w:rPr>
                <w:rFonts w:hint="default" w:ascii="Times New Roman" w:hAnsi="Times New Roman" w:eastAsia="宋体" w:cs="Times New Roman"/>
                <w:color w:val="auto"/>
                <w:sz w:val="24"/>
                <w:lang w:val="en-US" w:eastAsia="zh-CN"/>
              </w:rPr>
              <w:t>收集后堆存一般固体废物暂存间</w:t>
            </w:r>
            <w:r>
              <w:rPr>
                <w:rFonts w:hint="eastAsia" w:ascii="Times New Roman" w:hAnsi="Times New Roman" w:eastAsia="宋体" w:cs="Times New Roman"/>
                <w:color w:val="auto"/>
                <w:sz w:val="24"/>
                <w:lang w:val="en-US" w:eastAsia="zh-CN"/>
              </w:rPr>
              <w:t>，定期</w:t>
            </w:r>
            <w:r>
              <w:rPr>
                <w:rFonts w:hint="eastAsia" w:ascii="Times New Roman" w:hAnsi="Times New Roman" w:eastAsia="宋体" w:cs="Times New Roman"/>
                <w:color w:val="auto"/>
                <w:sz w:val="24"/>
              </w:rPr>
              <w:t>外售物资回收公司综合利用</w:t>
            </w:r>
            <w:r>
              <w:rPr>
                <w:rFonts w:hint="eastAsia" w:ascii="Times New Roman" w:hAnsi="Times New Roman" w:eastAsia="宋体" w:cs="Times New Roman"/>
                <w:color w:val="auto"/>
                <w:sz w:val="24"/>
                <w:lang w:eastAsia="zh-CN"/>
              </w:rPr>
              <w:t>。</w:t>
            </w:r>
          </w:p>
          <w:p w14:paraId="428312EA">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③</w:t>
            </w:r>
            <w:r>
              <w:rPr>
                <w:rFonts w:hint="default" w:ascii="Times New Roman" w:hAnsi="Times New Roman" w:eastAsia="宋体" w:cs="Times New Roman"/>
                <w:color w:val="auto"/>
                <w:sz w:val="24"/>
              </w:rPr>
              <w:t>除尘</w:t>
            </w:r>
            <w:r>
              <w:rPr>
                <w:rFonts w:hint="default" w:ascii="Times New Roman" w:hAnsi="Times New Roman" w:cs="Times New Roman"/>
                <w:color w:val="auto"/>
                <w:sz w:val="24"/>
              </w:rPr>
              <w:t>器收集的粉尘。</w:t>
            </w:r>
          </w:p>
          <w:p w14:paraId="3C662AEB">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除尘系统收集的粉尘为</w:t>
            </w:r>
            <w:r>
              <w:rPr>
                <w:rFonts w:hint="eastAsia" w:ascii="Times New Roman" w:hAnsi="Times New Roman" w:cs="Times New Roman"/>
                <w:color w:val="auto"/>
                <w:sz w:val="24"/>
                <w:lang w:val="en-US" w:eastAsia="zh-CN"/>
              </w:rPr>
              <w:t>0.25</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rPr>
              <w:t>经对照《国家危险废物名录》（2021年版），不属于危险废物，属于一般工业固废，对照《一般固体废物分类与代码》（GB/T39198-2020），固废代码为303-999-66。</w:t>
            </w:r>
            <w:r>
              <w:rPr>
                <w:rFonts w:hint="default" w:ascii="Times New Roman" w:hAnsi="Times New Roman" w:eastAsia="宋体" w:cs="Times New Roman"/>
                <w:color w:val="auto"/>
                <w:sz w:val="24"/>
              </w:rPr>
              <w:t>除尘</w:t>
            </w:r>
            <w:r>
              <w:rPr>
                <w:rFonts w:hint="default" w:ascii="Times New Roman" w:hAnsi="Times New Roman" w:cs="Times New Roman"/>
                <w:color w:val="auto"/>
                <w:sz w:val="24"/>
              </w:rPr>
              <w:t>器收集的粉尘</w:t>
            </w:r>
            <w:r>
              <w:rPr>
                <w:rFonts w:hint="default" w:ascii="Times New Roman" w:hAnsi="Times New Roman" w:eastAsia="宋体" w:cs="Times New Roman"/>
                <w:color w:val="auto"/>
                <w:sz w:val="24"/>
              </w:rPr>
              <w:t>返回生产工序回用</w:t>
            </w:r>
            <w:r>
              <w:rPr>
                <w:rFonts w:hint="eastAsia" w:ascii="Times New Roman" w:hAnsi="Times New Roman" w:eastAsia="宋体" w:cs="Times New Roman"/>
                <w:color w:val="auto"/>
                <w:sz w:val="24"/>
                <w:lang w:eastAsia="zh-CN"/>
              </w:rPr>
              <w:t>。</w:t>
            </w:r>
          </w:p>
          <w:p w14:paraId="2D064E3E">
            <w:pPr>
              <w:numPr>
                <w:ilvl w:val="0"/>
                <w:numId w:val="6"/>
              </w:numPr>
              <w:adjustRightInd w:val="0"/>
              <w:snapToGrid w:val="0"/>
              <w:spacing w:line="360" w:lineRule="auto"/>
              <w:ind w:left="0" w:leftChars="0"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危险废物</w:t>
            </w:r>
          </w:p>
          <w:p w14:paraId="4CE7CF4D">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本项目机械设备需要定期维护修养，维修过程中需要更换机油，废机油产生量约为0.01t/a。废机油属于《国家危险废物名录》（2021年版）中的</w:t>
            </w:r>
            <w:r>
              <w:rPr>
                <w:rFonts w:hint="eastAsia" w:ascii="Times New Roman" w:hAnsi="Times New Roman"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HW08废矿物油与含矿物油废物</w:t>
            </w:r>
            <w:r>
              <w:rPr>
                <w:rFonts w:hint="eastAsia" w:ascii="Times New Roman" w:hAnsi="Times New Roman"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类危险废物，废物代码为900-214-08。废机油暂存于危废暂存间，定期交由资质单位处置。</w:t>
            </w:r>
          </w:p>
          <w:p w14:paraId="631C5E6F">
            <w:pPr>
              <w:pStyle w:val="35"/>
              <w:numPr>
                <w:ilvl w:val="0"/>
                <w:numId w:val="0"/>
              </w:numPr>
              <w:spacing w:line="240" w:lineRule="auto"/>
              <w:ind w:firstLine="422" w:firstLineChars="20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ascii="Times New Roman" w:hAnsi="Times New Roman" w:cs="Times New Roman"/>
                <w:b/>
                <w:bCs/>
                <w:color w:val="auto"/>
                <w:kern w:val="2"/>
                <w:sz w:val="21"/>
                <w:szCs w:val="21"/>
                <w:lang w:val="en-US" w:eastAsia="zh-CN" w:bidi="ar-SA"/>
              </w:rPr>
              <w:t>9</w:t>
            </w:r>
            <w:r>
              <w:rPr>
                <w:rFonts w:hint="eastAsia" w:ascii="Times New Roman" w:hAnsi="Times New Roman" w:eastAsia="宋体" w:cs="Times New Roman"/>
                <w:b/>
                <w:bCs/>
                <w:color w:val="auto"/>
                <w:kern w:val="2"/>
                <w:sz w:val="21"/>
                <w:szCs w:val="21"/>
                <w:lang w:val="en-US" w:eastAsia="zh-CN" w:bidi="ar-SA"/>
              </w:rPr>
              <w:t xml:space="preserve">  本项目固体废物基本情况汇总表</w:t>
            </w:r>
          </w:p>
          <w:tbl>
            <w:tblPr>
              <w:tblStyle w:val="24"/>
              <w:tblW w:w="751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51"/>
              <w:gridCol w:w="513"/>
              <w:gridCol w:w="560"/>
              <w:gridCol w:w="975"/>
              <w:gridCol w:w="600"/>
              <w:gridCol w:w="686"/>
              <w:gridCol w:w="1125"/>
              <w:gridCol w:w="793"/>
              <w:gridCol w:w="1913"/>
            </w:tblGrid>
            <w:tr w14:paraId="3AB1B5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51" w:type="dxa"/>
                  <w:tcBorders>
                    <w:tl2br w:val="nil"/>
                    <w:tr2bl w:val="nil"/>
                  </w:tcBorders>
                  <w:noWrap w:val="0"/>
                  <w:vAlign w:val="center"/>
                </w:tcPr>
                <w:p w14:paraId="093697BA">
                  <w:pPr>
                    <w:adjustRightInd w:val="0"/>
                    <w:snapToGrid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序号</w:t>
                  </w:r>
                </w:p>
              </w:tc>
              <w:tc>
                <w:tcPr>
                  <w:tcW w:w="1073" w:type="dxa"/>
                  <w:gridSpan w:val="2"/>
                  <w:tcBorders>
                    <w:tl2br w:val="nil"/>
                    <w:tr2bl w:val="nil"/>
                  </w:tcBorders>
                  <w:noWrap w:val="0"/>
                  <w:vAlign w:val="center"/>
                </w:tcPr>
                <w:p w14:paraId="0345C41D">
                  <w:pPr>
                    <w:adjustRightInd w:val="0"/>
                    <w:snapToGrid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固废名称</w:t>
                  </w:r>
                </w:p>
              </w:tc>
              <w:tc>
                <w:tcPr>
                  <w:tcW w:w="975" w:type="dxa"/>
                  <w:tcBorders>
                    <w:tl2br w:val="nil"/>
                    <w:tr2bl w:val="nil"/>
                  </w:tcBorders>
                  <w:noWrap w:val="0"/>
                  <w:vAlign w:val="center"/>
                </w:tcPr>
                <w:p w14:paraId="0AC5A2EF">
                  <w:pPr>
                    <w:adjustRightInd w:val="0"/>
                    <w:snapToGrid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产生工序</w:t>
                  </w:r>
                </w:p>
              </w:tc>
              <w:tc>
                <w:tcPr>
                  <w:tcW w:w="600" w:type="dxa"/>
                  <w:tcBorders>
                    <w:tl2br w:val="nil"/>
                    <w:tr2bl w:val="nil"/>
                  </w:tcBorders>
                  <w:noWrap w:val="0"/>
                  <w:vAlign w:val="center"/>
                </w:tcPr>
                <w:p w14:paraId="132F8E1B">
                  <w:pPr>
                    <w:adjustRightInd w:val="0"/>
                    <w:snapToGrid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形态</w:t>
                  </w:r>
                </w:p>
              </w:tc>
              <w:tc>
                <w:tcPr>
                  <w:tcW w:w="686" w:type="dxa"/>
                  <w:tcBorders>
                    <w:tl2br w:val="nil"/>
                    <w:tr2bl w:val="nil"/>
                  </w:tcBorders>
                  <w:noWrap w:val="0"/>
                  <w:vAlign w:val="center"/>
                </w:tcPr>
                <w:p w14:paraId="18685E4E">
                  <w:pPr>
                    <w:widowControl/>
                    <w:jc w:val="center"/>
                    <w:rPr>
                      <w:rFonts w:hint="default" w:ascii="Times New Roman" w:hAnsi="Times New Roman" w:eastAsia="宋体" w:cs="Times New Roman"/>
                      <w:b/>
                      <w:kern w:val="0"/>
                      <w:sz w:val="21"/>
                      <w:szCs w:val="21"/>
                      <w:lang w:val="en-US" w:eastAsia="zh-CN" w:bidi="ar-SA"/>
                    </w:rPr>
                  </w:pPr>
                  <w:r>
                    <w:rPr>
                      <w:rFonts w:hint="default" w:ascii="Times New Roman" w:hAnsi="Times New Roman" w:cs="Times New Roman"/>
                      <w:b/>
                      <w:kern w:val="0"/>
                      <w:sz w:val="21"/>
                      <w:szCs w:val="21"/>
                    </w:rPr>
                    <w:t>废物类别</w:t>
                  </w:r>
                </w:p>
              </w:tc>
              <w:tc>
                <w:tcPr>
                  <w:tcW w:w="1125" w:type="dxa"/>
                  <w:tcBorders>
                    <w:tl2br w:val="nil"/>
                    <w:tr2bl w:val="nil"/>
                  </w:tcBorders>
                  <w:noWrap w:val="0"/>
                  <w:vAlign w:val="center"/>
                </w:tcPr>
                <w:p w14:paraId="1B6844E5">
                  <w:pPr>
                    <w:widowControl/>
                    <w:jc w:val="center"/>
                    <w:rPr>
                      <w:rFonts w:hint="default" w:ascii="Times New Roman" w:hAnsi="Times New Roman" w:eastAsia="宋体" w:cs="Times New Roman"/>
                      <w:b/>
                      <w:kern w:val="0"/>
                      <w:sz w:val="21"/>
                      <w:szCs w:val="21"/>
                      <w:lang w:val="en-US" w:eastAsia="zh-CN" w:bidi="ar-SA"/>
                    </w:rPr>
                  </w:pPr>
                  <w:r>
                    <w:rPr>
                      <w:rFonts w:hint="default" w:ascii="Times New Roman" w:hAnsi="Times New Roman" w:cs="Times New Roman"/>
                      <w:b/>
                      <w:kern w:val="0"/>
                      <w:sz w:val="21"/>
                      <w:szCs w:val="21"/>
                    </w:rPr>
                    <w:t>废物代码</w:t>
                  </w:r>
                </w:p>
              </w:tc>
              <w:tc>
                <w:tcPr>
                  <w:tcW w:w="793" w:type="dxa"/>
                  <w:tcBorders>
                    <w:tl2br w:val="nil"/>
                    <w:tr2bl w:val="nil"/>
                  </w:tcBorders>
                  <w:noWrap w:val="0"/>
                  <w:vAlign w:val="center"/>
                </w:tcPr>
                <w:p w14:paraId="5A7B63F4">
                  <w:pPr>
                    <w:adjustRightInd w:val="0"/>
                    <w:snapToGrid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产生量（t/a）</w:t>
                  </w:r>
                </w:p>
              </w:tc>
              <w:tc>
                <w:tcPr>
                  <w:tcW w:w="1913" w:type="dxa"/>
                  <w:tcBorders>
                    <w:tl2br w:val="nil"/>
                    <w:tr2bl w:val="nil"/>
                  </w:tcBorders>
                  <w:noWrap w:val="0"/>
                  <w:vAlign w:val="center"/>
                </w:tcPr>
                <w:p w14:paraId="6DD8C0EB">
                  <w:pPr>
                    <w:adjustRightInd w:val="0"/>
                    <w:snapToGrid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处置方式</w:t>
                  </w:r>
                </w:p>
              </w:tc>
            </w:tr>
            <w:tr w14:paraId="5D74C9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51" w:type="dxa"/>
                  <w:tcBorders>
                    <w:tl2br w:val="nil"/>
                    <w:tr2bl w:val="nil"/>
                  </w:tcBorders>
                  <w:noWrap w:val="0"/>
                  <w:vAlign w:val="center"/>
                </w:tcPr>
                <w:p w14:paraId="43F1D982">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073" w:type="dxa"/>
                  <w:gridSpan w:val="2"/>
                  <w:tcBorders>
                    <w:tl2br w:val="nil"/>
                    <w:tr2bl w:val="nil"/>
                  </w:tcBorders>
                  <w:noWrap w:val="0"/>
                  <w:vAlign w:val="center"/>
                </w:tcPr>
                <w:p w14:paraId="109937C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生活垃圾</w:t>
                  </w:r>
                </w:p>
              </w:tc>
              <w:tc>
                <w:tcPr>
                  <w:tcW w:w="975" w:type="dxa"/>
                  <w:tcBorders>
                    <w:tl2br w:val="nil"/>
                    <w:tr2bl w:val="nil"/>
                  </w:tcBorders>
                  <w:noWrap w:val="0"/>
                  <w:vAlign w:val="center"/>
                </w:tcPr>
                <w:p w14:paraId="554CF7A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职工生活</w:t>
                  </w:r>
                </w:p>
              </w:tc>
              <w:tc>
                <w:tcPr>
                  <w:tcW w:w="600" w:type="dxa"/>
                  <w:tcBorders>
                    <w:tl2br w:val="nil"/>
                    <w:tr2bl w:val="nil"/>
                  </w:tcBorders>
                  <w:noWrap w:val="0"/>
                  <w:vAlign w:val="center"/>
                </w:tcPr>
                <w:p w14:paraId="22DFE35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686" w:type="dxa"/>
                  <w:tcBorders>
                    <w:tl2br w:val="nil"/>
                    <w:tr2bl w:val="nil"/>
                  </w:tcBorders>
                  <w:noWrap w:val="0"/>
                  <w:vAlign w:val="center"/>
                </w:tcPr>
                <w:p w14:paraId="614C4B2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125" w:type="dxa"/>
                  <w:tcBorders>
                    <w:tl2br w:val="nil"/>
                    <w:tr2bl w:val="nil"/>
                  </w:tcBorders>
                  <w:noWrap w:val="0"/>
                  <w:vAlign w:val="center"/>
                </w:tcPr>
                <w:p w14:paraId="523418E7">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93" w:type="dxa"/>
                  <w:tcBorders>
                    <w:tl2br w:val="nil"/>
                    <w:tr2bl w:val="nil"/>
                  </w:tcBorders>
                  <w:noWrap w:val="0"/>
                  <w:vAlign w:val="center"/>
                </w:tcPr>
                <w:p w14:paraId="30526D3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1.76</w:t>
                  </w:r>
                </w:p>
              </w:tc>
              <w:tc>
                <w:tcPr>
                  <w:tcW w:w="1913" w:type="dxa"/>
                  <w:tcBorders>
                    <w:tl2br w:val="nil"/>
                    <w:tr2bl w:val="nil"/>
                  </w:tcBorders>
                  <w:noWrap w:val="0"/>
                  <w:vAlign w:val="center"/>
                </w:tcPr>
                <w:p w14:paraId="1CC9C4B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设生活垃圾桶，定期交由当地环卫部门清运处置</w:t>
                  </w:r>
                </w:p>
              </w:tc>
            </w:tr>
            <w:tr w14:paraId="0482DF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51" w:type="dxa"/>
                  <w:tcBorders>
                    <w:tl2br w:val="nil"/>
                    <w:tr2bl w:val="nil"/>
                  </w:tcBorders>
                  <w:noWrap w:val="0"/>
                  <w:vAlign w:val="center"/>
                </w:tcPr>
                <w:p w14:paraId="32A3B60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513" w:type="dxa"/>
                  <w:vMerge w:val="restart"/>
                  <w:tcBorders>
                    <w:tl2br w:val="nil"/>
                    <w:tr2bl w:val="nil"/>
                  </w:tcBorders>
                  <w:noWrap w:val="0"/>
                  <w:vAlign w:val="center"/>
                </w:tcPr>
                <w:p w14:paraId="4547C473">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一般工业固体废物</w:t>
                  </w:r>
                </w:p>
              </w:tc>
              <w:tc>
                <w:tcPr>
                  <w:tcW w:w="560" w:type="dxa"/>
                  <w:tcBorders>
                    <w:tl2br w:val="nil"/>
                    <w:tr2bl w:val="nil"/>
                  </w:tcBorders>
                  <w:noWrap w:val="0"/>
                  <w:vAlign w:val="center"/>
                </w:tcPr>
                <w:p w14:paraId="1746D708">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w:t>
                  </w:r>
                </w:p>
                <w:p w14:paraId="08D475BA">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装袋</w:t>
                  </w:r>
                </w:p>
              </w:tc>
              <w:tc>
                <w:tcPr>
                  <w:tcW w:w="975" w:type="dxa"/>
                  <w:tcBorders>
                    <w:tl2br w:val="nil"/>
                    <w:tr2bl w:val="nil"/>
                  </w:tcBorders>
                  <w:noWrap w:val="0"/>
                  <w:vAlign w:val="center"/>
                </w:tcPr>
                <w:p w14:paraId="577486A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原辅材料的包装袋以及</w:t>
                  </w:r>
                  <w:r>
                    <w:rPr>
                      <w:rFonts w:hint="default" w:ascii="Times New Roman" w:hAnsi="Times New Roman" w:cs="Times New Roman"/>
                      <w:color w:val="auto"/>
                      <w:sz w:val="21"/>
                      <w:szCs w:val="21"/>
                      <w:lang w:val="en-US" w:eastAsia="zh-CN"/>
                    </w:rPr>
                    <w:t>包装</w:t>
                  </w:r>
                  <w:r>
                    <w:rPr>
                      <w:rFonts w:hint="default" w:ascii="Times New Roman" w:hAnsi="Times New Roman" w:cs="Times New Roman"/>
                      <w:color w:val="auto"/>
                      <w:sz w:val="21"/>
                      <w:szCs w:val="21"/>
                    </w:rPr>
                    <w:t>过程</w:t>
                  </w:r>
                </w:p>
              </w:tc>
              <w:tc>
                <w:tcPr>
                  <w:tcW w:w="600" w:type="dxa"/>
                  <w:tcBorders>
                    <w:tl2br w:val="nil"/>
                    <w:tr2bl w:val="nil"/>
                  </w:tcBorders>
                  <w:noWrap w:val="0"/>
                  <w:vAlign w:val="center"/>
                </w:tcPr>
                <w:p w14:paraId="0E184DD6">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686" w:type="dxa"/>
                  <w:tcBorders>
                    <w:tl2br w:val="nil"/>
                    <w:tr2bl w:val="nil"/>
                  </w:tcBorders>
                  <w:noWrap w:val="0"/>
                  <w:vAlign w:val="center"/>
                </w:tcPr>
                <w:p w14:paraId="211C4D2F">
                  <w:pPr>
                    <w:widowControl/>
                    <w:adjustRightInd w:val="0"/>
                    <w:snapToGrid w:val="0"/>
                    <w:ind w:left="-105" w:leftChars="-50" w:right="-105" w:rightChars="-5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99</w:t>
                  </w:r>
                </w:p>
              </w:tc>
              <w:tc>
                <w:tcPr>
                  <w:tcW w:w="1125" w:type="dxa"/>
                  <w:tcBorders>
                    <w:tl2br w:val="nil"/>
                    <w:tr2bl w:val="nil"/>
                  </w:tcBorders>
                  <w:noWrap w:val="0"/>
                  <w:vAlign w:val="center"/>
                </w:tcPr>
                <w:p w14:paraId="42AFDB9E">
                  <w:pPr>
                    <w:widowControl/>
                    <w:adjustRightInd w:val="0"/>
                    <w:snapToGrid w:val="0"/>
                    <w:ind w:left="-105" w:leftChars="-50" w:right="-105" w:rightChars="-5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303-999-99</w:t>
                  </w:r>
                </w:p>
              </w:tc>
              <w:tc>
                <w:tcPr>
                  <w:tcW w:w="793" w:type="dxa"/>
                  <w:tcBorders>
                    <w:tl2br w:val="nil"/>
                    <w:tr2bl w:val="nil"/>
                  </w:tcBorders>
                  <w:noWrap w:val="0"/>
                  <w:vAlign w:val="center"/>
                </w:tcPr>
                <w:p w14:paraId="7B18C999">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c>
                <w:tcPr>
                  <w:tcW w:w="1913" w:type="dxa"/>
                  <w:vMerge w:val="restart"/>
                  <w:tcBorders>
                    <w:tl2br w:val="nil"/>
                    <w:tr2bl w:val="nil"/>
                  </w:tcBorders>
                  <w:noWrap w:val="0"/>
                  <w:vAlign w:val="center"/>
                </w:tcPr>
                <w:p w14:paraId="37B3000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收集后堆存一般固体废物暂存间，定期外售物资回收部门</w:t>
                  </w:r>
                </w:p>
              </w:tc>
            </w:tr>
            <w:tr w14:paraId="60382B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51" w:type="dxa"/>
                  <w:tcBorders>
                    <w:tl2br w:val="nil"/>
                    <w:tr2bl w:val="nil"/>
                  </w:tcBorders>
                  <w:noWrap w:val="0"/>
                  <w:vAlign w:val="center"/>
                </w:tcPr>
                <w:p w14:paraId="19FD1D36">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513" w:type="dxa"/>
                  <w:vMerge w:val="continue"/>
                  <w:tcBorders>
                    <w:tl2br w:val="nil"/>
                    <w:tr2bl w:val="nil"/>
                  </w:tcBorders>
                  <w:noWrap w:val="0"/>
                  <w:vAlign w:val="center"/>
                </w:tcPr>
                <w:p w14:paraId="1C1F552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560" w:type="dxa"/>
                  <w:tcBorders>
                    <w:tl2br w:val="nil"/>
                    <w:tr2bl w:val="nil"/>
                  </w:tcBorders>
                  <w:noWrap w:val="0"/>
                  <w:vAlign w:val="center"/>
                </w:tcPr>
                <w:p w14:paraId="424851C7">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废布袋</w:t>
                  </w:r>
                </w:p>
              </w:tc>
              <w:tc>
                <w:tcPr>
                  <w:tcW w:w="975" w:type="dxa"/>
                  <w:vMerge w:val="restart"/>
                  <w:tcBorders>
                    <w:tl2br w:val="nil"/>
                    <w:tr2bl w:val="nil"/>
                  </w:tcBorders>
                  <w:noWrap w:val="0"/>
                  <w:vAlign w:val="center"/>
                </w:tcPr>
                <w:p w14:paraId="70734936">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kern w:val="0"/>
                      <w:sz w:val="21"/>
                      <w:szCs w:val="21"/>
                    </w:rPr>
                    <w:t>废气处理</w:t>
                  </w:r>
                </w:p>
              </w:tc>
              <w:tc>
                <w:tcPr>
                  <w:tcW w:w="600" w:type="dxa"/>
                  <w:tcBorders>
                    <w:tl2br w:val="nil"/>
                    <w:tr2bl w:val="nil"/>
                  </w:tcBorders>
                  <w:noWrap w:val="0"/>
                  <w:vAlign w:val="center"/>
                </w:tcPr>
                <w:p w14:paraId="0067BE3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686" w:type="dxa"/>
                  <w:tcBorders>
                    <w:tl2br w:val="nil"/>
                    <w:tr2bl w:val="nil"/>
                  </w:tcBorders>
                  <w:noWrap w:val="0"/>
                  <w:vAlign w:val="center"/>
                </w:tcPr>
                <w:p w14:paraId="518EA593">
                  <w:pPr>
                    <w:widowControl/>
                    <w:adjustRightInd w:val="0"/>
                    <w:snapToGrid w:val="0"/>
                    <w:ind w:left="-105" w:leftChars="-50" w:right="-105" w:rightChars="-5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99</w:t>
                  </w:r>
                </w:p>
              </w:tc>
              <w:tc>
                <w:tcPr>
                  <w:tcW w:w="1125" w:type="dxa"/>
                  <w:tcBorders>
                    <w:tl2br w:val="nil"/>
                    <w:tr2bl w:val="nil"/>
                  </w:tcBorders>
                  <w:noWrap w:val="0"/>
                  <w:vAlign w:val="center"/>
                </w:tcPr>
                <w:p w14:paraId="50264B9F">
                  <w:pPr>
                    <w:widowControl/>
                    <w:adjustRightInd w:val="0"/>
                    <w:snapToGrid w:val="0"/>
                    <w:ind w:left="-105" w:leftChars="-50" w:right="-105" w:rightChars="-5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303-999-99</w:t>
                  </w:r>
                </w:p>
              </w:tc>
              <w:tc>
                <w:tcPr>
                  <w:tcW w:w="793" w:type="dxa"/>
                  <w:tcBorders>
                    <w:tl2br w:val="nil"/>
                    <w:tr2bl w:val="nil"/>
                  </w:tcBorders>
                  <w:noWrap w:val="0"/>
                  <w:vAlign w:val="center"/>
                </w:tcPr>
                <w:p w14:paraId="5F06404F">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1913" w:type="dxa"/>
                  <w:vMerge w:val="continue"/>
                  <w:tcBorders>
                    <w:tl2br w:val="nil"/>
                    <w:tr2bl w:val="nil"/>
                  </w:tcBorders>
                  <w:noWrap w:val="0"/>
                  <w:vAlign w:val="center"/>
                </w:tcPr>
                <w:p w14:paraId="40F915E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r>
            <w:tr w14:paraId="4BCE9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51" w:type="dxa"/>
                  <w:tcBorders>
                    <w:tl2br w:val="nil"/>
                    <w:tr2bl w:val="nil"/>
                  </w:tcBorders>
                  <w:noWrap w:val="0"/>
                  <w:vAlign w:val="center"/>
                </w:tcPr>
                <w:p w14:paraId="5F87110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513" w:type="dxa"/>
                  <w:vMerge w:val="continue"/>
                  <w:tcBorders>
                    <w:tl2br w:val="nil"/>
                    <w:tr2bl w:val="nil"/>
                  </w:tcBorders>
                  <w:noWrap w:val="0"/>
                  <w:vAlign w:val="center"/>
                </w:tcPr>
                <w:p w14:paraId="5A59F2B6">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560" w:type="dxa"/>
                  <w:tcBorders>
                    <w:tl2br w:val="nil"/>
                    <w:tr2bl w:val="nil"/>
                  </w:tcBorders>
                  <w:noWrap w:val="0"/>
                  <w:vAlign w:val="center"/>
                </w:tcPr>
                <w:p w14:paraId="33487692">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除尘</w:t>
                  </w:r>
                  <w:r>
                    <w:rPr>
                      <w:rFonts w:hint="default" w:ascii="Times New Roman" w:hAnsi="Times New Roman" w:cs="Times New Roman"/>
                      <w:color w:val="auto"/>
                      <w:sz w:val="21"/>
                      <w:szCs w:val="21"/>
                    </w:rPr>
                    <w:t>器收集的粉尘</w:t>
                  </w:r>
                </w:p>
              </w:tc>
              <w:tc>
                <w:tcPr>
                  <w:tcW w:w="975" w:type="dxa"/>
                  <w:vMerge w:val="continue"/>
                  <w:tcBorders>
                    <w:tl2br w:val="nil"/>
                    <w:tr2bl w:val="nil"/>
                  </w:tcBorders>
                  <w:noWrap w:val="0"/>
                  <w:vAlign w:val="center"/>
                </w:tcPr>
                <w:p w14:paraId="34FF72B8">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600" w:type="dxa"/>
                  <w:tcBorders>
                    <w:tl2br w:val="nil"/>
                    <w:tr2bl w:val="nil"/>
                  </w:tcBorders>
                  <w:noWrap w:val="0"/>
                  <w:vAlign w:val="center"/>
                </w:tcPr>
                <w:p w14:paraId="5581EF8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686" w:type="dxa"/>
                  <w:tcBorders>
                    <w:tl2br w:val="nil"/>
                    <w:tr2bl w:val="nil"/>
                  </w:tcBorders>
                  <w:noWrap w:val="0"/>
                  <w:vAlign w:val="center"/>
                </w:tcPr>
                <w:p w14:paraId="5F4E3ED4">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sz w:val="21"/>
                      <w:szCs w:val="21"/>
                    </w:rPr>
                    <w:t>99</w:t>
                  </w:r>
                </w:p>
              </w:tc>
              <w:tc>
                <w:tcPr>
                  <w:tcW w:w="1125" w:type="dxa"/>
                  <w:tcBorders>
                    <w:tl2br w:val="nil"/>
                    <w:tr2bl w:val="nil"/>
                  </w:tcBorders>
                  <w:noWrap w:val="0"/>
                  <w:vAlign w:val="center"/>
                </w:tcPr>
                <w:p w14:paraId="73256952">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303-999-66</w:t>
                  </w:r>
                </w:p>
              </w:tc>
              <w:tc>
                <w:tcPr>
                  <w:tcW w:w="793" w:type="dxa"/>
                  <w:tcBorders>
                    <w:tl2br w:val="nil"/>
                    <w:tr2bl w:val="nil"/>
                  </w:tcBorders>
                  <w:noWrap w:val="0"/>
                  <w:vAlign w:val="center"/>
                </w:tcPr>
                <w:p w14:paraId="79514944">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0.25</w:t>
                  </w:r>
                </w:p>
              </w:tc>
              <w:tc>
                <w:tcPr>
                  <w:tcW w:w="1913" w:type="dxa"/>
                  <w:tcBorders>
                    <w:tl2br w:val="nil"/>
                    <w:tr2bl w:val="nil"/>
                  </w:tcBorders>
                  <w:noWrap w:val="0"/>
                  <w:vAlign w:val="center"/>
                </w:tcPr>
                <w:p w14:paraId="46D33893">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除尘器收集的粉尘返回生产工序回用</w:t>
                  </w:r>
                </w:p>
              </w:tc>
            </w:tr>
            <w:tr w14:paraId="40AB2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51" w:type="dxa"/>
                  <w:tcBorders>
                    <w:tl2br w:val="nil"/>
                    <w:tr2bl w:val="nil"/>
                  </w:tcBorders>
                  <w:noWrap w:val="0"/>
                  <w:vAlign w:val="center"/>
                </w:tcPr>
                <w:p w14:paraId="279B05C3">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073" w:type="dxa"/>
                  <w:gridSpan w:val="2"/>
                  <w:tcBorders>
                    <w:tl2br w:val="nil"/>
                    <w:tr2bl w:val="nil"/>
                  </w:tcBorders>
                  <w:noWrap w:val="0"/>
                  <w:vAlign w:val="center"/>
                </w:tcPr>
                <w:p w14:paraId="05DFDAA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废机油</w:t>
                  </w:r>
                </w:p>
              </w:tc>
              <w:tc>
                <w:tcPr>
                  <w:tcW w:w="975" w:type="dxa"/>
                  <w:tcBorders>
                    <w:tl2br w:val="nil"/>
                    <w:tr2bl w:val="nil"/>
                  </w:tcBorders>
                  <w:noWrap w:val="0"/>
                  <w:vAlign w:val="center"/>
                </w:tcPr>
                <w:p w14:paraId="25051EE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kern w:val="0"/>
                      <w:sz w:val="21"/>
                      <w:szCs w:val="21"/>
                    </w:rPr>
                    <w:t>设备维护</w:t>
                  </w:r>
                </w:p>
              </w:tc>
              <w:tc>
                <w:tcPr>
                  <w:tcW w:w="600" w:type="dxa"/>
                  <w:tcBorders>
                    <w:tl2br w:val="nil"/>
                    <w:tr2bl w:val="nil"/>
                  </w:tcBorders>
                  <w:noWrap w:val="0"/>
                  <w:vAlign w:val="center"/>
                </w:tcPr>
                <w:p w14:paraId="7264717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液态</w:t>
                  </w:r>
                </w:p>
              </w:tc>
              <w:tc>
                <w:tcPr>
                  <w:tcW w:w="686" w:type="dxa"/>
                  <w:tcBorders>
                    <w:tl2br w:val="nil"/>
                    <w:tr2bl w:val="nil"/>
                  </w:tcBorders>
                  <w:noWrap w:val="0"/>
                  <w:vAlign w:val="center"/>
                </w:tcPr>
                <w:p w14:paraId="4F66129B">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HW08</w:t>
                  </w:r>
                </w:p>
              </w:tc>
              <w:tc>
                <w:tcPr>
                  <w:tcW w:w="1125" w:type="dxa"/>
                  <w:tcBorders>
                    <w:tl2br w:val="nil"/>
                    <w:tr2bl w:val="nil"/>
                  </w:tcBorders>
                  <w:noWrap w:val="0"/>
                  <w:vAlign w:val="center"/>
                </w:tcPr>
                <w:p w14:paraId="6A9C6A65">
                  <w:pPr>
                    <w:widowControl/>
                    <w:adjustRightInd w:val="0"/>
                    <w:snapToGrid w:val="0"/>
                    <w:ind w:left="-105" w:leftChars="-50" w:right="-105" w:rightChars="-5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900-249-08</w:t>
                  </w:r>
                </w:p>
              </w:tc>
              <w:tc>
                <w:tcPr>
                  <w:tcW w:w="793" w:type="dxa"/>
                  <w:tcBorders>
                    <w:tl2br w:val="nil"/>
                    <w:tr2bl w:val="nil"/>
                  </w:tcBorders>
                  <w:noWrap w:val="0"/>
                  <w:vAlign w:val="center"/>
                </w:tcPr>
                <w:p w14:paraId="78A7F94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c>
                <w:tcPr>
                  <w:tcW w:w="1913" w:type="dxa"/>
                  <w:tcBorders>
                    <w:tl2br w:val="nil"/>
                    <w:tr2bl w:val="nil"/>
                  </w:tcBorders>
                  <w:noWrap w:val="0"/>
                  <w:vAlign w:val="center"/>
                </w:tcPr>
                <w:p w14:paraId="675AC58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废机油暂存于危废暂存间，定期交由资质单位处置</w:t>
                  </w:r>
                </w:p>
              </w:tc>
            </w:tr>
          </w:tbl>
          <w:p w14:paraId="2F99E362">
            <w:pPr>
              <w:pStyle w:val="20"/>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环境管理要求</w:t>
            </w:r>
          </w:p>
          <w:p w14:paraId="52FD6C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①一般固体废物环境管理</w:t>
            </w:r>
          </w:p>
          <w:p w14:paraId="7679A2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a.建设单位拟在厂区</w:t>
            </w:r>
            <w:r>
              <w:rPr>
                <w:rFonts w:hint="eastAsia" w:ascii="Times New Roman" w:hAnsi="Times New Roman" w:cs="Times New Roman"/>
                <w:bCs/>
                <w:color w:val="auto"/>
                <w:sz w:val="24"/>
                <w:lang w:val="en-US" w:eastAsia="zh-CN"/>
              </w:rPr>
              <w:t>东南</w:t>
            </w:r>
            <w:r>
              <w:rPr>
                <w:rFonts w:hint="default" w:ascii="Times New Roman" w:hAnsi="Times New Roman" w:eastAsia="宋体" w:cs="Times New Roman"/>
                <w:bCs/>
                <w:color w:val="auto"/>
                <w:sz w:val="24"/>
              </w:rPr>
              <w:t>侧新建一个建筑面积为</w:t>
            </w:r>
            <w:r>
              <w:rPr>
                <w:rFonts w:hint="eastAsia" w:ascii="Times New Roman" w:hAnsi="Times New Roman" w:cs="Times New Roman"/>
                <w:bCs/>
                <w:color w:val="auto"/>
                <w:sz w:val="24"/>
                <w:lang w:val="en-US" w:eastAsia="zh-CN"/>
              </w:rPr>
              <w:t>30</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的一般固废暂存点，建设单位需严格按照《一般工业固体废物贮存和填埋污染控制标准》（GB18599-2020）要求设置暂存场所。</w:t>
            </w:r>
          </w:p>
          <w:p w14:paraId="45A55A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b.贮存、处置场</w:t>
            </w:r>
            <w:r>
              <w:rPr>
                <w:rFonts w:hint="eastAsia" w:ascii="Times New Roman" w:hAnsi="Times New Roman" w:cs="Times New Roman"/>
                <w:bCs/>
                <w:color w:val="auto"/>
                <w:sz w:val="24"/>
                <w:lang w:eastAsia="zh-CN"/>
              </w:rPr>
              <w:t>地</w:t>
            </w:r>
            <w:r>
              <w:rPr>
                <w:rFonts w:hint="default" w:ascii="Times New Roman" w:hAnsi="Times New Roman" w:eastAsia="宋体" w:cs="Times New Roman"/>
                <w:bCs/>
                <w:color w:val="auto"/>
                <w:sz w:val="24"/>
              </w:rPr>
              <w:t>设置必须与将要堆放的一般工业固体废物类别一致。</w:t>
            </w:r>
          </w:p>
          <w:p w14:paraId="340C85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c.不得露天堆放，防止雨淋造成产生二次污染。</w:t>
            </w:r>
          </w:p>
          <w:p w14:paraId="447745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d.贮存、处置场使用单位应建立检查维护制度，发现损坏或异常，应及时采取必要措施，以保障正常运行。</w:t>
            </w:r>
          </w:p>
          <w:p w14:paraId="4F2DBF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②危险废物环境管理</w:t>
            </w:r>
          </w:p>
          <w:p w14:paraId="59D72B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建设单位在</w:t>
            </w:r>
            <w:r>
              <w:rPr>
                <w:rFonts w:hint="eastAsia" w:ascii="Times New Roman" w:hAnsi="Times New Roman" w:cs="Times New Roman"/>
                <w:bCs/>
                <w:color w:val="auto"/>
                <w:sz w:val="24"/>
                <w:lang w:val="en-US" w:eastAsia="zh-CN"/>
              </w:rPr>
              <w:t>厂房东北</w:t>
            </w:r>
            <w:r>
              <w:rPr>
                <w:rFonts w:hint="default" w:ascii="Times New Roman" w:hAnsi="Times New Roman" w:eastAsia="宋体" w:cs="Times New Roman"/>
                <w:bCs/>
                <w:color w:val="auto"/>
                <w:sz w:val="24"/>
              </w:rPr>
              <w:t>侧建设危废暂存间1座（5m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），危险废物贮存严格按照《危险废物贮存污染控制标准》（GB18597-2001）及其修改单中相关规定执行，具体要求如下：</w:t>
            </w:r>
          </w:p>
          <w:p w14:paraId="391B35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危险废物统一收集在贮存容器中，贮存容器的选择</w:t>
            </w:r>
            <w:r>
              <w:rPr>
                <w:rFonts w:hint="eastAsia" w:ascii="Times New Roman" w:hAnsi="Times New Roman" w:cs="Times New Roman"/>
                <w:bCs/>
                <w:color w:val="auto"/>
                <w:sz w:val="24"/>
                <w:lang w:eastAsia="zh-CN"/>
              </w:rPr>
              <w:t>必须</w:t>
            </w:r>
            <w:r>
              <w:rPr>
                <w:rFonts w:hint="default" w:ascii="Times New Roman" w:hAnsi="Times New Roman" w:eastAsia="宋体" w:cs="Times New Roman"/>
                <w:bCs/>
                <w:color w:val="auto"/>
                <w:sz w:val="24"/>
              </w:rPr>
              <w:t>做到防渗、防雨、防晒的要求。</w:t>
            </w:r>
          </w:p>
          <w:p w14:paraId="54FA16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a.应当使用符合标准的容器盛装危险废物。</w:t>
            </w:r>
          </w:p>
          <w:p w14:paraId="74A58E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b.装载危险废物的容器及材质要满足相应的强度要求。</w:t>
            </w:r>
          </w:p>
          <w:p w14:paraId="0953A3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c.装载危险废物的容器必须完好无损。</w:t>
            </w:r>
          </w:p>
          <w:p w14:paraId="4C7029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d.盛装危险废物的容器材质和衬里要与危险废物相容（不相互反应）。</w:t>
            </w:r>
          </w:p>
          <w:p w14:paraId="41B661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危废暂存间具体要求：</w:t>
            </w:r>
          </w:p>
          <w:p w14:paraId="7AECEE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a.不兼容的危险废物分别单独收集贮存，危险废物容器和包装袋上设立危险废物明显标志。</w:t>
            </w:r>
          </w:p>
          <w:p w14:paraId="52C37A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b.存放危险废物暂存间的地面与裙脚要用坚固、防渗的材料，建筑材料必须与危险废物兼容。基础必须防渗，防渗层要求至少1m</w:t>
            </w:r>
            <w:r>
              <w:rPr>
                <w:rFonts w:hint="eastAsia" w:ascii="Times New Roman" w:hAnsi="Times New Roman" w:cs="Times New Roman"/>
                <w:bCs/>
                <w:color w:val="auto"/>
                <w:sz w:val="24"/>
                <w:lang w:eastAsia="zh-CN"/>
              </w:rPr>
              <w:t>厚</w:t>
            </w:r>
            <w:r>
              <w:rPr>
                <w:rFonts w:hint="default" w:ascii="Times New Roman" w:hAnsi="Times New Roman" w:eastAsia="宋体" w:cs="Times New Roman"/>
                <w:bCs/>
                <w:color w:val="auto"/>
                <w:sz w:val="24"/>
              </w:rPr>
              <w:t>黏土层，渗透系数≤10</w:t>
            </w:r>
            <w:r>
              <w:rPr>
                <w:rFonts w:hint="default" w:ascii="Times New Roman" w:hAnsi="Times New Roman" w:eastAsia="宋体" w:cs="Times New Roman"/>
                <w:bCs/>
                <w:color w:val="auto"/>
                <w:sz w:val="24"/>
                <w:vertAlign w:val="superscript"/>
              </w:rPr>
              <w:t>-7</w:t>
            </w:r>
            <w:r>
              <w:rPr>
                <w:rFonts w:hint="default" w:ascii="Times New Roman" w:hAnsi="Times New Roman" w:eastAsia="宋体" w:cs="Times New Roman"/>
                <w:bCs/>
                <w:color w:val="auto"/>
                <w:sz w:val="24"/>
              </w:rPr>
              <w:t>cm/s，或2mm厚的高密度聚乙烯，或至少2mm厚</w:t>
            </w:r>
            <w:r>
              <w:rPr>
                <w:rFonts w:hint="eastAsia" w:ascii="Times New Roman" w:hAnsi="Times New Roman" w:cs="Times New Roman"/>
                <w:bCs/>
                <w:color w:val="auto"/>
                <w:sz w:val="24"/>
                <w:lang w:eastAsia="zh-CN"/>
              </w:rPr>
              <w:t>的其他</w:t>
            </w:r>
            <w:r>
              <w:rPr>
                <w:rFonts w:hint="default" w:ascii="Times New Roman" w:hAnsi="Times New Roman" w:eastAsia="宋体" w:cs="Times New Roman"/>
                <w:bCs/>
                <w:color w:val="auto"/>
                <w:sz w:val="24"/>
              </w:rPr>
              <w:t>人工材料，渗透系数≤10</w:t>
            </w:r>
            <w:r>
              <w:rPr>
                <w:rFonts w:hint="default" w:ascii="Times New Roman" w:hAnsi="Times New Roman" w:eastAsia="宋体" w:cs="Times New Roman"/>
                <w:bCs/>
                <w:color w:val="auto"/>
                <w:sz w:val="24"/>
                <w:vertAlign w:val="superscript"/>
              </w:rPr>
              <w:t>-10</w:t>
            </w:r>
            <w:r>
              <w:rPr>
                <w:rFonts w:hint="default" w:ascii="Times New Roman" w:hAnsi="Times New Roman" w:eastAsia="宋体" w:cs="Times New Roman"/>
                <w:bCs/>
                <w:color w:val="auto"/>
                <w:sz w:val="24"/>
              </w:rPr>
              <w:t>cm/s。</w:t>
            </w:r>
          </w:p>
          <w:p w14:paraId="6C00D7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c.危废暂存间必须有泄漏液体收集装置（比如托盘及防渗围堰等），存放位置必须有耐腐蚀的硬化地面，且表面无裂缝。</w:t>
            </w:r>
          </w:p>
          <w:p w14:paraId="6231CD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d.危废暂存间必须封闭建设，设置防风、防雨、防晒的位置，门口内侧设置一定高度的围堰，防雨水倒灌，并按要求张贴标识牌及相关废物警示标志。</w:t>
            </w:r>
          </w:p>
          <w:p w14:paraId="2395F2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e.建立危险废物管理台账。如实记录危险废物贮存、利用、处置相关情况，如实申报危险废物种类、产生量、流向、贮存、处置等有关资料。</w:t>
            </w:r>
          </w:p>
          <w:p w14:paraId="2B7D01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f.危险废物委托具有相应危险废物经营资质的单位进行处置，危险废物的转运应严格按照《危险废物转移管理办法》（生态环境部、公安部、交通运输部—部令—第23号）的有关规定执行。</w:t>
            </w:r>
          </w:p>
          <w:p w14:paraId="2C8AE3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综上，本项目运营后产生的固体废物种类明确，且均可得到妥善处置，不会造成二次污染，对环境影响较小。</w:t>
            </w:r>
          </w:p>
          <w:p w14:paraId="5B5DF297">
            <w:pPr>
              <w:numPr>
                <w:ilvl w:val="0"/>
                <w:numId w:val="0"/>
              </w:numPr>
              <w:adjustRightInd w:val="0"/>
              <w:snapToGrid w:val="0"/>
              <w:spacing w:line="360" w:lineRule="auto"/>
              <w:ind w:leftChars="0"/>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cs="Times New Roman"/>
                <w:b/>
                <w:bCs/>
                <w:sz w:val="24"/>
                <w:lang w:val="en-US" w:eastAsia="zh-CN"/>
              </w:rPr>
              <w:t>5.</w:t>
            </w:r>
            <w:r>
              <w:rPr>
                <w:rFonts w:hint="default" w:ascii="Times New Roman" w:hAnsi="Times New Roman" w:cs="Times New Roman"/>
                <w:b/>
                <w:bCs/>
                <w:sz w:val="24"/>
              </w:rPr>
              <w:t>地下水、土壤</w:t>
            </w:r>
          </w:p>
          <w:p w14:paraId="677F1C4E">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本项目位于陕西省西咸新区沣西新城大王街办西宝路6号</w:t>
            </w:r>
            <w:r>
              <w:rPr>
                <w:rFonts w:hint="eastAsia" w:ascii="Times New Roman" w:hAnsi="Times New Roman" w:cs="Times New Roman"/>
                <w:bCs/>
                <w:color w:val="auto"/>
                <w:sz w:val="24"/>
                <w:lang w:val="en-US" w:eastAsia="zh-CN"/>
              </w:rPr>
              <w:t>，</w:t>
            </w:r>
            <w:r>
              <w:rPr>
                <w:rFonts w:hint="eastAsia" w:ascii="Times New Roman" w:hAnsi="Times New Roman" w:eastAsia="宋体" w:cs="Times New Roman"/>
                <w:sz w:val="24"/>
                <w:lang w:val="en-US" w:eastAsia="zh-CN"/>
              </w:rPr>
              <w:t>且所在地为租赁的钢结构厂房，</w:t>
            </w:r>
            <w:r>
              <w:rPr>
                <w:rFonts w:hint="eastAsia" w:ascii="Times New Roman" w:hAnsi="Times New Roman" w:eastAsia="宋体" w:cs="Times New Roman"/>
                <w:sz w:val="24"/>
                <w:lang w:eastAsia="zh-CN"/>
              </w:rPr>
              <w:t>厂区</w:t>
            </w:r>
            <w:r>
              <w:rPr>
                <w:rFonts w:hint="eastAsia" w:ascii="Times New Roman" w:hAnsi="Times New Roman" w:eastAsia="宋体" w:cs="Times New Roman"/>
                <w:sz w:val="24"/>
              </w:rPr>
              <w:t>地面硬化</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生活污水进入化粪池预处理后排入沣西新城大王污水处理厂，处理达标后排入新河</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废气</w:t>
            </w:r>
            <w:r>
              <w:rPr>
                <w:rFonts w:hint="eastAsia" w:ascii="Times New Roman" w:hAnsi="Times New Roman" w:eastAsia="宋体" w:cs="Times New Roman"/>
                <w:sz w:val="24"/>
              </w:rPr>
              <w:t>经集气罩收集后由管道连接经布袋除尘器处理后经15m高排气筒</w:t>
            </w:r>
            <w:r>
              <w:rPr>
                <w:rFonts w:hint="eastAsia" w:ascii="Times New Roman" w:hAnsi="Times New Roman" w:eastAsia="宋体" w:cs="Times New Roman"/>
                <w:sz w:val="24"/>
                <w:lang w:val="en-US" w:eastAsia="zh-CN"/>
              </w:rPr>
              <w:t>达标</w:t>
            </w:r>
            <w:r>
              <w:rPr>
                <w:rFonts w:hint="eastAsia" w:ascii="Times New Roman" w:hAnsi="Times New Roman" w:eastAsia="宋体" w:cs="Times New Roman"/>
                <w:sz w:val="24"/>
              </w:rPr>
              <w:t>排放</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危险废物</w:t>
            </w:r>
            <w:r>
              <w:rPr>
                <w:rFonts w:hint="eastAsia" w:ascii="Times New Roman" w:hAnsi="Times New Roman" w:eastAsia="宋体" w:cs="Times New Roman"/>
                <w:sz w:val="24"/>
              </w:rPr>
              <w:t>集中收集暂存于危废暂存</w:t>
            </w:r>
            <w:r>
              <w:rPr>
                <w:rFonts w:hint="eastAsia" w:ascii="Times New Roman" w:hAnsi="Times New Roman" w:eastAsia="宋体" w:cs="Times New Roman"/>
                <w:sz w:val="24"/>
                <w:lang w:val="en-US" w:eastAsia="zh-CN"/>
              </w:rPr>
              <w:t>间</w:t>
            </w:r>
            <w:r>
              <w:rPr>
                <w:rFonts w:hint="eastAsia" w:ascii="Times New Roman" w:hAnsi="Times New Roman" w:eastAsia="宋体" w:cs="Times New Roman"/>
                <w:sz w:val="24"/>
              </w:rPr>
              <w:t>，后交有资质单位处置。</w:t>
            </w:r>
            <w:r>
              <w:rPr>
                <w:rFonts w:hint="eastAsia" w:ascii="Times New Roman" w:hAnsi="Times New Roman" w:eastAsia="宋体" w:cs="Times New Roman"/>
                <w:sz w:val="24"/>
                <w:lang w:val="en-US" w:eastAsia="zh-CN"/>
              </w:rPr>
              <w:t>危废间</w:t>
            </w:r>
            <w:r>
              <w:rPr>
                <w:rFonts w:hint="eastAsia" w:ascii="Times New Roman" w:hAnsi="Times New Roman" w:eastAsia="宋体" w:cs="Times New Roman"/>
                <w:sz w:val="24"/>
              </w:rPr>
              <w:t>地面</w:t>
            </w:r>
            <w:r>
              <w:rPr>
                <w:rFonts w:hint="eastAsia" w:ascii="Times New Roman" w:hAnsi="Times New Roman" w:eastAsia="宋体" w:cs="Times New Roman"/>
                <w:sz w:val="24"/>
                <w:lang w:val="en-US" w:eastAsia="zh-CN"/>
              </w:rPr>
              <w:t>采用环氧地坪漆，</w:t>
            </w:r>
            <w:r>
              <w:rPr>
                <w:rFonts w:hint="eastAsia" w:ascii="Times New Roman" w:hAnsi="Times New Roman" w:eastAsia="宋体" w:cs="Times New Roman"/>
                <w:sz w:val="24"/>
              </w:rPr>
              <w:t>封闭建设，设置防风、防雨、防晒的位置，门口内侧设置一定高度的围堰，防雨水倒灌，并按要求张贴标识牌及相关废物警示标志。化粪池进行防渗，日常运营中加强管理，基本切断了跑、冒、滴、漏的废水和物料进入土壤和地下水的途径，污染物不会直接渗入地下土壤进而污染地下水</w:t>
            </w:r>
            <w:r>
              <w:rPr>
                <w:rFonts w:hint="eastAsia"/>
              </w:rPr>
              <w:t>。</w:t>
            </w:r>
          </w:p>
          <w:p w14:paraId="58C89C9F">
            <w:pPr>
              <w:numPr>
                <w:ilvl w:val="0"/>
                <w:numId w:val="0"/>
              </w:numPr>
              <w:adjustRightInd w:val="0"/>
              <w:snapToGrid w:val="0"/>
              <w:spacing w:line="360" w:lineRule="auto"/>
              <w:ind w:leftChars="0"/>
              <w:rPr>
                <w:rFonts w:hint="default" w:ascii="Times New Roman" w:hAnsi="Times New Roman" w:cs="Times New Roman"/>
                <w:b/>
                <w:bCs/>
                <w:sz w:val="24"/>
              </w:rPr>
            </w:pPr>
            <w:r>
              <w:rPr>
                <w:rFonts w:hint="eastAsia" w:ascii="Times New Roman" w:hAnsi="Times New Roman" w:cs="Times New Roman"/>
                <w:b/>
                <w:bCs/>
                <w:sz w:val="24"/>
                <w:lang w:val="en-US" w:eastAsia="zh-CN"/>
              </w:rPr>
              <w:t>6.</w:t>
            </w:r>
            <w:r>
              <w:rPr>
                <w:rFonts w:hint="default" w:ascii="Times New Roman" w:hAnsi="Times New Roman" w:cs="Times New Roman"/>
                <w:b/>
                <w:bCs/>
                <w:sz w:val="24"/>
              </w:rPr>
              <w:t>生态</w:t>
            </w:r>
          </w:p>
          <w:p w14:paraId="61B685F8">
            <w:pPr>
              <w:numPr>
                <w:ilvl w:val="0"/>
                <w:numId w:val="0"/>
              </w:numPr>
              <w:adjustRightInd w:val="0"/>
              <w:snapToGrid w:val="0"/>
              <w:spacing w:line="360" w:lineRule="auto"/>
              <w:ind w:leftChars="0" w:firstLine="480" w:firstLineChars="200"/>
              <w:rPr>
                <w:rFonts w:hint="default" w:ascii="Times New Roman" w:hAnsi="Times New Roman" w:cs="Times New Roman"/>
                <w:b/>
                <w:bCs/>
                <w:sz w:val="24"/>
              </w:rPr>
            </w:pPr>
            <w:r>
              <w:rPr>
                <w:rFonts w:hint="eastAsia" w:ascii="Times New Roman" w:hAnsi="Times New Roman" w:cs="宋体"/>
                <w:bCs/>
                <w:color w:val="auto"/>
                <w:sz w:val="24"/>
              </w:rPr>
              <w:t>本项目位于</w:t>
            </w:r>
            <w:r>
              <w:rPr>
                <w:rFonts w:hint="eastAsia" w:ascii="Times New Roman" w:hAnsi="Times New Roman" w:eastAsia="宋体" w:cs="Times New Roman"/>
                <w:sz w:val="24"/>
                <w:szCs w:val="24"/>
                <w:lang w:val="en-US" w:eastAsia="zh-CN"/>
              </w:rPr>
              <w:t>陕西省西咸新区沣西新城大王街办西宝路6号</w:t>
            </w:r>
            <w:r>
              <w:rPr>
                <w:rFonts w:hint="eastAsia" w:ascii="Times New Roman" w:hAnsi="Times New Roman" w:cs="宋体"/>
                <w:bCs/>
                <w:color w:val="auto"/>
                <w:sz w:val="24"/>
              </w:rPr>
              <w:t>，用地范围内无生态环境保护目标，不会对周边环境产生不利影响。</w:t>
            </w:r>
          </w:p>
          <w:p w14:paraId="32305C60">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lang w:val="en-US" w:eastAsia="zh-CN"/>
              </w:rPr>
              <w:t>7</w:t>
            </w:r>
            <w:r>
              <w:rPr>
                <w:rFonts w:hint="eastAsia" w:ascii="Times New Roman" w:hAnsi="Times New Roman" w:cs="Times New Roman"/>
                <w:b/>
                <w:bCs/>
                <w:sz w:val="24"/>
                <w:lang w:val="en-US" w:eastAsia="zh-CN"/>
              </w:rPr>
              <w:t>.</w:t>
            </w:r>
            <w:r>
              <w:rPr>
                <w:rFonts w:hint="default" w:ascii="Times New Roman" w:hAnsi="Times New Roman" w:cs="Times New Roman"/>
                <w:b/>
                <w:bCs/>
                <w:sz w:val="24"/>
              </w:rPr>
              <w:t>环境风险</w:t>
            </w:r>
          </w:p>
          <w:p w14:paraId="0F92A254">
            <w:pPr>
              <w:pStyle w:val="37"/>
              <w:numPr>
                <w:ilvl w:val="0"/>
                <w:numId w:val="0"/>
              </w:numPr>
              <w:adjustRightInd w:val="0"/>
              <w:snapToGrid w:val="0"/>
              <w:spacing w:line="360" w:lineRule="auto"/>
              <w:ind w:left="420" w:leftChars="0"/>
              <w:rPr>
                <w:rFonts w:hint="default" w:ascii="Times New Roman" w:hAnsi="Times New Roman" w:eastAsia="宋体" w:cs="Times New Roman"/>
                <w:bCs/>
                <w:color w:val="auto"/>
                <w:kern w:val="2"/>
                <w:sz w:val="24"/>
                <w:szCs w:val="22"/>
                <w:lang w:val="en-US" w:eastAsia="zh-CN" w:bidi="ar-SA"/>
              </w:rPr>
            </w:pPr>
            <w:r>
              <w:rPr>
                <w:rFonts w:hint="default" w:ascii="Times New Roman" w:hAnsi="Times New Roman" w:eastAsia="宋体" w:cs="Times New Roman"/>
                <w:bCs/>
                <w:color w:val="auto"/>
                <w:kern w:val="2"/>
                <w:sz w:val="24"/>
                <w:szCs w:val="22"/>
                <w:lang w:val="en-US" w:eastAsia="zh-CN" w:bidi="ar-SA"/>
              </w:rPr>
              <w:t>（1）风险源调查</w:t>
            </w:r>
          </w:p>
          <w:p w14:paraId="616FE5F0">
            <w:pPr>
              <w:adjustRightInd w:val="0"/>
              <w:snapToGrid w:val="0"/>
              <w:spacing w:line="360" w:lineRule="auto"/>
              <w:ind w:firstLine="480" w:firstLineChars="200"/>
              <w:rPr>
                <w:rFonts w:hint="default" w:ascii="Times New Roman" w:hAnsi="Times New Roman" w:eastAsia="宋体" w:cs="Times New Roman"/>
                <w:bCs/>
                <w:color w:val="auto"/>
                <w:kern w:val="2"/>
                <w:sz w:val="24"/>
                <w:szCs w:val="22"/>
                <w:lang w:val="en-US" w:eastAsia="zh-CN" w:bidi="ar-SA"/>
              </w:rPr>
            </w:pPr>
            <w:r>
              <w:rPr>
                <w:rFonts w:hint="default" w:ascii="Times New Roman" w:hAnsi="Times New Roman" w:eastAsia="宋体" w:cs="Times New Roman"/>
                <w:bCs/>
                <w:color w:val="auto"/>
                <w:kern w:val="2"/>
                <w:sz w:val="24"/>
                <w:szCs w:val="22"/>
                <w:lang w:val="en-US" w:eastAsia="zh-CN" w:bidi="ar-SA"/>
              </w:rPr>
              <w:t>按照《建设项目环境风险评价技术导则》（HJ 169-2018）附录B及《危险化学品重大危险源辨识》（GB18218-2018），拟建项目主要风险物质为废机油，环境风险类型为风险物质泄漏发生火灾、爆炸事故，以及在燃烧过程中产生的伴生/次生污染物排放，另外消防废水如果没有得到有效控制，可能会进入雨水系统，造成附近的水体污染。</w:t>
            </w:r>
          </w:p>
          <w:p w14:paraId="501044F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default" w:ascii="Times New Roman" w:hAnsi="Times New Roman" w:eastAsia="宋体" w:cs="Times New Roman"/>
                <w:bCs/>
                <w:color w:val="auto"/>
                <w:kern w:val="2"/>
                <w:sz w:val="24"/>
                <w:szCs w:val="22"/>
                <w:lang w:val="en-US" w:eastAsia="zh-CN" w:bidi="ar-SA"/>
              </w:rPr>
              <w:t>（2）风险潜势初判及风险评价等级</w:t>
            </w:r>
          </w:p>
          <w:p w14:paraId="629DAF2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default" w:ascii="Times New Roman" w:hAnsi="Times New Roman" w:eastAsia="宋体" w:cs="Times New Roman"/>
                <w:bCs/>
                <w:color w:val="auto"/>
                <w:kern w:val="2"/>
                <w:sz w:val="24"/>
                <w:szCs w:val="22"/>
                <w:lang w:val="en-US" w:eastAsia="zh-CN" w:bidi="ar-SA"/>
              </w:rPr>
              <w:t>项目所涉及的危险物质在厂界内的最大存在总量与其在《建设项目环境风险评价技术导则》（HJ169-2018）附录B中对应临界量的比值Q的计算公式如下：</w:t>
            </w:r>
          </w:p>
          <w:p w14:paraId="0F8CD42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m:oMathPara>
              <m:oMath>
                <m:r>
                  <m:rPr>
                    <m:sty m:val="p"/>
                  </m:rPr>
                  <w:rPr>
                    <w:rFonts w:hint="default" w:ascii="Cambria Math" w:hAnsi="Cambria Math" w:eastAsia="宋体" w:cs="Times New Roman"/>
                    <w:color w:val="auto"/>
                    <w:kern w:val="2"/>
                    <w:sz w:val="24"/>
                    <w:szCs w:val="22"/>
                    <w:lang w:val="en-US" w:eastAsia="zh-CN" w:bidi="ar-SA"/>
                  </w:rPr>
                  <m:t>Q=</m:t>
                </m:r>
                <m:f>
                  <m:fPr>
                    <m:ctrlPr>
                      <w:rPr>
                        <w:rFonts w:hint="default" w:ascii="Cambria Math" w:hAnsi="Cambria Math" w:eastAsia="宋体" w:cs="Times New Roman"/>
                        <w:bCs/>
                        <w:color w:val="auto"/>
                        <w:kern w:val="2"/>
                        <w:sz w:val="24"/>
                        <w:szCs w:val="22"/>
                        <w:lang w:val="en-US" w:eastAsia="zh-CN" w:bidi="ar-SA"/>
                      </w:rPr>
                    </m:ctrlPr>
                  </m:fPr>
                  <m:num>
                    <m:sSub>
                      <m:sSubPr>
                        <m:ctrlPr>
                          <w:rPr>
                            <w:rFonts w:hint="default" w:ascii="Cambria Math" w:hAnsi="Cambria Math" w:eastAsia="宋体" w:cs="Times New Roman"/>
                            <w:bCs/>
                            <w:color w:val="auto"/>
                            <w:kern w:val="2"/>
                            <w:sz w:val="24"/>
                            <w:szCs w:val="22"/>
                            <w:lang w:val="en-US" w:eastAsia="zh-CN" w:bidi="ar-SA"/>
                          </w:rPr>
                        </m:ctrlPr>
                      </m:sSubPr>
                      <m:e>
                        <m:r>
                          <m:rPr>
                            <m:sty m:val="p"/>
                          </m:rPr>
                          <w:rPr>
                            <w:rFonts w:hint="default" w:ascii="Cambria Math" w:hAnsi="Cambria Math" w:eastAsia="宋体" w:cs="Times New Roman"/>
                            <w:color w:val="auto"/>
                            <w:kern w:val="2"/>
                            <w:sz w:val="24"/>
                            <w:szCs w:val="22"/>
                            <w:lang w:val="en-US" w:eastAsia="zh-CN" w:bidi="ar-SA"/>
                          </w:rPr>
                          <m:t>q</m:t>
                        </m:r>
                        <m:ctrlPr>
                          <w:rPr>
                            <w:rFonts w:hint="default" w:ascii="Cambria Math" w:hAnsi="Cambria Math" w:eastAsia="宋体" w:cs="Times New Roman"/>
                            <w:bCs/>
                            <w:color w:val="auto"/>
                            <w:kern w:val="2"/>
                            <w:sz w:val="24"/>
                            <w:szCs w:val="22"/>
                            <w:lang w:val="en-US" w:eastAsia="zh-CN" w:bidi="ar-SA"/>
                          </w:rPr>
                        </m:ctrlPr>
                      </m:e>
                      <m:sub>
                        <m:r>
                          <m:rPr>
                            <m:sty m:val="p"/>
                          </m:rPr>
                          <w:rPr>
                            <w:rFonts w:hint="default" w:ascii="Cambria Math" w:hAnsi="Cambria Math" w:eastAsia="宋体" w:cs="Times New Roman"/>
                            <w:color w:val="auto"/>
                            <w:kern w:val="2"/>
                            <w:sz w:val="24"/>
                            <w:szCs w:val="22"/>
                            <w:lang w:val="en-US" w:eastAsia="zh-CN" w:bidi="ar-SA"/>
                          </w:rPr>
                          <m:t>1</m:t>
                        </m:r>
                        <m:ctrlPr>
                          <w:rPr>
                            <w:rFonts w:hint="default" w:ascii="Cambria Math" w:hAnsi="Cambria Math" w:eastAsia="宋体" w:cs="Times New Roman"/>
                            <w:bCs/>
                            <w:color w:val="auto"/>
                            <w:kern w:val="2"/>
                            <w:sz w:val="24"/>
                            <w:szCs w:val="22"/>
                            <w:lang w:val="en-US" w:eastAsia="zh-CN" w:bidi="ar-SA"/>
                          </w:rPr>
                        </m:ctrlPr>
                      </m:sub>
                    </m:sSub>
                    <m:ctrlPr>
                      <w:rPr>
                        <w:rFonts w:hint="default" w:ascii="Cambria Math" w:hAnsi="Cambria Math" w:eastAsia="宋体" w:cs="Times New Roman"/>
                        <w:bCs/>
                        <w:color w:val="auto"/>
                        <w:kern w:val="2"/>
                        <w:sz w:val="24"/>
                        <w:szCs w:val="22"/>
                        <w:lang w:val="en-US" w:eastAsia="zh-CN" w:bidi="ar-SA"/>
                      </w:rPr>
                    </m:ctrlPr>
                  </m:num>
                  <m:den>
                    <m:sSub>
                      <m:sSubPr>
                        <m:ctrlPr>
                          <w:rPr>
                            <w:rFonts w:hint="default" w:ascii="Cambria Math" w:hAnsi="Cambria Math" w:eastAsia="宋体" w:cs="Times New Roman"/>
                            <w:bCs/>
                            <w:color w:val="auto"/>
                            <w:kern w:val="2"/>
                            <w:sz w:val="24"/>
                            <w:szCs w:val="22"/>
                            <w:lang w:val="en-US" w:eastAsia="zh-CN" w:bidi="ar-SA"/>
                          </w:rPr>
                        </m:ctrlPr>
                      </m:sSubPr>
                      <m:e>
                        <m:r>
                          <m:rPr>
                            <m:sty m:val="p"/>
                          </m:rPr>
                          <w:rPr>
                            <w:rFonts w:hint="default" w:ascii="Cambria Math" w:hAnsi="Cambria Math" w:eastAsia="宋体" w:cs="Times New Roman"/>
                            <w:color w:val="auto"/>
                            <w:kern w:val="2"/>
                            <w:sz w:val="24"/>
                            <w:szCs w:val="22"/>
                            <w:lang w:val="en-US" w:eastAsia="zh-CN" w:bidi="ar-SA"/>
                          </w:rPr>
                          <m:t>Q</m:t>
                        </m:r>
                        <m:ctrlPr>
                          <w:rPr>
                            <w:rFonts w:hint="default" w:ascii="Cambria Math" w:hAnsi="Cambria Math" w:eastAsia="宋体" w:cs="Times New Roman"/>
                            <w:bCs/>
                            <w:color w:val="auto"/>
                            <w:kern w:val="2"/>
                            <w:sz w:val="24"/>
                            <w:szCs w:val="22"/>
                            <w:lang w:val="en-US" w:eastAsia="zh-CN" w:bidi="ar-SA"/>
                          </w:rPr>
                        </m:ctrlPr>
                      </m:e>
                      <m:sub>
                        <m:r>
                          <m:rPr>
                            <m:sty m:val="p"/>
                          </m:rPr>
                          <w:rPr>
                            <w:rFonts w:hint="default" w:ascii="Cambria Math" w:hAnsi="Cambria Math" w:eastAsia="宋体" w:cs="Times New Roman"/>
                            <w:color w:val="auto"/>
                            <w:kern w:val="2"/>
                            <w:sz w:val="24"/>
                            <w:szCs w:val="22"/>
                            <w:lang w:val="en-US" w:eastAsia="zh-CN" w:bidi="ar-SA"/>
                          </w:rPr>
                          <m:t>1</m:t>
                        </m:r>
                        <m:ctrlPr>
                          <w:rPr>
                            <w:rFonts w:hint="default" w:ascii="Cambria Math" w:hAnsi="Cambria Math" w:eastAsia="宋体" w:cs="Times New Roman"/>
                            <w:bCs/>
                            <w:color w:val="auto"/>
                            <w:kern w:val="2"/>
                            <w:sz w:val="24"/>
                            <w:szCs w:val="22"/>
                            <w:lang w:val="en-US" w:eastAsia="zh-CN" w:bidi="ar-SA"/>
                          </w:rPr>
                        </m:ctrlPr>
                      </m:sub>
                    </m:sSub>
                    <m:ctrlPr>
                      <w:rPr>
                        <w:rFonts w:hint="default" w:ascii="Cambria Math" w:hAnsi="Cambria Math" w:eastAsia="宋体" w:cs="Times New Roman"/>
                        <w:bCs/>
                        <w:color w:val="auto"/>
                        <w:kern w:val="2"/>
                        <w:sz w:val="24"/>
                        <w:szCs w:val="22"/>
                        <w:lang w:val="en-US" w:eastAsia="zh-CN" w:bidi="ar-SA"/>
                      </w:rPr>
                    </m:ctrlPr>
                  </m:den>
                </m:f>
                <m:r>
                  <m:rPr>
                    <m:sty m:val="p"/>
                  </m:rPr>
                  <w:rPr>
                    <w:rFonts w:hint="default" w:ascii="Cambria Math" w:hAnsi="Cambria Math" w:eastAsia="宋体" w:cs="Times New Roman"/>
                    <w:color w:val="auto"/>
                    <w:kern w:val="2"/>
                    <w:sz w:val="24"/>
                    <w:szCs w:val="22"/>
                    <w:lang w:val="en-US" w:eastAsia="zh-CN" w:bidi="ar-SA"/>
                  </w:rPr>
                  <m:t>+</m:t>
                </m:r>
                <m:f>
                  <m:fPr>
                    <m:ctrlPr>
                      <w:rPr>
                        <w:rFonts w:hint="default" w:ascii="Cambria Math" w:hAnsi="Cambria Math" w:eastAsia="宋体" w:cs="Times New Roman"/>
                        <w:bCs/>
                        <w:color w:val="auto"/>
                        <w:kern w:val="2"/>
                        <w:sz w:val="24"/>
                        <w:szCs w:val="22"/>
                        <w:lang w:val="en-US" w:eastAsia="zh-CN" w:bidi="ar-SA"/>
                      </w:rPr>
                    </m:ctrlPr>
                  </m:fPr>
                  <m:num>
                    <m:sSub>
                      <m:sSubPr>
                        <m:ctrlPr>
                          <w:rPr>
                            <w:rFonts w:hint="default" w:ascii="Cambria Math" w:hAnsi="Cambria Math" w:eastAsia="宋体" w:cs="Times New Roman"/>
                            <w:bCs/>
                            <w:color w:val="auto"/>
                            <w:kern w:val="2"/>
                            <w:sz w:val="24"/>
                            <w:szCs w:val="22"/>
                            <w:lang w:val="en-US" w:eastAsia="zh-CN" w:bidi="ar-SA"/>
                          </w:rPr>
                        </m:ctrlPr>
                      </m:sSubPr>
                      <m:e>
                        <m:r>
                          <m:rPr>
                            <m:sty m:val="p"/>
                          </m:rPr>
                          <w:rPr>
                            <w:rFonts w:hint="default" w:ascii="Cambria Math" w:hAnsi="Cambria Math" w:eastAsia="宋体" w:cs="Times New Roman"/>
                            <w:color w:val="auto"/>
                            <w:kern w:val="2"/>
                            <w:sz w:val="24"/>
                            <w:szCs w:val="22"/>
                            <w:lang w:val="en-US" w:eastAsia="zh-CN" w:bidi="ar-SA"/>
                          </w:rPr>
                          <m:t>q</m:t>
                        </m:r>
                        <m:ctrlPr>
                          <w:rPr>
                            <w:rFonts w:hint="default" w:ascii="Cambria Math" w:hAnsi="Cambria Math" w:eastAsia="宋体" w:cs="Times New Roman"/>
                            <w:bCs/>
                            <w:color w:val="auto"/>
                            <w:kern w:val="2"/>
                            <w:sz w:val="24"/>
                            <w:szCs w:val="22"/>
                            <w:lang w:val="en-US" w:eastAsia="zh-CN" w:bidi="ar-SA"/>
                          </w:rPr>
                        </m:ctrlPr>
                      </m:e>
                      <m:sub>
                        <m:r>
                          <m:rPr>
                            <m:sty m:val="p"/>
                          </m:rPr>
                          <w:rPr>
                            <w:rFonts w:hint="default" w:ascii="Cambria Math" w:hAnsi="Cambria Math" w:eastAsia="宋体" w:cs="Times New Roman"/>
                            <w:color w:val="auto"/>
                            <w:kern w:val="2"/>
                            <w:sz w:val="24"/>
                            <w:szCs w:val="22"/>
                            <w:lang w:val="en-US" w:eastAsia="zh-CN" w:bidi="ar-SA"/>
                          </w:rPr>
                          <m:t>2</m:t>
                        </m:r>
                        <m:ctrlPr>
                          <w:rPr>
                            <w:rFonts w:hint="default" w:ascii="Cambria Math" w:hAnsi="Cambria Math" w:eastAsia="宋体" w:cs="Times New Roman"/>
                            <w:bCs/>
                            <w:color w:val="auto"/>
                            <w:kern w:val="2"/>
                            <w:sz w:val="24"/>
                            <w:szCs w:val="22"/>
                            <w:lang w:val="en-US" w:eastAsia="zh-CN" w:bidi="ar-SA"/>
                          </w:rPr>
                        </m:ctrlPr>
                      </m:sub>
                    </m:sSub>
                    <m:ctrlPr>
                      <w:rPr>
                        <w:rFonts w:hint="default" w:ascii="Cambria Math" w:hAnsi="Cambria Math" w:eastAsia="宋体" w:cs="Times New Roman"/>
                        <w:bCs/>
                        <w:color w:val="auto"/>
                        <w:kern w:val="2"/>
                        <w:sz w:val="24"/>
                        <w:szCs w:val="22"/>
                        <w:lang w:val="en-US" w:eastAsia="zh-CN" w:bidi="ar-SA"/>
                      </w:rPr>
                    </m:ctrlPr>
                  </m:num>
                  <m:den>
                    <m:sSub>
                      <m:sSubPr>
                        <m:ctrlPr>
                          <w:rPr>
                            <w:rFonts w:hint="default" w:ascii="Cambria Math" w:hAnsi="Cambria Math" w:eastAsia="宋体" w:cs="Times New Roman"/>
                            <w:bCs/>
                            <w:color w:val="auto"/>
                            <w:kern w:val="2"/>
                            <w:sz w:val="24"/>
                            <w:szCs w:val="22"/>
                            <w:lang w:val="en-US" w:eastAsia="zh-CN" w:bidi="ar-SA"/>
                          </w:rPr>
                        </m:ctrlPr>
                      </m:sSubPr>
                      <m:e>
                        <m:r>
                          <m:rPr>
                            <m:sty m:val="p"/>
                          </m:rPr>
                          <w:rPr>
                            <w:rFonts w:hint="default" w:ascii="Cambria Math" w:hAnsi="Cambria Math" w:eastAsia="宋体" w:cs="Times New Roman"/>
                            <w:color w:val="auto"/>
                            <w:kern w:val="2"/>
                            <w:sz w:val="24"/>
                            <w:szCs w:val="22"/>
                            <w:lang w:val="en-US" w:eastAsia="zh-CN" w:bidi="ar-SA"/>
                          </w:rPr>
                          <m:t>Q</m:t>
                        </m:r>
                        <m:ctrlPr>
                          <w:rPr>
                            <w:rFonts w:hint="default" w:ascii="Cambria Math" w:hAnsi="Cambria Math" w:eastAsia="宋体" w:cs="Times New Roman"/>
                            <w:bCs/>
                            <w:color w:val="auto"/>
                            <w:kern w:val="2"/>
                            <w:sz w:val="24"/>
                            <w:szCs w:val="22"/>
                            <w:lang w:val="en-US" w:eastAsia="zh-CN" w:bidi="ar-SA"/>
                          </w:rPr>
                        </m:ctrlPr>
                      </m:e>
                      <m:sub>
                        <m:r>
                          <m:rPr>
                            <m:sty m:val="p"/>
                          </m:rPr>
                          <w:rPr>
                            <w:rFonts w:hint="default" w:ascii="Cambria Math" w:hAnsi="Cambria Math" w:eastAsia="宋体" w:cs="Times New Roman"/>
                            <w:color w:val="auto"/>
                            <w:kern w:val="2"/>
                            <w:sz w:val="24"/>
                            <w:szCs w:val="22"/>
                            <w:lang w:val="en-US" w:eastAsia="zh-CN" w:bidi="ar-SA"/>
                          </w:rPr>
                          <m:t>2</m:t>
                        </m:r>
                        <m:ctrlPr>
                          <w:rPr>
                            <w:rFonts w:hint="default" w:ascii="Cambria Math" w:hAnsi="Cambria Math" w:eastAsia="宋体" w:cs="Times New Roman"/>
                            <w:bCs/>
                            <w:color w:val="auto"/>
                            <w:kern w:val="2"/>
                            <w:sz w:val="24"/>
                            <w:szCs w:val="22"/>
                            <w:lang w:val="en-US" w:eastAsia="zh-CN" w:bidi="ar-SA"/>
                          </w:rPr>
                        </m:ctrlPr>
                      </m:sub>
                    </m:sSub>
                    <m:ctrlPr>
                      <w:rPr>
                        <w:rFonts w:hint="default" w:ascii="Cambria Math" w:hAnsi="Cambria Math" w:eastAsia="宋体" w:cs="Times New Roman"/>
                        <w:bCs/>
                        <w:color w:val="auto"/>
                        <w:kern w:val="2"/>
                        <w:sz w:val="24"/>
                        <w:szCs w:val="22"/>
                        <w:lang w:val="en-US" w:eastAsia="zh-CN" w:bidi="ar-SA"/>
                      </w:rPr>
                    </m:ctrlPr>
                  </m:den>
                </m:f>
                <m:r>
                  <m:rPr>
                    <m:sty m:val="p"/>
                  </m:rPr>
                  <w:rPr>
                    <w:rFonts w:hint="default" w:ascii="Cambria Math" w:hAnsi="Cambria Math" w:eastAsia="宋体" w:cs="Times New Roman"/>
                    <w:color w:val="auto"/>
                    <w:kern w:val="2"/>
                    <w:sz w:val="24"/>
                    <w:szCs w:val="22"/>
                    <w:lang w:val="en-US" w:eastAsia="zh-CN" w:bidi="ar-SA"/>
                  </w:rPr>
                  <m:t>+…+</m:t>
                </m:r>
                <m:f>
                  <m:fPr>
                    <m:ctrlPr>
                      <w:rPr>
                        <w:rFonts w:hint="default" w:ascii="Cambria Math" w:hAnsi="Cambria Math" w:eastAsia="宋体" w:cs="Times New Roman"/>
                        <w:bCs/>
                        <w:color w:val="auto"/>
                        <w:kern w:val="2"/>
                        <w:sz w:val="24"/>
                        <w:szCs w:val="22"/>
                        <w:lang w:val="en-US" w:eastAsia="zh-CN" w:bidi="ar-SA"/>
                      </w:rPr>
                    </m:ctrlPr>
                  </m:fPr>
                  <m:num>
                    <m:sSub>
                      <m:sSubPr>
                        <m:ctrlPr>
                          <w:rPr>
                            <w:rFonts w:hint="default" w:ascii="Cambria Math" w:hAnsi="Cambria Math" w:eastAsia="宋体" w:cs="Times New Roman"/>
                            <w:bCs/>
                            <w:color w:val="auto"/>
                            <w:kern w:val="2"/>
                            <w:sz w:val="24"/>
                            <w:szCs w:val="22"/>
                            <w:lang w:val="en-US" w:eastAsia="zh-CN" w:bidi="ar-SA"/>
                          </w:rPr>
                        </m:ctrlPr>
                      </m:sSubPr>
                      <m:e>
                        <m:r>
                          <m:rPr>
                            <m:sty m:val="p"/>
                          </m:rPr>
                          <w:rPr>
                            <w:rFonts w:hint="default" w:ascii="Cambria Math" w:hAnsi="Cambria Math" w:eastAsia="宋体" w:cs="Times New Roman"/>
                            <w:color w:val="auto"/>
                            <w:kern w:val="2"/>
                            <w:sz w:val="24"/>
                            <w:szCs w:val="22"/>
                            <w:lang w:val="en-US" w:eastAsia="zh-CN" w:bidi="ar-SA"/>
                          </w:rPr>
                          <m:t>q</m:t>
                        </m:r>
                        <m:ctrlPr>
                          <w:rPr>
                            <w:rFonts w:hint="default" w:ascii="Cambria Math" w:hAnsi="Cambria Math" w:eastAsia="宋体" w:cs="Times New Roman"/>
                            <w:bCs/>
                            <w:color w:val="auto"/>
                            <w:kern w:val="2"/>
                            <w:sz w:val="24"/>
                            <w:szCs w:val="22"/>
                            <w:lang w:val="en-US" w:eastAsia="zh-CN" w:bidi="ar-SA"/>
                          </w:rPr>
                        </m:ctrlPr>
                      </m:e>
                      <m:sub>
                        <m:r>
                          <m:rPr>
                            <m:sty m:val="p"/>
                          </m:rPr>
                          <w:rPr>
                            <w:rFonts w:hint="default" w:ascii="Cambria Math" w:hAnsi="Cambria Math" w:eastAsia="宋体" w:cs="Times New Roman"/>
                            <w:color w:val="auto"/>
                            <w:kern w:val="2"/>
                            <w:sz w:val="24"/>
                            <w:szCs w:val="22"/>
                            <w:lang w:val="en-US" w:eastAsia="zh-CN" w:bidi="ar-SA"/>
                          </w:rPr>
                          <m:t>n</m:t>
                        </m:r>
                        <m:ctrlPr>
                          <w:rPr>
                            <w:rFonts w:hint="default" w:ascii="Cambria Math" w:hAnsi="Cambria Math" w:eastAsia="宋体" w:cs="Times New Roman"/>
                            <w:bCs/>
                            <w:color w:val="auto"/>
                            <w:kern w:val="2"/>
                            <w:sz w:val="24"/>
                            <w:szCs w:val="22"/>
                            <w:lang w:val="en-US" w:eastAsia="zh-CN" w:bidi="ar-SA"/>
                          </w:rPr>
                        </m:ctrlPr>
                      </m:sub>
                    </m:sSub>
                    <m:ctrlPr>
                      <w:rPr>
                        <w:rFonts w:hint="default" w:ascii="Cambria Math" w:hAnsi="Cambria Math" w:eastAsia="宋体" w:cs="Times New Roman"/>
                        <w:bCs/>
                        <w:color w:val="auto"/>
                        <w:kern w:val="2"/>
                        <w:sz w:val="24"/>
                        <w:szCs w:val="22"/>
                        <w:lang w:val="en-US" w:eastAsia="zh-CN" w:bidi="ar-SA"/>
                      </w:rPr>
                    </m:ctrlPr>
                  </m:num>
                  <m:den>
                    <m:sSub>
                      <m:sSubPr>
                        <m:ctrlPr>
                          <w:rPr>
                            <w:rFonts w:hint="default" w:ascii="Cambria Math" w:hAnsi="Cambria Math" w:eastAsia="宋体" w:cs="Times New Roman"/>
                            <w:bCs/>
                            <w:color w:val="auto"/>
                            <w:kern w:val="2"/>
                            <w:sz w:val="24"/>
                            <w:szCs w:val="22"/>
                            <w:lang w:val="en-US" w:eastAsia="zh-CN" w:bidi="ar-SA"/>
                          </w:rPr>
                        </m:ctrlPr>
                      </m:sSubPr>
                      <m:e>
                        <m:r>
                          <m:rPr>
                            <m:sty m:val="p"/>
                          </m:rPr>
                          <w:rPr>
                            <w:rFonts w:hint="default" w:ascii="Cambria Math" w:hAnsi="Cambria Math" w:eastAsia="宋体" w:cs="Times New Roman"/>
                            <w:color w:val="auto"/>
                            <w:kern w:val="2"/>
                            <w:sz w:val="24"/>
                            <w:szCs w:val="22"/>
                            <w:lang w:val="en-US" w:eastAsia="zh-CN" w:bidi="ar-SA"/>
                          </w:rPr>
                          <m:t>Q</m:t>
                        </m:r>
                        <m:ctrlPr>
                          <w:rPr>
                            <w:rFonts w:hint="default" w:ascii="Cambria Math" w:hAnsi="Cambria Math" w:eastAsia="宋体" w:cs="Times New Roman"/>
                            <w:bCs/>
                            <w:color w:val="auto"/>
                            <w:kern w:val="2"/>
                            <w:sz w:val="24"/>
                            <w:szCs w:val="22"/>
                            <w:lang w:val="en-US" w:eastAsia="zh-CN" w:bidi="ar-SA"/>
                          </w:rPr>
                        </m:ctrlPr>
                      </m:e>
                      <m:sub>
                        <m:r>
                          <m:rPr>
                            <m:sty m:val="p"/>
                          </m:rPr>
                          <w:rPr>
                            <w:rFonts w:hint="default" w:ascii="Cambria Math" w:hAnsi="Cambria Math" w:eastAsia="宋体" w:cs="Times New Roman"/>
                            <w:color w:val="auto"/>
                            <w:kern w:val="2"/>
                            <w:sz w:val="24"/>
                            <w:szCs w:val="22"/>
                            <w:lang w:val="en-US" w:eastAsia="zh-CN" w:bidi="ar-SA"/>
                          </w:rPr>
                          <m:t>n</m:t>
                        </m:r>
                        <m:ctrlPr>
                          <w:rPr>
                            <w:rFonts w:hint="default" w:ascii="Cambria Math" w:hAnsi="Cambria Math" w:eastAsia="宋体" w:cs="Times New Roman"/>
                            <w:bCs/>
                            <w:color w:val="auto"/>
                            <w:kern w:val="2"/>
                            <w:sz w:val="24"/>
                            <w:szCs w:val="22"/>
                            <w:lang w:val="en-US" w:eastAsia="zh-CN" w:bidi="ar-SA"/>
                          </w:rPr>
                        </m:ctrlPr>
                      </m:sub>
                    </m:sSub>
                    <m:ctrlPr>
                      <w:rPr>
                        <w:rFonts w:hint="default" w:ascii="Cambria Math" w:hAnsi="Cambria Math" w:eastAsia="宋体" w:cs="Times New Roman"/>
                        <w:bCs/>
                        <w:color w:val="auto"/>
                        <w:kern w:val="2"/>
                        <w:sz w:val="24"/>
                        <w:szCs w:val="22"/>
                        <w:lang w:val="en-US" w:eastAsia="zh-CN" w:bidi="ar-SA"/>
                      </w:rPr>
                    </m:ctrlPr>
                  </m:den>
                </m:f>
              </m:oMath>
            </m:oMathPara>
          </w:p>
          <w:p w14:paraId="2C3DD2E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default" w:ascii="Times New Roman" w:hAnsi="Times New Roman" w:eastAsia="宋体" w:cs="Times New Roman"/>
                <w:bCs/>
                <w:color w:val="auto"/>
                <w:kern w:val="2"/>
                <w:sz w:val="24"/>
                <w:szCs w:val="22"/>
                <w:lang w:val="en-US" w:eastAsia="zh-CN" w:bidi="ar-SA"/>
              </w:rPr>
              <w:t>式中：</w:t>
            </w:r>
          </w:p>
          <w:p w14:paraId="538FF66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default" w:ascii="Times New Roman" w:hAnsi="Times New Roman" w:eastAsia="宋体" w:cs="Times New Roman"/>
                <w:bCs/>
                <w:color w:val="auto"/>
                <w:kern w:val="2"/>
                <w:sz w:val="24"/>
                <w:szCs w:val="22"/>
                <w:lang w:val="en-US" w:eastAsia="zh-CN" w:bidi="ar-SA"/>
              </w:rPr>
              <w:t>q1，q2，…，qn—每种环境风险位置的最大存在量，t；</w:t>
            </w:r>
          </w:p>
          <w:p w14:paraId="7120125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default" w:ascii="Times New Roman" w:hAnsi="Times New Roman" w:eastAsia="宋体" w:cs="Times New Roman"/>
                <w:bCs/>
                <w:color w:val="auto"/>
                <w:kern w:val="2"/>
                <w:sz w:val="24"/>
                <w:szCs w:val="22"/>
                <w:lang w:val="en-US" w:eastAsia="zh-CN" w:bidi="ar-SA"/>
              </w:rPr>
              <w:t>Q1，Q2，…，Qn—每种环境风险物质的临界量，t。</w:t>
            </w:r>
          </w:p>
          <w:p w14:paraId="246123E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default" w:ascii="Times New Roman" w:hAnsi="Times New Roman" w:eastAsia="宋体" w:cs="Times New Roman"/>
                <w:bCs/>
                <w:color w:val="auto"/>
                <w:kern w:val="2"/>
                <w:sz w:val="24"/>
                <w:szCs w:val="22"/>
                <w:lang w:val="en-US" w:eastAsia="zh-CN" w:bidi="ar-SA"/>
              </w:rPr>
              <w:t>根据工程分析，本项目废机油的产生量为0.01t，最大贮存量为0.01t，即q1为0.01；根据《建设项目环境风险评价技术导则》（HJ169-2018）附录B可知，废机油的临界量为50t，即Q=</w:t>
            </w:r>
            <w:r>
              <w:rPr>
                <w:rFonts w:hint="eastAsia" w:ascii="Times New Roman" w:hAnsi="Times New Roman" w:eastAsia="宋体" w:cs="Times New Roman"/>
                <w:bCs/>
                <w:color w:val="auto"/>
                <w:kern w:val="2"/>
                <w:sz w:val="24"/>
                <w:szCs w:val="22"/>
                <w:lang w:val="en-US" w:eastAsia="zh-CN" w:bidi="ar-SA"/>
              </w:rPr>
              <w:t>0.000004</w:t>
            </w:r>
            <w:r>
              <w:rPr>
                <w:rFonts w:hint="default" w:ascii="Times New Roman" w:hAnsi="Times New Roman" w:eastAsia="宋体" w:cs="Times New Roman"/>
                <w:bCs/>
                <w:color w:val="auto"/>
                <w:kern w:val="2"/>
                <w:sz w:val="24"/>
                <w:szCs w:val="22"/>
                <w:lang w:val="en-US" w:eastAsia="zh-CN" w:bidi="ar-SA"/>
              </w:rPr>
              <w:t>，则本项目Q＜1。根据判定结果，项目环境风险潜势为Ⅰ，因此确定风险评价工作不设等级，仅进行简单分析即可</w:t>
            </w:r>
            <w:r>
              <w:rPr>
                <w:rFonts w:hint="eastAsia" w:ascii="Times New Roman" w:hAnsi="Times New Roman" w:eastAsia="宋体" w:cs="Times New Roman"/>
                <w:bCs/>
                <w:color w:val="auto"/>
                <w:kern w:val="2"/>
                <w:sz w:val="24"/>
                <w:szCs w:val="22"/>
                <w:lang w:val="en-US" w:eastAsia="zh-CN" w:bidi="ar-SA"/>
              </w:rPr>
              <w:t>。</w:t>
            </w:r>
          </w:p>
          <w:p w14:paraId="4392263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（3）环境风险分析</w:t>
            </w:r>
          </w:p>
          <w:p w14:paraId="2675226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zh-CN" w:eastAsia="zh-CN" w:bidi="ar-SA"/>
              </w:rPr>
              <w:t>废机油属于可燃液体，若泄漏挥发气体与空气混合形成爆炸气体，遇明火、热源可引发火灾、爆炸事故。火灾、爆炸首先产生有毒有害气体和窒息气体，对周围环境空气造成较大的影响，其次火灾、爆炸消防废水外溢可能污染地表水、地下水和土壤。</w:t>
            </w:r>
          </w:p>
          <w:p w14:paraId="0891D76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zh-CN" w:eastAsia="zh-CN" w:bidi="ar-SA"/>
              </w:rPr>
              <w:t>（</w:t>
            </w:r>
            <w:r>
              <w:rPr>
                <w:rFonts w:hint="eastAsia" w:ascii="Times New Roman" w:hAnsi="Times New Roman" w:eastAsia="宋体" w:cs="Times New Roman"/>
                <w:bCs/>
                <w:color w:val="auto"/>
                <w:kern w:val="2"/>
                <w:sz w:val="24"/>
                <w:szCs w:val="22"/>
                <w:lang w:val="en-US" w:eastAsia="zh-CN" w:bidi="ar-SA"/>
              </w:rPr>
              <w:t>4</w:t>
            </w:r>
            <w:r>
              <w:rPr>
                <w:rFonts w:hint="eastAsia" w:ascii="Times New Roman" w:hAnsi="Times New Roman" w:eastAsia="宋体" w:cs="Times New Roman"/>
                <w:bCs/>
                <w:color w:val="auto"/>
                <w:kern w:val="2"/>
                <w:sz w:val="24"/>
                <w:szCs w:val="22"/>
                <w:lang w:val="zh-CN" w:eastAsia="zh-CN" w:bidi="ar-SA"/>
              </w:rPr>
              <w:t>）环境风险应急要求及防范措施</w:t>
            </w:r>
          </w:p>
          <w:p w14:paraId="7594206E">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①</w:t>
            </w:r>
            <w:r>
              <w:rPr>
                <w:rFonts w:hint="eastAsia" w:ascii="Times New Roman" w:hAnsi="Times New Roman" w:eastAsia="宋体" w:cs="Times New Roman"/>
                <w:bCs/>
                <w:color w:val="auto"/>
                <w:kern w:val="2"/>
                <w:sz w:val="24"/>
                <w:szCs w:val="22"/>
                <w:lang w:val="zh-CN" w:eastAsia="zh-CN" w:bidi="ar-SA"/>
              </w:rPr>
              <w:t>泄漏应急处理</w:t>
            </w:r>
          </w:p>
          <w:p w14:paraId="0439B8F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zh-CN" w:eastAsia="zh-CN" w:bidi="ar-SA"/>
              </w:rPr>
              <w:t>当废机油发生泄漏时，迅速撤离泄漏污染区人员至安全区，并进行隔离，严格限制出入。建议应急处理人员戴自给正压式呼吸器，穿防静电工作服。作业时使用的所有设备应接地，禁止无防护设施接触破裂的容器和泄漏物。尽可能</w:t>
            </w:r>
            <w:r>
              <w:rPr>
                <w:rFonts w:hint="eastAsia" w:ascii="Times New Roman" w:hAnsi="Times New Roman" w:cs="Times New Roman"/>
                <w:bCs/>
                <w:color w:val="auto"/>
                <w:kern w:val="2"/>
                <w:sz w:val="24"/>
                <w:szCs w:val="22"/>
                <w:lang w:val="zh-CN" w:eastAsia="zh-CN" w:bidi="ar-SA"/>
              </w:rPr>
              <w:t>地</w:t>
            </w:r>
            <w:r>
              <w:rPr>
                <w:rFonts w:hint="eastAsia" w:ascii="Times New Roman" w:hAnsi="Times New Roman" w:eastAsia="宋体" w:cs="Times New Roman"/>
                <w:bCs/>
                <w:color w:val="auto"/>
                <w:kern w:val="2"/>
                <w:sz w:val="24"/>
                <w:szCs w:val="22"/>
                <w:lang w:val="zh-CN" w:eastAsia="zh-CN" w:bidi="ar-SA"/>
              </w:rPr>
              <w:t>切断电源，防止泄漏物进入水体、下水道、或密闭性空间。泄漏时用干燥的沙土或其他不燃材料覆盖泄漏物，随后转移至收集器中。</w:t>
            </w:r>
          </w:p>
          <w:p w14:paraId="0910F41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②</w:t>
            </w:r>
            <w:r>
              <w:rPr>
                <w:rFonts w:hint="eastAsia" w:ascii="Times New Roman" w:hAnsi="Times New Roman" w:eastAsia="宋体" w:cs="Times New Roman"/>
                <w:bCs/>
                <w:color w:val="auto"/>
                <w:kern w:val="2"/>
                <w:sz w:val="24"/>
                <w:szCs w:val="22"/>
                <w:lang w:val="zh-CN" w:eastAsia="zh-CN" w:bidi="ar-SA"/>
              </w:rPr>
              <w:t>急救措施</w:t>
            </w:r>
          </w:p>
          <w:p w14:paraId="549A6FB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zh-CN" w:eastAsia="zh-CN" w:bidi="ar-SA"/>
              </w:rPr>
              <w:t>皮肤接触：立即脱去污染的衣着，用大量流动清水冲洗20</w:t>
            </w:r>
            <w:r>
              <w:rPr>
                <w:rFonts w:hint="eastAsia" w:ascii="Times New Roman" w:hAnsi="Times New Roman" w:cs="Times New Roman"/>
                <w:bCs/>
                <w:color w:val="auto"/>
                <w:kern w:val="2"/>
                <w:sz w:val="24"/>
                <w:szCs w:val="22"/>
                <w:lang w:val="zh-CN" w:eastAsia="zh-CN" w:bidi="ar-SA"/>
              </w:rPr>
              <w:t>～</w:t>
            </w:r>
            <w:r>
              <w:rPr>
                <w:rFonts w:hint="eastAsia" w:ascii="Times New Roman" w:hAnsi="Times New Roman" w:eastAsia="宋体" w:cs="Times New Roman"/>
                <w:bCs/>
                <w:color w:val="auto"/>
                <w:kern w:val="2"/>
                <w:sz w:val="24"/>
                <w:szCs w:val="22"/>
                <w:lang w:val="zh-CN" w:eastAsia="zh-CN" w:bidi="ar-SA"/>
              </w:rPr>
              <w:t>30分钟。如有不适感，立即就医。</w:t>
            </w:r>
          </w:p>
          <w:p w14:paraId="78D63BA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zh-CN" w:eastAsia="zh-CN" w:bidi="ar-SA"/>
              </w:rPr>
              <w:t>眼睛接触：立即提起</w:t>
            </w:r>
            <w:r>
              <w:rPr>
                <w:rFonts w:hint="eastAsia" w:ascii="Times New Roman" w:hAnsi="Times New Roman" w:cs="Times New Roman"/>
                <w:bCs/>
                <w:color w:val="auto"/>
                <w:kern w:val="2"/>
                <w:sz w:val="24"/>
                <w:szCs w:val="22"/>
                <w:lang w:val="zh-CN" w:eastAsia="zh-CN" w:bidi="ar-SA"/>
              </w:rPr>
              <w:t>眼睑</w:t>
            </w:r>
            <w:r>
              <w:rPr>
                <w:rFonts w:hint="eastAsia" w:ascii="Times New Roman" w:hAnsi="Times New Roman" w:eastAsia="宋体" w:cs="Times New Roman"/>
                <w:bCs/>
                <w:color w:val="auto"/>
                <w:kern w:val="2"/>
                <w:sz w:val="24"/>
                <w:szCs w:val="22"/>
                <w:lang w:val="zh-CN" w:eastAsia="zh-CN" w:bidi="ar-SA"/>
              </w:rPr>
              <w:t>，用大量流动清水或生理盐水彻底冲洗10</w:t>
            </w:r>
            <w:r>
              <w:rPr>
                <w:rFonts w:hint="eastAsia" w:ascii="Times New Roman" w:hAnsi="Times New Roman" w:cs="Times New Roman"/>
                <w:bCs/>
                <w:color w:val="auto"/>
                <w:kern w:val="2"/>
                <w:sz w:val="24"/>
                <w:szCs w:val="22"/>
                <w:lang w:val="zh-CN" w:eastAsia="zh-CN" w:bidi="ar-SA"/>
              </w:rPr>
              <w:t>～</w:t>
            </w:r>
            <w:r>
              <w:rPr>
                <w:rFonts w:hint="eastAsia" w:ascii="Times New Roman" w:hAnsi="Times New Roman" w:eastAsia="宋体" w:cs="Times New Roman"/>
                <w:bCs/>
                <w:color w:val="auto"/>
                <w:kern w:val="2"/>
                <w:sz w:val="24"/>
                <w:szCs w:val="22"/>
                <w:lang w:val="zh-CN" w:eastAsia="zh-CN" w:bidi="ar-SA"/>
              </w:rPr>
              <w:t>15分钟。如有不适，立即就医。</w:t>
            </w:r>
          </w:p>
          <w:p w14:paraId="70525E9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zh-CN" w:eastAsia="zh-CN" w:bidi="ar-SA"/>
              </w:rPr>
              <w:t>吸入：迅速脱离现场至空气新鲜处，保持呼吸道畅通。如有不适感，请立即就医。</w:t>
            </w:r>
          </w:p>
          <w:p w14:paraId="6837884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zh-CN" w:eastAsia="zh-CN" w:bidi="ar-SA"/>
              </w:rPr>
              <w:t>灭火方法：消防人员必须穿全身防火防毒服，在上风口灭火。灭火时尽可能将容器从火场移至空旷处。</w:t>
            </w:r>
          </w:p>
          <w:p w14:paraId="39C6224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③</w:t>
            </w:r>
            <w:r>
              <w:rPr>
                <w:rFonts w:hint="eastAsia" w:ascii="Times New Roman" w:hAnsi="Times New Roman" w:eastAsia="宋体" w:cs="Times New Roman"/>
                <w:bCs/>
                <w:color w:val="auto"/>
                <w:kern w:val="2"/>
                <w:sz w:val="24"/>
                <w:szCs w:val="22"/>
                <w:lang w:val="zh-CN" w:eastAsia="zh-CN" w:bidi="ar-SA"/>
              </w:rPr>
              <w:t>储存措施</w:t>
            </w:r>
          </w:p>
          <w:p w14:paraId="47D281F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zh-CN" w:eastAsia="zh-CN" w:bidi="ar-SA"/>
              </w:rPr>
              <w:t>废机油暂存于危废暂存间，严格按照《危险废物贮存污染控制标准》（GB18597-2001）及其修改单中的相关要求设置相关收集容器，用专用容器集中收集，同时由专人管理，定期交由有资质单位进行专业处理。危废暂存间应做到以下防范措施：存放地面墙裙达到防渗要求，对废机油设置防渗漏托盘、定期检查清运，配备灭火器等消防器材并定期检查更换。</w:t>
            </w:r>
          </w:p>
          <w:p w14:paraId="6B64746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④</w:t>
            </w:r>
            <w:r>
              <w:rPr>
                <w:rFonts w:hint="eastAsia" w:ascii="Times New Roman" w:hAnsi="Times New Roman" w:eastAsia="宋体" w:cs="Times New Roman"/>
                <w:bCs/>
                <w:color w:val="auto"/>
                <w:kern w:val="2"/>
                <w:sz w:val="24"/>
                <w:szCs w:val="22"/>
                <w:lang w:val="zh-CN" w:eastAsia="zh-CN" w:bidi="ar-SA"/>
              </w:rPr>
              <w:t>防范措施</w:t>
            </w:r>
          </w:p>
          <w:p w14:paraId="0246555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1</w:t>
            </w:r>
            <w:r>
              <w:rPr>
                <w:rFonts w:hint="eastAsia" w:ascii="Times New Roman" w:hAnsi="Times New Roman" w:eastAsia="宋体" w:cs="Times New Roman"/>
                <w:bCs/>
                <w:color w:val="auto"/>
                <w:kern w:val="2"/>
                <w:sz w:val="24"/>
                <w:szCs w:val="22"/>
                <w:lang w:val="zh-CN" w:eastAsia="zh-CN" w:bidi="ar-SA"/>
              </w:rPr>
              <w:t>）</w:t>
            </w:r>
            <w:r>
              <w:rPr>
                <w:rFonts w:hint="default" w:ascii="Times New Roman" w:hAnsi="Times New Roman" w:eastAsia="宋体" w:cs="Times New Roman"/>
                <w:bCs/>
                <w:color w:val="auto"/>
                <w:kern w:val="2"/>
                <w:sz w:val="24"/>
                <w:szCs w:val="22"/>
                <w:lang w:val="zh-CN" w:eastAsia="zh-CN" w:bidi="ar-SA"/>
              </w:rPr>
              <w:t>设备、管道系统的材质、安装或检修质量是泄漏的直接原因。如设备、管道的焊接质量、阀门、法兰、垫片、螺纹连接的质量都会直接影响生产装置在运行中是否产生泄漏</w:t>
            </w:r>
            <w:r>
              <w:rPr>
                <w:rFonts w:hint="eastAsia" w:ascii="Times New Roman" w:hAnsi="Times New Roman" w:eastAsia="宋体" w:cs="Times New Roman"/>
                <w:bCs/>
                <w:color w:val="auto"/>
                <w:kern w:val="2"/>
                <w:sz w:val="24"/>
                <w:szCs w:val="22"/>
                <w:lang w:val="zh-CN" w:eastAsia="zh-CN" w:bidi="ar-SA"/>
              </w:rPr>
              <w:t>。</w:t>
            </w:r>
          </w:p>
          <w:p w14:paraId="6A095F7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2）</w:t>
            </w:r>
            <w:r>
              <w:rPr>
                <w:rFonts w:hint="default" w:ascii="Times New Roman" w:hAnsi="Times New Roman" w:eastAsia="宋体" w:cs="Times New Roman"/>
                <w:bCs/>
                <w:color w:val="auto"/>
                <w:kern w:val="2"/>
                <w:sz w:val="24"/>
                <w:szCs w:val="22"/>
                <w:lang w:val="zh-CN" w:eastAsia="zh-CN" w:bidi="ar-SA"/>
              </w:rPr>
              <w:t>生产过程中由于工艺参数控制不当造成超温、超压或者温度、压力频繁、大幅度</w:t>
            </w:r>
            <w:r>
              <w:rPr>
                <w:rFonts w:hint="eastAsia" w:ascii="Times New Roman" w:hAnsi="Times New Roman" w:cs="Times New Roman"/>
                <w:bCs/>
                <w:color w:val="auto"/>
                <w:kern w:val="2"/>
                <w:sz w:val="24"/>
                <w:szCs w:val="22"/>
                <w:lang w:val="zh-CN" w:eastAsia="zh-CN" w:bidi="ar-SA"/>
              </w:rPr>
              <w:t>的</w:t>
            </w:r>
            <w:r>
              <w:rPr>
                <w:rFonts w:hint="default" w:ascii="Times New Roman" w:hAnsi="Times New Roman" w:eastAsia="宋体" w:cs="Times New Roman"/>
                <w:bCs/>
                <w:color w:val="auto"/>
                <w:kern w:val="2"/>
                <w:sz w:val="24"/>
                <w:szCs w:val="22"/>
                <w:lang w:val="zh-CN" w:eastAsia="zh-CN" w:bidi="ar-SA"/>
              </w:rPr>
              <w:t>变化，容易引起泄漏。</w:t>
            </w:r>
          </w:p>
          <w:p w14:paraId="5C69B0E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3）</w:t>
            </w:r>
            <w:r>
              <w:rPr>
                <w:rFonts w:hint="default" w:ascii="Times New Roman" w:hAnsi="Times New Roman" w:eastAsia="宋体" w:cs="Times New Roman"/>
                <w:bCs/>
                <w:color w:val="auto"/>
                <w:kern w:val="2"/>
                <w:sz w:val="24"/>
                <w:szCs w:val="22"/>
                <w:lang w:val="zh-CN" w:eastAsia="zh-CN" w:bidi="ar-SA"/>
              </w:rPr>
              <w:t>设备密封的损坏。如设备密封面磨损，机泵端面密封损坏，换热器封头盖密封圈损坏等</w:t>
            </w:r>
            <w:r>
              <w:rPr>
                <w:rFonts w:hint="eastAsia" w:ascii="Times New Roman" w:hAnsi="Times New Roman" w:eastAsia="宋体" w:cs="Times New Roman"/>
                <w:bCs/>
                <w:color w:val="auto"/>
                <w:kern w:val="2"/>
                <w:sz w:val="24"/>
                <w:szCs w:val="22"/>
                <w:lang w:val="zh-CN" w:eastAsia="zh-CN" w:bidi="ar-SA"/>
              </w:rPr>
              <w:t>。</w:t>
            </w:r>
          </w:p>
          <w:p w14:paraId="7FC6E78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4）</w:t>
            </w:r>
            <w:r>
              <w:rPr>
                <w:rFonts w:hint="default" w:ascii="Times New Roman" w:hAnsi="Times New Roman" w:eastAsia="宋体" w:cs="Times New Roman"/>
                <w:bCs/>
                <w:color w:val="auto"/>
                <w:kern w:val="2"/>
                <w:sz w:val="24"/>
                <w:szCs w:val="22"/>
                <w:lang w:val="zh-CN" w:eastAsia="zh-CN" w:bidi="ar-SA"/>
              </w:rPr>
              <w:t>设备、管道、管件、阀门等因腐蚀穿孔而导致物料泄漏。</w:t>
            </w:r>
          </w:p>
          <w:p w14:paraId="3F5EA77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zh-CN" w:eastAsia="zh-CN" w:bidi="ar-SA"/>
              </w:rPr>
            </w:pPr>
            <w:r>
              <w:rPr>
                <w:rFonts w:hint="eastAsia" w:ascii="Times New Roman" w:hAnsi="Times New Roman" w:eastAsia="宋体" w:cs="Times New Roman"/>
                <w:bCs/>
                <w:color w:val="auto"/>
                <w:kern w:val="2"/>
                <w:sz w:val="24"/>
                <w:szCs w:val="22"/>
                <w:lang w:val="en-US" w:eastAsia="zh-CN" w:bidi="ar-SA"/>
              </w:rPr>
              <w:t>5）</w:t>
            </w:r>
            <w:r>
              <w:rPr>
                <w:rFonts w:hint="eastAsia" w:ascii="Times New Roman" w:hAnsi="Times New Roman" w:eastAsia="宋体" w:cs="Times New Roman"/>
                <w:bCs/>
                <w:color w:val="auto"/>
                <w:kern w:val="2"/>
                <w:sz w:val="24"/>
                <w:szCs w:val="22"/>
                <w:lang w:val="zh-CN" w:eastAsia="zh-CN" w:bidi="ar-SA"/>
              </w:rPr>
              <w:t>水泥储罐及输送等存在泄漏的风险，储存装置的危险、有害因素最常见的是设备缺陷危害，设备缺陷导致泄漏事故的发生，泄漏引起火灾、爆炸、中毒等事故的发生。</w:t>
            </w:r>
          </w:p>
          <w:p w14:paraId="2B98063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⑤风险防范措施</w:t>
            </w:r>
          </w:p>
          <w:p w14:paraId="06F0A6B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1）危废暂存间地面与裙角用坚固、防渗的材料建筑；内部有安全照明设施和观察窗口；内部场地耐腐蚀的硬化地面且表面无裂隙；不相容的危险废物分开存放并设有隔离间隔离；地面进行防渗；不相容的危险废物分开存放并设有隔离间隔离。</w:t>
            </w:r>
          </w:p>
          <w:p w14:paraId="6AF6CF3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2）盛装危险废物的容器上粘贴符合标准的标签。</w:t>
            </w:r>
          </w:p>
          <w:p w14:paraId="2D76BD9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3）装载废机油的容器内留足够的空间，容器顶部与液体表面之间保留100mm以上的空间。</w:t>
            </w:r>
          </w:p>
          <w:p w14:paraId="24AC18A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4）装载废机油的容器完好无损，材质满足相应的强度要求，容器材质与衬里与危险废物相容（不相互反应）。</w:t>
            </w:r>
          </w:p>
          <w:p w14:paraId="728B377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5）企业安排专人对危险废物暂存间进行定期检查，且危废暂存间设有双锁，制定危险废物事故应急预案并配备相应的应急物资，同时按要求切实做到防渗漏、防雨淋、防流失的</w:t>
            </w:r>
            <w:r>
              <w:rPr>
                <w:rFonts w:hint="eastAsia" w:ascii="Times New Roman" w:hAnsi="Times New Roman" w:cs="Times New Roman"/>
                <w:bCs/>
                <w:color w:val="auto"/>
                <w:kern w:val="2"/>
                <w:sz w:val="24"/>
                <w:szCs w:val="22"/>
                <w:lang w:val="en-US" w:eastAsia="zh-CN" w:bidi="ar-SA"/>
              </w:rPr>
              <w:t>“</w:t>
            </w:r>
            <w:r>
              <w:rPr>
                <w:rFonts w:hint="eastAsia" w:ascii="Times New Roman" w:hAnsi="Times New Roman" w:eastAsia="宋体" w:cs="Times New Roman"/>
                <w:bCs/>
                <w:color w:val="auto"/>
                <w:kern w:val="2"/>
                <w:sz w:val="24"/>
                <w:szCs w:val="22"/>
                <w:lang w:val="en-US" w:eastAsia="zh-CN" w:bidi="ar-SA"/>
              </w:rPr>
              <w:t>三防</w:t>
            </w:r>
            <w:r>
              <w:rPr>
                <w:rFonts w:hint="eastAsia" w:ascii="Times New Roman" w:hAnsi="Times New Roman" w:cs="Times New Roman"/>
                <w:bCs/>
                <w:color w:val="auto"/>
                <w:kern w:val="2"/>
                <w:sz w:val="24"/>
                <w:szCs w:val="22"/>
                <w:lang w:val="en-US" w:eastAsia="zh-CN" w:bidi="ar-SA"/>
              </w:rPr>
              <w:t>”</w:t>
            </w:r>
            <w:r>
              <w:rPr>
                <w:rFonts w:hint="eastAsia" w:ascii="Times New Roman" w:hAnsi="Times New Roman" w:eastAsia="宋体" w:cs="Times New Roman"/>
                <w:bCs/>
                <w:color w:val="auto"/>
                <w:kern w:val="2"/>
                <w:sz w:val="24"/>
                <w:szCs w:val="22"/>
                <w:lang w:val="en-US" w:eastAsia="zh-CN" w:bidi="ar-SA"/>
              </w:rPr>
              <w:t>措施。落实防渗措施，做好地面硬化，防止危险废物对地下水的影响。</w:t>
            </w:r>
          </w:p>
          <w:p w14:paraId="3860941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2"/>
                <w:sz w:val="24"/>
                <w:szCs w:val="22"/>
                <w:lang w:val="en-US" w:eastAsia="zh-CN" w:bidi="ar-SA"/>
              </w:rPr>
            </w:pPr>
            <w:r>
              <w:rPr>
                <w:rFonts w:hint="eastAsia" w:ascii="Times New Roman" w:hAnsi="Times New Roman" w:eastAsia="宋体" w:cs="Times New Roman"/>
                <w:b/>
                <w:bCs w:val="0"/>
                <w:color w:val="auto"/>
                <w:kern w:val="2"/>
                <w:sz w:val="24"/>
                <w:szCs w:val="22"/>
                <w:lang w:val="en-US" w:eastAsia="zh-CN" w:bidi="ar-SA"/>
              </w:rPr>
              <w:t>8</w:t>
            </w:r>
            <w:r>
              <w:rPr>
                <w:rFonts w:hint="eastAsia" w:ascii="Times New Roman" w:hAnsi="Times New Roman" w:cs="Times New Roman"/>
                <w:b/>
                <w:bCs w:val="0"/>
                <w:color w:val="auto"/>
                <w:kern w:val="2"/>
                <w:sz w:val="24"/>
                <w:szCs w:val="22"/>
                <w:lang w:val="en-US" w:eastAsia="zh-CN" w:bidi="ar-SA"/>
              </w:rPr>
              <w:t>.</w:t>
            </w:r>
            <w:r>
              <w:rPr>
                <w:rFonts w:hint="eastAsia" w:ascii="Times New Roman" w:hAnsi="Times New Roman" w:eastAsia="宋体" w:cs="Times New Roman"/>
                <w:b/>
                <w:bCs w:val="0"/>
                <w:color w:val="auto"/>
                <w:kern w:val="2"/>
                <w:sz w:val="24"/>
                <w:szCs w:val="22"/>
                <w:lang w:val="en-US" w:eastAsia="zh-CN" w:bidi="ar-SA"/>
              </w:rPr>
              <w:t>环境风险结论</w:t>
            </w:r>
          </w:p>
          <w:p w14:paraId="6CC49B4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综上评价认为，在加强监控、</w:t>
            </w:r>
            <w:r>
              <w:rPr>
                <w:rFonts w:hint="eastAsia" w:ascii="Times New Roman" w:hAnsi="Times New Roman" w:cs="Times New Roman"/>
                <w:bCs/>
                <w:color w:val="auto"/>
                <w:kern w:val="2"/>
                <w:sz w:val="24"/>
                <w:szCs w:val="22"/>
                <w:lang w:val="en-US" w:eastAsia="zh-CN" w:bidi="ar-SA"/>
              </w:rPr>
              <w:t>采取</w:t>
            </w:r>
            <w:r>
              <w:rPr>
                <w:rFonts w:hint="eastAsia" w:ascii="Times New Roman" w:hAnsi="Times New Roman" w:eastAsia="宋体" w:cs="Times New Roman"/>
                <w:bCs/>
                <w:color w:val="auto"/>
                <w:kern w:val="2"/>
                <w:sz w:val="24"/>
                <w:szCs w:val="22"/>
                <w:lang w:val="en-US" w:eastAsia="zh-CN" w:bidi="ar-SA"/>
              </w:rPr>
              <w:t>前述风险防范措施，并制定切实可行的环境风险应急预案的情况下，项目的环境风险是可以接受的。</w:t>
            </w:r>
          </w:p>
          <w:p w14:paraId="3168789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2"/>
                <w:sz w:val="24"/>
                <w:szCs w:val="22"/>
                <w:lang w:val="en-US" w:eastAsia="zh-CN" w:bidi="ar-SA"/>
              </w:rPr>
            </w:pPr>
            <w:r>
              <w:rPr>
                <w:rFonts w:hint="eastAsia" w:ascii="Times New Roman" w:hAnsi="Times New Roman" w:eastAsia="宋体" w:cs="Times New Roman"/>
                <w:b/>
                <w:bCs w:val="0"/>
                <w:color w:val="auto"/>
                <w:kern w:val="2"/>
                <w:sz w:val="24"/>
                <w:szCs w:val="22"/>
                <w:lang w:val="en-US" w:eastAsia="zh-CN" w:bidi="ar-SA"/>
              </w:rPr>
              <w:t>9</w:t>
            </w:r>
            <w:r>
              <w:rPr>
                <w:rFonts w:hint="eastAsia" w:ascii="Times New Roman" w:hAnsi="Times New Roman" w:cs="Times New Roman"/>
                <w:b/>
                <w:bCs w:val="0"/>
                <w:color w:val="auto"/>
                <w:kern w:val="2"/>
                <w:sz w:val="24"/>
                <w:szCs w:val="22"/>
                <w:lang w:val="en-US" w:eastAsia="zh-CN" w:bidi="ar-SA"/>
              </w:rPr>
              <w:t>.</w:t>
            </w:r>
            <w:r>
              <w:rPr>
                <w:rFonts w:hint="eastAsia" w:ascii="Times New Roman" w:hAnsi="Times New Roman" w:eastAsia="宋体" w:cs="Times New Roman"/>
                <w:b/>
                <w:bCs w:val="0"/>
                <w:color w:val="auto"/>
                <w:kern w:val="2"/>
                <w:sz w:val="24"/>
                <w:szCs w:val="22"/>
                <w:lang w:val="en-US" w:eastAsia="zh-CN" w:bidi="ar-SA"/>
              </w:rPr>
              <w:t>环境风险简单分析内容表</w:t>
            </w:r>
          </w:p>
          <w:p w14:paraId="59ABBB1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22" w:firstLineChars="20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表4-</w:t>
            </w:r>
            <w:r>
              <w:rPr>
                <w:rFonts w:hint="default" w:ascii="Times New Roman" w:hAnsi="Times New Roman" w:eastAsia="宋体" w:cs="Times New Roman"/>
                <w:b/>
                <w:bCs w:val="0"/>
                <w:color w:val="auto"/>
                <w:kern w:val="2"/>
                <w:sz w:val="21"/>
                <w:szCs w:val="21"/>
                <w:lang w:val="en-US" w:eastAsia="zh-CN" w:bidi="ar-SA"/>
              </w:rPr>
              <w:t>1</w:t>
            </w:r>
            <w:r>
              <w:rPr>
                <w:rFonts w:hint="eastAsia" w:ascii="Times New Roman" w:hAnsi="Times New Roman" w:cs="Times New Roman"/>
                <w:b/>
                <w:bCs w:val="0"/>
                <w:color w:val="auto"/>
                <w:kern w:val="2"/>
                <w:sz w:val="21"/>
                <w:szCs w:val="21"/>
                <w:lang w:val="en-US" w:eastAsia="zh-CN" w:bidi="ar-SA"/>
              </w:rPr>
              <w:t>0</w:t>
            </w:r>
            <w:r>
              <w:rPr>
                <w:rFonts w:hint="default" w:ascii="Times New Roman" w:hAnsi="Times New Roman" w:eastAsia="宋体" w:cs="Times New Roman"/>
                <w:b/>
                <w:bCs w:val="0"/>
                <w:color w:val="auto"/>
                <w:kern w:val="2"/>
                <w:sz w:val="21"/>
                <w:szCs w:val="21"/>
                <w:lang w:val="en-US" w:eastAsia="zh-CN" w:bidi="ar-SA"/>
              </w:rPr>
              <w:t xml:space="preserve">  </w:t>
            </w:r>
            <w:r>
              <w:rPr>
                <w:rFonts w:hint="eastAsia" w:ascii="Times New Roman" w:hAnsi="Times New Roman" w:eastAsia="宋体" w:cs="Times New Roman"/>
                <w:b/>
                <w:bCs w:val="0"/>
                <w:color w:val="auto"/>
                <w:kern w:val="2"/>
                <w:sz w:val="21"/>
                <w:szCs w:val="21"/>
                <w:lang w:val="en-US" w:eastAsia="zh-CN" w:bidi="ar-SA"/>
              </w:rPr>
              <w:t>环境风险简单分析内容表</w:t>
            </w:r>
          </w:p>
          <w:tbl>
            <w:tblPr>
              <w:tblStyle w:val="25"/>
              <w:tblW w:w="74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5852"/>
            </w:tblGrid>
            <w:tr w14:paraId="6E511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27" w:type="dxa"/>
                  <w:vAlign w:val="center"/>
                </w:tcPr>
                <w:p w14:paraId="0B3D604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建设项目名称</w:t>
                  </w:r>
                </w:p>
              </w:tc>
              <w:tc>
                <w:tcPr>
                  <w:tcW w:w="5852" w:type="dxa"/>
                  <w:vAlign w:val="center"/>
                </w:tcPr>
                <w:p w14:paraId="1DD9126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sz w:val="21"/>
                      <w:szCs w:val="21"/>
                      <w:lang w:eastAsia="zh-CN"/>
                    </w:rPr>
                    <w:t>三强新型</w:t>
                  </w:r>
                  <w:r>
                    <w:rPr>
                      <w:rFonts w:hint="eastAsia" w:ascii="Times New Roman" w:hAnsi="Times New Roman" w:eastAsia="宋体" w:cs="Times New Roman"/>
                      <w:sz w:val="21"/>
                      <w:szCs w:val="21"/>
                      <w:lang w:val="en-US" w:eastAsia="zh-CN"/>
                    </w:rPr>
                    <w:t>建筑材料生产线项目</w:t>
                  </w:r>
                </w:p>
              </w:tc>
            </w:tr>
            <w:tr w14:paraId="60D29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27" w:type="dxa"/>
                  <w:vAlign w:val="center"/>
                </w:tcPr>
                <w:p w14:paraId="49014B9E">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建设地点</w:t>
                  </w:r>
                </w:p>
              </w:tc>
              <w:tc>
                <w:tcPr>
                  <w:tcW w:w="5852" w:type="dxa"/>
                  <w:vAlign w:val="center"/>
                </w:tcPr>
                <w:p w14:paraId="63903B8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陕西省西咸新区沣西新城大王街办西宝路6号</w:t>
                  </w:r>
                </w:p>
              </w:tc>
            </w:tr>
            <w:tr w14:paraId="1A3EC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27" w:type="dxa"/>
                  <w:vAlign w:val="center"/>
                </w:tcPr>
                <w:p w14:paraId="5D5E380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主要危险物质及分布</w:t>
                  </w:r>
                </w:p>
              </w:tc>
              <w:tc>
                <w:tcPr>
                  <w:tcW w:w="5852" w:type="dxa"/>
                  <w:vAlign w:val="center"/>
                </w:tcPr>
                <w:p w14:paraId="1204E17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主要风险物质：废机油，储藏于危废暂存间</w:t>
                  </w:r>
                </w:p>
              </w:tc>
            </w:tr>
            <w:tr w14:paraId="01516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627" w:type="dxa"/>
                  <w:vAlign w:val="center"/>
                </w:tcPr>
                <w:p w14:paraId="722C252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环境影响途径及危害后果（大气、地表水、地下水等）</w:t>
                  </w:r>
                </w:p>
              </w:tc>
              <w:tc>
                <w:tcPr>
                  <w:tcW w:w="5852" w:type="dxa"/>
                  <w:vAlign w:val="center"/>
                </w:tcPr>
                <w:p w14:paraId="4A75B28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机油属于可燃液体，若泄漏挥发气体与空气混合形成爆炸气体，遇明火、热源可引发火灾、爆炸事故。火灾、爆炸首先产生有毒有害气体和窒息气体，对周围环境空气造成较大的影响，其次火灾、爆炸消防废水外溢可能污染地表水、地下水和土壤。</w:t>
                  </w:r>
                </w:p>
              </w:tc>
            </w:tr>
            <w:tr w14:paraId="67C2B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27" w:type="dxa"/>
                  <w:vAlign w:val="center"/>
                </w:tcPr>
                <w:p w14:paraId="5CBDF2B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风险防范措施</w:t>
                  </w:r>
                </w:p>
              </w:tc>
              <w:tc>
                <w:tcPr>
                  <w:tcW w:w="5852" w:type="dxa"/>
                  <w:vAlign w:val="center"/>
                </w:tcPr>
                <w:p w14:paraId="3C91F84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详见环境风险防范措施，严格遵守车间规章制度；完善应急预案；加强监测管理</w:t>
                  </w:r>
                </w:p>
              </w:tc>
            </w:tr>
            <w:tr w14:paraId="7A8BD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7479" w:type="dxa"/>
                  <w:gridSpan w:val="2"/>
                  <w:vAlign w:val="center"/>
                </w:tcPr>
                <w:p w14:paraId="0EB299E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填表说明（列出项目相关信息及评价说明）：按照《建设项目环境风险评价技术导则》（HJ 169-2018）附录B及《危险化学品重大危险源辨识》（GB18218-2018），拟建项目主要风险物质为废机油，其危险物质数量与临界量比值Q＜1，故项目环境风险潜势为Ⅰ，企业在采取必要的风险防范措施后，项目环境风险水平是</w:t>
                  </w:r>
                  <w:r>
                    <w:rPr>
                      <w:rFonts w:hint="eastAsia" w:ascii="Times New Roman" w:hAnsi="Times New Roman" w:cs="Times New Roman"/>
                      <w:bCs/>
                      <w:color w:val="auto"/>
                      <w:kern w:val="2"/>
                      <w:sz w:val="21"/>
                      <w:szCs w:val="21"/>
                      <w:lang w:val="en-US" w:eastAsia="zh-CN" w:bidi="ar-SA"/>
                    </w:rPr>
                    <w:t>可以</w:t>
                  </w:r>
                  <w:r>
                    <w:rPr>
                      <w:rFonts w:hint="eastAsia" w:ascii="Times New Roman" w:hAnsi="Times New Roman" w:eastAsia="宋体" w:cs="Times New Roman"/>
                      <w:bCs/>
                      <w:color w:val="auto"/>
                      <w:kern w:val="2"/>
                      <w:sz w:val="21"/>
                      <w:szCs w:val="21"/>
                      <w:lang w:val="en-US" w:eastAsia="zh-CN" w:bidi="ar-SA"/>
                    </w:rPr>
                    <w:t>接受的，对外环境影响较小。</w:t>
                  </w:r>
                </w:p>
              </w:tc>
            </w:tr>
          </w:tbl>
          <w:p w14:paraId="52AAFB0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2"/>
                <w:sz w:val="24"/>
                <w:szCs w:val="22"/>
                <w:lang w:val="en-US" w:eastAsia="zh-CN" w:bidi="ar-SA"/>
              </w:rPr>
            </w:pPr>
            <w:r>
              <w:rPr>
                <w:rFonts w:hint="eastAsia" w:ascii="Times New Roman" w:hAnsi="Times New Roman" w:eastAsia="宋体" w:cs="Times New Roman"/>
                <w:b/>
                <w:bCs w:val="0"/>
                <w:color w:val="auto"/>
                <w:kern w:val="2"/>
                <w:sz w:val="24"/>
                <w:szCs w:val="22"/>
                <w:lang w:val="en-US" w:eastAsia="zh-CN" w:bidi="ar-SA"/>
              </w:rPr>
              <w:t>10、项目环保投资及</w:t>
            </w:r>
            <w:r>
              <w:rPr>
                <w:rFonts w:hint="eastAsia" w:ascii="Times New Roman" w:hAnsi="Times New Roman" w:cs="Times New Roman"/>
                <w:b/>
                <w:bCs w:val="0"/>
                <w:color w:val="auto"/>
                <w:kern w:val="2"/>
                <w:sz w:val="24"/>
                <w:szCs w:val="22"/>
                <w:lang w:val="en-US" w:eastAsia="zh-CN" w:bidi="ar-SA"/>
              </w:rPr>
              <w:t>“</w:t>
            </w:r>
            <w:r>
              <w:rPr>
                <w:rFonts w:hint="eastAsia" w:ascii="Times New Roman" w:hAnsi="Times New Roman" w:eastAsia="宋体" w:cs="Times New Roman"/>
                <w:b/>
                <w:bCs w:val="0"/>
                <w:color w:val="auto"/>
                <w:kern w:val="2"/>
                <w:sz w:val="24"/>
                <w:szCs w:val="22"/>
                <w:lang w:val="en-US" w:eastAsia="zh-CN" w:bidi="ar-SA"/>
              </w:rPr>
              <w:t>三同时</w:t>
            </w:r>
            <w:r>
              <w:rPr>
                <w:rFonts w:hint="eastAsia" w:ascii="Times New Roman" w:hAnsi="Times New Roman" w:cs="Times New Roman"/>
                <w:b/>
                <w:bCs w:val="0"/>
                <w:color w:val="auto"/>
                <w:kern w:val="2"/>
                <w:sz w:val="24"/>
                <w:szCs w:val="22"/>
                <w:lang w:val="en-US" w:eastAsia="zh-CN" w:bidi="ar-SA"/>
              </w:rPr>
              <w:t>”</w:t>
            </w:r>
            <w:r>
              <w:rPr>
                <w:rFonts w:hint="eastAsia" w:ascii="Times New Roman" w:hAnsi="Times New Roman" w:eastAsia="宋体" w:cs="Times New Roman"/>
                <w:b/>
                <w:bCs w:val="0"/>
                <w:color w:val="auto"/>
                <w:kern w:val="2"/>
                <w:sz w:val="24"/>
                <w:szCs w:val="22"/>
                <w:lang w:val="en-US" w:eastAsia="zh-CN" w:bidi="ar-SA"/>
              </w:rPr>
              <w:t>验收</w:t>
            </w:r>
          </w:p>
          <w:p w14:paraId="7B6DECB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根据《建设项目竣工环境保护验收暂行办法》（国环规环评[</w:t>
            </w:r>
            <w:r>
              <w:rPr>
                <w:rFonts w:hint="default" w:ascii="Times New Roman" w:hAnsi="Times New Roman" w:eastAsia="宋体" w:cs="Times New Roman"/>
                <w:bCs/>
                <w:color w:val="auto"/>
                <w:kern w:val="2"/>
                <w:sz w:val="24"/>
                <w:szCs w:val="22"/>
                <w:lang w:val="en-US" w:eastAsia="zh-CN" w:bidi="ar-SA"/>
              </w:rPr>
              <w:t>2017]4</w:t>
            </w:r>
            <w:r>
              <w:rPr>
                <w:rFonts w:hint="eastAsia" w:ascii="Times New Roman" w:hAnsi="Times New Roman" w:eastAsia="宋体" w:cs="Times New Roman"/>
                <w:bCs/>
                <w:color w:val="auto"/>
                <w:kern w:val="2"/>
                <w:sz w:val="24"/>
                <w:szCs w:val="22"/>
                <w:lang w:val="en-US" w:eastAsia="zh-CN" w:bidi="ar-SA"/>
              </w:rPr>
              <w:t>号）第十二条：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14:paraId="1414347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建设项目竣工环境保护企业自行验收工作程序：</w:t>
            </w:r>
          </w:p>
          <w:p w14:paraId="79BA28E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（1）在建设项目竣工后、正式投入生产或运行前，企业按照环境影响报告表及其批复文件要求，对与主体工程配套建设的环境保护设施落实情况进行查验。</w:t>
            </w:r>
          </w:p>
          <w:p w14:paraId="0845A2C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2）按照环境保护主管部门制定的竣工环境保护验收技术规范，企业自行编制或委托具备相应技术能力的机构，对建设项目环境保护设施落实情况进行调查，开展相关环境监测，编制竣工环境保护验收调查（监测）报告。企业、验收调查（监测）机构及其相关人员对验收调查（监测）报告结论终身负责。</w:t>
            </w:r>
          </w:p>
          <w:p w14:paraId="7F70778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（3）验收调查（监测）报告编制完成后，由企业法人组织对建设项目环境保护设施和环境保护措施进行验收，形成书面报告备查，并向社会公开。</w:t>
            </w:r>
          </w:p>
          <w:p w14:paraId="01D52CE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4）企业自行组织竣工环境保护验收时，应成立验收组，对建设项目环境保护设施及其他环境保护措施进行资料审查、现场踏勘，形成验收意见，验收组成员名单附后。验收意见应经三分之二以上验收组成员同意。验收组应由项目法人、设计单位、施工单位、环境监理单位、环境监测单位、环境影响报告表编制单位、变更环境影响报告表编制单位、验收调查（监测）报告编制单位代表，以及不少于3名行业专家组成。</w:t>
            </w:r>
          </w:p>
          <w:p w14:paraId="5CFECE1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（5）企业应对验收意见中提出的环保问题进行整改。环境保护设施未经验收或者验收不合格的，建设项目主体工程不得投入生产或者使用。</w:t>
            </w:r>
          </w:p>
          <w:p w14:paraId="55507BF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（6）企业应自验收通过之日起30个工作日内，制作竣工环境保护验收意见书，并将验收意见书、验收调查（监测）报告和</w:t>
            </w:r>
            <w:r>
              <w:rPr>
                <w:rFonts w:hint="eastAsia" w:ascii="Times New Roman" w:hAnsi="Times New Roman" w:cs="Times New Roman"/>
                <w:bCs/>
                <w:color w:val="auto"/>
                <w:kern w:val="2"/>
                <w:sz w:val="24"/>
                <w:szCs w:val="22"/>
                <w:lang w:val="en-US" w:eastAsia="zh-CN" w:bidi="ar-SA"/>
              </w:rPr>
              <w:t>“</w:t>
            </w:r>
            <w:r>
              <w:rPr>
                <w:rFonts w:hint="eastAsia" w:ascii="Times New Roman" w:hAnsi="Times New Roman" w:eastAsia="宋体" w:cs="Times New Roman"/>
                <w:bCs/>
                <w:color w:val="auto"/>
                <w:kern w:val="2"/>
                <w:sz w:val="24"/>
                <w:szCs w:val="22"/>
                <w:lang w:val="en-US" w:eastAsia="zh-CN" w:bidi="ar-SA"/>
              </w:rPr>
              <w:t>三同时</w:t>
            </w:r>
            <w:r>
              <w:rPr>
                <w:rFonts w:hint="eastAsia" w:ascii="Times New Roman" w:hAnsi="Times New Roman" w:cs="Times New Roman"/>
                <w:bCs/>
                <w:color w:val="auto"/>
                <w:kern w:val="2"/>
                <w:sz w:val="24"/>
                <w:szCs w:val="22"/>
                <w:lang w:val="en-US" w:eastAsia="zh-CN" w:bidi="ar-SA"/>
              </w:rPr>
              <w:t>”</w:t>
            </w:r>
            <w:r>
              <w:rPr>
                <w:rFonts w:hint="eastAsia" w:ascii="Times New Roman" w:hAnsi="Times New Roman" w:eastAsia="宋体" w:cs="Times New Roman"/>
                <w:bCs/>
                <w:color w:val="auto"/>
                <w:kern w:val="2"/>
                <w:sz w:val="24"/>
                <w:szCs w:val="22"/>
                <w:lang w:val="en-US" w:eastAsia="zh-CN" w:bidi="ar-SA"/>
              </w:rPr>
              <w:t>验收登记表上传至建设项目竣工环境保护企业自行验收信息平台，并如实向社会公开。</w:t>
            </w:r>
          </w:p>
          <w:p w14:paraId="1905CA3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本项目总投资50万元，其中环保投资15万元，占总投资的30%，项目建成后环保设施能够满足污染物达标排放及相关环保要求，具体要求环保投资情况见表4-</w:t>
            </w:r>
            <w:r>
              <w:rPr>
                <w:rFonts w:hint="default" w:ascii="Times New Roman" w:hAnsi="Times New Roman" w:eastAsia="宋体" w:cs="Times New Roman"/>
                <w:bCs/>
                <w:color w:val="auto"/>
                <w:kern w:val="2"/>
                <w:sz w:val="24"/>
                <w:szCs w:val="22"/>
                <w:lang w:val="en-US" w:eastAsia="zh-CN" w:bidi="ar-SA"/>
              </w:rPr>
              <w:t>1</w:t>
            </w:r>
            <w:r>
              <w:rPr>
                <w:rFonts w:hint="eastAsia" w:ascii="Times New Roman" w:hAnsi="Times New Roman" w:cs="Times New Roman"/>
                <w:bCs/>
                <w:color w:val="auto"/>
                <w:kern w:val="2"/>
                <w:sz w:val="24"/>
                <w:szCs w:val="22"/>
                <w:lang w:val="en-US" w:eastAsia="zh-CN" w:bidi="ar-SA"/>
              </w:rPr>
              <w:t>1</w:t>
            </w:r>
            <w:r>
              <w:rPr>
                <w:rFonts w:hint="eastAsia" w:ascii="Times New Roman" w:hAnsi="Times New Roman" w:eastAsia="宋体" w:cs="Times New Roman"/>
                <w:bCs/>
                <w:color w:val="auto"/>
                <w:kern w:val="2"/>
                <w:sz w:val="24"/>
                <w:szCs w:val="22"/>
                <w:lang w:val="en-US" w:eastAsia="zh-CN" w:bidi="ar-SA"/>
              </w:rPr>
              <w:t>。</w:t>
            </w:r>
          </w:p>
          <w:p w14:paraId="467615F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表4-1</w:t>
            </w:r>
            <w:r>
              <w:rPr>
                <w:rFonts w:hint="eastAsia" w:ascii="Times New Roman" w:hAnsi="Times New Roman" w:cs="Times New Roman"/>
                <w:b/>
                <w:bCs w:val="0"/>
                <w:color w:val="auto"/>
                <w:kern w:val="2"/>
                <w:sz w:val="21"/>
                <w:szCs w:val="21"/>
                <w:lang w:val="en-US" w:eastAsia="zh-CN" w:bidi="ar-SA"/>
              </w:rPr>
              <w:t>1</w:t>
            </w:r>
            <w:r>
              <w:rPr>
                <w:rFonts w:hint="default" w:ascii="Times New Roman" w:hAnsi="Times New Roman" w:eastAsia="宋体" w:cs="Times New Roman"/>
                <w:b/>
                <w:bCs w:val="0"/>
                <w:color w:val="auto"/>
                <w:kern w:val="2"/>
                <w:sz w:val="21"/>
                <w:szCs w:val="21"/>
                <w:lang w:val="en-US" w:eastAsia="zh-CN" w:bidi="ar-SA"/>
              </w:rPr>
              <w:t xml:space="preserve">  环保总投资一览表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177"/>
              <w:gridCol w:w="3844"/>
              <w:gridCol w:w="821"/>
              <w:gridCol w:w="1111"/>
            </w:tblGrid>
            <w:tr w14:paraId="34CAC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4E97261E">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序号</w:t>
                  </w:r>
                </w:p>
              </w:tc>
              <w:tc>
                <w:tcPr>
                  <w:tcW w:w="785" w:type="pct"/>
                  <w:vAlign w:val="center"/>
                </w:tcPr>
                <w:p w14:paraId="6D7F162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工程名称</w:t>
                  </w:r>
                </w:p>
              </w:tc>
              <w:tc>
                <w:tcPr>
                  <w:tcW w:w="2564" w:type="pct"/>
                  <w:vAlign w:val="center"/>
                </w:tcPr>
                <w:p w14:paraId="4F504E7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用途说明</w:t>
                  </w:r>
                </w:p>
              </w:tc>
              <w:tc>
                <w:tcPr>
                  <w:tcW w:w="547" w:type="pct"/>
                  <w:vAlign w:val="center"/>
                </w:tcPr>
                <w:p w14:paraId="6952D6C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完成时间</w:t>
                  </w:r>
                </w:p>
              </w:tc>
              <w:tc>
                <w:tcPr>
                  <w:tcW w:w="741" w:type="pct"/>
                  <w:vAlign w:val="center"/>
                </w:tcPr>
                <w:p w14:paraId="2D9AEEF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费用</w:t>
                  </w:r>
                </w:p>
                <w:p w14:paraId="457D04B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（万元）</w:t>
                  </w:r>
                </w:p>
              </w:tc>
            </w:tr>
            <w:tr w14:paraId="714E8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00D0D95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785" w:type="pct"/>
                  <w:vAlign w:val="center"/>
                </w:tcPr>
                <w:p w14:paraId="64B8935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污（废）水</w:t>
                  </w:r>
                </w:p>
              </w:tc>
              <w:tc>
                <w:tcPr>
                  <w:tcW w:w="2564" w:type="pct"/>
                  <w:vAlign w:val="center"/>
                </w:tcPr>
                <w:p w14:paraId="429CC43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生活污水</w:t>
                  </w:r>
                </w:p>
                <w:p w14:paraId="6453037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（依托厂区现有化粪池处理，定期清掏）</w:t>
                  </w:r>
                </w:p>
              </w:tc>
              <w:tc>
                <w:tcPr>
                  <w:tcW w:w="547" w:type="pct"/>
                  <w:vMerge w:val="restart"/>
                  <w:vAlign w:val="center"/>
                </w:tcPr>
                <w:p w14:paraId="02518BF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与本项目主体工程同时设计、同时施工、本项目建成时同时投入运行</w:t>
                  </w:r>
                </w:p>
              </w:tc>
              <w:tc>
                <w:tcPr>
                  <w:tcW w:w="741" w:type="pct"/>
                  <w:vAlign w:val="center"/>
                </w:tcPr>
                <w:p w14:paraId="0E74342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37D16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401B9A7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7</w:t>
                  </w:r>
                </w:p>
              </w:tc>
              <w:tc>
                <w:tcPr>
                  <w:tcW w:w="785" w:type="pct"/>
                  <w:vMerge w:val="restart"/>
                  <w:vAlign w:val="center"/>
                </w:tcPr>
                <w:p w14:paraId="2DDCAD7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废气</w:t>
                  </w:r>
                </w:p>
              </w:tc>
              <w:tc>
                <w:tcPr>
                  <w:tcW w:w="2564" w:type="pct"/>
                  <w:vMerge w:val="restart"/>
                  <w:vAlign w:val="center"/>
                </w:tcPr>
                <w:p w14:paraId="14DDD93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密闭</w:t>
                  </w:r>
                  <w:r>
                    <w:rPr>
                      <w:rFonts w:hint="default" w:ascii="Times New Roman" w:hAnsi="Times New Roman" w:eastAsia="宋体" w:cs="Times New Roman"/>
                      <w:color w:val="auto"/>
                      <w:sz w:val="21"/>
                      <w:szCs w:val="21"/>
                      <w:lang w:val="en-US" w:eastAsia="zh-CN"/>
                    </w:rPr>
                    <w:t>箱体侧吸</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集尘罩</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布袋</w:t>
                  </w:r>
                  <w:r>
                    <w:rPr>
                      <w:rFonts w:hint="default" w:ascii="Times New Roman" w:hAnsi="Times New Roman" w:eastAsia="宋体" w:cs="Times New Roman"/>
                      <w:color w:val="auto"/>
                      <w:sz w:val="21"/>
                      <w:szCs w:val="21"/>
                    </w:rPr>
                    <w:t>除尘器</w:t>
                  </w:r>
                  <w:r>
                    <w:rPr>
                      <w:rFonts w:hint="default" w:ascii="Times New Roman" w:hAnsi="Times New Roman" w:eastAsia="宋体" w:cs="Times New Roman"/>
                      <w:bCs/>
                      <w:color w:val="auto"/>
                      <w:kern w:val="2"/>
                      <w:sz w:val="21"/>
                      <w:szCs w:val="21"/>
                      <w:lang w:val="en-US" w:eastAsia="zh-CN" w:bidi="ar-SA"/>
                    </w:rPr>
                    <w:t>+15m高排气筒（DA001）</w:t>
                  </w:r>
                </w:p>
              </w:tc>
              <w:tc>
                <w:tcPr>
                  <w:tcW w:w="547" w:type="pct"/>
                  <w:vMerge w:val="continue"/>
                  <w:vAlign w:val="center"/>
                </w:tcPr>
                <w:p w14:paraId="0976867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741" w:type="pct"/>
                  <w:vMerge w:val="restart"/>
                  <w:vAlign w:val="center"/>
                </w:tcPr>
                <w:p w14:paraId="25F35F8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10</w:t>
                  </w:r>
                </w:p>
              </w:tc>
            </w:tr>
            <w:tr w14:paraId="0FCEF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255C4CD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8</w:t>
                  </w:r>
                </w:p>
              </w:tc>
              <w:tc>
                <w:tcPr>
                  <w:tcW w:w="785" w:type="pct"/>
                  <w:vMerge w:val="continue"/>
                  <w:vAlign w:val="center"/>
                </w:tcPr>
                <w:p w14:paraId="4E8C171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2564" w:type="pct"/>
                  <w:vMerge w:val="continue"/>
                  <w:vAlign w:val="center"/>
                </w:tcPr>
                <w:p w14:paraId="2C908A0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547" w:type="pct"/>
                  <w:vMerge w:val="continue"/>
                  <w:vAlign w:val="center"/>
                </w:tcPr>
                <w:p w14:paraId="271836B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741" w:type="pct"/>
                  <w:vMerge w:val="continue"/>
                  <w:vAlign w:val="center"/>
                </w:tcPr>
                <w:p w14:paraId="3F1213E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r>
            <w:tr w14:paraId="0ABD2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00A9852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w:t>
                  </w:r>
                </w:p>
              </w:tc>
              <w:tc>
                <w:tcPr>
                  <w:tcW w:w="785" w:type="pct"/>
                  <w:vAlign w:val="center"/>
                </w:tcPr>
                <w:p w14:paraId="73C9203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噪声</w:t>
                  </w:r>
                </w:p>
              </w:tc>
              <w:tc>
                <w:tcPr>
                  <w:tcW w:w="2564" w:type="pct"/>
                  <w:vAlign w:val="center"/>
                </w:tcPr>
                <w:p w14:paraId="0FA72A1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低噪声设备+基础减震，除尘器风机增设隔音罩</w:t>
                  </w:r>
                </w:p>
              </w:tc>
              <w:tc>
                <w:tcPr>
                  <w:tcW w:w="547" w:type="pct"/>
                  <w:vMerge w:val="continue"/>
                  <w:vAlign w:val="center"/>
                </w:tcPr>
                <w:p w14:paraId="5E6E82F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741" w:type="pct"/>
                  <w:vAlign w:val="center"/>
                </w:tcPr>
                <w:p w14:paraId="6E5101F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3</w:t>
                  </w:r>
                </w:p>
              </w:tc>
            </w:tr>
            <w:tr w14:paraId="46BE6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337CFF5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11</w:t>
                  </w:r>
                </w:p>
              </w:tc>
              <w:tc>
                <w:tcPr>
                  <w:tcW w:w="785" w:type="pct"/>
                  <w:vAlign w:val="center"/>
                </w:tcPr>
                <w:p w14:paraId="58ED4A8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固废</w:t>
                  </w:r>
                </w:p>
              </w:tc>
              <w:tc>
                <w:tcPr>
                  <w:tcW w:w="2564" w:type="pct"/>
                  <w:vAlign w:val="center"/>
                </w:tcPr>
                <w:p w14:paraId="3AA16C02">
                  <w:pPr>
                    <w:adjustRightInd w:val="0"/>
                    <w:snapToGrid w:val="0"/>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kern w:val="2"/>
                      <w:sz w:val="21"/>
                      <w:szCs w:val="21"/>
                      <w:lang w:val="en-US" w:eastAsia="zh-CN" w:bidi="ar-SA"/>
                    </w:rPr>
                    <w:t>生活垃圾定期交由环卫部门外运处置；</w:t>
                  </w:r>
                  <w:r>
                    <w:rPr>
                      <w:rFonts w:hint="eastAsia" w:ascii="Times New Roman" w:hAnsi="Times New Roman" w:eastAsia="宋体" w:cs="Times New Roman"/>
                      <w:color w:val="auto"/>
                      <w:sz w:val="21"/>
                      <w:szCs w:val="21"/>
                      <w:lang w:val="en-US" w:eastAsia="zh-CN"/>
                    </w:rPr>
                    <w:t>废包装袋</w:t>
                  </w:r>
                  <w:r>
                    <w:rPr>
                      <w:rFonts w:hint="default" w:ascii="Times New Roman" w:hAnsi="Times New Roman" w:eastAsia="宋体" w:cs="Times New Roman"/>
                      <w:color w:val="auto"/>
                      <w:sz w:val="21"/>
                      <w:szCs w:val="21"/>
                      <w:lang w:val="en-US" w:eastAsia="zh-CN"/>
                    </w:rPr>
                    <w:t>收集后堆存一般固体废物暂存间</w:t>
                  </w:r>
                  <w:r>
                    <w:rPr>
                      <w:rFonts w:hint="eastAsia" w:ascii="Times New Roman" w:hAnsi="Times New Roman" w:eastAsia="宋体" w:cs="Times New Roman"/>
                      <w:color w:val="auto"/>
                      <w:sz w:val="21"/>
                      <w:szCs w:val="21"/>
                      <w:lang w:val="en-US" w:eastAsia="zh-CN"/>
                    </w:rPr>
                    <w:t>，定期外售物资回收公司综合利用；</w:t>
                  </w:r>
                  <w:r>
                    <w:rPr>
                      <w:rFonts w:hint="eastAsia" w:ascii="Times New Roman" w:hAnsi="Times New Roman" w:eastAsia="宋体" w:cs="Times New Roman"/>
                      <w:color w:val="auto"/>
                      <w:sz w:val="21"/>
                      <w:szCs w:val="21"/>
                    </w:rPr>
                    <w:t>废布袋</w:t>
                  </w:r>
                  <w:r>
                    <w:rPr>
                      <w:rFonts w:hint="default" w:ascii="Times New Roman" w:hAnsi="Times New Roman" w:eastAsia="宋体" w:cs="Times New Roman"/>
                      <w:color w:val="auto"/>
                      <w:sz w:val="21"/>
                      <w:szCs w:val="21"/>
                      <w:lang w:val="en-US" w:eastAsia="zh-CN"/>
                    </w:rPr>
                    <w:t>收集后堆存一般固体废物暂存间</w:t>
                  </w:r>
                  <w:r>
                    <w:rPr>
                      <w:rFonts w:hint="eastAsia" w:ascii="Times New Roman" w:hAnsi="Times New Roman" w:eastAsia="宋体" w:cs="Times New Roman"/>
                      <w:color w:val="auto"/>
                      <w:sz w:val="21"/>
                      <w:szCs w:val="21"/>
                      <w:lang w:val="en-US" w:eastAsia="zh-CN"/>
                    </w:rPr>
                    <w:t>，定期</w:t>
                  </w:r>
                  <w:r>
                    <w:rPr>
                      <w:rFonts w:hint="eastAsia" w:ascii="Times New Roman" w:hAnsi="Times New Roman" w:eastAsia="宋体" w:cs="Times New Roman"/>
                      <w:color w:val="auto"/>
                      <w:sz w:val="21"/>
                      <w:szCs w:val="21"/>
                    </w:rPr>
                    <w:t>外售物资回收公司综合利用</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除尘</w:t>
                  </w:r>
                  <w:r>
                    <w:rPr>
                      <w:rFonts w:hint="default" w:ascii="Times New Roman" w:hAnsi="Times New Roman" w:cs="Times New Roman"/>
                      <w:color w:val="auto"/>
                      <w:sz w:val="21"/>
                      <w:szCs w:val="21"/>
                    </w:rPr>
                    <w:t>器收集的粉尘</w:t>
                  </w:r>
                  <w:r>
                    <w:rPr>
                      <w:rFonts w:hint="default" w:ascii="Times New Roman" w:hAnsi="Times New Roman" w:eastAsia="宋体" w:cs="Times New Roman"/>
                      <w:color w:val="auto"/>
                      <w:sz w:val="21"/>
                      <w:szCs w:val="21"/>
                    </w:rPr>
                    <w:t>返回生产工序回用</w:t>
                  </w:r>
                  <w:r>
                    <w:rPr>
                      <w:rFonts w:hint="eastAsia" w:ascii="Times New Roman" w:hAnsi="Times New Roman" w:eastAsia="宋体" w:cs="Times New Roman"/>
                      <w:color w:val="auto"/>
                      <w:sz w:val="21"/>
                      <w:szCs w:val="21"/>
                      <w:lang w:eastAsia="zh-CN"/>
                    </w:rPr>
                    <w:t>。</w:t>
                  </w:r>
                </w:p>
                <w:p w14:paraId="6BE63E9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废机油收集后暂存于危废暂存间，最终交由有资质单位处置</w:t>
                  </w:r>
                  <w:r>
                    <w:rPr>
                      <w:rFonts w:hint="eastAsia" w:ascii="Times New Roman" w:hAnsi="Times New Roman" w:eastAsia="宋体" w:cs="Times New Roman"/>
                      <w:bCs/>
                      <w:color w:val="auto"/>
                      <w:kern w:val="2"/>
                      <w:sz w:val="21"/>
                      <w:szCs w:val="21"/>
                      <w:lang w:val="en-US" w:eastAsia="zh-CN" w:bidi="ar-SA"/>
                    </w:rPr>
                    <w:t>。</w:t>
                  </w:r>
                </w:p>
              </w:tc>
              <w:tc>
                <w:tcPr>
                  <w:tcW w:w="547" w:type="pct"/>
                  <w:vMerge w:val="continue"/>
                  <w:vAlign w:val="center"/>
                </w:tcPr>
                <w:p w14:paraId="4F1FDA3E">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741" w:type="pct"/>
                  <w:vAlign w:val="center"/>
                </w:tcPr>
                <w:p w14:paraId="7510072E">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w:t>
                  </w:r>
                </w:p>
              </w:tc>
            </w:tr>
            <w:tr w14:paraId="18790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6" w:type="pct"/>
                  <w:gridSpan w:val="2"/>
                  <w:vAlign w:val="center"/>
                </w:tcPr>
                <w:p w14:paraId="746306E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合计</w:t>
                  </w:r>
                </w:p>
              </w:tc>
              <w:tc>
                <w:tcPr>
                  <w:tcW w:w="2564" w:type="pct"/>
                  <w:vAlign w:val="center"/>
                </w:tcPr>
                <w:p w14:paraId="07520CE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547" w:type="pct"/>
                  <w:vAlign w:val="center"/>
                </w:tcPr>
                <w:p w14:paraId="625647F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741" w:type="pct"/>
                  <w:vAlign w:val="center"/>
                </w:tcPr>
                <w:p w14:paraId="0AD28CA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15</w:t>
                  </w:r>
                </w:p>
              </w:tc>
            </w:tr>
          </w:tbl>
          <w:p w14:paraId="7AB17A4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2"/>
                <w:sz w:val="24"/>
                <w:szCs w:val="22"/>
                <w:lang w:val="en-US" w:eastAsia="zh-CN" w:bidi="ar-SA"/>
              </w:rPr>
            </w:pPr>
            <w:r>
              <w:rPr>
                <w:rFonts w:hint="eastAsia" w:ascii="Times New Roman" w:hAnsi="Times New Roman" w:eastAsia="宋体" w:cs="Times New Roman"/>
                <w:b/>
                <w:bCs w:val="0"/>
                <w:color w:val="auto"/>
                <w:kern w:val="2"/>
                <w:sz w:val="24"/>
                <w:szCs w:val="22"/>
                <w:lang w:val="en-US" w:eastAsia="zh-CN" w:bidi="ar-SA"/>
              </w:rPr>
              <w:t>11、环境管理</w:t>
            </w:r>
          </w:p>
          <w:p w14:paraId="284E06B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为落实各项污染防治措施，加强环境保护工作管理，应当根据实际情况制定各种类型的环境管理制度。</w:t>
            </w:r>
          </w:p>
          <w:p w14:paraId="551840B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（1）企业环保设施和</w:t>
            </w:r>
            <w:r>
              <w:rPr>
                <w:rFonts w:hint="eastAsia" w:ascii="Times New Roman" w:hAnsi="Times New Roman" w:cs="Times New Roman"/>
                <w:bCs/>
                <w:color w:val="auto"/>
                <w:kern w:val="2"/>
                <w:sz w:val="24"/>
                <w:szCs w:val="22"/>
                <w:lang w:val="en-US" w:eastAsia="zh-CN" w:bidi="ar-SA"/>
              </w:rPr>
              <w:t>主体工程</w:t>
            </w:r>
            <w:r>
              <w:rPr>
                <w:rFonts w:hint="eastAsia" w:ascii="Times New Roman" w:hAnsi="Times New Roman" w:eastAsia="宋体" w:cs="Times New Roman"/>
                <w:bCs/>
                <w:color w:val="auto"/>
                <w:kern w:val="2"/>
                <w:sz w:val="24"/>
                <w:szCs w:val="22"/>
                <w:lang w:val="en-US" w:eastAsia="zh-CN" w:bidi="ar-SA"/>
              </w:rPr>
              <w:t>必须做到</w:t>
            </w:r>
            <w:r>
              <w:rPr>
                <w:rFonts w:hint="eastAsia" w:ascii="Times New Roman" w:hAnsi="Times New Roman" w:cs="Times New Roman"/>
                <w:bCs/>
                <w:color w:val="auto"/>
                <w:kern w:val="2"/>
                <w:sz w:val="24"/>
                <w:szCs w:val="22"/>
                <w:lang w:val="en-US" w:eastAsia="zh-CN" w:bidi="ar-SA"/>
              </w:rPr>
              <w:t>“</w:t>
            </w:r>
            <w:r>
              <w:rPr>
                <w:rFonts w:hint="eastAsia" w:ascii="Times New Roman" w:hAnsi="Times New Roman" w:eastAsia="宋体" w:cs="Times New Roman"/>
                <w:bCs/>
                <w:color w:val="auto"/>
                <w:kern w:val="2"/>
                <w:sz w:val="24"/>
                <w:szCs w:val="22"/>
                <w:lang w:val="en-US" w:eastAsia="zh-CN" w:bidi="ar-SA"/>
              </w:rPr>
              <w:t>同时设计、同时施工、同时投产使用</w:t>
            </w:r>
            <w:r>
              <w:rPr>
                <w:rFonts w:hint="eastAsia" w:ascii="Times New Roman" w:hAnsi="Times New Roman" w:cs="Times New Roman"/>
                <w:bCs/>
                <w:color w:val="auto"/>
                <w:kern w:val="2"/>
                <w:sz w:val="24"/>
                <w:szCs w:val="22"/>
                <w:lang w:val="en-US" w:eastAsia="zh-CN" w:bidi="ar-SA"/>
              </w:rPr>
              <w:t>”</w:t>
            </w:r>
            <w:r>
              <w:rPr>
                <w:rFonts w:hint="eastAsia" w:ascii="Times New Roman" w:hAnsi="Times New Roman" w:eastAsia="宋体" w:cs="Times New Roman"/>
                <w:bCs/>
                <w:color w:val="auto"/>
                <w:kern w:val="2"/>
                <w:sz w:val="24"/>
                <w:szCs w:val="22"/>
                <w:lang w:val="en-US" w:eastAsia="zh-CN" w:bidi="ar-SA"/>
              </w:rPr>
              <w:t>。</w:t>
            </w:r>
          </w:p>
          <w:p w14:paraId="2EE01BFE">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（2）企业环保机构</w:t>
            </w:r>
            <w:r>
              <w:rPr>
                <w:rFonts w:hint="eastAsia" w:ascii="Times New Roman" w:hAnsi="Times New Roman" w:cs="Times New Roman"/>
                <w:bCs/>
                <w:color w:val="auto"/>
                <w:kern w:val="2"/>
                <w:sz w:val="24"/>
                <w:szCs w:val="22"/>
                <w:lang w:val="en-US" w:eastAsia="zh-CN" w:bidi="ar-SA"/>
              </w:rPr>
              <w:t>对</w:t>
            </w:r>
            <w:r>
              <w:rPr>
                <w:rFonts w:hint="eastAsia" w:ascii="Times New Roman" w:hAnsi="Times New Roman" w:eastAsia="宋体" w:cs="Times New Roman"/>
                <w:bCs/>
                <w:color w:val="auto"/>
                <w:kern w:val="2"/>
                <w:sz w:val="24"/>
                <w:szCs w:val="22"/>
                <w:lang w:val="en-US" w:eastAsia="zh-CN" w:bidi="ar-SA"/>
              </w:rPr>
              <w:t>污染治理设施的管理必须与生产经营活动一起纳入企业的日常管理中，建立健全岗位责任制、操作规程，建立环保管理制度和环保设施运行台账。</w:t>
            </w:r>
          </w:p>
          <w:p w14:paraId="3F1A699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（3）企业应设置环境保护奖惩制度，对爱护环保设施，节能降耗，改善环境者实行奖励；对不按照环保要求管理，造成环保设施损坏、环境污染和资源、能源浪费者予以重罚。</w:t>
            </w:r>
          </w:p>
          <w:p w14:paraId="25F195C2">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（4）环境管理措施</w:t>
            </w:r>
          </w:p>
          <w:p w14:paraId="51EF4CD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①制定各环保设施操作规程，定期维修制度，使各项环保设施在生产过程中处于良好的运行状态；</w:t>
            </w:r>
          </w:p>
          <w:p w14:paraId="70E3923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②对技术工人进行上岗前的环保知识法规教育及操作规范的培训，使各项环保设施的操作规范化，保证环保设施的正常运转；</w:t>
            </w:r>
          </w:p>
          <w:p w14:paraId="5806CAE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③加强对环保设施的运行管理，制定定期维修制度，如环保设施出现故障，应立即停产检修，严禁事故排放；定期与环保设施设计单位联系，做好环保设备日常检查情况的记录，环保设施出现故障时，可立即联系进行检修。</w:t>
            </w:r>
          </w:p>
          <w:p w14:paraId="3FB9581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④加强环境监测工作，重点是各污染源的监测，并注意做好记录，不得弄虚作假。监测中如发现异常情况应及时向有关部门通报，及时采取应急措施，防止事故排放；</w:t>
            </w:r>
          </w:p>
          <w:p w14:paraId="0491B98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⑤定期向环保主管部门汇报环保工作情况，污染治理设施运行情况，监视性监测结果。</w:t>
            </w:r>
          </w:p>
          <w:p w14:paraId="220F209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2"/>
                <w:sz w:val="24"/>
                <w:szCs w:val="22"/>
                <w:lang w:val="en-US" w:eastAsia="zh-CN" w:bidi="ar-SA"/>
              </w:rPr>
            </w:pPr>
            <w:r>
              <w:rPr>
                <w:rFonts w:hint="eastAsia" w:ascii="Times New Roman" w:hAnsi="Times New Roman" w:eastAsia="宋体" w:cs="Times New Roman"/>
                <w:b/>
                <w:bCs w:val="0"/>
                <w:color w:val="auto"/>
                <w:kern w:val="2"/>
                <w:sz w:val="24"/>
                <w:szCs w:val="22"/>
                <w:lang w:val="en-US" w:eastAsia="zh-CN" w:bidi="ar-SA"/>
              </w:rPr>
              <w:t>12</w:t>
            </w:r>
            <w:r>
              <w:rPr>
                <w:rFonts w:hint="eastAsia" w:ascii="Times New Roman" w:hAnsi="Times New Roman" w:cs="Times New Roman"/>
                <w:b/>
                <w:bCs w:val="0"/>
                <w:color w:val="auto"/>
                <w:kern w:val="2"/>
                <w:sz w:val="24"/>
                <w:szCs w:val="22"/>
                <w:lang w:val="en-US" w:eastAsia="zh-CN" w:bidi="ar-SA"/>
              </w:rPr>
              <w:t>.</w:t>
            </w:r>
            <w:r>
              <w:rPr>
                <w:rFonts w:hint="eastAsia" w:ascii="Times New Roman" w:hAnsi="Times New Roman" w:eastAsia="宋体" w:cs="Times New Roman"/>
                <w:b/>
                <w:bCs w:val="0"/>
                <w:color w:val="auto"/>
                <w:kern w:val="2"/>
                <w:sz w:val="24"/>
                <w:szCs w:val="22"/>
                <w:lang w:val="en-US" w:eastAsia="zh-CN" w:bidi="ar-SA"/>
              </w:rPr>
              <w:t>环境监测计划</w:t>
            </w:r>
          </w:p>
          <w:p w14:paraId="1AC426B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kern w:val="2"/>
                <w:sz w:val="24"/>
                <w:szCs w:val="22"/>
                <w:lang w:val="en-US" w:eastAsia="zh-CN" w:bidi="ar-SA"/>
              </w:rPr>
            </w:pPr>
            <w:r>
              <w:rPr>
                <w:rFonts w:hint="eastAsia" w:ascii="Times New Roman" w:hAnsi="Times New Roman" w:eastAsia="宋体" w:cs="Times New Roman"/>
                <w:bCs/>
                <w:color w:val="auto"/>
                <w:kern w:val="2"/>
                <w:sz w:val="24"/>
                <w:szCs w:val="22"/>
                <w:lang w:val="en-US" w:eastAsia="zh-CN" w:bidi="ar-SA"/>
              </w:rPr>
              <w:t>排污单位应按照最新的监测方案开展监测活动，可根据自身条件和能力，利用自有人员、场所和设备自行监测；也可委托其它有资质的检（监）测机构代其开展自行监测。根据《排污单位自行监测技术指南 总则》（HJ819-2017）和《排污单位自行监测技术指南 水泥工业》（HJ848-2017），本项目企业污染源监测计划如下：</w:t>
            </w:r>
          </w:p>
          <w:p w14:paraId="4FF9D25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表4-</w:t>
            </w:r>
            <w:r>
              <w:rPr>
                <w:rFonts w:hint="default" w:ascii="Times New Roman" w:hAnsi="Times New Roman" w:eastAsia="宋体" w:cs="Times New Roman"/>
                <w:b/>
                <w:bCs w:val="0"/>
                <w:color w:val="auto"/>
                <w:kern w:val="2"/>
                <w:sz w:val="21"/>
                <w:szCs w:val="21"/>
                <w:lang w:val="en-US" w:eastAsia="zh-CN" w:bidi="ar-SA"/>
              </w:rPr>
              <w:t>1</w:t>
            </w:r>
            <w:r>
              <w:rPr>
                <w:rFonts w:hint="eastAsia" w:ascii="Times New Roman" w:hAnsi="Times New Roman" w:cs="Times New Roman"/>
                <w:b/>
                <w:bCs w:val="0"/>
                <w:color w:val="auto"/>
                <w:kern w:val="2"/>
                <w:sz w:val="21"/>
                <w:szCs w:val="21"/>
                <w:lang w:val="en-US" w:eastAsia="zh-CN" w:bidi="ar-SA"/>
              </w:rPr>
              <w:t>6</w:t>
            </w:r>
            <w:r>
              <w:rPr>
                <w:rFonts w:hint="default" w:ascii="Times New Roman" w:hAnsi="Times New Roman" w:eastAsia="宋体" w:cs="Times New Roman"/>
                <w:b/>
                <w:bCs w:val="0"/>
                <w:color w:val="auto"/>
                <w:kern w:val="2"/>
                <w:sz w:val="21"/>
                <w:szCs w:val="21"/>
                <w:lang w:val="en-US" w:eastAsia="zh-CN" w:bidi="ar-SA"/>
              </w:rPr>
              <w:t xml:space="preserve">  </w:t>
            </w:r>
            <w:r>
              <w:rPr>
                <w:rFonts w:hint="eastAsia" w:ascii="Times New Roman" w:hAnsi="Times New Roman" w:eastAsia="宋体" w:cs="Times New Roman"/>
                <w:b/>
                <w:bCs w:val="0"/>
                <w:color w:val="auto"/>
                <w:kern w:val="2"/>
                <w:sz w:val="21"/>
                <w:szCs w:val="21"/>
                <w:lang w:val="en-US" w:eastAsia="zh-CN" w:bidi="ar-SA"/>
              </w:rPr>
              <w:t>运营期污染源监测计划</w:t>
            </w:r>
          </w:p>
          <w:tbl>
            <w:tblPr>
              <w:tblStyle w:val="25"/>
              <w:tblW w:w="75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79"/>
              <w:gridCol w:w="1457"/>
              <w:gridCol w:w="1319"/>
              <w:gridCol w:w="2735"/>
            </w:tblGrid>
            <w:tr w14:paraId="0837D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48" w:type="dxa"/>
                  <w:vAlign w:val="center"/>
                </w:tcPr>
                <w:p w14:paraId="7589A69E">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类型</w:t>
                  </w:r>
                </w:p>
              </w:tc>
              <w:tc>
                <w:tcPr>
                  <w:tcW w:w="1179" w:type="dxa"/>
                  <w:vAlign w:val="center"/>
                </w:tcPr>
                <w:p w14:paraId="3F3A642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监测因子</w:t>
                  </w:r>
                </w:p>
              </w:tc>
              <w:tc>
                <w:tcPr>
                  <w:tcW w:w="1457" w:type="dxa"/>
                  <w:vAlign w:val="center"/>
                </w:tcPr>
                <w:p w14:paraId="4252E49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监测点位</w:t>
                  </w:r>
                </w:p>
              </w:tc>
              <w:tc>
                <w:tcPr>
                  <w:tcW w:w="1319" w:type="dxa"/>
                  <w:vAlign w:val="center"/>
                </w:tcPr>
                <w:p w14:paraId="0620C2F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监测频次</w:t>
                  </w:r>
                </w:p>
              </w:tc>
              <w:tc>
                <w:tcPr>
                  <w:tcW w:w="2735" w:type="dxa"/>
                  <w:vAlign w:val="center"/>
                </w:tcPr>
                <w:p w14:paraId="7D48D88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执行标准</w:t>
                  </w:r>
                </w:p>
              </w:tc>
            </w:tr>
            <w:tr w14:paraId="09809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848" w:type="dxa"/>
                  <w:vAlign w:val="center"/>
                </w:tcPr>
                <w:p w14:paraId="7CCE4E4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有组织废气</w:t>
                  </w:r>
                </w:p>
              </w:tc>
              <w:tc>
                <w:tcPr>
                  <w:tcW w:w="1179" w:type="dxa"/>
                  <w:vAlign w:val="center"/>
                </w:tcPr>
                <w:p w14:paraId="274EE3AD">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颗粒物</w:t>
                  </w:r>
                </w:p>
              </w:tc>
              <w:tc>
                <w:tcPr>
                  <w:tcW w:w="1457" w:type="dxa"/>
                  <w:vAlign w:val="center"/>
                </w:tcPr>
                <w:p w14:paraId="44B2DB53">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D</w:t>
                  </w:r>
                  <w:r>
                    <w:rPr>
                      <w:rFonts w:hint="default" w:ascii="Times New Roman" w:hAnsi="Times New Roman" w:eastAsia="宋体" w:cs="Times New Roman"/>
                      <w:b w:val="0"/>
                      <w:bCs/>
                      <w:color w:val="auto"/>
                      <w:kern w:val="2"/>
                      <w:sz w:val="21"/>
                      <w:szCs w:val="21"/>
                      <w:lang w:val="en-US" w:eastAsia="zh-CN" w:bidi="ar-SA"/>
                    </w:rPr>
                    <w:t>A001</w:t>
                  </w:r>
                </w:p>
              </w:tc>
              <w:tc>
                <w:tcPr>
                  <w:tcW w:w="1319" w:type="dxa"/>
                  <w:vAlign w:val="center"/>
                </w:tcPr>
                <w:p w14:paraId="4AFA82F4">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1次/两年</w:t>
                  </w:r>
                </w:p>
              </w:tc>
              <w:tc>
                <w:tcPr>
                  <w:tcW w:w="2735" w:type="dxa"/>
                  <w:vAlign w:val="center"/>
                </w:tcPr>
                <w:p w14:paraId="67A0AB0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《关中地区重点行业大气污染物排放限值》（DB61/941-2018）表1中水泥仓及其他通风生产设备颗粒物排放浓度限值</w:t>
                  </w:r>
                </w:p>
              </w:tc>
            </w:tr>
            <w:tr w14:paraId="0BB4A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48" w:type="dxa"/>
                  <w:vAlign w:val="center"/>
                </w:tcPr>
                <w:p w14:paraId="0052DD3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无组织废气</w:t>
                  </w:r>
                </w:p>
              </w:tc>
              <w:tc>
                <w:tcPr>
                  <w:tcW w:w="1179" w:type="dxa"/>
                  <w:vAlign w:val="center"/>
                </w:tcPr>
                <w:p w14:paraId="489AADC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颗粒物</w:t>
                  </w:r>
                </w:p>
              </w:tc>
              <w:tc>
                <w:tcPr>
                  <w:tcW w:w="1457" w:type="dxa"/>
                  <w:vAlign w:val="center"/>
                </w:tcPr>
                <w:p w14:paraId="5A3772A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厂界（上风向布设1个参照点，下风向布设3个监控点）</w:t>
                  </w:r>
                </w:p>
              </w:tc>
              <w:tc>
                <w:tcPr>
                  <w:tcW w:w="1319" w:type="dxa"/>
                  <w:vAlign w:val="center"/>
                </w:tcPr>
                <w:p w14:paraId="0644F39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1次/每季度</w:t>
                  </w:r>
                </w:p>
              </w:tc>
              <w:tc>
                <w:tcPr>
                  <w:tcW w:w="2735" w:type="dxa"/>
                  <w:vAlign w:val="center"/>
                </w:tcPr>
                <w:p w14:paraId="5BA00290">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《水泥工业大气污染物排放标准》（GB4915-2013）中无组织排放限值</w:t>
                  </w:r>
                </w:p>
              </w:tc>
            </w:tr>
            <w:tr w14:paraId="722C2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48" w:type="dxa"/>
                  <w:vAlign w:val="center"/>
                </w:tcPr>
                <w:p w14:paraId="7D08A4EE">
                  <w:pPr>
                    <w:pStyle w:val="35"/>
                    <w:autoSpaceDE w:val="0"/>
                    <w:autoSpaceDN w:val="0"/>
                    <w:jc w:val="center"/>
                    <w:rPr>
                      <w:rFonts w:hint="eastAsia" w:ascii="Times New Roman" w:hAnsi="Times New Roman" w:eastAsia="宋体" w:cs="Times New Roman"/>
                      <w:b w:val="0"/>
                      <w:bCs w:val="0"/>
                      <w:kern w:val="2"/>
                      <w:sz w:val="21"/>
                      <w:szCs w:val="21"/>
                      <w:vertAlign w:val="baseline"/>
                      <w:lang w:val="en-US" w:eastAsia="zh-CN" w:bidi="zh-CN"/>
                    </w:rPr>
                  </w:pPr>
                  <w:r>
                    <w:rPr>
                      <w:rFonts w:hint="eastAsia" w:ascii="Times New Roman" w:hAnsi="Times New Roman" w:cs="Times New Roman"/>
                      <w:b w:val="0"/>
                      <w:bCs w:val="0"/>
                      <w:sz w:val="21"/>
                      <w:szCs w:val="21"/>
                      <w:vertAlign w:val="baseline"/>
                      <w:lang w:val="en-US" w:eastAsia="zh-CN"/>
                    </w:rPr>
                    <w:t>生活污水</w:t>
                  </w:r>
                </w:p>
              </w:tc>
              <w:tc>
                <w:tcPr>
                  <w:tcW w:w="1179" w:type="dxa"/>
                  <w:vAlign w:val="center"/>
                </w:tcPr>
                <w:p w14:paraId="6FC411AA">
                  <w:pPr>
                    <w:pStyle w:val="35"/>
                    <w:autoSpaceDE w:val="0"/>
                    <w:autoSpaceDN w:val="0"/>
                    <w:jc w:val="center"/>
                    <w:rPr>
                      <w:rFonts w:hint="eastAsia" w:ascii="Times New Roman" w:hAnsi="Times New Roman" w:eastAsia="宋体" w:cs="Times New Roman"/>
                      <w:b w:val="0"/>
                      <w:bCs w:val="0"/>
                      <w:kern w:val="2"/>
                      <w:sz w:val="21"/>
                      <w:szCs w:val="21"/>
                      <w:vertAlign w:val="baseline"/>
                      <w:lang w:val="en-US" w:eastAsia="zh-CN" w:bidi="zh-CN"/>
                    </w:rPr>
                  </w:pPr>
                  <w:r>
                    <w:rPr>
                      <w:rFonts w:hint="eastAsia" w:ascii="Times New Roman" w:hAnsi="Times New Roman" w:cs="Times New Roman"/>
                      <w:b w:val="0"/>
                      <w:bCs w:val="0"/>
                      <w:sz w:val="21"/>
                      <w:szCs w:val="21"/>
                      <w:vertAlign w:val="baseline"/>
                      <w:lang w:val="en-US" w:eastAsia="zh-CN"/>
                    </w:rPr>
                    <w:t>COD、BOD、SS、氨氮、总磷、总氮</w:t>
                  </w:r>
                </w:p>
              </w:tc>
              <w:tc>
                <w:tcPr>
                  <w:tcW w:w="1457" w:type="dxa"/>
                  <w:vAlign w:val="center"/>
                </w:tcPr>
                <w:p w14:paraId="11FF8BB2">
                  <w:pPr>
                    <w:pStyle w:val="35"/>
                    <w:autoSpaceDE w:val="0"/>
                    <w:autoSpaceDN w:val="0"/>
                    <w:jc w:val="center"/>
                    <w:rPr>
                      <w:rFonts w:hint="eastAsia" w:ascii="Times New Roman" w:hAnsi="Times New Roman" w:eastAsia="宋体" w:cs="Times New Roman"/>
                      <w:b w:val="0"/>
                      <w:bCs w:val="0"/>
                      <w:kern w:val="2"/>
                      <w:sz w:val="21"/>
                      <w:szCs w:val="21"/>
                      <w:vertAlign w:val="baseline"/>
                      <w:lang w:val="en-US" w:eastAsia="zh-CN" w:bidi="zh-CN"/>
                    </w:rPr>
                  </w:pPr>
                  <w:r>
                    <w:rPr>
                      <w:rFonts w:hint="eastAsia" w:ascii="Times New Roman" w:hAnsi="Times New Roman" w:cs="Times New Roman"/>
                      <w:b w:val="0"/>
                      <w:bCs w:val="0"/>
                      <w:sz w:val="21"/>
                      <w:szCs w:val="21"/>
                      <w:vertAlign w:val="baseline"/>
                      <w:lang w:val="en-US" w:eastAsia="zh-CN"/>
                    </w:rPr>
                    <w:t>企业总排口</w:t>
                  </w:r>
                </w:p>
              </w:tc>
              <w:tc>
                <w:tcPr>
                  <w:tcW w:w="1319" w:type="dxa"/>
                  <w:vAlign w:val="center"/>
                </w:tcPr>
                <w:p w14:paraId="36C129FB">
                  <w:pPr>
                    <w:pStyle w:val="35"/>
                    <w:autoSpaceDE w:val="0"/>
                    <w:autoSpaceDN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半年一次</w:t>
                  </w:r>
                </w:p>
              </w:tc>
              <w:tc>
                <w:tcPr>
                  <w:tcW w:w="2735" w:type="dxa"/>
                  <w:vAlign w:val="center"/>
                </w:tcPr>
                <w:p w14:paraId="3BC720D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生活污水排放执行《污水综合排放标准》（GB8978-1996）三级标准和《污水排入城镇下水道水质标准》B级（GB/T31962-2015）标准。</w:t>
                  </w:r>
                </w:p>
              </w:tc>
            </w:tr>
            <w:tr w14:paraId="1A77C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48" w:type="dxa"/>
                  <w:vAlign w:val="center"/>
                </w:tcPr>
                <w:p w14:paraId="665268D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厂界</w:t>
                  </w:r>
                </w:p>
                <w:p w14:paraId="7CB867E1">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噪声</w:t>
                  </w:r>
                </w:p>
              </w:tc>
              <w:tc>
                <w:tcPr>
                  <w:tcW w:w="1179" w:type="dxa"/>
                  <w:vAlign w:val="center"/>
                </w:tcPr>
                <w:p w14:paraId="13AB3B36">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等效连续A声级</w:t>
                  </w:r>
                </w:p>
              </w:tc>
              <w:tc>
                <w:tcPr>
                  <w:tcW w:w="1457" w:type="dxa"/>
                  <w:vAlign w:val="center"/>
                </w:tcPr>
                <w:p w14:paraId="0946D53C">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厂界外1</w:t>
                  </w:r>
                  <w:r>
                    <w:rPr>
                      <w:rFonts w:hint="default" w:ascii="Times New Roman" w:hAnsi="Times New Roman" w:eastAsia="宋体" w:cs="Times New Roman"/>
                      <w:b w:val="0"/>
                      <w:bCs/>
                      <w:color w:val="auto"/>
                      <w:kern w:val="2"/>
                      <w:sz w:val="21"/>
                      <w:szCs w:val="21"/>
                      <w:lang w:val="en-US" w:eastAsia="zh-CN" w:bidi="ar-SA"/>
                    </w:rPr>
                    <w:t>m</w:t>
                  </w:r>
                </w:p>
              </w:tc>
              <w:tc>
                <w:tcPr>
                  <w:tcW w:w="1319" w:type="dxa"/>
                  <w:vAlign w:val="center"/>
                </w:tcPr>
                <w:p w14:paraId="2B3CEE0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1次/季度，</w:t>
                  </w:r>
                </w:p>
                <w:p w14:paraId="708CAF09">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昼夜监测</w:t>
                  </w:r>
                </w:p>
              </w:tc>
              <w:tc>
                <w:tcPr>
                  <w:tcW w:w="2735" w:type="dxa"/>
                  <w:vAlign w:val="center"/>
                </w:tcPr>
                <w:p w14:paraId="2F630FB8">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《工业企业厂界环境噪声排放标准》（GB12348-2008）中</w:t>
                  </w:r>
                  <w:r>
                    <w:rPr>
                      <w:rFonts w:hint="eastAsia" w:ascii="Times New Roman" w:hAnsi="Times New Roman" w:cs="Times New Roman"/>
                      <w:b w:val="0"/>
                      <w:bCs/>
                      <w:color w:val="auto"/>
                      <w:kern w:val="2"/>
                      <w:sz w:val="21"/>
                      <w:szCs w:val="21"/>
                      <w:lang w:val="en-US" w:eastAsia="zh-CN" w:bidi="ar-SA"/>
                    </w:rPr>
                    <w:t>3类</w:t>
                  </w:r>
                </w:p>
              </w:tc>
            </w:tr>
          </w:tbl>
          <w:p w14:paraId="0960993A">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2"/>
                <w:lang w:val="en-US" w:eastAsia="zh-CN" w:bidi="ar-SA"/>
              </w:rPr>
            </w:pPr>
          </w:p>
          <w:p w14:paraId="7622406B">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2"/>
                <w:lang w:val="en-US" w:eastAsia="zh-CN" w:bidi="ar-SA"/>
              </w:rPr>
            </w:pPr>
          </w:p>
          <w:p w14:paraId="769F2A2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2"/>
                <w:lang w:val="en-US" w:eastAsia="zh-CN" w:bidi="ar-SA"/>
              </w:rPr>
            </w:pPr>
          </w:p>
          <w:p w14:paraId="574EA24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2"/>
                <w:lang w:val="en-US" w:eastAsia="zh-CN" w:bidi="ar-SA"/>
              </w:rPr>
            </w:pPr>
          </w:p>
          <w:p w14:paraId="479C11F5">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2"/>
                <w:lang w:val="en-US" w:eastAsia="zh-CN" w:bidi="ar-SA"/>
              </w:rPr>
            </w:pPr>
          </w:p>
          <w:p w14:paraId="462BE3FF">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2"/>
                <w:lang w:val="en-US" w:eastAsia="zh-CN" w:bidi="ar-SA"/>
              </w:rPr>
            </w:pPr>
          </w:p>
          <w:p w14:paraId="0FFCEFC7">
            <w:pPr>
              <w:pStyle w:val="3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2"/>
                <w:lang w:val="en-US" w:eastAsia="zh-CN" w:bidi="ar-SA"/>
              </w:rPr>
            </w:pPr>
          </w:p>
          <w:p w14:paraId="4F682A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color w:val="auto"/>
                <w:sz w:val="24"/>
                <w:szCs w:val="24"/>
                <w:vertAlign w:val="baseline"/>
              </w:rPr>
            </w:pPr>
          </w:p>
        </w:tc>
      </w:tr>
    </w:tbl>
    <w:p w14:paraId="37A9FC3F">
      <w:pPr>
        <w:sectPr>
          <w:pgSz w:w="11906" w:h="16838"/>
          <w:pgMar w:top="1440" w:right="1800" w:bottom="1440" w:left="1800" w:header="851" w:footer="992" w:gutter="0"/>
          <w:cols w:space="425" w:num="1"/>
          <w:docGrid w:type="lines" w:linePitch="312" w:charSpace="0"/>
        </w:sectPr>
      </w:pPr>
    </w:p>
    <w:p w14:paraId="5D7F443C">
      <w:pPr>
        <w:jc w:val="center"/>
        <w:rPr>
          <w:rFonts w:hint="eastAsia"/>
          <w:b/>
          <w:bCs/>
          <w:sz w:val="32"/>
          <w:szCs w:val="32"/>
          <w:lang w:val="en-US" w:eastAsia="zh-CN"/>
        </w:rPr>
      </w:pPr>
      <w:r>
        <w:rPr>
          <w:rFonts w:hint="eastAsia"/>
          <w:b/>
          <w:bCs/>
          <w:sz w:val="32"/>
          <w:szCs w:val="32"/>
          <w:lang w:val="en-US" w:eastAsia="zh-CN"/>
        </w:rPr>
        <w:t>环保绩效专篇</w:t>
      </w:r>
    </w:p>
    <w:p w14:paraId="2EC9B738">
      <w:pPr>
        <w:widowControl/>
        <w:adjustRightInd w:val="0"/>
        <w:snapToGrid w:val="0"/>
        <w:spacing w:before="0" w:line="348" w:lineRule="auto"/>
        <w:ind w:left="0" w:firstLine="480" w:firstLineChars="200"/>
        <w:jc w:val="left"/>
        <w:outlineLvl w:val="1"/>
        <w:rPr>
          <w:rFonts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lang w:val="en-US" w:eastAsia="zh-CN"/>
        </w:rPr>
        <w:t>根据陕环环评函</w:t>
      </w:r>
      <w:r>
        <w:rPr>
          <w:rFonts w:hint="eastAsia" w:cs="Times New Roman"/>
          <w:color w:val="000000"/>
          <w:kern w:val="0"/>
          <w:sz w:val="24"/>
          <w:lang w:val="en-US" w:eastAsia="zh-CN"/>
        </w:rPr>
        <w:t>〔</w:t>
      </w:r>
      <w:r>
        <w:rPr>
          <w:rFonts w:hint="default" w:ascii="Times New Roman" w:hAnsi="Times New Roman" w:eastAsia="宋体" w:cs="Times New Roman"/>
          <w:color w:val="000000"/>
          <w:kern w:val="0"/>
          <w:sz w:val="24"/>
          <w:lang w:val="en-US" w:eastAsia="zh-CN"/>
        </w:rPr>
        <w:t>2023</w:t>
      </w:r>
      <w:r>
        <w:rPr>
          <w:rFonts w:hint="eastAsia" w:cs="Times New Roman"/>
          <w:color w:val="000000"/>
          <w:kern w:val="0"/>
          <w:sz w:val="24"/>
          <w:lang w:val="en-US" w:eastAsia="zh-CN"/>
        </w:rPr>
        <w:t>〕</w:t>
      </w:r>
      <w:r>
        <w:rPr>
          <w:rFonts w:hint="default" w:ascii="Times New Roman" w:hAnsi="Times New Roman" w:eastAsia="宋体" w:cs="Times New Roman"/>
          <w:color w:val="000000"/>
          <w:kern w:val="0"/>
          <w:sz w:val="24"/>
          <w:lang w:val="en-US" w:eastAsia="zh-CN"/>
        </w:rPr>
        <w:t>76号，关中地区涉气重点行业新、改、扩建项目环境影响报告表（书）应编制环保绩效管理篇章。该项目生产工序</w:t>
      </w:r>
      <w:r>
        <w:rPr>
          <w:rFonts w:hint="eastAsia" w:ascii="Times New Roman" w:hAnsi="Times New Roman" w:eastAsia="宋体" w:cs="Times New Roman"/>
          <w:color w:val="000000"/>
          <w:kern w:val="0"/>
          <w:sz w:val="24"/>
          <w:lang w:val="en-US" w:eastAsia="zh-CN"/>
        </w:rPr>
        <w:t>依据</w:t>
      </w:r>
      <w:r>
        <w:rPr>
          <w:rFonts w:hint="default" w:ascii="Times New Roman" w:hAnsi="Times New Roman" w:eastAsia="宋体" w:cs="Times New Roman"/>
          <w:color w:val="000000"/>
          <w:spacing w:val="0"/>
          <w:kern w:val="0"/>
          <w:sz w:val="24"/>
          <w:szCs w:val="24"/>
        </w:rPr>
        <w:t>《重污染天气重点行业应急减排措施制定技术指南</w:t>
      </w:r>
      <w:r>
        <w:rPr>
          <w:rFonts w:hint="eastAsia" w:cs="Times New Roman"/>
          <w:color w:val="000000"/>
          <w:spacing w:val="0"/>
          <w:kern w:val="0"/>
          <w:sz w:val="24"/>
          <w:szCs w:val="24"/>
          <w:lang w:eastAsia="zh-CN"/>
        </w:rPr>
        <w:t>（</w:t>
      </w:r>
      <w:r>
        <w:rPr>
          <w:rFonts w:hint="default" w:ascii="Times New Roman" w:hAnsi="Times New Roman" w:eastAsia="宋体" w:cs="Times New Roman"/>
          <w:color w:val="000000"/>
          <w:spacing w:val="0"/>
          <w:kern w:val="0"/>
          <w:sz w:val="24"/>
          <w:szCs w:val="24"/>
        </w:rPr>
        <w:t>2020年修订版</w:t>
      </w:r>
      <w:r>
        <w:rPr>
          <w:rFonts w:hint="eastAsia" w:cs="Times New Roman"/>
          <w:color w:val="000000"/>
          <w:spacing w:val="0"/>
          <w:kern w:val="0"/>
          <w:sz w:val="24"/>
          <w:szCs w:val="24"/>
          <w:lang w:eastAsia="zh-CN"/>
        </w:rPr>
        <w:t>）</w:t>
      </w:r>
      <w:r>
        <w:rPr>
          <w:rFonts w:hint="default" w:ascii="Times New Roman" w:hAnsi="Times New Roman" w:eastAsia="宋体" w:cs="Times New Roman"/>
          <w:color w:val="000000"/>
          <w:spacing w:val="0"/>
          <w:kern w:val="0"/>
          <w:sz w:val="24"/>
          <w:szCs w:val="24"/>
        </w:rPr>
        <w:t>》中要求，对照分析本项目情况见下表</w:t>
      </w:r>
      <w:bookmarkStart w:id="17" w:name="_GoBack"/>
      <w:bookmarkEnd w:id="17"/>
      <w:r>
        <w:rPr>
          <w:rFonts w:hint="default" w:ascii="Times New Roman" w:hAnsi="Times New Roman" w:eastAsia="宋体" w:cs="Times New Roman"/>
          <w:color w:val="000000"/>
          <w:spacing w:val="0"/>
          <w:kern w:val="0"/>
          <w:sz w:val="24"/>
          <w:szCs w:val="24"/>
        </w:rPr>
        <w:t>。</w:t>
      </w:r>
    </w:p>
    <w:tbl>
      <w:tblPr>
        <w:tblStyle w:val="25"/>
        <w:tblW w:w="518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6"/>
        <w:gridCol w:w="6554"/>
        <w:gridCol w:w="5784"/>
        <w:gridCol w:w="941"/>
      </w:tblGrid>
      <w:tr w14:paraId="6B5AE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685" w:type="dxa"/>
            <w:gridSpan w:val="4"/>
            <w:tcBorders>
              <w:tl2br w:val="nil"/>
              <w:tr2bl w:val="nil"/>
            </w:tcBorders>
            <w:vAlign w:val="center"/>
          </w:tcPr>
          <w:p w14:paraId="2639E4A1">
            <w:pPr>
              <w:widowControl/>
              <w:adjustRightInd/>
              <w:snapToGrid/>
              <w:spacing w:line="240" w:lineRule="auto"/>
              <w:jc w:val="center"/>
              <w:rPr>
                <w:rFonts w:hint="default" w:ascii="Times New Roman" w:hAnsi="Times New Roman" w:eastAsia="宋体" w:cs="Times New Roman"/>
                <w:b/>
                <w:bCs/>
                <w:color w:val="000000"/>
                <w:kern w:val="0"/>
                <w:sz w:val="21"/>
                <w:szCs w:val="21"/>
                <w:vertAlign w:val="baseline"/>
                <w:lang w:val="en-US" w:eastAsia="zh-CN"/>
              </w:rPr>
            </w:pPr>
            <w:r>
              <w:rPr>
                <w:rFonts w:hint="default" w:ascii="Times New Roman" w:hAnsi="Times New Roman" w:eastAsia="宋体" w:cs="Times New Roman"/>
                <w:b/>
                <w:bCs/>
                <w:spacing w:val="2"/>
                <w:kern w:val="2"/>
                <w:sz w:val="21"/>
                <w:szCs w:val="21"/>
                <w:vertAlign w:val="baseline"/>
                <w:lang w:val="en-US" w:eastAsia="zh-CN"/>
              </w:rPr>
              <w:t>粉磨站(系统</w:t>
            </w:r>
            <w:r>
              <w:rPr>
                <w:rFonts w:hint="eastAsia" w:ascii="Times New Roman" w:hAnsi="Times New Roman" w:cs="Times New Roman"/>
                <w:b/>
                <w:bCs/>
                <w:spacing w:val="2"/>
                <w:kern w:val="2"/>
                <w:sz w:val="21"/>
                <w:szCs w:val="21"/>
                <w:vertAlign w:val="baseline"/>
                <w:lang w:val="en-US" w:eastAsia="zh-CN"/>
              </w:rPr>
              <w:t>）</w:t>
            </w:r>
            <w:r>
              <w:rPr>
                <w:rFonts w:hint="default" w:ascii="Times New Roman" w:hAnsi="Times New Roman" w:eastAsia="宋体" w:cs="Times New Roman"/>
                <w:b/>
                <w:bCs/>
                <w:spacing w:val="2"/>
                <w:kern w:val="2"/>
                <w:sz w:val="21"/>
                <w:szCs w:val="21"/>
                <w:vertAlign w:val="baseline"/>
                <w:lang w:val="en-US" w:eastAsia="zh-CN"/>
              </w:rPr>
              <w:t>、矿渣粉、水泥制品</w:t>
            </w:r>
            <w:r>
              <w:rPr>
                <w:rFonts w:hint="eastAsia" w:ascii="Times New Roman" w:hAnsi="Times New Roman" w:eastAsia="宋体" w:cs="Times New Roman"/>
                <w:b/>
                <w:bCs/>
                <w:spacing w:val="2"/>
                <w:kern w:val="2"/>
                <w:sz w:val="21"/>
                <w:szCs w:val="21"/>
                <w:vertAlign w:val="superscript"/>
                <w:lang w:val="en-US" w:eastAsia="zh-CN"/>
              </w:rPr>
              <w:t>d</w:t>
            </w:r>
            <w:r>
              <w:rPr>
                <w:rFonts w:hint="default" w:ascii="Times New Roman" w:hAnsi="Times New Roman" w:eastAsia="宋体" w:cs="Times New Roman"/>
                <w:b/>
                <w:bCs/>
                <w:spacing w:val="2"/>
                <w:kern w:val="2"/>
                <w:sz w:val="21"/>
                <w:szCs w:val="21"/>
                <w:vertAlign w:val="baseline"/>
                <w:lang w:val="en-US" w:eastAsia="zh-CN"/>
              </w:rPr>
              <w:t>绩效引领性指标</w:t>
            </w:r>
          </w:p>
        </w:tc>
      </w:tr>
      <w:tr w14:paraId="3BF5C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vMerge w:val="restart"/>
            <w:tcBorders>
              <w:tl2br w:val="nil"/>
              <w:tr2bl w:val="nil"/>
            </w:tcBorders>
            <w:vAlign w:val="center"/>
          </w:tcPr>
          <w:p w14:paraId="327C2911">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引领性指标</w:t>
            </w:r>
          </w:p>
        </w:tc>
        <w:tc>
          <w:tcPr>
            <w:tcW w:w="6554" w:type="dxa"/>
            <w:vMerge w:val="restart"/>
            <w:tcBorders>
              <w:tl2br w:val="nil"/>
              <w:tr2bl w:val="nil"/>
            </w:tcBorders>
            <w:vAlign w:val="center"/>
          </w:tcPr>
          <w:p w14:paraId="093C4228">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水泥制品</w:t>
            </w:r>
            <w:r>
              <w:rPr>
                <w:rFonts w:hint="eastAsia" w:ascii="Times New Roman" w:hAnsi="Times New Roman" w:eastAsia="宋体" w:cs="Times New Roman"/>
                <w:b w:val="0"/>
                <w:bCs w:val="0"/>
                <w:spacing w:val="2"/>
                <w:kern w:val="2"/>
                <w:sz w:val="21"/>
                <w:szCs w:val="21"/>
                <w:vertAlign w:val="superscript"/>
                <w:lang w:val="en-US" w:eastAsia="zh-CN"/>
              </w:rPr>
              <w:t>d</w:t>
            </w:r>
          </w:p>
        </w:tc>
        <w:tc>
          <w:tcPr>
            <w:tcW w:w="6725" w:type="dxa"/>
            <w:gridSpan w:val="2"/>
            <w:tcBorders>
              <w:tl2br w:val="nil"/>
              <w:tr2bl w:val="nil"/>
            </w:tcBorders>
            <w:vAlign w:val="center"/>
          </w:tcPr>
          <w:p w14:paraId="008986FF">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本项目情况</w:t>
            </w:r>
          </w:p>
        </w:tc>
      </w:tr>
      <w:tr w14:paraId="0E6F9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vMerge w:val="continue"/>
            <w:tcBorders>
              <w:tl2br w:val="nil"/>
              <w:tr2bl w:val="nil"/>
            </w:tcBorders>
            <w:vAlign w:val="center"/>
          </w:tcPr>
          <w:p w14:paraId="70B0BF36">
            <w:pPr>
              <w:widowControl/>
              <w:adjustRightInd/>
              <w:snapToGrid/>
              <w:spacing w:line="240" w:lineRule="auto"/>
              <w:jc w:val="center"/>
            </w:pPr>
          </w:p>
        </w:tc>
        <w:tc>
          <w:tcPr>
            <w:tcW w:w="6554" w:type="dxa"/>
            <w:vMerge w:val="continue"/>
            <w:tcBorders>
              <w:tl2br w:val="nil"/>
              <w:tr2bl w:val="nil"/>
            </w:tcBorders>
            <w:vAlign w:val="center"/>
          </w:tcPr>
          <w:p w14:paraId="34481198">
            <w:pPr>
              <w:widowControl/>
              <w:adjustRightInd/>
              <w:snapToGrid/>
              <w:spacing w:line="240" w:lineRule="auto"/>
              <w:jc w:val="center"/>
            </w:pPr>
          </w:p>
        </w:tc>
        <w:tc>
          <w:tcPr>
            <w:tcW w:w="5784" w:type="dxa"/>
            <w:tcBorders>
              <w:tl2br w:val="nil"/>
              <w:tr2bl w:val="nil"/>
            </w:tcBorders>
            <w:vAlign w:val="center"/>
          </w:tcPr>
          <w:p w14:paraId="449106AD">
            <w:pPr>
              <w:widowControl/>
              <w:adjustRightInd/>
              <w:snapToGrid/>
              <w:spacing w:line="240" w:lineRule="auto"/>
              <w:jc w:val="center"/>
              <w:rPr>
                <w:rFonts w:hint="eastAsia" w:eastAsia="宋体"/>
                <w:lang w:val="en-US" w:eastAsia="zh-CN"/>
              </w:rPr>
            </w:pPr>
            <w:r>
              <w:rPr>
                <w:rFonts w:hint="eastAsia"/>
                <w:lang w:val="en-US" w:eastAsia="zh-CN"/>
              </w:rPr>
              <w:t>情况</w:t>
            </w:r>
          </w:p>
        </w:tc>
        <w:tc>
          <w:tcPr>
            <w:tcW w:w="941" w:type="dxa"/>
            <w:tcBorders>
              <w:tl2br w:val="nil"/>
              <w:tr2bl w:val="nil"/>
            </w:tcBorders>
            <w:vAlign w:val="center"/>
          </w:tcPr>
          <w:p w14:paraId="36865489">
            <w:pPr>
              <w:widowControl/>
              <w:adjustRightInd/>
              <w:snapToGrid/>
              <w:spacing w:line="240" w:lineRule="auto"/>
              <w:jc w:val="center"/>
              <w:rPr>
                <w:rFonts w:hint="eastAsia" w:eastAsia="宋体"/>
                <w:lang w:val="en-US" w:eastAsia="zh-CN"/>
              </w:rPr>
            </w:pPr>
            <w:r>
              <w:rPr>
                <w:rFonts w:hint="eastAsia"/>
                <w:lang w:val="en-US" w:eastAsia="zh-CN"/>
              </w:rPr>
              <w:t>水平</w:t>
            </w:r>
          </w:p>
        </w:tc>
      </w:tr>
      <w:tr w14:paraId="607F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tcBorders>
              <w:tl2br w:val="nil"/>
              <w:tr2bl w:val="nil"/>
            </w:tcBorders>
            <w:vAlign w:val="center"/>
          </w:tcPr>
          <w:p w14:paraId="0F73EBD3">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装备水平</w:t>
            </w:r>
          </w:p>
        </w:tc>
        <w:tc>
          <w:tcPr>
            <w:tcW w:w="6554" w:type="dxa"/>
            <w:tcBorders>
              <w:tl2br w:val="nil"/>
              <w:tr2bl w:val="nil"/>
            </w:tcBorders>
            <w:vAlign w:val="center"/>
          </w:tcPr>
          <w:p w14:paraId="573A5967">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w:t>
            </w:r>
          </w:p>
        </w:tc>
        <w:tc>
          <w:tcPr>
            <w:tcW w:w="5784" w:type="dxa"/>
            <w:tcBorders>
              <w:tl2br w:val="nil"/>
              <w:tr2bl w:val="nil"/>
            </w:tcBorders>
            <w:vAlign w:val="center"/>
          </w:tcPr>
          <w:p w14:paraId="36B5DDA8">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w:t>
            </w:r>
          </w:p>
        </w:tc>
        <w:tc>
          <w:tcPr>
            <w:tcW w:w="941" w:type="dxa"/>
            <w:vMerge w:val="restart"/>
            <w:tcBorders>
              <w:tl2br w:val="nil"/>
              <w:tr2bl w:val="nil"/>
            </w:tcBorders>
            <w:vAlign w:val="center"/>
          </w:tcPr>
          <w:p w14:paraId="4B68BA82">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引领性指标</w:t>
            </w:r>
          </w:p>
        </w:tc>
      </w:tr>
      <w:tr w14:paraId="34637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tcBorders>
              <w:tl2br w:val="nil"/>
              <w:tr2bl w:val="nil"/>
            </w:tcBorders>
            <w:vAlign w:val="center"/>
          </w:tcPr>
          <w:p w14:paraId="6866E15C">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能源类型</w:t>
            </w:r>
          </w:p>
        </w:tc>
        <w:tc>
          <w:tcPr>
            <w:tcW w:w="6554" w:type="dxa"/>
            <w:tcBorders>
              <w:tl2br w:val="nil"/>
              <w:tr2bl w:val="nil"/>
            </w:tcBorders>
            <w:vAlign w:val="center"/>
          </w:tcPr>
          <w:p w14:paraId="29ACC1DB">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电、外购蒸汽、天然气</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采用低氮燃烧</w:t>
            </w:r>
            <w:r>
              <w:rPr>
                <w:rFonts w:hint="eastAsia" w:ascii="Times New Roman" w:hAnsi="Times New Roman" w:eastAsia="宋体" w:cs="Times New Roman"/>
                <w:b w:val="0"/>
                <w:bCs w:val="0"/>
                <w:spacing w:val="2"/>
                <w:kern w:val="2"/>
                <w:sz w:val="21"/>
                <w:szCs w:val="21"/>
                <w:vertAlign w:val="baseline"/>
                <w:lang w:val="en-US" w:eastAsia="zh-CN"/>
              </w:rPr>
              <w:t>）</w:t>
            </w:r>
          </w:p>
        </w:tc>
        <w:tc>
          <w:tcPr>
            <w:tcW w:w="5784" w:type="dxa"/>
            <w:tcBorders>
              <w:tl2br w:val="nil"/>
              <w:tr2bl w:val="nil"/>
            </w:tcBorders>
            <w:vAlign w:val="center"/>
          </w:tcPr>
          <w:p w14:paraId="68BE343C">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本项目使用为电能源</w:t>
            </w:r>
          </w:p>
        </w:tc>
        <w:tc>
          <w:tcPr>
            <w:tcW w:w="941" w:type="dxa"/>
            <w:vMerge w:val="continue"/>
            <w:tcBorders>
              <w:tl2br w:val="nil"/>
              <w:tr2bl w:val="nil"/>
            </w:tcBorders>
            <w:vAlign w:val="center"/>
          </w:tcPr>
          <w:p w14:paraId="03791FD7">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p>
        </w:tc>
      </w:tr>
      <w:tr w14:paraId="6DF8A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tcBorders>
              <w:tl2br w:val="nil"/>
              <w:tr2bl w:val="nil"/>
            </w:tcBorders>
            <w:vAlign w:val="center"/>
          </w:tcPr>
          <w:p w14:paraId="1925D165">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排放限制</w:t>
            </w:r>
          </w:p>
        </w:tc>
        <w:tc>
          <w:tcPr>
            <w:tcW w:w="6554" w:type="dxa"/>
            <w:tcBorders>
              <w:tl2br w:val="nil"/>
              <w:tr2bl w:val="nil"/>
            </w:tcBorders>
            <w:vAlign w:val="center"/>
          </w:tcPr>
          <w:p w14:paraId="2E460693">
            <w:pPr>
              <w:widowControl/>
              <w:adjustRightInd/>
              <w:snapToGrid/>
              <w:spacing w:line="240" w:lineRule="auto"/>
              <w:jc w:val="both"/>
              <w:rPr>
                <w:rFonts w:hint="default"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PM、NOx排放浓度不高于10、100mg/m</w:t>
            </w:r>
            <w:r>
              <w:rPr>
                <w:rFonts w:hint="eastAsia" w:ascii="Times New Roman" w:hAnsi="Times New Roman" w:eastAsia="宋体" w:cs="Times New Roman"/>
                <w:b w:val="0"/>
                <w:bCs w:val="0"/>
                <w:spacing w:val="2"/>
                <w:kern w:val="2"/>
                <w:sz w:val="21"/>
                <w:szCs w:val="21"/>
                <w:vertAlign w:val="superscript"/>
                <w:lang w:val="en-US" w:eastAsia="zh-CN"/>
              </w:rPr>
              <w:t>3</w:t>
            </w:r>
            <w:r>
              <w:rPr>
                <w:rFonts w:hint="default" w:ascii="Times New Roman" w:hAnsi="Times New Roman" w:eastAsia="宋体" w:cs="Times New Roman"/>
                <w:b w:val="0"/>
                <w:bCs w:val="0"/>
                <w:spacing w:val="2"/>
                <w:kern w:val="2"/>
                <w:sz w:val="21"/>
                <w:szCs w:val="21"/>
                <w:vertAlign w:val="baseline"/>
                <w:lang w:val="en-US" w:eastAsia="zh-CN"/>
              </w:rPr>
              <w:t>，天然气锅炉或热风炉基准含量8%</w:t>
            </w:r>
            <w:r>
              <w:rPr>
                <w:rFonts w:hint="eastAsia" w:ascii="Times New Roman" w:hAnsi="Times New Roman" w:eastAsia="宋体" w:cs="Times New Roman"/>
                <w:b w:val="0"/>
                <w:bCs w:val="0"/>
                <w:spacing w:val="2"/>
                <w:kern w:val="2"/>
                <w:sz w:val="21"/>
                <w:szCs w:val="21"/>
                <w:vertAlign w:val="baseline"/>
                <w:lang w:val="en-US" w:eastAsia="zh-CN"/>
              </w:rPr>
              <w:t>。</w:t>
            </w:r>
          </w:p>
        </w:tc>
        <w:tc>
          <w:tcPr>
            <w:tcW w:w="5784" w:type="dxa"/>
            <w:tcBorders>
              <w:tl2br w:val="nil"/>
              <w:tr2bl w:val="nil"/>
            </w:tcBorders>
            <w:vAlign w:val="center"/>
          </w:tcPr>
          <w:p w14:paraId="29CC09DB">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本项目</w:t>
            </w:r>
            <w:r>
              <w:rPr>
                <w:rFonts w:hint="default" w:ascii="Times New Roman" w:hAnsi="Times New Roman" w:eastAsia="宋体" w:cs="Times New Roman"/>
                <w:b w:val="0"/>
                <w:bCs w:val="0"/>
                <w:spacing w:val="2"/>
                <w:kern w:val="2"/>
                <w:sz w:val="21"/>
                <w:szCs w:val="21"/>
                <w:vertAlign w:val="baseline"/>
                <w:lang w:val="en-US" w:eastAsia="zh-CN"/>
              </w:rPr>
              <w:t>PM排放浓度不高于10mg/m</w:t>
            </w:r>
            <w:r>
              <w:rPr>
                <w:rFonts w:hint="eastAsia" w:ascii="Times New Roman" w:hAnsi="Times New Roman" w:eastAsia="宋体" w:cs="Times New Roman"/>
                <w:b w:val="0"/>
                <w:bCs w:val="0"/>
                <w:spacing w:val="2"/>
                <w:kern w:val="2"/>
                <w:sz w:val="21"/>
                <w:szCs w:val="21"/>
                <w:vertAlign w:val="superscript"/>
                <w:lang w:val="en-US" w:eastAsia="zh-CN"/>
              </w:rPr>
              <w:t>3</w:t>
            </w:r>
            <w:r>
              <w:rPr>
                <w:rFonts w:hint="default" w:ascii="Times New Roman" w:hAnsi="Times New Roman" w:eastAsia="宋体" w:cs="Times New Roman"/>
                <w:b w:val="0"/>
                <w:bCs w:val="0"/>
                <w:spacing w:val="2"/>
                <w:kern w:val="2"/>
                <w:sz w:val="21"/>
                <w:szCs w:val="21"/>
                <w:vertAlign w:val="baseline"/>
                <w:lang w:val="en-US" w:eastAsia="zh-CN"/>
              </w:rPr>
              <w:t>，</w:t>
            </w:r>
            <w:r>
              <w:rPr>
                <w:rFonts w:hint="eastAsia" w:ascii="Times New Roman" w:hAnsi="Times New Roman" w:eastAsia="宋体" w:cs="Times New Roman"/>
                <w:b w:val="0"/>
                <w:bCs w:val="0"/>
                <w:spacing w:val="2"/>
                <w:kern w:val="2"/>
                <w:sz w:val="21"/>
                <w:szCs w:val="21"/>
                <w:vertAlign w:val="baseline"/>
                <w:lang w:val="en-US" w:eastAsia="zh-CN"/>
              </w:rPr>
              <w:t>不涉及</w:t>
            </w:r>
            <w:r>
              <w:rPr>
                <w:rFonts w:hint="default" w:ascii="Times New Roman" w:hAnsi="Times New Roman" w:eastAsia="宋体" w:cs="Times New Roman"/>
                <w:b w:val="0"/>
                <w:bCs w:val="0"/>
                <w:spacing w:val="2"/>
                <w:kern w:val="2"/>
                <w:sz w:val="21"/>
                <w:szCs w:val="21"/>
                <w:vertAlign w:val="baseline"/>
                <w:lang w:val="en-US" w:eastAsia="zh-CN"/>
              </w:rPr>
              <w:t>天然气锅炉或热风炉</w:t>
            </w:r>
          </w:p>
        </w:tc>
        <w:tc>
          <w:tcPr>
            <w:tcW w:w="941" w:type="dxa"/>
            <w:vMerge w:val="continue"/>
            <w:tcBorders>
              <w:tl2br w:val="nil"/>
              <w:tr2bl w:val="nil"/>
            </w:tcBorders>
            <w:vAlign w:val="center"/>
          </w:tcPr>
          <w:p w14:paraId="2B6C7F26">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p>
        </w:tc>
      </w:tr>
      <w:tr w14:paraId="22B16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tcBorders>
              <w:tl2br w:val="nil"/>
              <w:tr2bl w:val="nil"/>
            </w:tcBorders>
            <w:vAlign w:val="center"/>
          </w:tcPr>
          <w:p w14:paraId="59A467FA">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无组织排放</w:t>
            </w:r>
          </w:p>
        </w:tc>
        <w:tc>
          <w:tcPr>
            <w:tcW w:w="6554" w:type="dxa"/>
            <w:tcBorders>
              <w:tl2br w:val="nil"/>
              <w:tr2bl w:val="nil"/>
            </w:tcBorders>
            <w:vAlign w:val="center"/>
          </w:tcPr>
          <w:p w14:paraId="4229739D">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1、粉状物料全部密闭储存</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2、物料采用封闭式皮带、斗提、斜槽运输，各物料破碎、转载、下料口设置集尘罩并配置袋式除尘器，库顶等泄压口配备袋式除尘器</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3、</w:t>
            </w:r>
            <w:r>
              <w:rPr>
                <w:rFonts w:hint="eastAsia" w:ascii="Times New Roman" w:hAnsi="Times New Roman" w:cs="Times New Roman"/>
                <w:b w:val="0"/>
                <w:bCs w:val="0"/>
                <w:spacing w:val="2"/>
                <w:kern w:val="2"/>
                <w:sz w:val="21"/>
                <w:szCs w:val="21"/>
                <w:vertAlign w:val="baseline"/>
                <w:lang w:val="en-US" w:eastAsia="zh-CN"/>
              </w:rPr>
              <w:t>棚料</w:t>
            </w:r>
            <w:r>
              <w:rPr>
                <w:rFonts w:hint="default" w:ascii="Times New Roman" w:hAnsi="Times New Roman" w:eastAsia="宋体" w:cs="Times New Roman"/>
                <w:b w:val="0"/>
                <w:bCs w:val="0"/>
                <w:spacing w:val="2"/>
                <w:kern w:val="2"/>
                <w:sz w:val="21"/>
                <w:szCs w:val="21"/>
                <w:vertAlign w:val="baseline"/>
                <w:lang w:val="en-US" w:eastAsia="zh-CN"/>
              </w:rPr>
              <w:t>配备喷雾抑尘设施或物料全部封闭储存，出入口配备自动门，水泥包装车间全封闭，袋装水泥装车点位采用集中通风除尘系统，水泥散装采用密闭罐车，并配备带抽风口的散装卸料器</w:t>
            </w:r>
            <w:r>
              <w:rPr>
                <w:rFonts w:hint="eastAsia" w:ascii="Times New Roman" w:hAnsi="Times New Roman" w:eastAsia="宋体" w:cs="Times New Roman"/>
                <w:b w:val="0"/>
                <w:bCs w:val="0"/>
                <w:spacing w:val="2"/>
                <w:kern w:val="2"/>
                <w:sz w:val="21"/>
                <w:szCs w:val="21"/>
                <w:vertAlign w:val="baseline"/>
                <w:lang w:val="en-US" w:eastAsia="zh-CN"/>
              </w:rPr>
              <w:t>。</w:t>
            </w:r>
          </w:p>
        </w:tc>
        <w:tc>
          <w:tcPr>
            <w:tcW w:w="5784" w:type="dxa"/>
            <w:tcBorders>
              <w:tl2br w:val="nil"/>
              <w:tr2bl w:val="nil"/>
            </w:tcBorders>
            <w:vAlign w:val="center"/>
          </w:tcPr>
          <w:p w14:paraId="6EDD3F5A">
            <w:pPr>
              <w:widowControl/>
              <w:adjustRightInd/>
              <w:snapToGrid/>
              <w:spacing w:line="240" w:lineRule="auto"/>
              <w:jc w:val="center"/>
              <w:rPr>
                <w:rFonts w:hint="eastAsia" w:ascii="Times New Roman" w:hAnsi="Times New Roman" w:cs="Times New Roman"/>
                <w:b w:val="0"/>
                <w:bCs w:val="0"/>
                <w:spacing w:val="2"/>
                <w:kern w:val="2"/>
                <w:sz w:val="21"/>
                <w:szCs w:val="21"/>
                <w:vertAlign w:val="baseline"/>
                <w:lang w:val="en-US" w:eastAsia="zh-CN"/>
              </w:rPr>
            </w:pPr>
            <w:r>
              <w:rPr>
                <w:rFonts w:hint="eastAsia" w:ascii="Times New Roman" w:hAnsi="Times New Roman" w:cs="Times New Roman"/>
                <w:b w:val="0"/>
                <w:bCs w:val="0"/>
                <w:spacing w:val="2"/>
                <w:kern w:val="2"/>
                <w:sz w:val="21"/>
                <w:szCs w:val="21"/>
                <w:vertAlign w:val="baseline"/>
                <w:lang w:val="en-US" w:eastAsia="zh-CN"/>
              </w:rPr>
              <w:t>1.</w:t>
            </w:r>
            <w:r>
              <w:rPr>
                <w:rFonts w:hint="eastAsia" w:ascii="Times New Roman" w:hAnsi="Times New Roman" w:eastAsia="宋体" w:cs="Times New Roman"/>
                <w:b w:val="0"/>
                <w:bCs w:val="0"/>
                <w:spacing w:val="2"/>
                <w:kern w:val="2"/>
                <w:sz w:val="21"/>
                <w:szCs w:val="21"/>
                <w:vertAlign w:val="baseline"/>
                <w:lang w:val="en-US" w:eastAsia="zh-CN"/>
              </w:rPr>
              <w:t>本项目</w:t>
            </w:r>
            <w:r>
              <w:rPr>
                <w:rFonts w:hint="default" w:ascii="Times New Roman" w:hAnsi="Times New Roman" w:eastAsia="宋体" w:cs="Times New Roman"/>
                <w:b w:val="0"/>
                <w:bCs w:val="0"/>
                <w:spacing w:val="2"/>
                <w:kern w:val="2"/>
                <w:sz w:val="21"/>
                <w:szCs w:val="21"/>
                <w:vertAlign w:val="baseline"/>
                <w:lang w:val="en-US" w:eastAsia="zh-CN"/>
              </w:rPr>
              <w:t>粉状物料全部密闭储存</w:t>
            </w:r>
            <w:r>
              <w:rPr>
                <w:rFonts w:hint="eastAsia" w:ascii="Times New Roman" w:hAnsi="Times New Roman" w:cs="Times New Roman"/>
                <w:b w:val="0"/>
                <w:bCs w:val="0"/>
                <w:spacing w:val="2"/>
                <w:kern w:val="2"/>
                <w:sz w:val="21"/>
                <w:szCs w:val="21"/>
                <w:vertAlign w:val="baseline"/>
                <w:lang w:val="en-US" w:eastAsia="zh-CN"/>
              </w:rPr>
              <w:t>；</w:t>
            </w:r>
          </w:p>
          <w:p w14:paraId="0549AB39">
            <w:pPr>
              <w:widowControl/>
              <w:adjustRightInd/>
              <w:snapToGrid/>
              <w:spacing w:line="240" w:lineRule="auto"/>
              <w:jc w:val="center"/>
              <w:rPr>
                <w:rFonts w:hint="eastAsia" w:ascii="Times New Roman" w:hAnsi="Times New Roman" w:cs="Times New Roman"/>
                <w:b w:val="0"/>
                <w:bCs w:val="0"/>
                <w:spacing w:val="2"/>
                <w:kern w:val="2"/>
                <w:sz w:val="21"/>
                <w:szCs w:val="21"/>
                <w:vertAlign w:val="baseline"/>
                <w:lang w:val="en-US" w:eastAsia="zh-CN"/>
              </w:rPr>
            </w:pPr>
            <w:r>
              <w:rPr>
                <w:rFonts w:hint="eastAsia" w:ascii="Times New Roman" w:hAnsi="Times New Roman" w:cs="Times New Roman"/>
                <w:b w:val="0"/>
                <w:bCs w:val="0"/>
                <w:spacing w:val="2"/>
                <w:kern w:val="2"/>
                <w:sz w:val="21"/>
                <w:szCs w:val="21"/>
                <w:vertAlign w:val="baseline"/>
                <w:lang w:val="en-US" w:eastAsia="zh-CN"/>
              </w:rPr>
              <w:t>2</w:t>
            </w:r>
            <w:r>
              <w:rPr>
                <w:rFonts w:hint="default" w:ascii="Times New Roman" w:hAnsi="Times New Roman" w:eastAsia="宋体" w:cs="Times New Roman"/>
                <w:b w:val="0"/>
                <w:bCs w:val="0"/>
                <w:spacing w:val="2"/>
                <w:kern w:val="2"/>
                <w:sz w:val="21"/>
                <w:szCs w:val="21"/>
                <w:vertAlign w:val="baseline"/>
                <w:lang w:val="en-US" w:eastAsia="zh-CN"/>
              </w:rPr>
              <w:t>各物料下料口设置</w:t>
            </w:r>
            <w:r>
              <w:rPr>
                <w:rFonts w:hint="default" w:ascii="Times New Roman" w:hAnsi="Times New Roman" w:eastAsia="宋体" w:cs="Times New Roman"/>
                <w:color w:val="auto"/>
                <w:sz w:val="21"/>
                <w:szCs w:val="21"/>
                <w:lang w:val="en-US" w:eastAsia="zh-CN"/>
              </w:rPr>
              <w:t>集尘罩</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布袋</w:t>
            </w:r>
            <w:r>
              <w:rPr>
                <w:rFonts w:hint="default" w:ascii="Times New Roman" w:hAnsi="Times New Roman" w:eastAsia="宋体" w:cs="Times New Roman"/>
                <w:color w:val="auto"/>
                <w:sz w:val="21"/>
                <w:szCs w:val="21"/>
              </w:rPr>
              <w:t>除尘器</w:t>
            </w:r>
            <w:r>
              <w:rPr>
                <w:rFonts w:hint="eastAsia" w:ascii="Times New Roman" w:hAnsi="Times New Roman" w:cs="Times New Roman"/>
                <w:b w:val="0"/>
                <w:bCs w:val="0"/>
                <w:spacing w:val="2"/>
                <w:kern w:val="2"/>
                <w:sz w:val="21"/>
                <w:szCs w:val="21"/>
                <w:vertAlign w:val="baseline"/>
                <w:lang w:val="en-US" w:eastAsia="zh-CN"/>
              </w:rPr>
              <w:t>；</w:t>
            </w:r>
          </w:p>
          <w:p w14:paraId="51A8AD52">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cs="Times New Roman"/>
                <w:b w:val="0"/>
                <w:bCs w:val="0"/>
                <w:spacing w:val="2"/>
                <w:kern w:val="2"/>
                <w:sz w:val="21"/>
                <w:szCs w:val="21"/>
                <w:vertAlign w:val="baseline"/>
                <w:lang w:val="en-US" w:eastAsia="zh-CN"/>
              </w:rPr>
              <w:t>3.</w:t>
            </w:r>
            <w:r>
              <w:rPr>
                <w:rFonts w:hint="default" w:ascii="Times New Roman" w:hAnsi="Times New Roman" w:eastAsia="宋体" w:cs="Times New Roman"/>
                <w:b w:val="0"/>
                <w:bCs w:val="0"/>
                <w:spacing w:val="2"/>
                <w:kern w:val="2"/>
                <w:sz w:val="21"/>
                <w:szCs w:val="21"/>
                <w:vertAlign w:val="baseline"/>
                <w:lang w:val="en-US" w:eastAsia="zh-CN"/>
              </w:rPr>
              <w:t>物料全部封闭储存</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出入口配备自动门，水泥包装车间全封闭</w:t>
            </w:r>
            <w:r>
              <w:rPr>
                <w:rFonts w:hint="eastAsia" w:ascii="Times New Roman" w:hAnsi="Times New Roman" w:cs="Times New Roman"/>
                <w:b w:val="0"/>
                <w:bCs w:val="0"/>
                <w:spacing w:val="2"/>
                <w:kern w:val="2"/>
                <w:sz w:val="21"/>
                <w:szCs w:val="21"/>
                <w:vertAlign w:val="baseline"/>
                <w:lang w:val="en-US" w:eastAsia="zh-CN"/>
              </w:rPr>
              <w:t>。</w:t>
            </w:r>
          </w:p>
        </w:tc>
        <w:tc>
          <w:tcPr>
            <w:tcW w:w="941" w:type="dxa"/>
            <w:vMerge w:val="continue"/>
            <w:tcBorders>
              <w:tl2br w:val="nil"/>
              <w:tr2bl w:val="nil"/>
            </w:tcBorders>
            <w:vAlign w:val="center"/>
          </w:tcPr>
          <w:p w14:paraId="2A6DBAB6">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p>
        </w:tc>
      </w:tr>
      <w:tr w14:paraId="62CD1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tcBorders>
              <w:tl2br w:val="nil"/>
              <w:tr2bl w:val="nil"/>
            </w:tcBorders>
            <w:vAlign w:val="center"/>
          </w:tcPr>
          <w:p w14:paraId="39AC1A78">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监测监控水平</w:t>
            </w:r>
          </w:p>
        </w:tc>
        <w:tc>
          <w:tcPr>
            <w:tcW w:w="6554" w:type="dxa"/>
            <w:tcBorders>
              <w:tl2br w:val="nil"/>
              <w:tr2bl w:val="nil"/>
            </w:tcBorders>
            <w:vAlign w:val="center"/>
          </w:tcPr>
          <w:p w14:paraId="2C6CEEB8">
            <w:pPr>
              <w:widowControl/>
              <w:numPr>
                <w:ilvl w:val="0"/>
                <w:numId w:val="0"/>
              </w:numPr>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重点排污企业水泥磨和独立</w:t>
            </w:r>
            <w:r>
              <w:rPr>
                <w:rFonts w:hint="eastAsia" w:ascii="Times New Roman" w:hAnsi="Times New Roman" w:cs="Times New Roman"/>
                <w:b w:val="0"/>
                <w:bCs w:val="0"/>
                <w:spacing w:val="2"/>
                <w:kern w:val="2"/>
                <w:sz w:val="21"/>
                <w:szCs w:val="21"/>
                <w:vertAlign w:val="baseline"/>
                <w:lang w:val="en-US" w:eastAsia="zh-CN"/>
              </w:rPr>
              <w:t>烘干</w:t>
            </w:r>
            <w:r>
              <w:rPr>
                <w:rFonts w:hint="default" w:ascii="Times New Roman" w:hAnsi="Times New Roman" w:eastAsia="宋体" w:cs="Times New Roman"/>
                <w:b w:val="0"/>
                <w:bCs w:val="0"/>
                <w:spacing w:val="2"/>
                <w:kern w:val="2"/>
                <w:sz w:val="21"/>
                <w:szCs w:val="21"/>
                <w:vertAlign w:val="baseline"/>
                <w:lang w:val="en-US" w:eastAsia="zh-CN"/>
              </w:rPr>
              <w:t>系统安装CEMS，CEMS监控数据保存一年以上。料场出入口等易产尘点，安装高清视频监控设施，视频监控数据保存三个月以上</w:t>
            </w:r>
          </w:p>
        </w:tc>
        <w:tc>
          <w:tcPr>
            <w:tcW w:w="5784" w:type="dxa"/>
            <w:tcBorders>
              <w:tl2br w:val="nil"/>
              <w:tr2bl w:val="nil"/>
            </w:tcBorders>
            <w:vAlign w:val="center"/>
          </w:tcPr>
          <w:p w14:paraId="5BA01364">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本项目为一般排污企业，</w:t>
            </w:r>
            <w:r>
              <w:rPr>
                <w:rFonts w:hint="default" w:ascii="Times New Roman" w:hAnsi="Times New Roman" w:eastAsia="宋体" w:cs="Times New Roman"/>
                <w:b w:val="0"/>
                <w:bCs w:val="0"/>
                <w:spacing w:val="2"/>
                <w:kern w:val="2"/>
                <w:sz w:val="21"/>
                <w:szCs w:val="21"/>
                <w:vertAlign w:val="baseline"/>
                <w:lang w:val="en-US" w:eastAsia="zh-CN"/>
              </w:rPr>
              <w:t>料场出入口等易产尘点，安装高清视频监控设施，视频监控数据保存三个月以上</w:t>
            </w:r>
          </w:p>
        </w:tc>
        <w:tc>
          <w:tcPr>
            <w:tcW w:w="941" w:type="dxa"/>
            <w:vMerge w:val="continue"/>
            <w:tcBorders>
              <w:tl2br w:val="nil"/>
              <w:tr2bl w:val="nil"/>
            </w:tcBorders>
            <w:vAlign w:val="center"/>
          </w:tcPr>
          <w:p w14:paraId="0F9BC943">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p>
        </w:tc>
      </w:tr>
      <w:tr w14:paraId="03C73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tcBorders>
              <w:tl2br w:val="nil"/>
              <w:tr2bl w:val="nil"/>
            </w:tcBorders>
            <w:vAlign w:val="center"/>
          </w:tcPr>
          <w:p w14:paraId="51D966E3">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环境管理水平</w:t>
            </w:r>
          </w:p>
        </w:tc>
        <w:tc>
          <w:tcPr>
            <w:tcW w:w="6554" w:type="dxa"/>
            <w:tcBorders>
              <w:tl2br w:val="nil"/>
              <w:tr2bl w:val="nil"/>
            </w:tcBorders>
            <w:vAlign w:val="center"/>
          </w:tcPr>
          <w:p w14:paraId="54ABBE3B">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环保档案齐全</w:t>
            </w:r>
            <w:r>
              <w:rPr>
                <w:rFonts w:hint="eastAsia" w:ascii="Times New Roman" w:hAnsi="Times New Roman" w:eastAsia="宋体" w:cs="Times New Roman"/>
                <w:b w:val="0"/>
                <w:bCs w:val="0"/>
                <w:spacing w:val="2"/>
                <w:kern w:val="2"/>
                <w:sz w:val="21"/>
                <w:szCs w:val="21"/>
                <w:vertAlign w:val="baseline"/>
                <w:lang w:val="en-US" w:eastAsia="zh-CN"/>
              </w:rPr>
              <w:t>：</w:t>
            </w:r>
          </w:p>
          <w:p w14:paraId="43E6860D">
            <w:pPr>
              <w:widowControl/>
              <w:numPr>
                <w:ilvl w:val="0"/>
                <w:numId w:val="7"/>
              </w:numPr>
              <w:adjustRightInd/>
              <w:snapToGrid/>
              <w:spacing w:line="240" w:lineRule="auto"/>
              <w:jc w:val="left"/>
              <w:rPr>
                <w:rFonts w:hint="eastAsia"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环评批复文件</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2、排污许可证及季度、年度执行报告</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3、竣工验收文件</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4、一年内废气检测报告</w:t>
            </w:r>
            <w:r>
              <w:rPr>
                <w:rFonts w:hint="eastAsia" w:ascii="Times New Roman" w:hAnsi="Times New Roman" w:eastAsia="宋体" w:cs="Times New Roman"/>
                <w:b w:val="0"/>
                <w:bCs w:val="0"/>
                <w:spacing w:val="2"/>
                <w:kern w:val="2"/>
                <w:sz w:val="21"/>
                <w:szCs w:val="21"/>
                <w:vertAlign w:val="baseline"/>
                <w:lang w:val="en-US" w:eastAsia="zh-CN"/>
              </w:rPr>
              <w:t>。</w:t>
            </w:r>
          </w:p>
          <w:p w14:paraId="39EC89AB">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台账记录</w:t>
            </w:r>
            <w:r>
              <w:rPr>
                <w:rFonts w:hint="eastAsia" w:ascii="Times New Roman" w:hAnsi="Times New Roman" w:eastAsia="宋体" w:cs="Times New Roman"/>
                <w:b w:val="0"/>
                <w:bCs w:val="0"/>
                <w:spacing w:val="2"/>
                <w:kern w:val="2"/>
                <w:sz w:val="21"/>
                <w:szCs w:val="21"/>
                <w:vertAlign w:val="baseline"/>
                <w:lang w:val="en-US" w:eastAsia="zh-CN"/>
              </w:rPr>
              <w:t>：</w:t>
            </w:r>
          </w:p>
          <w:p w14:paraId="782DA72A">
            <w:pPr>
              <w:widowControl/>
              <w:numPr>
                <w:ilvl w:val="0"/>
                <w:numId w:val="8"/>
              </w:numPr>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完整生产管理台账</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包括生产设备运行台账，原辅材料、燃料使用量，产品产量等</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2、运输管理电子台账</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包括车辆出入厂记录、车牌号、VIN号、发动机编号和排放标准等</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3、设备维护记录</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4、废气治理设备清单</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包括主要污染治理设备、设计</w:t>
            </w:r>
            <w:r>
              <w:rPr>
                <w:rFonts w:hint="eastAsia" w:ascii="Times New Roman" w:hAnsi="Times New Roman" w:cs="Times New Roman"/>
                <w:b w:val="0"/>
                <w:bCs w:val="0"/>
                <w:spacing w:val="2"/>
                <w:kern w:val="2"/>
                <w:sz w:val="21"/>
                <w:szCs w:val="21"/>
                <w:vertAlign w:val="baseline"/>
                <w:lang w:val="en-US" w:eastAsia="zh-CN"/>
              </w:rPr>
              <w:t>书</w:t>
            </w:r>
            <w:r>
              <w:rPr>
                <w:rFonts w:hint="default" w:ascii="Times New Roman" w:hAnsi="Times New Roman" w:eastAsia="宋体" w:cs="Times New Roman"/>
                <w:b w:val="0"/>
                <w:bCs w:val="0"/>
                <w:spacing w:val="2"/>
                <w:kern w:val="2"/>
                <w:sz w:val="21"/>
                <w:szCs w:val="21"/>
                <w:vertAlign w:val="baseline"/>
                <w:lang w:val="en-US" w:eastAsia="zh-CN"/>
              </w:rPr>
              <w:t>、运行记录、CEMS数据等</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5、耗材清单</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除尘器滤料更换记录等</w:t>
            </w:r>
            <w:r>
              <w:rPr>
                <w:rFonts w:hint="eastAsia" w:ascii="Times New Roman" w:hAnsi="Times New Roman" w:eastAsia="宋体" w:cs="Times New Roman"/>
                <w:b w:val="0"/>
                <w:bCs w:val="0"/>
                <w:spacing w:val="2"/>
                <w:kern w:val="2"/>
                <w:sz w:val="21"/>
                <w:szCs w:val="21"/>
                <w:vertAlign w:val="baseline"/>
                <w:lang w:val="en-US" w:eastAsia="zh-CN"/>
              </w:rPr>
              <w:t>）。</w:t>
            </w:r>
          </w:p>
          <w:p w14:paraId="3E7307EA">
            <w:pPr>
              <w:widowControl/>
              <w:numPr>
                <w:ilvl w:val="0"/>
                <w:numId w:val="0"/>
              </w:numPr>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管理制度健全</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1、有专兼职环保人员</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2、废气治理设施运行管理规程</w:t>
            </w:r>
            <w:r>
              <w:rPr>
                <w:rFonts w:hint="eastAsia" w:ascii="Times New Roman" w:hAnsi="Times New Roman" w:eastAsia="宋体" w:cs="Times New Roman"/>
                <w:b w:val="0"/>
                <w:bCs w:val="0"/>
                <w:spacing w:val="2"/>
                <w:kern w:val="2"/>
                <w:sz w:val="21"/>
                <w:szCs w:val="21"/>
                <w:vertAlign w:val="baseline"/>
                <w:lang w:val="en-US" w:eastAsia="zh-CN"/>
              </w:rPr>
              <w:t>。</w:t>
            </w:r>
          </w:p>
        </w:tc>
        <w:tc>
          <w:tcPr>
            <w:tcW w:w="5784" w:type="dxa"/>
            <w:tcBorders>
              <w:tl2br w:val="nil"/>
              <w:tr2bl w:val="nil"/>
            </w:tcBorders>
            <w:vAlign w:val="center"/>
          </w:tcPr>
          <w:p w14:paraId="15E8F511">
            <w:pPr>
              <w:pStyle w:val="9"/>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bidi="ar-SA"/>
              </w:rPr>
              <w:t>本项目将按要求办理上述环保手续并保存要求的齐全档案，几乎可以按照这些要求；本项目不涉及“CEMS”</w:t>
            </w:r>
            <w:r>
              <w:rPr>
                <w:rFonts w:hint="default" w:ascii="Times New Roman" w:hAnsi="Times New Roman" w:eastAsia="宋体" w:cs="Times New Roman"/>
                <w:spacing w:val="2"/>
                <w:sz w:val="21"/>
                <w:szCs w:val="21"/>
                <w:lang w:eastAsia="zh-CN"/>
              </w:rPr>
              <w:t>。</w:t>
            </w:r>
          </w:p>
        </w:tc>
        <w:tc>
          <w:tcPr>
            <w:tcW w:w="941" w:type="dxa"/>
            <w:vMerge w:val="continue"/>
            <w:tcBorders>
              <w:tl2br w:val="nil"/>
              <w:tr2bl w:val="nil"/>
            </w:tcBorders>
            <w:vAlign w:val="center"/>
          </w:tcPr>
          <w:p w14:paraId="10456544">
            <w:pPr>
              <w:widowControl/>
              <w:adjustRightInd/>
              <w:snapToGrid/>
              <w:spacing w:line="240" w:lineRule="auto"/>
              <w:jc w:val="center"/>
              <w:rPr>
                <w:rFonts w:hint="eastAsia" w:ascii="Times New Roman" w:hAnsi="Times New Roman" w:eastAsia="宋体" w:cs="Times New Roman"/>
                <w:spacing w:val="2"/>
                <w:sz w:val="21"/>
                <w:szCs w:val="21"/>
                <w:lang w:val="en-US" w:eastAsia="zh-CN"/>
              </w:rPr>
            </w:pPr>
          </w:p>
        </w:tc>
      </w:tr>
      <w:tr w14:paraId="2EB26F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tcBorders>
              <w:tl2br w:val="nil"/>
              <w:tr2bl w:val="nil"/>
            </w:tcBorders>
            <w:vAlign w:val="center"/>
          </w:tcPr>
          <w:p w14:paraId="314863C9">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运输方式</w:t>
            </w:r>
          </w:p>
        </w:tc>
        <w:tc>
          <w:tcPr>
            <w:tcW w:w="6554" w:type="dxa"/>
            <w:tcBorders>
              <w:tl2br w:val="nil"/>
              <w:tr2bl w:val="nil"/>
            </w:tcBorders>
            <w:vAlign w:val="center"/>
          </w:tcPr>
          <w:p w14:paraId="0F6BCA87">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1</w:t>
            </w:r>
            <w:r>
              <w:rPr>
                <w:rFonts w:hint="default" w:ascii="Times New Roman" w:hAnsi="Times New Roman" w:eastAsia="宋体" w:cs="Times New Roman"/>
                <w:b w:val="0"/>
                <w:bCs w:val="0"/>
                <w:spacing w:val="2"/>
                <w:kern w:val="2"/>
                <w:sz w:val="21"/>
                <w:szCs w:val="21"/>
                <w:vertAlign w:val="baseline"/>
                <w:lang w:val="en-US" w:eastAsia="zh-CN"/>
              </w:rPr>
              <w:t>、物料</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除水泥罐式货车外</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公路运输全部使用达到国五及以上排放标准重型载货车辆</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含燃气</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或新能源车辆</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2、</w:t>
            </w:r>
            <w:r>
              <w:rPr>
                <w:rFonts w:hint="eastAsia" w:ascii="Times New Roman" w:hAnsi="Times New Roman" w:cs="Times New Roman"/>
                <w:b w:val="0"/>
                <w:bCs w:val="0"/>
                <w:spacing w:val="2"/>
                <w:kern w:val="2"/>
                <w:sz w:val="21"/>
                <w:szCs w:val="21"/>
                <w:vertAlign w:val="baseline"/>
                <w:lang w:val="en-US" w:eastAsia="zh-CN"/>
              </w:rPr>
              <w:t>厂</w:t>
            </w:r>
            <w:r>
              <w:rPr>
                <w:rFonts w:hint="default" w:ascii="Times New Roman" w:hAnsi="Times New Roman" w:eastAsia="宋体" w:cs="Times New Roman"/>
                <w:b w:val="0"/>
                <w:bCs w:val="0"/>
                <w:spacing w:val="2"/>
                <w:kern w:val="2"/>
                <w:sz w:val="21"/>
                <w:szCs w:val="21"/>
                <w:vertAlign w:val="baseline"/>
                <w:lang w:val="en-US" w:eastAsia="zh-CN"/>
              </w:rPr>
              <w:t>内运输车辆全部达到国五及以上排放标准</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含燃气</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或使用新能源车辆</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3、</w:t>
            </w:r>
            <w:r>
              <w:rPr>
                <w:rFonts w:hint="eastAsia" w:ascii="Times New Roman" w:hAnsi="Times New Roman" w:cs="Times New Roman"/>
                <w:b w:val="0"/>
                <w:bCs w:val="0"/>
                <w:spacing w:val="2"/>
                <w:kern w:val="2"/>
                <w:sz w:val="21"/>
                <w:szCs w:val="21"/>
                <w:vertAlign w:val="baseline"/>
                <w:lang w:val="en-US" w:eastAsia="zh-CN"/>
              </w:rPr>
              <w:t>厂</w:t>
            </w:r>
            <w:r>
              <w:rPr>
                <w:rFonts w:hint="default" w:ascii="Times New Roman" w:hAnsi="Times New Roman" w:eastAsia="宋体" w:cs="Times New Roman"/>
                <w:b w:val="0"/>
                <w:bCs w:val="0"/>
                <w:spacing w:val="2"/>
                <w:kern w:val="2"/>
                <w:sz w:val="21"/>
                <w:szCs w:val="21"/>
                <w:vertAlign w:val="baseline"/>
                <w:lang w:val="en-US" w:eastAsia="zh-CN"/>
              </w:rPr>
              <w:t>内非道路移动机械全部达到国三及以上排放标准或使用新能源机械</w:t>
            </w:r>
          </w:p>
        </w:tc>
        <w:tc>
          <w:tcPr>
            <w:tcW w:w="5784" w:type="dxa"/>
            <w:tcBorders>
              <w:tl2br w:val="nil"/>
              <w:tr2bl w:val="nil"/>
            </w:tcBorders>
            <w:vAlign w:val="center"/>
          </w:tcPr>
          <w:p w14:paraId="1D82915A">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spacing w:val="2"/>
                <w:sz w:val="21"/>
                <w:szCs w:val="21"/>
              </w:rPr>
              <w:t>物料公路运输</w:t>
            </w:r>
            <w:r>
              <w:rPr>
                <w:rFonts w:hint="default" w:ascii="Times New Roman" w:hAnsi="Times New Roman" w:eastAsia="宋体" w:cs="Times New Roman"/>
                <w:b w:val="0"/>
                <w:bCs w:val="0"/>
                <w:spacing w:val="2"/>
                <w:kern w:val="2"/>
                <w:sz w:val="21"/>
                <w:szCs w:val="21"/>
                <w:vertAlign w:val="baseline"/>
                <w:lang w:val="en-US" w:eastAsia="zh-CN"/>
              </w:rPr>
              <w:t>全部</w:t>
            </w:r>
            <w:r>
              <w:rPr>
                <w:rFonts w:hint="default" w:ascii="Times New Roman" w:hAnsi="Times New Roman" w:eastAsia="宋体" w:cs="Times New Roman"/>
                <w:spacing w:val="2"/>
                <w:sz w:val="21"/>
                <w:szCs w:val="21"/>
              </w:rPr>
              <w:t>使用达到国五及以上排放标准重型载货车辆</w:t>
            </w:r>
            <w:r>
              <w:rPr>
                <w:rFonts w:hint="eastAsia" w:ascii="Times New Roman" w:hAnsi="Times New Roman" w:eastAsia="宋体" w:cs="Times New Roman"/>
                <w:spacing w:val="2"/>
                <w:sz w:val="21"/>
                <w:szCs w:val="21"/>
                <w:lang w:eastAsia="zh-CN"/>
              </w:rPr>
              <w:t>（</w:t>
            </w:r>
            <w:r>
              <w:rPr>
                <w:rFonts w:hint="default" w:ascii="Times New Roman" w:hAnsi="Times New Roman" w:eastAsia="宋体" w:cs="Times New Roman"/>
                <w:spacing w:val="2"/>
                <w:sz w:val="21"/>
                <w:szCs w:val="21"/>
              </w:rPr>
              <w:t>含燃气</w:t>
            </w:r>
            <w:r>
              <w:rPr>
                <w:rFonts w:hint="eastAsia" w:cs="Times New Roman"/>
                <w:spacing w:val="2"/>
                <w:sz w:val="21"/>
                <w:szCs w:val="21"/>
                <w:lang w:eastAsia="zh-CN"/>
              </w:rPr>
              <w:t>）</w:t>
            </w:r>
            <w:r>
              <w:rPr>
                <w:rFonts w:hint="default" w:ascii="Times New Roman" w:hAnsi="Times New Roman" w:eastAsia="宋体" w:cs="Times New Roman"/>
                <w:spacing w:val="2"/>
                <w:sz w:val="21"/>
                <w:szCs w:val="21"/>
              </w:rPr>
              <w:t>或新能源车辆</w:t>
            </w:r>
            <w:r>
              <w:rPr>
                <w:rFonts w:hint="eastAsia" w:ascii="Times New Roman" w:hAnsi="Times New Roman" w:cs="Times New Roman"/>
                <w:spacing w:val="2"/>
                <w:sz w:val="21"/>
                <w:szCs w:val="21"/>
                <w:lang w:eastAsia="zh-CN"/>
              </w:rPr>
              <w:t>；</w:t>
            </w:r>
            <w:r>
              <w:rPr>
                <w:rFonts w:hint="eastAsia" w:ascii="Times New Roman" w:hAnsi="Times New Roman" w:cs="Times New Roman"/>
                <w:b w:val="0"/>
                <w:bCs w:val="0"/>
                <w:spacing w:val="2"/>
                <w:kern w:val="2"/>
                <w:sz w:val="21"/>
                <w:szCs w:val="21"/>
                <w:vertAlign w:val="baseline"/>
                <w:lang w:val="en-US" w:eastAsia="zh-CN"/>
              </w:rPr>
              <w:t>厂</w:t>
            </w:r>
            <w:r>
              <w:rPr>
                <w:rFonts w:hint="default" w:ascii="Times New Roman" w:hAnsi="Times New Roman" w:eastAsia="宋体" w:cs="Times New Roman"/>
                <w:b w:val="0"/>
                <w:bCs w:val="0"/>
                <w:spacing w:val="2"/>
                <w:kern w:val="2"/>
                <w:sz w:val="21"/>
                <w:szCs w:val="21"/>
                <w:vertAlign w:val="baseline"/>
                <w:lang w:val="en-US" w:eastAsia="zh-CN"/>
              </w:rPr>
              <w:t>内非道路移动机械全部达到国三及以上排放标准或使用新能源机械</w:t>
            </w:r>
            <w:r>
              <w:rPr>
                <w:rFonts w:hint="eastAsia" w:ascii="Times New Roman" w:hAnsi="Times New Roman" w:eastAsia="宋体" w:cs="Times New Roman"/>
                <w:b w:val="0"/>
                <w:bCs w:val="0"/>
                <w:spacing w:val="2"/>
                <w:kern w:val="2"/>
                <w:sz w:val="21"/>
                <w:szCs w:val="21"/>
                <w:vertAlign w:val="baseline"/>
                <w:lang w:val="en-US" w:eastAsia="zh-CN"/>
              </w:rPr>
              <w:t>。</w:t>
            </w:r>
          </w:p>
        </w:tc>
        <w:tc>
          <w:tcPr>
            <w:tcW w:w="941" w:type="dxa"/>
            <w:vMerge w:val="continue"/>
            <w:tcBorders>
              <w:tl2br w:val="nil"/>
              <w:tr2bl w:val="nil"/>
            </w:tcBorders>
            <w:vAlign w:val="center"/>
          </w:tcPr>
          <w:p w14:paraId="3DFDBF83">
            <w:pPr>
              <w:widowControl/>
              <w:adjustRightInd/>
              <w:snapToGrid/>
              <w:spacing w:line="240" w:lineRule="auto"/>
              <w:jc w:val="center"/>
              <w:rPr>
                <w:rFonts w:hint="default" w:ascii="Times New Roman" w:hAnsi="Times New Roman" w:eastAsia="宋体" w:cs="Times New Roman"/>
                <w:spacing w:val="2"/>
                <w:sz w:val="21"/>
                <w:szCs w:val="21"/>
              </w:rPr>
            </w:pPr>
          </w:p>
        </w:tc>
      </w:tr>
      <w:tr w14:paraId="7741E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06" w:type="dxa"/>
            <w:tcBorders>
              <w:tl2br w:val="nil"/>
              <w:tr2bl w:val="nil"/>
            </w:tcBorders>
            <w:vAlign w:val="center"/>
          </w:tcPr>
          <w:p w14:paraId="6E6EF134">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运输监管</w:t>
            </w:r>
          </w:p>
        </w:tc>
        <w:tc>
          <w:tcPr>
            <w:tcW w:w="6554" w:type="dxa"/>
            <w:tcBorders>
              <w:tl2br w:val="nil"/>
              <w:tr2bl w:val="nil"/>
            </w:tcBorders>
            <w:vAlign w:val="center"/>
          </w:tcPr>
          <w:p w14:paraId="51CB9658">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cs="Times New Roman"/>
                <w:b w:val="0"/>
                <w:bCs w:val="0"/>
                <w:spacing w:val="2"/>
                <w:kern w:val="2"/>
                <w:sz w:val="21"/>
                <w:szCs w:val="21"/>
                <w:vertAlign w:val="baseline"/>
                <w:lang w:val="en-US" w:eastAsia="zh-CN"/>
              </w:rPr>
              <w:t>配备</w:t>
            </w:r>
            <w:r>
              <w:rPr>
                <w:rFonts w:hint="default" w:ascii="Times New Roman" w:hAnsi="Times New Roman" w:eastAsia="宋体" w:cs="Times New Roman"/>
                <w:b w:val="0"/>
                <w:bCs w:val="0"/>
                <w:spacing w:val="2"/>
                <w:kern w:val="2"/>
                <w:sz w:val="21"/>
                <w:szCs w:val="21"/>
                <w:vertAlign w:val="baseline"/>
                <w:lang w:val="en-US" w:eastAsia="zh-CN"/>
              </w:rPr>
              <w:t>门禁和视频监控系统，监控运输车辆进出厂区情况，记录运输车辆电子台账</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视频监控、台账数据保存三个月以上</w:t>
            </w:r>
          </w:p>
        </w:tc>
        <w:tc>
          <w:tcPr>
            <w:tcW w:w="5784" w:type="dxa"/>
            <w:tcBorders>
              <w:tl2br w:val="nil"/>
              <w:tr2bl w:val="nil"/>
            </w:tcBorders>
            <w:vAlign w:val="center"/>
          </w:tcPr>
          <w:p w14:paraId="4ECC5FE6">
            <w:pPr>
              <w:widowControl/>
              <w:adjustRightInd/>
              <w:snapToGrid/>
              <w:spacing w:line="240" w:lineRule="auto"/>
              <w:jc w:val="center"/>
              <w:rPr>
                <w:rFonts w:hint="default" w:ascii="Times New Roman" w:hAnsi="Times New Roman" w:eastAsia="宋体" w:cs="Times New Roman"/>
                <w:b w:val="0"/>
                <w:bCs w:val="0"/>
                <w:spacing w:val="2"/>
                <w:kern w:val="2"/>
                <w:sz w:val="21"/>
                <w:szCs w:val="21"/>
                <w:vertAlign w:val="baseline"/>
                <w:lang w:val="en-US" w:eastAsia="zh-CN"/>
              </w:rPr>
            </w:pPr>
            <w:r>
              <w:rPr>
                <w:rFonts w:hint="eastAsia" w:ascii="Times New Roman" w:hAnsi="Times New Roman" w:eastAsia="宋体" w:cs="Times New Roman"/>
                <w:b w:val="0"/>
                <w:bCs w:val="0"/>
                <w:spacing w:val="2"/>
                <w:kern w:val="2"/>
                <w:sz w:val="21"/>
                <w:szCs w:val="21"/>
                <w:vertAlign w:val="baseline"/>
                <w:lang w:val="en-US" w:eastAsia="zh-CN"/>
              </w:rPr>
              <w:t>本项目</w:t>
            </w:r>
            <w:r>
              <w:rPr>
                <w:rFonts w:hint="eastAsia" w:ascii="Times New Roman" w:hAnsi="Times New Roman" w:cs="Times New Roman"/>
                <w:b w:val="0"/>
                <w:bCs w:val="0"/>
                <w:spacing w:val="2"/>
                <w:kern w:val="2"/>
                <w:sz w:val="21"/>
                <w:szCs w:val="21"/>
                <w:vertAlign w:val="baseline"/>
                <w:lang w:val="en-US" w:eastAsia="zh-CN"/>
              </w:rPr>
              <w:t>配备</w:t>
            </w:r>
            <w:r>
              <w:rPr>
                <w:rFonts w:hint="default" w:ascii="Times New Roman" w:hAnsi="Times New Roman" w:eastAsia="宋体" w:cs="Times New Roman"/>
                <w:b w:val="0"/>
                <w:bCs w:val="0"/>
                <w:spacing w:val="2"/>
                <w:kern w:val="2"/>
                <w:sz w:val="21"/>
                <w:szCs w:val="21"/>
                <w:vertAlign w:val="baseline"/>
                <w:lang w:val="en-US" w:eastAsia="zh-CN"/>
              </w:rPr>
              <w:t>门禁和视频监控系统，监控运输车辆进出厂区情况，记录运输车辆电子台账</w:t>
            </w:r>
            <w:r>
              <w:rPr>
                <w:rFonts w:hint="eastAsia" w:ascii="Times New Roman" w:hAnsi="Times New Roman" w:eastAsia="宋体" w:cs="Times New Roman"/>
                <w:b w:val="0"/>
                <w:bCs w:val="0"/>
                <w:spacing w:val="2"/>
                <w:kern w:val="2"/>
                <w:sz w:val="21"/>
                <w:szCs w:val="21"/>
                <w:vertAlign w:val="baseline"/>
                <w:lang w:val="en-US" w:eastAsia="zh-CN"/>
              </w:rPr>
              <w:t>；</w:t>
            </w:r>
            <w:r>
              <w:rPr>
                <w:rFonts w:hint="default" w:ascii="Times New Roman" w:hAnsi="Times New Roman" w:eastAsia="宋体" w:cs="Times New Roman"/>
                <w:b w:val="0"/>
                <w:bCs w:val="0"/>
                <w:spacing w:val="2"/>
                <w:kern w:val="2"/>
                <w:sz w:val="21"/>
                <w:szCs w:val="21"/>
                <w:vertAlign w:val="baseline"/>
                <w:lang w:val="en-US" w:eastAsia="zh-CN"/>
              </w:rPr>
              <w:t>视频监控、台账数据保存三个月以上</w:t>
            </w:r>
          </w:p>
        </w:tc>
        <w:tc>
          <w:tcPr>
            <w:tcW w:w="941" w:type="dxa"/>
            <w:vMerge w:val="continue"/>
            <w:tcBorders>
              <w:tl2br w:val="nil"/>
              <w:tr2bl w:val="nil"/>
            </w:tcBorders>
            <w:vAlign w:val="center"/>
          </w:tcPr>
          <w:p w14:paraId="0047A552">
            <w:pPr>
              <w:widowControl/>
              <w:adjustRightInd/>
              <w:snapToGrid/>
              <w:spacing w:line="240" w:lineRule="auto"/>
              <w:jc w:val="center"/>
              <w:rPr>
                <w:rFonts w:hint="eastAsia" w:ascii="Times New Roman" w:hAnsi="Times New Roman" w:eastAsia="宋体" w:cs="Times New Roman"/>
                <w:b w:val="0"/>
                <w:bCs w:val="0"/>
                <w:spacing w:val="2"/>
                <w:kern w:val="2"/>
                <w:sz w:val="21"/>
                <w:szCs w:val="21"/>
                <w:vertAlign w:val="baseline"/>
                <w:lang w:val="en-US" w:eastAsia="zh-CN"/>
              </w:rPr>
            </w:pPr>
          </w:p>
        </w:tc>
      </w:tr>
      <w:tr w14:paraId="7907E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4685" w:type="dxa"/>
            <w:gridSpan w:val="4"/>
            <w:tcBorders>
              <w:tl2br w:val="nil"/>
              <w:tr2bl w:val="nil"/>
            </w:tcBorders>
            <w:vAlign w:val="center"/>
          </w:tcPr>
          <w:p w14:paraId="32B99764">
            <w:pPr>
              <w:widowControl/>
              <w:adjustRightInd/>
              <w:snapToGrid/>
              <w:spacing w:line="240" w:lineRule="auto"/>
              <w:jc w:val="both"/>
              <w:rPr>
                <w:rFonts w:hint="default" w:ascii="Times New Roman" w:hAnsi="Times New Roman" w:eastAsia="宋体" w:cs="Times New Roman"/>
                <w:b w:val="0"/>
                <w:bCs w:val="0"/>
                <w:spacing w:val="2"/>
                <w:kern w:val="2"/>
                <w:sz w:val="21"/>
                <w:szCs w:val="21"/>
                <w:vertAlign w:val="baseline"/>
                <w:lang w:val="en-US" w:eastAsia="zh-CN"/>
              </w:rPr>
            </w:pPr>
            <w:r>
              <w:rPr>
                <w:rFonts w:hint="default" w:ascii="Times New Roman" w:hAnsi="Times New Roman" w:eastAsia="宋体" w:cs="Times New Roman"/>
                <w:b w:val="0"/>
                <w:bCs w:val="0"/>
                <w:spacing w:val="2"/>
                <w:kern w:val="2"/>
                <w:sz w:val="21"/>
                <w:szCs w:val="21"/>
                <w:vertAlign w:val="baseline"/>
                <w:lang w:val="en-US" w:eastAsia="zh-CN"/>
              </w:rPr>
              <w:t>注</w:t>
            </w:r>
            <w:r>
              <w:rPr>
                <w:rFonts w:hint="eastAsia" w:ascii="Times New Roman" w:hAnsi="Times New Roman" w:eastAsia="宋体" w:cs="Times New Roman"/>
                <w:b w:val="0"/>
                <w:bCs w:val="0"/>
                <w:spacing w:val="2"/>
                <w:kern w:val="2"/>
                <w:sz w:val="21"/>
                <w:szCs w:val="21"/>
                <w:vertAlign w:val="baseline"/>
                <w:lang w:val="en-US" w:eastAsia="zh-CN"/>
              </w:rPr>
              <w:t>4：</w:t>
            </w:r>
            <w:r>
              <w:rPr>
                <w:rFonts w:hint="eastAsia" w:ascii="Times New Roman" w:hAnsi="Times New Roman" w:eastAsia="宋体" w:cs="Times New Roman"/>
                <w:b w:val="0"/>
                <w:bCs w:val="0"/>
                <w:spacing w:val="2"/>
                <w:kern w:val="2"/>
                <w:sz w:val="21"/>
                <w:szCs w:val="21"/>
                <w:vertAlign w:val="superscript"/>
                <w:lang w:val="en-US" w:eastAsia="zh-CN"/>
              </w:rPr>
              <w:t>d</w:t>
            </w:r>
            <w:r>
              <w:rPr>
                <w:rFonts w:hint="default" w:ascii="Times New Roman" w:hAnsi="Times New Roman" w:eastAsia="宋体" w:cs="Times New Roman"/>
                <w:b w:val="0"/>
                <w:bCs w:val="0"/>
                <w:spacing w:val="2"/>
                <w:kern w:val="2"/>
                <w:sz w:val="21"/>
                <w:szCs w:val="21"/>
                <w:vertAlign w:val="baseline"/>
                <w:lang w:val="en-US" w:eastAsia="zh-CN"/>
              </w:rPr>
              <w:t>《水泥业大气污染物排放标准》GB4915-2013水泥制品生产指预混凝土和混凝预制件的生产，不包括水泥用于现场搅拌的过程</w:t>
            </w:r>
          </w:p>
        </w:tc>
      </w:tr>
    </w:tbl>
    <w:p w14:paraId="670437EF">
      <w:pPr>
        <w:rPr>
          <w:rFonts w:hint="eastAsia" w:ascii="宋体" w:hAnsi="宋体" w:eastAsia="宋体" w:cs="宋体"/>
          <w:b w:val="0"/>
          <w:bCs w:val="0"/>
          <w:color w:val="000000"/>
          <w:kern w:val="0"/>
          <w:sz w:val="24"/>
          <w:lang w:val="en-US" w:eastAsia="zh-CN"/>
        </w:rPr>
      </w:pPr>
      <w:r>
        <w:rPr>
          <w:rFonts w:hint="eastAsia" w:ascii="宋体" w:hAnsi="宋体" w:cs="宋体"/>
          <w:b w:val="0"/>
          <w:bCs w:val="0"/>
          <w:color w:val="000000"/>
          <w:kern w:val="0"/>
          <w:sz w:val="24"/>
          <w:lang w:val="en-US" w:eastAsia="zh-CN"/>
        </w:rPr>
        <w:t>根据企业提供资料，建</w:t>
      </w:r>
      <w:r>
        <w:rPr>
          <w:rFonts w:hint="eastAsia" w:ascii="宋体" w:hAnsi="宋体" w:eastAsia="宋体" w:cs="宋体"/>
          <w:b w:val="0"/>
          <w:bCs w:val="0"/>
          <w:color w:val="000000"/>
          <w:kern w:val="0"/>
          <w:sz w:val="24"/>
          <w:lang w:val="en-US" w:eastAsia="zh-CN"/>
        </w:rPr>
        <w:t>设单位符合</w:t>
      </w:r>
      <w:r>
        <w:rPr>
          <w:rFonts w:hint="default" w:ascii="宋体" w:hAnsi="宋体" w:eastAsia="宋体" w:cs="宋体"/>
          <w:b w:val="0"/>
          <w:bCs w:val="0"/>
          <w:color w:val="000000"/>
          <w:kern w:val="0"/>
          <w:sz w:val="24"/>
          <w:lang w:val="en-US" w:eastAsia="zh-CN"/>
        </w:rPr>
        <w:t>水泥制品</w:t>
      </w:r>
      <w:r>
        <w:rPr>
          <w:rFonts w:hint="eastAsia" w:ascii="宋体" w:hAnsi="宋体" w:eastAsia="宋体" w:cs="宋体"/>
          <w:b w:val="0"/>
          <w:bCs w:val="0"/>
          <w:color w:val="000000"/>
          <w:kern w:val="0"/>
          <w:sz w:val="24"/>
          <w:vertAlign w:val="superscript"/>
          <w:lang w:val="en-US" w:eastAsia="zh-CN"/>
        </w:rPr>
        <w:t>d</w:t>
      </w:r>
      <w:r>
        <w:rPr>
          <w:rFonts w:hint="default" w:ascii="宋体" w:hAnsi="宋体" w:eastAsia="宋体" w:cs="宋体"/>
          <w:b w:val="0"/>
          <w:bCs w:val="0"/>
          <w:color w:val="000000"/>
          <w:kern w:val="0"/>
          <w:sz w:val="24"/>
          <w:lang w:val="en-US" w:eastAsia="zh-CN"/>
        </w:rPr>
        <w:t>绩效引领性指标</w:t>
      </w:r>
      <w:r>
        <w:rPr>
          <w:rFonts w:hint="eastAsia" w:ascii="宋体" w:hAnsi="宋体" w:eastAsia="宋体" w:cs="宋体"/>
          <w:b w:val="0"/>
          <w:bCs w:val="0"/>
          <w:color w:val="000000"/>
          <w:kern w:val="0"/>
          <w:sz w:val="24"/>
          <w:lang w:val="en-US" w:eastAsia="zh-CN"/>
        </w:rPr>
        <w:t>。</w:t>
      </w:r>
    </w:p>
    <w:p w14:paraId="077C4122">
      <w:pPr>
        <w:rPr>
          <w:rFonts w:hint="eastAsia" w:ascii="Times New Roman" w:hAnsi="Times New Roman" w:eastAsia="黑体"/>
          <w:snapToGrid w:val="0"/>
          <w:sz w:val="30"/>
          <w:szCs w:val="30"/>
        </w:rPr>
      </w:pPr>
      <w:r>
        <w:rPr>
          <w:rFonts w:hint="eastAsia" w:ascii="Times New Roman" w:hAnsi="Times New Roman" w:eastAsia="黑体"/>
          <w:snapToGrid w:val="0"/>
          <w:sz w:val="30"/>
          <w:szCs w:val="30"/>
        </w:rPr>
        <w:br w:type="page"/>
      </w:r>
    </w:p>
    <w:p w14:paraId="06AA8081">
      <w:pPr>
        <w:rPr>
          <w:rFonts w:hint="eastAsia"/>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14:paraId="10573AA5">
      <w:pPr>
        <w:pStyle w:val="21"/>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五、</w:t>
      </w:r>
      <w:bookmarkStart w:id="11" w:name="_Hlk54167917"/>
      <w:r>
        <w:rPr>
          <w:rFonts w:hint="eastAsia" w:ascii="Times New Roman" w:hAnsi="Times New Roman" w:eastAsia="黑体"/>
          <w:snapToGrid w:val="0"/>
          <w:sz w:val="30"/>
          <w:szCs w:val="30"/>
        </w:rPr>
        <w:t>环境保护措施监督检查清单</w:t>
      </w:r>
      <w:bookmarkEnd w:id="11"/>
    </w:p>
    <w:tbl>
      <w:tblPr>
        <w:tblStyle w:val="24"/>
        <w:tblW w:w="88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686"/>
        <w:gridCol w:w="1418"/>
        <w:gridCol w:w="1816"/>
        <w:gridCol w:w="2342"/>
      </w:tblGrid>
      <w:tr w14:paraId="0E643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nil"/>
              <w:tr2bl w:val="nil"/>
            </w:tcBorders>
            <w:vAlign w:val="center"/>
          </w:tcPr>
          <w:p w14:paraId="7DFFED98">
            <w:pPr>
              <w:adjustRightInd w:val="0"/>
              <w:snapToGrid w:val="0"/>
              <w:ind w:firstLine="840"/>
              <w:jc w:val="center"/>
              <w:rPr>
                <w:rFonts w:hint="default" w:ascii="Times New Roman" w:hAnsi="Times New Roman" w:cs="Times New Roman"/>
                <w:b/>
                <w:bCs/>
                <w:sz w:val="21"/>
                <w:szCs w:val="21"/>
              </w:rPr>
            </w:pPr>
            <w:r>
              <w:rPr>
                <w:rFonts w:hint="default" w:ascii="Times New Roman" w:hAnsi="Times New Roman" w:cs="Times New Roman"/>
                <w:b/>
                <w:bCs/>
                <w:sz w:val="21"/>
                <w:szCs w:val="21"/>
              </w:rPr>
              <mc:AlternateContent>
                <mc:Choice Requires="wps">
                  <w:drawing>
                    <wp:anchor distT="0" distB="0" distL="114300" distR="114300" simplePos="0" relativeHeight="251667456" behindDoc="0" locked="0" layoutInCell="1" allowOverlap="1">
                      <wp:simplePos x="0" y="0"/>
                      <wp:positionH relativeFrom="column">
                        <wp:posOffset>-74930</wp:posOffset>
                      </wp:positionH>
                      <wp:positionV relativeFrom="paragraph">
                        <wp:posOffset>-6985</wp:posOffset>
                      </wp:positionV>
                      <wp:extent cx="984250" cy="361950"/>
                      <wp:effectExtent l="1905" t="5715" r="4445" b="13335"/>
                      <wp:wrapNone/>
                      <wp:docPr id="29" name="直接连接符 29"/>
                      <wp:cNvGraphicFramePr/>
                      <a:graphic xmlns:a="http://schemas.openxmlformats.org/drawingml/2006/main">
                        <a:graphicData uri="http://schemas.microsoft.com/office/word/2010/wordprocessingShape">
                          <wps:wsp>
                            <wps:cNvCnPr/>
                            <wps:spPr>
                              <a:xfrm>
                                <a:off x="979805" y="1500505"/>
                                <a:ext cx="984250" cy="3619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9pt;margin-top:-0.55pt;height:28.5pt;width:77.5pt;z-index:251667456;mso-width-relative:page;mso-height-relative:page;" filled="f" stroked="t" coordsize="21600,21600" o:gfxdata="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YosPZAAAACQEAAA8AAAAAAAAAAQAgAAAAIgAAAGRycy9kb3ducmV2LnhtbFBLAQIU&#10;ABQAAAAIAIdO4kBPjSLg8gEAAMMDAAAOAAAAAAAAAAEAIAAAACgBAABkcnMvZTJvRG9jLnhtbFBL&#10;BQYAAAAABgAGAFkBAACMBQAAAAA=&#10;">
                      <v:fill on="f" focussize="0,0"/>
                      <v:stroke weight="1pt" color="#000000 [3213]" miterlimit="8" joinstyle="miter"/>
                      <v:imagedata o:title=""/>
                      <o:lock v:ext="edit" aspectratio="f"/>
                    </v:line>
                  </w:pict>
                </mc:Fallback>
              </mc:AlternateContent>
            </w:r>
            <w:r>
              <w:rPr>
                <w:rFonts w:hint="default" w:ascii="Times New Roman" w:hAnsi="Times New Roman" w:cs="Times New Roman"/>
                <w:b/>
                <w:bCs/>
                <w:sz w:val="21"/>
                <w:szCs w:val="21"/>
              </w:rPr>
              <w:t>要素内容</w:t>
            </w:r>
          </w:p>
        </w:tc>
        <w:tc>
          <w:tcPr>
            <w:tcW w:w="1686" w:type="dxa"/>
            <w:tcBorders>
              <w:tl2br w:val="nil"/>
              <w:tr2bl w:val="nil"/>
            </w:tcBorders>
            <w:vAlign w:val="center"/>
          </w:tcPr>
          <w:p w14:paraId="38F8C84F">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排放口</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rPr>
              <w:t>编号、名称</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rPr>
              <w:t>/污染源</w:t>
            </w:r>
          </w:p>
        </w:tc>
        <w:tc>
          <w:tcPr>
            <w:tcW w:w="1418" w:type="dxa"/>
            <w:tcBorders>
              <w:tl2br w:val="nil"/>
              <w:tr2bl w:val="nil"/>
            </w:tcBorders>
            <w:vAlign w:val="center"/>
          </w:tcPr>
          <w:p w14:paraId="032B8DCE">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p w14:paraId="45E9A444">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项目</w:t>
            </w:r>
          </w:p>
        </w:tc>
        <w:tc>
          <w:tcPr>
            <w:tcW w:w="1816" w:type="dxa"/>
            <w:tcBorders>
              <w:tl2br w:val="nil"/>
              <w:tr2bl w:val="nil"/>
            </w:tcBorders>
            <w:vAlign w:val="center"/>
          </w:tcPr>
          <w:p w14:paraId="46984CD0">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环境保护措施</w:t>
            </w:r>
          </w:p>
        </w:tc>
        <w:tc>
          <w:tcPr>
            <w:tcW w:w="2342" w:type="dxa"/>
            <w:tcBorders>
              <w:tl2br w:val="nil"/>
              <w:tr2bl w:val="nil"/>
            </w:tcBorders>
            <w:vAlign w:val="center"/>
          </w:tcPr>
          <w:p w14:paraId="288CA03F">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执行标准</w:t>
            </w:r>
          </w:p>
        </w:tc>
      </w:tr>
      <w:tr w14:paraId="3E7E2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l2br w:val="nil"/>
              <w:tr2bl w:val="nil"/>
            </w:tcBorders>
            <w:vAlign w:val="center"/>
          </w:tcPr>
          <w:p w14:paraId="2D7EA24D">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大气环境</w:t>
            </w:r>
          </w:p>
        </w:tc>
        <w:tc>
          <w:tcPr>
            <w:tcW w:w="1686" w:type="dxa"/>
            <w:tcBorders>
              <w:tl2br w:val="nil"/>
              <w:tr2bl w:val="nil"/>
            </w:tcBorders>
            <w:vAlign w:val="center"/>
          </w:tcPr>
          <w:p w14:paraId="216F6174">
            <w:pPr>
              <w:adjustRightInd w:val="0"/>
              <w:snapToGrid w:val="0"/>
              <w:jc w:val="center"/>
              <w:rPr>
                <w:rFonts w:hint="default" w:ascii="Times New Roman" w:hAnsi="Times New Roman" w:cs="Times New Roman"/>
                <w:b w:val="0"/>
                <w:bCs w:val="0"/>
                <w:sz w:val="21"/>
                <w:szCs w:val="21"/>
              </w:rPr>
            </w:pPr>
            <w:r>
              <w:rPr>
                <w:rFonts w:hint="eastAsia" w:ascii="Times New Roman" w:hAnsi="Times New Roman" w:cs="Times New Roman"/>
                <w:b w:val="0"/>
                <w:bCs w:val="0"/>
                <w:color w:val="auto"/>
                <w:sz w:val="21"/>
                <w:szCs w:val="21"/>
                <w:lang w:val="en-US" w:eastAsia="zh-CN"/>
              </w:rPr>
              <w:t>投料</w:t>
            </w:r>
          </w:p>
        </w:tc>
        <w:tc>
          <w:tcPr>
            <w:tcW w:w="1418" w:type="dxa"/>
            <w:tcBorders>
              <w:tl2br w:val="nil"/>
              <w:tr2bl w:val="nil"/>
            </w:tcBorders>
            <w:vAlign w:val="center"/>
          </w:tcPr>
          <w:p w14:paraId="37F3621D">
            <w:pPr>
              <w:adjustRightInd w:val="0"/>
              <w:snapToGrid w:val="0"/>
              <w:jc w:val="center"/>
              <w:rPr>
                <w:rFonts w:hint="default" w:ascii="Times New Roman" w:hAnsi="Times New Roman" w:cs="Times New Roman"/>
                <w:b w:val="0"/>
                <w:bCs w:val="0"/>
                <w:sz w:val="21"/>
                <w:szCs w:val="21"/>
              </w:rPr>
            </w:pPr>
            <w:r>
              <w:rPr>
                <w:rFonts w:hint="default" w:ascii="Times New Roman" w:hAnsi="Times New Roman" w:eastAsia="宋体" w:cs="Times New Roman"/>
                <w:b w:val="0"/>
                <w:bCs w:val="0"/>
                <w:color w:val="auto"/>
                <w:kern w:val="2"/>
                <w:sz w:val="21"/>
                <w:szCs w:val="21"/>
                <w:lang w:val="en-US" w:eastAsia="zh-CN" w:bidi="ar-SA"/>
              </w:rPr>
              <w:t>颗粒物</w:t>
            </w:r>
          </w:p>
        </w:tc>
        <w:tc>
          <w:tcPr>
            <w:tcW w:w="1816" w:type="dxa"/>
            <w:vMerge w:val="restart"/>
            <w:tcBorders>
              <w:tl2br w:val="nil"/>
              <w:tr2bl w:val="nil"/>
            </w:tcBorders>
            <w:vAlign w:val="center"/>
          </w:tcPr>
          <w:p w14:paraId="10AAE105">
            <w:pPr>
              <w:adjustRightInd w:val="0"/>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auto"/>
                <w:sz w:val="21"/>
                <w:szCs w:val="21"/>
                <w:lang w:val="en-US" w:eastAsia="zh-CN"/>
              </w:rPr>
              <w:t>密闭</w:t>
            </w:r>
            <w:r>
              <w:rPr>
                <w:rFonts w:hint="default" w:ascii="Times New Roman" w:hAnsi="Times New Roman" w:eastAsia="宋体" w:cs="Times New Roman"/>
                <w:b w:val="0"/>
                <w:bCs w:val="0"/>
                <w:color w:val="auto"/>
                <w:sz w:val="21"/>
                <w:szCs w:val="21"/>
                <w:lang w:val="en-US" w:eastAsia="zh-CN"/>
              </w:rPr>
              <w:t>箱体侧吸</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集尘罩+布袋除尘器+15m排气</w:t>
            </w:r>
            <w:r>
              <w:rPr>
                <w:rFonts w:hint="default" w:ascii="Times New Roman" w:hAnsi="Times New Roman" w:cs="Times New Roman"/>
                <w:b w:val="0"/>
                <w:bCs w:val="0"/>
                <w:color w:val="auto"/>
                <w:sz w:val="21"/>
                <w:szCs w:val="21"/>
                <w:lang w:val="en-US" w:eastAsia="zh-CN"/>
              </w:rPr>
              <w:t>筒</w:t>
            </w:r>
          </w:p>
        </w:tc>
        <w:tc>
          <w:tcPr>
            <w:tcW w:w="2342" w:type="dxa"/>
            <w:vMerge w:val="restart"/>
            <w:tcBorders>
              <w:tl2br w:val="nil"/>
              <w:tr2bl w:val="nil"/>
            </w:tcBorders>
            <w:vAlign w:val="center"/>
          </w:tcPr>
          <w:p w14:paraId="60B5B8BD">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《水泥工业大气污染物排放标准》（GB4915-2013）</w:t>
            </w:r>
          </w:p>
          <w:p w14:paraId="1D503970">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《关中地区重点行业大气污染物排放限值》（DB61/941-2018）水泥工业大气污染物排放浓度限值（水泥制品生产</w:t>
            </w:r>
            <w:r>
              <w:rPr>
                <w:rFonts w:ascii="Times New Roman" w:hAnsi="Times New Roman"/>
                <w:kern w:val="0"/>
                <w:sz w:val="21"/>
                <w:szCs w:val="21"/>
              </w:rPr>
              <w:t>）</w:t>
            </w:r>
          </w:p>
        </w:tc>
      </w:tr>
      <w:tr w14:paraId="30AEF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tl2br w:val="nil"/>
              <w:tr2bl w:val="nil"/>
            </w:tcBorders>
            <w:vAlign w:val="center"/>
          </w:tcPr>
          <w:p w14:paraId="67E7E229">
            <w:pPr>
              <w:adjustRightInd w:val="0"/>
              <w:snapToGrid w:val="0"/>
              <w:jc w:val="center"/>
              <w:rPr>
                <w:rFonts w:hint="default" w:ascii="Times New Roman" w:hAnsi="Times New Roman" w:cs="Times New Roman"/>
                <w:b w:val="0"/>
                <w:bCs w:val="0"/>
                <w:sz w:val="21"/>
                <w:szCs w:val="21"/>
              </w:rPr>
            </w:pPr>
          </w:p>
        </w:tc>
        <w:tc>
          <w:tcPr>
            <w:tcW w:w="1686" w:type="dxa"/>
            <w:tcBorders>
              <w:tl2br w:val="nil"/>
              <w:tr2bl w:val="nil"/>
            </w:tcBorders>
            <w:vAlign w:val="center"/>
          </w:tcPr>
          <w:p w14:paraId="4B2D21C7">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color w:val="auto"/>
                <w:sz w:val="21"/>
                <w:szCs w:val="21"/>
                <w:lang w:val="en-US" w:eastAsia="zh-CN"/>
              </w:rPr>
              <w:t>包装</w:t>
            </w:r>
          </w:p>
        </w:tc>
        <w:tc>
          <w:tcPr>
            <w:tcW w:w="1418" w:type="dxa"/>
            <w:tcBorders>
              <w:tl2br w:val="nil"/>
              <w:tr2bl w:val="nil"/>
            </w:tcBorders>
            <w:vAlign w:val="center"/>
          </w:tcPr>
          <w:p w14:paraId="2E331EFD">
            <w:pPr>
              <w:adjustRightInd w:val="0"/>
              <w:snapToGrid w:val="0"/>
              <w:jc w:val="center"/>
              <w:rPr>
                <w:rFonts w:hint="default" w:ascii="Times New Roman" w:hAnsi="Times New Roman" w:cs="Times New Roman"/>
                <w:b w:val="0"/>
                <w:bCs w:val="0"/>
                <w:sz w:val="21"/>
                <w:szCs w:val="21"/>
              </w:rPr>
            </w:pPr>
            <w:r>
              <w:rPr>
                <w:rFonts w:hint="default" w:ascii="Times New Roman" w:hAnsi="Times New Roman" w:eastAsia="宋体" w:cs="Times New Roman"/>
                <w:b w:val="0"/>
                <w:bCs w:val="0"/>
                <w:color w:val="auto"/>
                <w:kern w:val="2"/>
                <w:sz w:val="21"/>
                <w:szCs w:val="21"/>
                <w:lang w:val="en-US" w:eastAsia="zh-CN" w:bidi="ar-SA"/>
              </w:rPr>
              <w:t>颗粒物</w:t>
            </w:r>
          </w:p>
        </w:tc>
        <w:tc>
          <w:tcPr>
            <w:tcW w:w="1816" w:type="dxa"/>
            <w:vMerge w:val="continue"/>
            <w:tcBorders>
              <w:tl2br w:val="nil"/>
              <w:tr2bl w:val="nil"/>
            </w:tcBorders>
            <w:vAlign w:val="center"/>
          </w:tcPr>
          <w:p w14:paraId="4C62AB61">
            <w:pPr>
              <w:adjustRightInd w:val="0"/>
              <w:snapToGrid w:val="0"/>
              <w:jc w:val="center"/>
              <w:rPr>
                <w:rFonts w:hint="default" w:ascii="Times New Roman" w:hAnsi="Times New Roman" w:cs="Times New Roman"/>
                <w:b w:val="0"/>
                <w:bCs w:val="0"/>
                <w:sz w:val="21"/>
                <w:szCs w:val="21"/>
              </w:rPr>
            </w:pPr>
          </w:p>
        </w:tc>
        <w:tc>
          <w:tcPr>
            <w:tcW w:w="2342" w:type="dxa"/>
            <w:vMerge w:val="continue"/>
            <w:tcBorders>
              <w:tl2br w:val="nil"/>
              <w:tr2bl w:val="nil"/>
            </w:tcBorders>
            <w:vAlign w:val="center"/>
          </w:tcPr>
          <w:p w14:paraId="1EAA3FAE">
            <w:pPr>
              <w:adjustRightInd w:val="0"/>
              <w:snapToGrid w:val="0"/>
              <w:jc w:val="center"/>
              <w:rPr>
                <w:rFonts w:hint="default" w:ascii="Times New Roman" w:hAnsi="Times New Roman" w:cs="Times New Roman"/>
                <w:b w:val="0"/>
                <w:bCs w:val="0"/>
                <w:sz w:val="21"/>
                <w:szCs w:val="21"/>
              </w:rPr>
            </w:pPr>
          </w:p>
        </w:tc>
      </w:tr>
      <w:tr w14:paraId="58224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tl2br w:val="nil"/>
              <w:tr2bl w:val="nil"/>
            </w:tcBorders>
            <w:vAlign w:val="center"/>
          </w:tcPr>
          <w:p w14:paraId="1A40AD29">
            <w:pPr>
              <w:adjustRightInd w:val="0"/>
              <w:snapToGrid w:val="0"/>
              <w:jc w:val="center"/>
              <w:rPr>
                <w:rFonts w:hint="default" w:ascii="Times New Roman" w:hAnsi="Times New Roman" w:cs="Times New Roman"/>
                <w:b w:val="0"/>
                <w:bCs w:val="0"/>
                <w:sz w:val="21"/>
                <w:szCs w:val="21"/>
              </w:rPr>
            </w:pPr>
          </w:p>
        </w:tc>
        <w:tc>
          <w:tcPr>
            <w:tcW w:w="1686" w:type="dxa"/>
            <w:tcBorders>
              <w:tl2br w:val="nil"/>
              <w:tr2bl w:val="nil"/>
            </w:tcBorders>
            <w:vAlign w:val="center"/>
          </w:tcPr>
          <w:p w14:paraId="2475AC6C">
            <w:pPr>
              <w:pStyle w:val="37"/>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车辆运输</w:t>
            </w:r>
          </w:p>
        </w:tc>
        <w:tc>
          <w:tcPr>
            <w:tcW w:w="1418" w:type="dxa"/>
            <w:tcBorders>
              <w:tl2br w:val="nil"/>
              <w:tr2bl w:val="nil"/>
            </w:tcBorders>
            <w:vAlign w:val="center"/>
          </w:tcPr>
          <w:p w14:paraId="2BF27F62">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颗粒物</w:t>
            </w:r>
          </w:p>
        </w:tc>
        <w:tc>
          <w:tcPr>
            <w:tcW w:w="1816" w:type="dxa"/>
            <w:tcBorders>
              <w:tl2br w:val="nil"/>
              <w:tr2bl w:val="nil"/>
            </w:tcBorders>
            <w:vAlign w:val="center"/>
          </w:tcPr>
          <w:p w14:paraId="3E9283A9">
            <w:pPr>
              <w:pStyle w:val="37"/>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篷布遮盖</w:t>
            </w:r>
          </w:p>
        </w:tc>
        <w:tc>
          <w:tcPr>
            <w:tcW w:w="2342" w:type="dxa"/>
            <w:vMerge w:val="continue"/>
            <w:tcBorders>
              <w:tl2br w:val="nil"/>
              <w:tr2bl w:val="nil"/>
            </w:tcBorders>
            <w:vAlign w:val="center"/>
          </w:tcPr>
          <w:p w14:paraId="21B79843">
            <w:pPr>
              <w:adjustRightInd w:val="0"/>
              <w:snapToGrid w:val="0"/>
              <w:jc w:val="center"/>
              <w:rPr>
                <w:rFonts w:hint="default" w:ascii="Times New Roman" w:hAnsi="Times New Roman" w:cs="Times New Roman"/>
                <w:b w:val="0"/>
                <w:bCs w:val="0"/>
                <w:sz w:val="21"/>
                <w:szCs w:val="21"/>
              </w:rPr>
            </w:pPr>
          </w:p>
        </w:tc>
      </w:tr>
      <w:tr w14:paraId="3223F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nil"/>
              <w:tr2bl w:val="nil"/>
            </w:tcBorders>
            <w:vAlign w:val="center"/>
          </w:tcPr>
          <w:p w14:paraId="6EB489AA">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地表水环境</w:t>
            </w:r>
          </w:p>
        </w:tc>
        <w:tc>
          <w:tcPr>
            <w:tcW w:w="1686" w:type="dxa"/>
            <w:tcBorders>
              <w:tl2br w:val="nil"/>
              <w:tr2bl w:val="nil"/>
            </w:tcBorders>
            <w:vAlign w:val="center"/>
          </w:tcPr>
          <w:p w14:paraId="4D324388">
            <w:pPr>
              <w:pStyle w:val="47"/>
              <w:spacing w:line="276" w:lineRule="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rPr>
              <w:t>生活污水</w:t>
            </w:r>
          </w:p>
        </w:tc>
        <w:tc>
          <w:tcPr>
            <w:tcW w:w="1418" w:type="dxa"/>
            <w:tcBorders>
              <w:tl2br w:val="nil"/>
              <w:tr2bl w:val="nil"/>
            </w:tcBorders>
            <w:vAlign w:val="center"/>
          </w:tcPr>
          <w:p w14:paraId="48C5C518">
            <w:pPr>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sz w:val="21"/>
                <w:szCs w:val="21"/>
              </w:rPr>
              <w:t>COD、SS、氨氮、总磷、总氮</w:t>
            </w:r>
          </w:p>
        </w:tc>
        <w:tc>
          <w:tcPr>
            <w:tcW w:w="1816" w:type="dxa"/>
            <w:tcBorders>
              <w:tl2br w:val="nil"/>
              <w:tr2bl w:val="nil"/>
            </w:tcBorders>
            <w:vAlign w:val="center"/>
          </w:tcPr>
          <w:p w14:paraId="01ABEAD2">
            <w:pPr>
              <w:pStyle w:val="35"/>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生活污水进入化粪池预处理后排入沣西新城大王污水处理厂，处理达标后排入新河。</w:t>
            </w:r>
          </w:p>
        </w:tc>
        <w:tc>
          <w:tcPr>
            <w:tcW w:w="2342" w:type="dxa"/>
            <w:tcBorders>
              <w:tl2br w:val="nil"/>
              <w:tr2bl w:val="nil"/>
            </w:tcBorders>
            <w:vAlign w:val="center"/>
          </w:tcPr>
          <w:p w14:paraId="53CBB42B">
            <w:pPr>
              <w:adjustRightInd w:val="0"/>
              <w:snapToGrid w:val="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eastAsia="zh-CN"/>
              </w:rPr>
              <w:t>生活污水排放执行《污水综合排放标准》（GB8978-1996）三级标准和《污水排入城镇下水道水质标准》B级（GB/T31962-2015）标准。</w:t>
            </w:r>
          </w:p>
        </w:tc>
      </w:tr>
      <w:tr w14:paraId="00DCF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nil"/>
              <w:tr2bl w:val="nil"/>
            </w:tcBorders>
            <w:vAlign w:val="center"/>
          </w:tcPr>
          <w:p w14:paraId="38CB0415">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声环境</w:t>
            </w:r>
          </w:p>
        </w:tc>
        <w:tc>
          <w:tcPr>
            <w:tcW w:w="1686" w:type="dxa"/>
            <w:tcBorders>
              <w:tl2br w:val="nil"/>
              <w:tr2bl w:val="nil"/>
            </w:tcBorders>
            <w:vAlign w:val="center"/>
          </w:tcPr>
          <w:p w14:paraId="26A4CA87">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机械设备</w:t>
            </w:r>
          </w:p>
        </w:tc>
        <w:tc>
          <w:tcPr>
            <w:tcW w:w="1418" w:type="dxa"/>
            <w:tcBorders>
              <w:tl2br w:val="nil"/>
              <w:tr2bl w:val="nil"/>
            </w:tcBorders>
            <w:vAlign w:val="center"/>
          </w:tcPr>
          <w:p w14:paraId="769A40BD">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设备噪声</w:t>
            </w:r>
          </w:p>
        </w:tc>
        <w:tc>
          <w:tcPr>
            <w:tcW w:w="1816" w:type="dxa"/>
            <w:tcBorders>
              <w:tl2br w:val="nil"/>
              <w:tr2bl w:val="nil"/>
            </w:tcBorders>
            <w:vAlign w:val="center"/>
          </w:tcPr>
          <w:p w14:paraId="60AC6110">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高噪声设备采取隔声、减振、合理布局等措施；加强运输车辆管理</w:t>
            </w:r>
          </w:p>
        </w:tc>
        <w:tc>
          <w:tcPr>
            <w:tcW w:w="2342" w:type="dxa"/>
            <w:tcBorders>
              <w:tl2br w:val="nil"/>
              <w:tr2bl w:val="nil"/>
            </w:tcBorders>
            <w:vAlign w:val="center"/>
          </w:tcPr>
          <w:p w14:paraId="0294926B">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《工业企业厂界环境噪声排放标准》（GB12348-2008）中</w:t>
            </w:r>
            <w:r>
              <w:rPr>
                <w:rFonts w:hint="eastAsia" w:ascii="Times New Roman" w:hAnsi="Times New Roman" w:cs="Times New Roman"/>
                <w:b w:val="0"/>
                <w:bCs w:val="0"/>
                <w:sz w:val="21"/>
                <w:szCs w:val="21"/>
                <w:lang w:eastAsia="zh-CN"/>
              </w:rPr>
              <w:t>3类</w:t>
            </w:r>
            <w:r>
              <w:rPr>
                <w:rFonts w:hint="default" w:ascii="Times New Roman" w:hAnsi="Times New Roman" w:cs="Times New Roman"/>
                <w:b w:val="0"/>
                <w:bCs w:val="0"/>
                <w:sz w:val="21"/>
                <w:szCs w:val="21"/>
              </w:rPr>
              <w:t>标准</w:t>
            </w:r>
          </w:p>
        </w:tc>
      </w:tr>
      <w:tr w14:paraId="447DF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1538" w:type="dxa"/>
            <w:tcBorders>
              <w:tl2br w:val="nil"/>
              <w:tr2bl w:val="nil"/>
            </w:tcBorders>
            <w:vAlign w:val="center"/>
          </w:tcPr>
          <w:p w14:paraId="7BD20122">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固体废物</w:t>
            </w:r>
          </w:p>
        </w:tc>
        <w:tc>
          <w:tcPr>
            <w:tcW w:w="7262" w:type="dxa"/>
            <w:gridSpan w:val="4"/>
            <w:tcBorders>
              <w:tl2br w:val="nil"/>
              <w:tr2bl w:val="nil"/>
            </w:tcBorders>
            <w:vAlign w:val="center"/>
          </w:tcPr>
          <w:p w14:paraId="3DAB6087">
            <w:pPr>
              <w:pStyle w:val="33"/>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生活垃圾设置垃圾桶，集中收集，定期委托环卫部门清运处置；</w:t>
            </w:r>
          </w:p>
          <w:p w14:paraId="454D2264">
            <w:pPr>
              <w:pStyle w:val="33"/>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2</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废包装袋收集后堆存一般固体废物暂存间，定期外售物资回收公司综合利用；</w:t>
            </w:r>
            <w:r>
              <w:rPr>
                <w:rFonts w:hint="default" w:ascii="Times New Roman" w:hAnsi="Times New Roman" w:eastAsia="宋体" w:cs="Times New Roman"/>
                <w:b w:val="0"/>
                <w:bCs w:val="0"/>
                <w:sz w:val="21"/>
                <w:szCs w:val="21"/>
              </w:rPr>
              <w:t>废布袋</w:t>
            </w:r>
            <w:r>
              <w:rPr>
                <w:rFonts w:hint="default" w:ascii="Times New Roman" w:hAnsi="Times New Roman" w:eastAsia="宋体" w:cs="Times New Roman"/>
                <w:b w:val="0"/>
                <w:bCs w:val="0"/>
                <w:sz w:val="21"/>
                <w:szCs w:val="21"/>
                <w:lang w:val="en-US" w:eastAsia="zh-CN"/>
              </w:rPr>
              <w:t>收集后堆存一般固体废物暂存间，定期</w:t>
            </w:r>
            <w:r>
              <w:rPr>
                <w:rFonts w:hint="default" w:ascii="Times New Roman" w:hAnsi="Times New Roman" w:eastAsia="宋体" w:cs="Times New Roman"/>
                <w:b w:val="0"/>
                <w:bCs w:val="0"/>
                <w:sz w:val="21"/>
                <w:szCs w:val="21"/>
              </w:rPr>
              <w:t>外售物资回收公司综合利用</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除尘器收集的粉尘返回生产工序回用</w:t>
            </w:r>
            <w:r>
              <w:rPr>
                <w:rFonts w:hint="default" w:ascii="Times New Roman" w:hAnsi="Times New Roman" w:eastAsia="宋体" w:cs="Times New Roman"/>
                <w:b w:val="0"/>
                <w:bCs w:val="0"/>
                <w:sz w:val="21"/>
                <w:szCs w:val="21"/>
                <w:lang w:eastAsia="zh-CN"/>
              </w:rPr>
              <w:t>。</w:t>
            </w:r>
          </w:p>
          <w:p w14:paraId="0E876DD6">
            <w:pPr>
              <w:pStyle w:val="33"/>
              <w:spacing w:line="360" w:lineRule="auto"/>
              <w:jc w:val="left"/>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lang w:eastAsia="zh-CN"/>
              </w:rPr>
              <w:t>（</w:t>
            </w:r>
            <w:r>
              <w:rPr>
                <w:rFonts w:hint="default" w:ascii="Times New Roman" w:hAnsi="Times New Roman" w:cs="Times New Roman"/>
                <w:b w:val="0"/>
                <w:bCs w:val="0"/>
                <w:kern w:val="0"/>
                <w:sz w:val="21"/>
                <w:szCs w:val="21"/>
                <w:lang w:val="en-US" w:eastAsia="zh-CN"/>
              </w:rPr>
              <w:t>3</w:t>
            </w:r>
            <w:r>
              <w:rPr>
                <w:rFonts w:hint="default" w:ascii="Times New Roman" w:hAnsi="Times New Roman" w:cs="Times New Roman"/>
                <w:b w:val="0"/>
                <w:bCs w:val="0"/>
                <w:kern w:val="0"/>
                <w:sz w:val="21"/>
                <w:szCs w:val="21"/>
                <w:lang w:eastAsia="zh-CN"/>
              </w:rPr>
              <w:t>）</w:t>
            </w:r>
            <w:r>
              <w:rPr>
                <w:rFonts w:hint="default" w:ascii="Times New Roman" w:hAnsi="Times New Roman" w:cs="Times New Roman"/>
                <w:b w:val="0"/>
                <w:bCs w:val="0"/>
                <w:kern w:val="0"/>
                <w:sz w:val="21"/>
                <w:szCs w:val="21"/>
              </w:rPr>
              <w:t>设备维修过程产生的废机油暂存于危废暂存间，定期交由相应类别危险废物经营许可证的单位处理。</w:t>
            </w:r>
          </w:p>
        </w:tc>
      </w:tr>
      <w:tr w14:paraId="61855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538" w:type="dxa"/>
            <w:tcBorders>
              <w:tl2br w:val="nil"/>
              <w:tr2bl w:val="nil"/>
            </w:tcBorders>
            <w:vAlign w:val="center"/>
          </w:tcPr>
          <w:p w14:paraId="4F942AFB">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土壤及地下水污染防治措施</w:t>
            </w:r>
          </w:p>
        </w:tc>
        <w:tc>
          <w:tcPr>
            <w:tcW w:w="7262" w:type="dxa"/>
            <w:gridSpan w:val="4"/>
            <w:tcBorders>
              <w:tl2br w:val="nil"/>
              <w:tr2bl w:val="nil"/>
            </w:tcBorders>
            <w:vAlign w:val="center"/>
          </w:tcPr>
          <w:p w14:paraId="618FC6CB">
            <w:pPr>
              <w:widowControl/>
              <w:spacing w:line="360" w:lineRule="auto"/>
              <w:jc w:val="left"/>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项目厂区地面全部硬化，可从源头避免对土壤及地下水的污染；危废暂存间重点防渗，可以进一步预防和减轻项目可能对土壤及地下水的环境影响。</w:t>
            </w:r>
          </w:p>
        </w:tc>
      </w:tr>
      <w:tr w14:paraId="0A9AF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38" w:type="dxa"/>
            <w:tcBorders>
              <w:tl2br w:val="nil"/>
              <w:tr2bl w:val="nil"/>
            </w:tcBorders>
            <w:vAlign w:val="center"/>
          </w:tcPr>
          <w:p w14:paraId="0E762ABB">
            <w:pPr>
              <w:adjustRightInd w:val="0"/>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生态保护措施</w:t>
            </w:r>
          </w:p>
        </w:tc>
        <w:tc>
          <w:tcPr>
            <w:tcW w:w="7262" w:type="dxa"/>
            <w:gridSpan w:val="4"/>
            <w:tcBorders>
              <w:tl2br w:val="nil"/>
              <w:tr2bl w:val="nil"/>
            </w:tcBorders>
            <w:vAlign w:val="center"/>
          </w:tcPr>
          <w:p w14:paraId="777A3C37">
            <w:pPr>
              <w:adjustRightInd w:val="0"/>
              <w:snapToGrid w:val="0"/>
              <w:spacing w:line="360" w:lineRule="auto"/>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w:t>
            </w:r>
          </w:p>
        </w:tc>
      </w:tr>
      <w:tr w14:paraId="531CD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538" w:type="dxa"/>
            <w:tcBorders>
              <w:tl2br w:val="nil"/>
              <w:tr2bl w:val="nil"/>
            </w:tcBorders>
            <w:vAlign w:val="center"/>
          </w:tcPr>
          <w:p w14:paraId="7767E586">
            <w:pPr>
              <w:adjustRightInd w:val="0"/>
              <w:snapToGrid w:val="0"/>
              <w:jc w:val="center"/>
              <w:rPr>
                <w:rFonts w:hint="default" w:ascii="Times New Roman" w:hAnsi="Times New Roman" w:cs="Times New Roman"/>
                <w:b w:val="0"/>
                <w:bCs w:val="0"/>
                <w:spacing w:val="-8"/>
                <w:sz w:val="21"/>
                <w:szCs w:val="21"/>
              </w:rPr>
            </w:pPr>
            <w:r>
              <w:rPr>
                <w:rFonts w:hint="default" w:ascii="Times New Roman" w:hAnsi="Times New Roman" w:cs="Times New Roman"/>
                <w:b w:val="0"/>
                <w:bCs w:val="0"/>
                <w:spacing w:val="-8"/>
                <w:sz w:val="21"/>
                <w:szCs w:val="21"/>
              </w:rPr>
              <w:t>环境风险防范措施</w:t>
            </w:r>
          </w:p>
        </w:tc>
        <w:tc>
          <w:tcPr>
            <w:tcW w:w="7262" w:type="dxa"/>
            <w:gridSpan w:val="4"/>
            <w:tcBorders>
              <w:tl2br w:val="nil"/>
              <w:tr2bl w:val="nil"/>
            </w:tcBorders>
            <w:vAlign w:val="center"/>
          </w:tcPr>
          <w:p w14:paraId="0960AC9C">
            <w:pPr>
              <w:spacing w:line="360" w:lineRule="auto"/>
              <w:jc w:val="left"/>
              <w:rPr>
                <w:rFonts w:hint="default" w:ascii="Times New Roman" w:hAnsi="Times New Roman" w:cs="Times New Roman"/>
                <w:b w:val="0"/>
                <w:bCs w:val="0"/>
                <w:sz w:val="21"/>
                <w:szCs w:val="21"/>
              </w:rPr>
            </w:pPr>
            <w:r>
              <w:rPr>
                <w:rFonts w:hint="default" w:ascii="Times New Roman" w:hAnsi="Times New Roman" w:cs="Times New Roman"/>
                <w:b w:val="0"/>
                <w:bCs w:val="0"/>
                <w:kern w:val="0"/>
                <w:sz w:val="21"/>
                <w:szCs w:val="21"/>
              </w:rPr>
              <w:t>项目主要风险物质为废机油，环境风险类型为风险物质泄漏遇明火后发生火灾、爆炸事故，以及在燃烧过程中产生的伴生/次生污染物排放。建设单位加强安全管理工作，建立安全生产岗位责任制。</w:t>
            </w:r>
            <w:r>
              <w:rPr>
                <w:rFonts w:hint="default" w:ascii="Times New Roman" w:hAnsi="Times New Roman" w:cs="Times New Roman"/>
                <w:b w:val="0"/>
                <w:bCs w:val="0"/>
                <w:sz w:val="21"/>
                <w:szCs w:val="21"/>
              </w:rPr>
              <w:t>制定企业突发环境事件应急预案。</w:t>
            </w:r>
          </w:p>
        </w:tc>
      </w:tr>
      <w:tr w14:paraId="4644A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tcBorders>
              <w:tl2br w:val="nil"/>
              <w:tr2bl w:val="nil"/>
            </w:tcBorders>
            <w:vAlign w:val="center"/>
          </w:tcPr>
          <w:p w14:paraId="156B31CD">
            <w:pPr>
              <w:adjustRightInd w:val="0"/>
              <w:snapToGrid w:val="0"/>
              <w:jc w:val="center"/>
              <w:rPr>
                <w:rFonts w:hint="default" w:ascii="Times New Roman" w:hAnsi="Times New Roman" w:cs="Times New Roman"/>
                <w:b w:val="0"/>
                <w:bCs w:val="0"/>
                <w:spacing w:val="-8"/>
                <w:sz w:val="21"/>
                <w:szCs w:val="21"/>
              </w:rPr>
            </w:pPr>
            <w:r>
              <w:rPr>
                <w:rFonts w:hint="default" w:ascii="Times New Roman" w:hAnsi="Times New Roman" w:cs="Times New Roman"/>
                <w:b w:val="0"/>
                <w:bCs w:val="0"/>
                <w:spacing w:val="-8"/>
                <w:sz w:val="21"/>
                <w:szCs w:val="21"/>
              </w:rPr>
              <w:t>其他环境管理要求</w:t>
            </w:r>
          </w:p>
        </w:tc>
        <w:tc>
          <w:tcPr>
            <w:tcW w:w="7262" w:type="dxa"/>
            <w:gridSpan w:val="4"/>
            <w:tcBorders>
              <w:tl2br w:val="nil"/>
              <w:tr2bl w:val="nil"/>
            </w:tcBorders>
            <w:vAlign w:val="center"/>
          </w:tcPr>
          <w:p w14:paraId="31D6B60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（1）运行管理要求</w:t>
            </w:r>
          </w:p>
          <w:p w14:paraId="63FCFE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污染防治措施应与其对应的生产工艺设备同步运转，保证在生产设备运行波动的情况下仍能正常运转，实现达标排放。</w:t>
            </w:r>
          </w:p>
          <w:p w14:paraId="4365681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（2）排污口规范化管理</w:t>
            </w:r>
          </w:p>
          <w:p w14:paraId="438DA7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按照国家环保总局《排污口规范化整治技术要求》，企业必须按照规范化要求进行设置与管理排污口（指废水排放口、废气排放口和固废临时堆放场所）；在排污口附近醒目处按规定设置环保标志牌，排污口的设置要合理，便于采集监测样品、便于监测计量、便于公众参与监督管理。本项目设</w:t>
            </w:r>
            <w:r>
              <w:rPr>
                <w:rFonts w:hint="default" w:ascii="Times New Roman" w:hAnsi="Times New Roman"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个废气排气口，1个一般固废暂存</w:t>
            </w:r>
            <w:r>
              <w:rPr>
                <w:rFonts w:hint="default" w:ascii="Times New Roman" w:hAnsi="Times New Roman" w:eastAsia="宋体" w:cs="Times New Roman"/>
                <w:b w:val="0"/>
                <w:bCs w:val="0"/>
                <w:color w:val="auto"/>
                <w:sz w:val="21"/>
                <w:szCs w:val="21"/>
                <w:lang w:eastAsia="zh-CN"/>
              </w:rPr>
              <w:t>区</w:t>
            </w:r>
            <w:r>
              <w:rPr>
                <w:rFonts w:hint="default" w:ascii="Times New Roman" w:hAnsi="Times New Roman" w:eastAsia="宋体" w:cs="Times New Roman"/>
                <w:b w:val="0"/>
                <w:bCs w:val="0"/>
                <w:color w:val="auto"/>
                <w:sz w:val="21"/>
                <w:szCs w:val="21"/>
              </w:rPr>
              <w:t>，1个危废暂存间，排污口规范化管理应做到以下几点。</w:t>
            </w:r>
          </w:p>
          <w:p w14:paraId="2A581F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①废气排放口规范化管理</w:t>
            </w:r>
          </w:p>
          <w:p w14:paraId="17E6FD5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气筒设置便于采样监测的采样口和采样监测平台，采样孔点数目和位置按《固定污染源排气中颗粒物测定与气态污染物采样方法》（GB/T16157-1996）的规定设置。在距离废气排气筒和附近醒目处，设提示环境保护图形标志，能长久保留。</w:t>
            </w:r>
          </w:p>
          <w:p w14:paraId="2DDBC0A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②固废暂存场所规范化管理</w:t>
            </w:r>
          </w:p>
          <w:p w14:paraId="34AC8A5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本项目设一般固废临时暂存</w:t>
            </w:r>
            <w:r>
              <w:rPr>
                <w:rFonts w:hint="default" w:ascii="Times New Roman" w:hAnsi="Times New Roman" w:eastAsia="宋体" w:cs="Times New Roman"/>
                <w:b w:val="0"/>
                <w:bCs w:val="0"/>
                <w:color w:val="auto"/>
                <w:sz w:val="21"/>
                <w:szCs w:val="21"/>
                <w:lang w:eastAsia="zh-CN"/>
              </w:rPr>
              <w:t>区</w:t>
            </w:r>
            <w:r>
              <w:rPr>
                <w:rFonts w:hint="default" w:ascii="Times New Roman" w:hAnsi="Times New Roman" w:eastAsia="宋体" w:cs="Times New Roman"/>
                <w:b w:val="0"/>
                <w:bCs w:val="0"/>
                <w:color w:val="auto"/>
                <w:sz w:val="21"/>
                <w:szCs w:val="21"/>
              </w:rPr>
              <w:t>一个，危废暂存间一个。一般工业固体废物暂存需满足</w:t>
            </w:r>
            <w:r>
              <w:rPr>
                <w:rFonts w:hint="eastAsia" w:ascii="Times New Roman" w:hAnsi="Times New Roman"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防渗漏、防雨淋和防扬尘</w:t>
            </w:r>
            <w:r>
              <w:rPr>
                <w:rFonts w:hint="eastAsia" w:ascii="Times New Roman" w:hAnsi="Times New Roman"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的要求；危险废物暂存应满足《危险废物贮存污染控制标准》（GB18597-20</w:t>
            </w:r>
            <w:r>
              <w:rPr>
                <w:rFonts w:hint="default" w:ascii="Times New Roman" w:hAnsi="Times New Roman" w:cs="Times New Roman"/>
                <w:b w:val="0"/>
                <w:bCs w:val="0"/>
                <w:color w:val="auto"/>
                <w:sz w:val="21"/>
                <w:szCs w:val="21"/>
                <w:lang w:val="en-US" w:eastAsia="zh-CN"/>
              </w:rPr>
              <w:t>23</w:t>
            </w:r>
            <w:r>
              <w:rPr>
                <w:rFonts w:hint="default" w:ascii="Times New Roman" w:hAnsi="Times New Roman" w:eastAsia="宋体" w:cs="Times New Roman"/>
                <w:b w:val="0"/>
                <w:bCs w:val="0"/>
                <w:color w:val="auto"/>
                <w:sz w:val="21"/>
                <w:szCs w:val="21"/>
              </w:rPr>
              <w:t>），门口设提示环境保护图形标志，能长久保留。</w:t>
            </w:r>
          </w:p>
          <w:p w14:paraId="4A1394C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根据《环境保护图形标志---排放口（源）》（GB15562.1-95、GB15562.2-95），环境保护图形符号见下表。</w:t>
            </w:r>
          </w:p>
          <w:p w14:paraId="3A2143EF">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cs="Times New Roman"/>
                <w:b/>
                <w:bCs/>
                <w:color w:val="auto"/>
                <w:sz w:val="21"/>
                <w:szCs w:val="21"/>
                <w:lang w:val="en-US" w:eastAsia="zh-CN"/>
              </w:rPr>
              <w:t>5-1</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zh-CN"/>
              </w:rPr>
              <w:t>环境保护图形符号一览表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108"/>
              <w:gridCol w:w="2035"/>
              <w:gridCol w:w="2148"/>
            </w:tblGrid>
            <w:tr w14:paraId="41F52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16" w:type="pct"/>
                  <w:tcBorders>
                    <w:tl2br w:val="nil"/>
                    <w:tr2bl w:val="nil"/>
                  </w:tcBorders>
                  <w:noWrap w:val="0"/>
                  <w:vAlign w:val="center"/>
                </w:tcPr>
                <w:p w14:paraId="0E59C236">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503" w:type="pct"/>
                  <w:tcBorders>
                    <w:tl2br w:val="nil"/>
                    <w:tr2bl w:val="nil"/>
                  </w:tcBorders>
                  <w:noWrap w:val="0"/>
                  <w:vAlign w:val="center"/>
                </w:tcPr>
                <w:p w14:paraId="044194B0">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废气排放口</w:t>
                  </w:r>
                </w:p>
              </w:tc>
              <w:tc>
                <w:tcPr>
                  <w:tcW w:w="1450" w:type="pct"/>
                  <w:tcBorders>
                    <w:tl2br w:val="nil"/>
                    <w:tr2bl w:val="nil"/>
                  </w:tcBorders>
                  <w:noWrap w:val="0"/>
                  <w:vAlign w:val="center"/>
                </w:tcPr>
                <w:p w14:paraId="59D90748">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一般固体废物</w:t>
                  </w:r>
                </w:p>
              </w:tc>
              <w:tc>
                <w:tcPr>
                  <w:tcW w:w="1531" w:type="pct"/>
                  <w:tcBorders>
                    <w:tl2br w:val="nil"/>
                    <w:tr2bl w:val="nil"/>
                  </w:tcBorders>
                  <w:noWrap w:val="0"/>
                  <w:vAlign w:val="center"/>
                </w:tcPr>
                <w:p w14:paraId="39E6E3FC">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w:t>
                  </w:r>
                </w:p>
              </w:tc>
            </w:tr>
            <w:tr w14:paraId="621C5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516" w:type="pct"/>
                  <w:tcBorders>
                    <w:tl2br w:val="nil"/>
                    <w:tr2bl w:val="nil"/>
                  </w:tcBorders>
                  <w:noWrap w:val="0"/>
                  <w:vAlign w:val="center"/>
                </w:tcPr>
                <w:p w14:paraId="5D86BF16">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提示图形符号</w:t>
                  </w:r>
                </w:p>
              </w:tc>
              <w:tc>
                <w:tcPr>
                  <w:tcW w:w="1503" w:type="pct"/>
                  <w:tcBorders>
                    <w:tl2br w:val="nil"/>
                    <w:tr2bl w:val="nil"/>
                  </w:tcBorders>
                  <w:noWrap w:val="0"/>
                  <w:vAlign w:val="center"/>
                </w:tcPr>
                <w:p w14:paraId="136C84F4">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drawing>
                      <wp:anchor distT="0" distB="0" distL="114300" distR="114300" simplePos="0" relativeHeight="251669504" behindDoc="0" locked="0" layoutInCell="1" allowOverlap="1">
                        <wp:simplePos x="0" y="0"/>
                        <wp:positionH relativeFrom="column">
                          <wp:posOffset>-10795</wp:posOffset>
                        </wp:positionH>
                        <wp:positionV relativeFrom="paragraph">
                          <wp:posOffset>31115</wp:posOffset>
                        </wp:positionV>
                        <wp:extent cx="1265555" cy="948690"/>
                        <wp:effectExtent l="0" t="0" r="10795"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5"/>
                                <a:stretch>
                                  <a:fillRect/>
                                </a:stretch>
                              </pic:blipFill>
                              <pic:spPr>
                                <a:xfrm>
                                  <a:off x="0" y="0"/>
                                  <a:ext cx="1265555" cy="948690"/>
                                </a:xfrm>
                                <a:prstGeom prst="rect">
                                  <a:avLst/>
                                </a:prstGeom>
                                <a:noFill/>
                                <a:ln>
                                  <a:noFill/>
                                </a:ln>
                              </pic:spPr>
                            </pic:pic>
                          </a:graphicData>
                        </a:graphic>
                      </wp:anchor>
                    </w:drawing>
                  </w:r>
                </w:p>
                <w:p w14:paraId="3B6D5DCB">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p>
                <w:p w14:paraId="51F4EE8A">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p>
                <w:p w14:paraId="35E5FBAF">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p>
                <w:p w14:paraId="3F596913">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p>
              </w:tc>
              <w:tc>
                <w:tcPr>
                  <w:tcW w:w="1450" w:type="pct"/>
                  <w:tcBorders>
                    <w:tl2br w:val="nil"/>
                    <w:tr2bl w:val="nil"/>
                  </w:tcBorders>
                  <w:noWrap w:val="0"/>
                  <w:vAlign w:val="center"/>
                </w:tcPr>
                <w:p w14:paraId="7EB4E5B8">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drawing>
                      <wp:anchor distT="0" distB="0" distL="114300" distR="114300" simplePos="0" relativeHeight="251668480" behindDoc="0" locked="0" layoutInCell="1" allowOverlap="1">
                        <wp:simplePos x="0" y="0"/>
                        <wp:positionH relativeFrom="column">
                          <wp:posOffset>-45720</wp:posOffset>
                        </wp:positionH>
                        <wp:positionV relativeFrom="paragraph">
                          <wp:posOffset>23495</wp:posOffset>
                        </wp:positionV>
                        <wp:extent cx="1287780" cy="963930"/>
                        <wp:effectExtent l="0" t="0" r="7620" b="7620"/>
                        <wp:wrapNone/>
                        <wp:docPr id="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pic:cNvPicPr>
                                  <a:picLocks noChangeAspect="1"/>
                                </pic:cNvPicPr>
                              </pic:nvPicPr>
                              <pic:blipFill>
                                <a:blip r:embed="rId36"/>
                                <a:stretch>
                                  <a:fillRect/>
                                </a:stretch>
                              </pic:blipFill>
                              <pic:spPr>
                                <a:xfrm>
                                  <a:off x="0" y="0"/>
                                  <a:ext cx="1287780" cy="963930"/>
                                </a:xfrm>
                                <a:prstGeom prst="rect">
                                  <a:avLst/>
                                </a:prstGeom>
                                <a:noFill/>
                                <a:ln>
                                  <a:noFill/>
                                </a:ln>
                              </pic:spPr>
                            </pic:pic>
                          </a:graphicData>
                        </a:graphic>
                      </wp:anchor>
                    </w:drawing>
                  </w:r>
                </w:p>
              </w:tc>
              <w:tc>
                <w:tcPr>
                  <w:tcW w:w="1531" w:type="pct"/>
                  <w:tcBorders>
                    <w:tl2br w:val="nil"/>
                    <w:tr2bl w:val="nil"/>
                  </w:tcBorders>
                  <w:noWrap w:val="0"/>
                  <w:vAlign w:val="center"/>
                </w:tcPr>
                <w:p w14:paraId="5DDA3AC1">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drawing>
                      <wp:inline distT="0" distB="0" distL="114300" distR="114300">
                        <wp:extent cx="1126490" cy="927735"/>
                        <wp:effectExtent l="0" t="0" r="1651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7"/>
                                <a:stretch>
                                  <a:fillRect/>
                                </a:stretch>
                              </pic:blipFill>
                              <pic:spPr>
                                <a:xfrm>
                                  <a:off x="0" y="0"/>
                                  <a:ext cx="1126490" cy="927735"/>
                                </a:xfrm>
                                <a:prstGeom prst="rect">
                                  <a:avLst/>
                                </a:prstGeom>
                                <a:noFill/>
                                <a:ln>
                                  <a:noFill/>
                                </a:ln>
                              </pic:spPr>
                            </pic:pic>
                          </a:graphicData>
                        </a:graphic>
                      </wp:inline>
                    </w:drawing>
                  </w:r>
                </w:p>
              </w:tc>
            </w:tr>
            <w:tr w14:paraId="064CB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tcBorders>
                    <w:tl2br w:val="nil"/>
                    <w:tr2bl w:val="nil"/>
                  </w:tcBorders>
                  <w:noWrap w:val="0"/>
                  <w:vAlign w:val="center"/>
                </w:tcPr>
                <w:p w14:paraId="2772A39B">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功能</w:t>
                  </w:r>
                </w:p>
              </w:tc>
              <w:tc>
                <w:tcPr>
                  <w:tcW w:w="1503" w:type="pct"/>
                  <w:tcBorders>
                    <w:tl2br w:val="nil"/>
                    <w:tr2bl w:val="nil"/>
                  </w:tcBorders>
                  <w:noWrap w:val="0"/>
                  <w:vAlign w:val="center"/>
                </w:tcPr>
                <w:p w14:paraId="0ADA88B7">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表示废气向外环境排放</w:t>
                  </w:r>
                </w:p>
              </w:tc>
              <w:tc>
                <w:tcPr>
                  <w:tcW w:w="1450" w:type="pct"/>
                  <w:tcBorders>
                    <w:tl2br w:val="nil"/>
                    <w:tr2bl w:val="nil"/>
                  </w:tcBorders>
                  <w:noWrap w:val="0"/>
                  <w:vAlign w:val="center"/>
                </w:tcPr>
                <w:p w14:paraId="337A82CA">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表示一般固体废物贮存、处置场</w:t>
                  </w:r>
                </w:p>
              </w:tc>
              <w:tc>
                <w:tcPr>
                  <w:tcW w:w="1531" w:type="pct"/>
                  <w:tcBorders>
                    <w:tl2br w:val="nil"/>
                    <w:tr2bl w:val="nil"/>
                  </w:tcBorders>
                  <w:noWrap w:val="0"/>
                  <w:vAlign w:val="center"/>
                </w:tcPr>
                <w:p w14:paraId="01B67D52">
                  <w:pPr>
                    <w:keepNext w:val="0"/>
                    <w:keepLines w:val="0"/>
                    <w:pageBreakBefore w:val="0"/>
                    <w:widowControl w:val="0"/>
                    <w:kinsoku/>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表示为危险废物贮存、处置场</w:t>
                  </w:r>
                </w:p>
              </w:tc>
            </w:tr>
          </w:tbl>
          <w:p w14:paraId="7E0EF4DD">
            <w:pPr>
              <w:adjustRightInd w:val="0"/>
              <w:snapToGrid w:val="0"/>
              <w:spacing w:line="360" w:lineRule="auto"/>
              <w:jc w:val="both"/>
              <w:rPr>
                <w:rFonts w:hint="default" w:ascii="Times New Roman" w:hAnsi="Times New Roman" w:cs="Times New Roman"/>
                <w:b w:val="0"/>
                <w:bCs w:val="0"/>
                <w:sz w:val="21"/>
                <w:szCs w:val="21"/>
              </w:rPr>
            </w:pPr>
          </w:p>
        </w:tc>
      </w:tr>
    </w:tbl>
    <w:p w14:paraId="4CB67A01">
      <w:pPr>
        <w:rPr>
          <w:rFonts w:hint="eastAsia" w:ascii="Times New Roman" w:hAnsi="Times New Roman" w:eastAsia="黑体"/>
          <w:snapToGrid w:val="0"/>
          <w:sz w:val="30"/>
          <w:szCs w:val="30"/>
        </w:rPr>
      </w:pPr>
      <w:bookmarkStart w:id="12" w:name="_Toc25475"/>
      <w:bookmarkStart w:id="13" w:name="_Toc25129"/>
      <w:r>
        <w:rPr>
          <w:rFonts w:hint="eastAsia" w:ascii="Times New Roman" w:hAnsi="Times New Roman" w:eastAsia="黑体"/>
          <w:snapToGrid w:val="0"/>
          <w:sz w:val="30"/>
          <w:szCs w:val="30"/>
        </w:rPr>
        <w:br w:type="page"/>
      </w:r>
    </w:p>
    <w:p w14:paraId="7F9DC66A">
      <w:pPr>
        <w:pStyle w:val="21"/>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六、结论</w:t>
      </w:r>
      <w:bookmarkEnd w:id="12"/>
      <w:bookmarkEnd w:id="13"/>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40"/>
      </w:tblGrid>
      <w:tr w14:paraId="5063A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04" w:hRule="atLeast"/>
        </w:trPr>
        <w:tc>
          <w:tcPr>
            <w:tcW w:w="8340" w:type="dxa"/>
            <w:tcBorders>
              <w:tl2br w:val="nil"/>
              <w:tr2bl w:val="nil"/>
            </w:tcBorders>
          </w:tcPr>
          <w:p w14:paraId="645810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宋体"/>
                <w:snapToGrid w:val="0"/>
                <w:color w:val="auto"/>
                <w:szCs w:val="24"/>
                <w:vertAlign w:val="baseline"/>
              </w:rPr>
            </w:pPr>
            <w:r>
              <w:rPr>
                <w:rFonts w:hint="eastAsia" w:ascii="Times New Roman" w:hAnsi="Times New Roman" w:eastAsia="宋体" w:cs="Times New Roman"/>
                <w:color w:val="auto"/>
                <w:sz w:val="24"/>
                <w:szCs w:val="24"/>
              </w:rPr>
              <w:t>从环境保护角度考虑，</w:t>
            </w:r>
            <w:r>
              <w:rPr>
                <w:rFonts w:hint="eastAsia" w:ascii="Times New Roman" w:hAnsi="Times New Roman" w:eastAsia="宋体" w:cs="Times New Roman"/>
                <w:color w:val="auto"/>
                <w:sz w:val="24"/>
                <w:szCs w:val="24"/>
                <w:lang w:val="en-US" w:eastAsia="zh-CN"/>
              </w:rPr>
              <w:t>陕西金丰家易平建材有限公司三强新型建筑材料生产线项目</w:t>
            </w:r>
            <w:r>
              <w:rPr>
                <w:rFonts w:hint="eastAsia" w:ascii="Times New Roman" w:hAnsi="Times New Roman" w:eastAsia="宋体" w:cs="Times New Roman"/>
                <w:color w:val="auto"/>
                <w:sz w:val="24"/>
                <w:szCs w:val="24"/>
              </w:rPr>
              <w:t>建设是可行的。</w:t>
            </w:r>
          </w:p>
        </w:tc>
      </w:tr>
    </w:tbl>
    <w:p w14:paraId="47BA6AD2">
      <w:pPr>
        <w:rPr>
          <w:rFonts w:hint="eastAsia" w:ascii="Times New Roman" w:hAnsi="Times New Roman" w:cs="宋体"/>
          <w:snapToGrid w:val="0"/>
          <w:color w:val="auto"/>
          <w:szCs w:val="24"/>
        </w:rPr>
      </w:pPr>
      <w:r>
        <w:rPr>
          <w:rFonts w:hint="eastAsia" w:ascii="Times New Roman" w:hAnsi="Times New Roman" w:cs="宋体"/>
          <w:snapToGrid w:val="0"/>
          <w:color w:val="auto"/>
          <w:szCs w:val="24"/>
        </w:rPr>
        <w:br w:type="page"/>
      </w:r>
    </w:p>
    <w:p w14:paraId="3EAFC4C8">
      <w:pPr>
        <w:jc w:val="center"/>
        <w:rPr>
          <w:rFonts w:hint="eastAsia" w:ascii="Times New Roman" w:hAnsi="Times New Roman" w:cs="宋体"/>
          <w:snapToGrid w:val="0"/>
          <w:color w:val="auto"/>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6D3BE49">
      <w:pPr>
        <w:widowControl/>
        <w:tabs>
          <w:tab w:val="left" w:pos="12810"/>
        </w:tabs>
        <w:adjustRightInd w:val="0"/>
        <w:snapToGrid w:val="0"/>
        <w:jc w:val="left"/>
        <w:outlineLvl w:val="0"/>
        <w:rPr>
          <w:rFonts w:eastAsia="黑体"/>
          <w:snapToGrid w:val="0"/>
          <w:kern w:val="0"/>
          <w:sz w:val="32"/>
          <w:szCs w:val="32"/>
        </w:rPr>
      </w:pPr>
      <w:bookmarkStart w:id="14" w:name="_Toc31254"/>
      <w:bookmarkStart w:id="15" w:name="_Toc25286"/>
      <w:r>
        <w:rPr>
          <w:rFonts w:hint="eastAsia" w:eastAsia="黑体"/>
          <w:snapToGrid w:val="0"/>
          <w:kern w:val="0"/>
          <w:sz w:val="32"/>
          <w:szCs w:val="32"/>
        </w:rPr>
        <w:t>附表</w:t>
      </w:r>
      <w:bookmarkEnd w:id="14"/>
      <w:bookmarkStart w:id="16" w:name="_Toc2954"/>
    </w:p>
    <w:p w14:paraId="71C5BBB4">
      <w:pPr>
        <w:widowControl/>
        <w:adjustRightInd w:val="0"/>
        <w:snapToGrid w:val="0"/>
        <w:jc w:val="center"/>
        <w:outlineLvl w:val="0"/>
        <w:rPr>
          <w:rFonts w:eastAsia="方正小标宋_GBK"/>
          <w:snapToGrid w:val="0"/>
          <w:kern w:val="0"/>
          <w:sz w:val="38"/>
          <w:szCs w:val="38"/>
        </w:rPr>
      </w:pPr>
      <w:r>
        <w:rPr>
          <w:rFonts w:hint="eastAsia" w:eastAsia="方正小标宋_GBK"/>
          <w:snapToGrid w:val="0"/>
          <w:kern w:val="0"/>
          <w:sz w:val="38"/>
          <w:szCs w:val="38"/>
        </w:rPr>
        <w:t>建设项目污染物排放量汇总表</w:t>
      </w:r>
      <w:bookmarkEnd w:id="15"/>
      <w:bookmarkEnd w:id="16"/>
    </w:p>
    <w:tbl>
      <w:tblPr>
        <w:tblStyle w:val="24"/>
        <w:tblW w:w="144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637"/>
        <w:gridCol w:w="913"/>
        <w:gridCol w:w="1694"/>
        <w:gridCol w:w="1304"/>
        <w:gridCol w:w="1593"/>
        <w:gridCol w:w="1593"/>
        <w:gridCol w:w="1740"/>
        <w:gridCol w:w="1740"/>
        <w:gridCol w:w="1648"/>
      </w:tblGrid>
      <w:tr w14:paraId="56F0D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565" w:type="dxa"/>
            <w:tcBorders>
              <w:tl2br w:val="nil"/>
              <w:tr2bl w:val="nil"/>
            </w:tcBorders>
            <w:tcMar>
              <w:left w:w="28" w:type="dxa"/>
              <w:right w:w="28" w:type="dxa"/>
            </w:tcMar>
            <w:vAlign w:val="center"/>
          </w:tcPr>
          <w:p w14:paraId="483020E3">
            <w:pPr>
              <w:adjustRightInd w:val="0"/>
              <w:snapToGrid w:val="0"/>
              <w:spacing w:line="240" w:lineRule="auto"/>
              <w:ind w:firstLine="1200" w:firstLineChars="500"/>
              <w:jc w:val="both"/>
              <w:rPr>
                <w:rFonts w:hint="default" w:ascii="Times New Roman" w:hAnsi="Times New Roman" w:eastAsia="黑体" w:cs="Times New Roman"/>
                <w:snapToGrid w:val="0"/>
                <w:spacing w:val="-6"/>
                <w:kern w:val="21"/>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-23495</wp:posOffset>
                      </wp:positionV>
                      <wp:extent cx="986155" cy="571500"/>
                      <wp:effectExtent l="3175" t="5715" r="20320" b="13335"/>
                      <wp:wrapNone/>
                      <wp:docPr id="7" name="直接连接符 7"/>
                      <wp:cNvGraphicFramePr/>
                      <a:graphic xmlns:a="http://schemas.openxmlformats.org/drawingml/2006/main">
                        <a:graphicData uri="http://schemas.microsoft.com/office/word/2010/wordprocessingShape">
                          <wps:wsp>
                            <wps:cNvCnPr/>
                            <wps:spPr>
                              <a:xfrm>
                                <a:off x="889635" y="1830070"/>
                                <a:ext cx="986155" cy="5715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2pt;margin-top:-1.85pt;height:45pt;width:77.65pt;z-index:251670528;mso-width-relative:page;mso-height-relative:page;" filled="f" stroked="t" coordsize="21600,21600" o:gfxdata="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ntyvE1wAAAAcBAAAPAAAAAAAAAAEAIAAAACIAAABkcnMvZG93bnJldi54bWxQSwECFAAU&#10;AAAACACHTuJANMGB2vIBAADBAwAADgAAAAAAAAABACAAAAAmAQAAZHJzL2Uyb0RvYy54bWxQSwUG&#10;AAAAAAYABgBZAQAAigUAAAAA&#10;">
                      <v:fill on="f" focussize="0,0"/>
                      <v:stroke weight="1pt" color="#000000 [3213]" miterlimit="8" joinstyle="miter"/>
                      <v:imagedata o:title=""/>
                      <o:lock v:ext="edit" aspectratio="f"/>
                    </v:line>
                  </w:pict>
                </mc:Fallback>
              </mc:AlternateContent>
            </w:r>
            <w:r>
              <w:rPr>
                <w:rFonts w:hint="default" w:ascii="Times New Roman" w:hAnsi="Times New Roman" w:eastAsia="黑体" w:cs="Times New Roman"/>
                <w:snapToGrid w:val="0"/>
                <w:spacing w:val="-6"/>
                <w:kern w:val="21"/>
                <w:sz w:val="24"/>
                <w:szCs w:val="24"/>
              </w:rPr>
              <w:t>项目</w:t>
            </w:r>
          </w:p>
          <w:p w14:paraId="03EA101C">
            <w:pPr>
              <w:adjustRightInd w:val="0"/>
              <w:snapToGrid w:val="0"/>
              <w:spacing w:line="240" w:lineRule="auto"/>
              <w:jc w:val="both"/>
              <w:rPr>
                <w:rFonts w:hint="default" w:ascii="Times New Roman" w:hAnsi="Times New Roman" w:eastAsia="黑体" w:cs="Times New Roman"/>
                <w:snapToGrid w:val="0"/>
                <w:spacing w:val="-6"/>
                <w:kern w:val="21"/>
                <w:sz w:val="24"/>
                <w:szCs w:val="24"/>
              </w:rPr>
            </w:pPr>
          </w:p>
          <w:p w14:paraId="69131826">
            <w:pPr>
              <w:adjustRightInd w:val="0"/>
              <w:snapToGrid w:val="0"/>
              <w:spacing w:line="240" w:lineRule="auto"/>
              <w:ind w:firstLine="456" w:firstLineChars="200"/>
              <w:jc w:val="both"/>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分类</w:t>
            </w:r>
          </w:p>
        </w:tc>
        <w:tc>
          <w:tcPr>
            <w:tcW w:w="1550" w:type="dxa"/>
            <w:gridSpan w:val="2"/>
            <w:tcBorders>
              <w:tl2br w:val="nil"/>
              <w:tr2bl w:val="nil"/>
            </w:tcBorders>
            <w:tcMar>
              <w:left w:w="28" w:type="dxa"/>
              <w:right w:w="28" w:type="dxa"/>
            </w:tcMar>
            <w:vAlign w:val="center"/>
          </w:tcPr>
          <w:p w14:paraId="6C7944FB">
            <w:pPr>
              <w:adjustRightInd w:val="0"/>
              <w:snapToGrid w:val="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污染物名称</w:t>
            </w:r>
          </w:p>
        </w:tc>
        <w:tc>
          <w:tcPr>
            <w:tcW w:w="1694" w:type="dxa"/>
            <w:tcBorders>
              <w:tl2br w:val="nil"/>
              <w:tr2bl w:val="nil"/>
            </w:tcBorders>
            <w:tcMar>
              <w:left w:w="28" w:type="dxa"/>
              <w:right w:w="28" w:type="dxa"/>
            </w:tcMar>
            <w:vAlign w:val="center"/>
          </w:tcPr>
          <w:p w14:paraId="73A254A0">
            <w:pPr>
              <w:adjustRightInd w:val="0"/>
              <w:snapToGrid w:val="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现有工程排放量（固体废物产生量）</w:t>
            </w: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1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z w:val="24"/>
                <w:szCs w:val="24"/>
              </w:rPr>
              <w:t>①</w:t>
            </w:r>
            <w:r>
              <w:rPr>
                <w:rFonts w:hint="default" w:ascii="Times New Roman" w:hAnsi="Times New Roman" w:eastAsia="黑体" w:cs="Times New Roman"/>
                <w:snapToGrid w:val="0"/>
                <w:spacing w:val="-6"/>
                <w:kern w:val="21"/>
                <w:sz w:val="24"/>
                <w:szCs w:val="24"/>
              </w:rPr>
              <w:fldChar w:fldCharType="end"/>
            </w:r>
          </w:p>
        </w:tc>
        <w:tc>
          <w:tcPr>
            <w:tcW w:w="1304" w:type="dxa"/>
            <w:tcBorders>
              <w:tl2br w:val="nil"/>
              <w:tr2bl w:val="nil"/>
            </w:tcBorders>
            <w:tcMar>
              <w:left w:w="28" w:type="dxa"/>
              <w:right w:w="28" w:type="dxa"/>
            </w:tcMar>
            <w:vAlign w:val="center"/>
          </w:tcPr>
          <w:p w14:paraId="270173D7">
            <w:pPr>
              <w:adjustRightInd w:val="0"/>
              <w:snapToGrid w:val="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现有工程许可排放量</w:t>
            </w: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2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napToGrid w:val="0"/>
                <w:spacing w:val="-6"/>
                <w:kern w:val="21"/>
                <w:sz w:val="24"/>
                <w:szCs w:val="24"/>
              </w:rPr>
              <w:t>②</w:t>
            </w:r>
            <w:r>
              <w:rPr>
                <w:rFonts w:hint="default" w:ascii="Times New Roman" w:hAnsi="Times New Roman" w:eastAsia="黑体" w:cs="Times New Roman"/>
                <w:snapToGrid w:val="0"/>
                <w:spacing w:val="-6"/>
                <w:kern w:val="21"/>
                <w:sz w:val="24"/>
                <w:szCs w:val="24"/>
              </w:rPr>
              <w:fldChar w:fldCharType="end"/>
            </w:r>
          </w:p>
        </w:tc>
        <w:tc>
          <w:tcPr>
            <w:tcW w:w="1593" w:type="dxa"/>
            <w:tcBorders>
              <w:tl2br w:val="nil"/>
              <w:tr2bl w:val="nil"/>
            </w:tcBorders>
            <w:tcMar>
              <w:left w:w="28" w:type="dxa"/>
              <w:right w:w="28" w:type="dxa"/>
            </w:tcMar>
            <w:vAlign w:val="center"/>
          </w:tcPr>
          <w:p w14:paraId="470820F9">
            <w:pPr>
              <w:adjustRightInd w:val="0"/>
              <w:snapToGrid w:val="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在建工程排放量（固体废物产生量）</w:t>
            </w: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3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z w:val="24"/>
                <w:szCs w:val="24"/>
              </w:rPr>
              <w:t>③</w:t>
            </w:r>
            <w:r>
              <w:rPr>
                <w:rFonts w:hint="default" w:ascii="Times New Roman" w:hAnsi="Times New Roman" w:eastAsia="黑体" w:cs="Times New Roman"/>
                <w:snapToGrid w:val="0"/>
                <w:spacing w:val="-6"/>
                <w:kern w:val="21"/>
                <w:sz w:val="24"/>
                <w:szCs w:val="24"/>
              </w:rPr>
              <w:fldChar w:fldCharType="end"/>
            </w:r>
          </w:p>
        </w:tc>
        <w:tc>
          <w:tcPr>
            <w:tcW w:w="1593" w:type="dxa"/>
            <w:tcBorders>
              <w:tl2br w:val="nil"/>
              <w:tr2bl w:val="nil"/>
            </w:tcBorders>
            <w:tcMar>
              <w:left w:w="28" w:type="dxa"/>
              <w:right w:w="28" w:type="dxa"/>
            </w:tcMar>
            <w:vAlign w:val="center"/>
          </w:tcPr>
          <w:p w14:paraId="41C05EA1">
            <w:pPr>
              <w:adjustRightInd w:val="0"/>
              <w:snapToGrid w:val="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本项目排放量（固体废物产生量）</w:t>
            </w: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4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z w:val="24"/>
                <w:szCs w:val="24"/>
              </w:rPr>
              <w:t>④</w:t>
            </w:r>
            <w:r>
              <w:rPr>
                <w:rFonts w:hint="default" w:ascii="Times New Roman" w:hAnsi="Times New Roman" w:eastAsia="黑体" w:cs="Times New Roman"/>
                <w:snapToGrid w:val="0"/>
                <w:spacing w:val="-6"/>
                <w:kern w:val="21"/>
                <w:sz w:val="24"/>
                <w:szCs w:val="24"/>
              </w:rPr>
              <w:fldChar w:fldCharType="end"/>
            </w:r>
          </w:p>
        </w:tc>
        <w:tc>
          <w:tcPr>
            <w:tcW w:w="1740" w:type="dxa"/>
            <w:tcBorders>
              <w:tl2br w:val="nil"/>
              <w:tr2bl w:val="nil"/>
            </w:tcBorders>
            <w:tcMar>
              <w:left w:w="28" w:type="dxa"/>
              <w:right w:w="28" w:type="dxa"/>
            </w:tcMar>
            <w:vAlign w:val="center"/>
          </w:tcPr>
          <w:p w14:paraId="03589CF8">
            <w:pPr>
              <w:adjustRightInd w:val="0"/>
              <w:snapToGrid w:val="0"/>
              <w:jc w:val="center"/>
              <w:rPr>
                <w:rFonts w:hint="default" w:ascii="Times New Roman" w:hAnsi="Times New Roman" w:eastAsia="黑体" w:cs="Times New Roman"/>
                <w:snapToGrid w:val="0"/>
                <w:spacing w:val="-16"/>
                <w:kern w:val="21"/>
                <w:sz w:val="24"/>
                <w:szCs w:val="24"/>
              </w:rPr>
            </w:pPr>
            <w:r>
              <w:rPr>
                <w:rFonts w:hint="default" w:ascii="Times New Roman" w:hAnsi="Times New Roman" w:eastAsia="黑体" w:cs="Times New Roman"/>
                <w:snapToGrid w:val="0"/>
                <w:spacing w:val="-16"/>
                <w:kern w:val="21"/>
                <w:sz w:val="24"/>
                <w:szCs w:val="24"/>
              </w:rPr>
              <w:t>以新带老削减量（新建项目不填）</w:t>
            </w:r>
            <w:r>
              <w:rPr>
                <w:rFonts w:hint="default" w:ascii="Times New Roman" w:hAnsi="Times New Roman" w:eastAsia="黑体" w:cs="Times New Roman"/>
                <w:snapToGrid w:val="0"/>
                <w:spacing w:val="-16"/>
                <w:kern w:val="21"/>
                <w:sz w:val="24"/>
                <w:szCs w:val="24"/>
              </w:rPr>
              <w:fldChar w:fldCharType="begin"/>
            </w:r>
            <w:r>
              <w:rPr>
                <w:rFonts w:hint="default" w:ascii="Times New Roman" w:hAnsi="Times New Roman" w:eastAsia="黑体" w:cs="Times New Roman"/>
                <w:snapToGrid w:val="0"/>
                <w:spacing w:val="-16"/>
                <w:kern w:val="21"/>
                <w:sz w:val="24"/>
                <w:szCs w:val="24"/>
              </w:rPr>
              <w:instrText xml:space="preserve"> = 5 \* GB3 \* MERGEFORMAT </w:instrText>
            </w:r>
            <w:r>
              <w:rPr>
                <w:rFonts w:hint="default" w:ascii="Times New Roman" w:hAnsi="Times New Roman" w:eastAsia="黑体" w:cs="Times New Roman"/>
                <w:snapToGrid w:val="0"/>
                <w:spacing w:val="-16"/>
                <w:kern w:val="21"/>
                <w:sz w:val="24"/>
                <w:szCs w:val="24"/>
              </w:rPr>
              <w:fldChar w:fldCharType="separate"/>
            </w:r>
            <w:r>
              <w:rPr>
                <w:rFonts w:hint="default" w:ascii="Times New Roman" w:hAnsi="Times New Roman" w:eastAsia="黑体" w:cs="Times New Roman"/>
                <w:sz w:val="24"/>
                <w:szCs w:val="24"/>
              </w:rPr>
              <w:t>⑤</w:t>
            </w:r>
            <w:r>
              <w:rPr>
                <w:rFonts w:hint="default" w:ascii="Times New Roman" w:hAnsi="Times New Roman" w:eastAsia="黑体" w:cs="Times New Roman"/>
                <w:snapToGrid w:val="0"/>
                <w:spacing w:val="-16"/>
                <w:kern w:val="21"/>
                <w:sz w:val="24"/>
                <w:szCs w:val="24"/>
              </w:rPr>
              <w:fldChar w:fldCharType="end"/>
            </w:r>
          </w:p>
        </w:tc>
        <w:tc>
          <w:tcPr>
            <w:tcW w:w="1740" w:type="dxa"/>
            <w:tcBorders>
              <w:tl2br w:val="nil"/>
              <w:tr2bl w:val="nil"/>
            </w:tcBorders>
            <w:tcMar>
              <w:left w:w="28" w:type="dxa"/>
              <w:right w:w="28" w:type="dxa"/>
            </w:tcMar>
            <w:vAlign w:val="center"/>
          </w:tcPr>
          <w:p w14:paraId="537A75F7">
            <w:pPr>
              <w:adjustRightInd w:val="0"/>
              <w:snapToGrid w:val="0"/>
              <w:jc w:val="center"/>
              <w:rPr>
                <w:rFonts w:hint="default" w:ascii="Times New Roman" w:hAnsi="Times New Roman" w:eastAsia="黑体" w:cs="Times New Roman"/>
                <w:snapToGrid w:val="0"/>
                <w:spacing w:val="-16"/>
                <w:kern w:val="21"/>
                <w:sz w:val="24"/>
                <w:szCs w:val="24"/>
              </w:rPr>
            </w:pPr>
            <w:r>
              <w:rPr>
                <w:rFonts w:hint="default" w:ascii="Times New Roman" w:hAnsi="Times New Roman" w:eastAsia="黑体" w:cs="Times New Roman"/>
                <w:snapToGrid w:val="0"/>
                <w:spacing w:val="-16"/>
                <w:kern w:val="21"/>
                <w:sz w:val="24"/>
                <w:szCs w:val="24"/>
              </w:rPr>
              <w:t>本项目建成后全厂排放量（固体废物产生量）</w:t>
            </w:r>
            <w:r>
              <w:rPr>
                <w:rFonts w:hint="default" w:ascii="Times New Roman" w:hAnsi="Times New Roman" w:eastAsia="黑体" w:cs="Times New Roman"/>
                <w:snapToGrid w:val="0"/>
                <w:spacing w:val="-16"/>
                <w:kern w:val="21"/>
                <w:sz w:val="24"/>
                <w:szCs w:val="24"/>
              </w:rPr>
              <w:fldChar w:fldCharType="begin"/>
            </w:r>
            <w:r>
              <w:rPr>
                <w:rFonts w:hint="default" w:ascii="Times New Roman" w:hAnsi="Times New Roman" w:eastAsia="黑体" w:cs="Times New Roman"/>
                <w:snapToGrid w:val="0"/>
                <w:spacing w:val="-16"/>
                <w:kern w:val="21"/>
                <w:sz w:val="24"/>
                <w:szCs w:val="24"/>
              </w:rPr>
              <w:instrText xml:space="preserve"> = 6 \* GB3 \* MERGEFORMAT </w:instrText>
            </w:r>
            <w:r>
              <w:rPr>
                <w:rFonts w:hint="default" w:ascii="Times New Roman" w:hAnsi="Times New Roman" w:eastAsia="黑体" w:cs="Times New Roman"/>
                <w:snapToGrid w:val="0"/>
                <w:spacing w:val="-16"/>
                <w:kern w:val="21"/>
                <w:sz w:val="24"/>
                <w:szCs w:val="24"/>
              </w:rPr>
              <w:fldChar w:fldCharType="separate"/>
            </w:r>
            <w:r>
              <w:rPr>
                <w:rFonts w:hint="default" w:ascii="Times New Roman" w:hAnsi="Times New Roman" w:eastAsia="黑体" w:cs="Times New Roman"/>
                <w:sz w:val="24"/>
                <w:szCs w:val="24"/>
              </w:rPr>
              <w:t>⑥</w:t>
            </w:r>
            <w:r>
              <w:rPr>
                <w:rFonts w:hint="default" w:ascii="Times New Roman" w:hAnsi="Times New Roman" w:eastAsia="黑体" w:cs="Times New Roman"/>
                <w:snapToGrid w:val="0"/>
                <w:spacing w:val="-16"/>
                <w:kern w:val="21"/>
                <w:sz w:val="24"/>
                <w:szCs w:val="24"/>
              </w:rPr>
              <w:fldChar w:fldCharType="end"/>
            </w:r>
          </w:p>
        </w:tc>
        <w:tc>
          <w:tcPr>
            <w:tcW w:w="1648" w:type="dxa"/>
            <w:tcBorders>
              <w:tl2br w:val="nil"/>
              <w:tr2bl w:val="nil"/>
            </w:tcBorders>
            <w:tcMar>
              <w:left w:w="28" w:type="dxa"/>
              <w:right w:w="28" w:type="dxa"/>
            </w:tcMar>
            <w:vAlign w:val="center"/>
          </w:tcPr>
          <w:p w14:paraId="3842B149">
            <w:pPr>
              <w:adjustRightInd w:val="0"/>
              <w:snapToGrid w:val="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变化量</w:t>
            </w: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7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z w:val="24"/>
                <w:szCs w:val="24"/>
              </w:rPr>
              <w:t>⑦</w:t>
            </w:r>
            <w:r>
              <w:rPr>
                <w:rFonts w:hint="default" w:ascii="Times New Roman" w:hAnsi="Times New Roman" w:eastAsia="黑体" w:cs="Times New Roman"/>
                <w:snapToGrid w:val="0"/>
                <w:spacing w:val="-6"/>
                <w:kern w:val="21"/>
                <w:sz w:val="24"/>
                <w:szCs w:val="24"/>
              </w:rPr>
              <w:fldChar w:fldCharType="end"/>
            </w:r>
          </w:p>
        </w:tc>
      </w:tr>
      <w:tr w14:paraId="488DC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5" w:type="dxa"/>
            <w:vMerge w:val="restart"/>
            <w:tcBorders>
              <w:tl2br w:val="nil"/>
              <w:tr2bl w:val="nil"/>
            </w:tcBorders>
            <w:vAlign w:val="center"/>
          </w:tcPr>
          <w:p w14:paraId="1311B1F1">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废气</w:t>
            </w:r>
          </w:p>
        </w:tc>
        <w:tc>
          <w:tcPr>
            <w:tcW w:w="637" w:type="dxa"/>
            <w:vMerge w:val="restart"/>
            <w:tcBorders>
              <w:tl2br w:val="nil"/>
              <w:tr2bl w:val="nil"/>
            </w:tcBorders>
            <w:vAlign w:val="center"/>
          </w:tcPr>
          <w:p w14:paraId="62143F9E">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颗粒物</w:t>
            </w:r>
          </w:p>
        </w:tc>
        <w:tc>
          <w:tcPr>
            <w:tcW w:w="913" w:type="dxa"/>
            <w:tcBorders>
              <w:tl2br w:val="nil"/>
              <w:tr2bl w:val="nil"/>
            </w:tcBorders>
            <w:vAlign w:val="center"/>
          </w:tcPr>
          <w:p w14:paraId="655A821A">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无组织</w:t>
            </w:r>
          </w:p>
        </w:tc>
        <w:tc>
          <w:tcPr>
            <w:tcW w:w="1694" w:type="dxa"/>
            <w:tcBorders>
              <w:tl2br w:val="nil"/>
              <w:tr2bl w:val="nil"/>
            </w:tcBorders>
            <w:vAlign w:val="center"/>
          </w:tcPr>
          <w:p w14:paraId="7A86B4A7">
            <w:pPr>
              <w:adjustRightInd w:val="0"/>
              <w:snapToGrid w:val="0"/>
              <w:jc w:val="center"/>
              <w:rPr>
                <w:rFonts w:hint="default" w:ascii="Times New Roman" w:hAnsi="Times New Roman" w:eastAsia="宋体" w:cs="Times New Roman"/>
                <w:snapToGrid w:val="0"/>
                <w:kern w:val="21"/>
                <w:sz w:val="24"/>
                <w:szCs w:val="24"/>
                <w:lang w:val="en-US" w:eastAsia="zh-CN"/>
              </w:rPr>
            </w:pPr>
            <w:r>
              <w:rPr>
                <w:rFonts w:hint="default" w:ascii="Times New Roman" w:hAnsi="Times New Roman" w:cs="Times New Roman"/>
                <w:snapToGrid w:val="0"/>
                <w:kern w:val="21"/>
                <w:sz w:val="24"/>
                <w:szCs w:val="24"/>
                <w:lang w:val="en-US" w:eastAsia="zh-CN"/>
              </w:rPr>
              <w:t>/</w:t>
            </w:r>
          </w:p>
        </w:tc>
        <w:tc>
          <w:tcPr>
            <w:tcW w:w="1304" w:type="dxa"/>
            <w:tcBorders>
              <w:tl2br w:val="nil"/>
              <w:tr2bl w:val="nil"/>
            </w:tcBorders>
            <w:vAlign w:val="center"/>
          </w:tcPr>
          <w:p w14:paraId="485A7E43">
            <w:pPr>
              <w:adjustRightInd w:val="0"/>
              <w:snapToGrid w:val="0"/>
              <w:jc w:val="center"/>
              <w:rPr>
                <w:rFonts w:hint="default" w:ascii="Times New Roman" w:hAnsi="Times New Roman" w:eastAsia="宋体" w:cs="Times New Roman"/>
                <w:snapToGrid w:val="0"/>
                <w:kern w:val="21"/>
                <w:sz w:val="24"/>
                <w:szCs w:val="24"/>
                <w:lang w:val="en-US" w:eastAsia="zh-CN"/>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36A0C39B">
            <w:pPr>
              <w:adjustRightInd w:val="0"/>
              <w:snapToGrid w:val="0"/>
              <w:jc w:val="center"/>
              <w:rPr>
                <w:rFonts w:hint="default" w:ascii="Times New Roman" w:hAnsi="Times New Roman" w:eastAsia="宋体" w:cs="Times New Roman"/>
                <w:snapToGrid w:val="0"/>
                <w:kern w:val="21"/>
                <w:sz w:val="24"/>
                <w:szCs w:val="24"/>
                <w:lang w:val="en-US" w:eastAsia="zh-CN"/>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17E19878">
            <w:pPr>
              <w:adjustRightInd w:val="0"/>
              <w:snapToGrid w:val="0"/>
              <w:jc w:val="center"/>
              <w:rPr>
                <w:rFonts w:hint="default" w:ascii="Times New Roman" w:hAnsi="Times New Roman" w:eastAsia="宋体" w:cs="Times New Roman"/>
                <w:snapToGrid w:val="0"/>
                <w:kern w:val="21"/>
                <w:sz w:val="24"/>
                <w:szCs w:val="24"/>
                <w:lang w:val="en-US" w:eastAsia="zh-CN"/>
              </w:rPr>
            </w:pPr>
            <w:r>
              <w:rPr>
                <w:rFonts w:hint="eastAsia" w:ascii="Times New Roman" w:hAnsi="Times New Roman" w:cs="Times New Roman"/>
                <w:snapToGrid w:val="0"/>
                <w:kern w:val="21"/>
                <w:sz w:val="24"/>
                <w:szCs w:val="24"/>
                <w:lang w:val="en-US" w:eastAsia="zh-CN"/>
              </w:rPr>
              <w:t>0.0308</w:t>
            </w:r>
            <w:r>
              <w:rPr>
                <w:rFonts w:hint="default" w:ascii="Times New Roman" w:hAnsi="Times New Roman" w:cs="Times New Roman"/>
                <w:snapToGrid w:val="0"/>
                <w:kern w:val="21"/>
                <w:sz w:val="24"/>
                <w:szCs w:val="24"/>
                <w:lang w:val="en-US" w:eastAsia="zh-CN"/>
              </w:rPr>
              <w:t>t/a</w:t>
            </w:r>
          </w:p>
        </w:tc>
        <w:tc>
          <w:tcPr>
            <w:tcW w:w="1740" w:type="dxa"/>
            <w:tcBorders>
              <w:tl2br w:val="nil"/>
              <w:tr2bl w:val="nil"/>
            </w:tcBorders>
            <w:vAlign w:val="center"/>
          </w:tcPr>
          <w:p w14:paraId="298A7988">
            <w:pPr>
              <w:adjustRightInd w:val="0"/>
              <w:snapToGrid w:val="0"/>
              <w:jc w:val="center"/>
              <w:rPr>
                <w:rFonts w:hint="default" w:ascii="Times New Roman" w:hAnsi="Times New Roman" w:eastAsia="宋体" w:cs="Times New Roman"/>
                <w:snapToGrid w:val="0"/>
                <w:kern w:val="21"/>
                <w:sz w:val="24"/>
                <w:szCs w:val="24"/>
                <w:lang w:val="en-US" w:eastAsia="zh-CN"/>
              </w:rPr>
            </w:pPr>
            <w:r>
              <w:rPr>
                <w:rFonts w:hint="default" w:ascii="Times New Roman" w:hAnsi="Times New Roman" w:cs="Times New Roman"/>
                <w:snapToGrid w:val="0"/>
                <w:kern w:val="21"/>
                <w:sz w:val="24"/>
                <w:szCs w:val="24"/>
                <w:lang w:val="en-US" w:eastAsia="zh-CN"/>
              </w:rPr>
              <w:t>/</w:t>
            </w:r>
          </w:p>
        </w:tc>
        <w:tc>
          <w:tcPr>
            <w:tcW w:w="1740" w:type="dxa"/>
            <w:tcBorders>
              <w:tl2br w:val="nil"/>
              <w:tr2bl w:val="nil"/>
            </w:tcBorders>
            <w:vAlign w:val="center"/>
          </w:tcPr>
          <w:p w14:paraId="55197DD1">
            <w:pPr>
              <w:adjustRightInd w:val="0"/>
              <w:snapToGrid w:val="0"/>
              <w:jc w:val="center"/>
              <w:rPr>
                <w:rFonts w:hint="default" w:ascii="Times New Roman" w:hAnsi="Times New Roman" w:eastAsia="宋体" w:cs="Times New Roman"/>
                <w:snapToGrid w:val="0"/>
                <w:kern w:val="21"/>
                <w:sz w:val="24"/>
                <w:szCs w:val="24"/>
                <w:lang w:val="en-US" w:eastAsia="zh-CN" w:bidi="ar-SA"/>
              </w:rPr>
            </w:pPr>
            <w:r>
              <w:rPr>
                <w:rFonts w:hint="eastAsia" w:ascii="Times New Roman" w:hAnsi="Times New Roman" w:cs="Times New Roman"/>
                <w:snapToGrid w:val="0"/>
                <w:kern w:val="21"/>
                <w:sz w:val="24"/>
                <w:szCs w:val="24"/>
                <w:lang w:val="en-US" w:eastAsia="zh-CN"/>
              </w:rPr>
              <w:t>0.0308</w:t>
            </w:r>
            <w:r>
              <w:rPr>
                <w:rFonts w:hint="default" w:ascii="Times New Roman" w:hAnsi="Times New Roman" w:cs="Times New Roman"/>
                <w:snapToGrid w:val="0"/>
                <w:kern w:val="21"/>
                <w:sz w:val="24"/>
                <w:szCs w:val="24"/>
                <w:lang w:val="en-US" w:eastAsia="zh-CN"/>
              </w:rPr>
              <w:t>t/a</w:t>
            </w:r>
          </w:p>
        </w:tc>
        <w:tc>
          <w:tcPr>
            <w:tcW w:w="1648" w:type="dxa"/>
            <w:tcBorders>
              <w:tl2br w:val="nil"/>
              <w:tr2bl w:val="nil"/>
            </w:tcBorders>
            <w:vAlign w:val="center"/>
          </w:tcPr>
          <w:p w14:paraId="1A43514C">
            <w:pPr>
              <w:adjustRightInd w:val="0"/>
              <w:snapToGrid w:val="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lang w:val="en-US" w:eastAsia="zh-CN"/>
              </w:rPr>
              <w:t>/</w:t>
            </w:r>
          </w:p>
        </w:tc>
      </w:tr>
      <w:tr w14:paraId="79595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5" w:type="dxa"/>
            <w:vMerge w:val="continue"/>
            <w:tcBorders>
              <w:tl2br w:val="nil"/>
              <w:tr2bl w:val="nil"/>
            </w:tcBorders>
            <w:vAlign w:val="center"/>
          </w:tcPr>
          <w:p w14:paraId="2DABF1E5">
            <w:pPr>
              <w:adjustRightInd w:val="0"/>
              <w:snapToGrid w:val="0"/>
              <w:jc w:val="center"/>
              <w:rPr>
                <w:rFonts w:hint="default" w:ascii="Times New Roman" w:hAnsi="Times New Roman" w:cs="Times New Roman"/>
                <w:snapToGrid w:val="0"/>
                <w:kern w:val="21"/>
                <w:sz w:val="24"/>
                <w:szCs w:val="24"/>
              </w:rPr>
            </w:pPr>
          </w:p>
        </w:tc>
        <w:tc>
          <w:tcPr>
            <w:tcW w:w="637" w:type="dxa"/>
            <w:vMerge w:val="continue"/>
            <w:tcBorders>
              <w:tl2br w:val="nil"/>
              <w:tr2bl w:val="nil"/>
            </w:tcBorders>
            <w:vAlign w:val="center"/>
          </w:tcPr>
          <w:p w14:paraId="39B68367">
            <w:pPr>
              <w:adjustRightInd w:val="0"/>
              <w:snapToGrid w:val="0"/>
              <w:jc w:val="center"/>
              <w:rPr>
                <w:rFonts w:hint="default" w:ascii="Times New Roman" w:hAnsi="Times New Roman" w:cs="Times New Roman"/>
                <w:snapToGrid w:val="0"/>
                <w:kern w:val="21"/>
                <w:sz w:val="24"/>
                <w:szCs w:val="24"/>
              </w:rPr>
            </w:pPr>
          </w:p>
        </w:tc>
        <w:tc>
          <w:tcPr>
            <w:tcW w:w="913" w:type="dxa"/>
            <w:tcBorders>
              <w:tl2br w:val="nil"/>
              <w:tr2bl w:val="nil"/>
            </w:tcBorders>
            <w:vAlign w:val="center"/>
          </w:tcPr>
          <w:p w14:paraId="739AEE2F">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有组织</w:t>
            </w:r>
          </w:p>
        </w:tc>
        <w:tc>
          <w:tcPr>
            <w:tcW w:w="1694" w:type="dxa"/>
            <w:tcBorders>
              <w:tl2br w:val="nil"/>
              <w:tr2bl w:val="nil"/>
            </w:tcBorders>
            <w:vAlign w:val="center"/>
          </w:tcPr>
          <w:p w14:paraId="64425936">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304" w:type="dxa"/>
            <w:tcBorders>
              <w:tl2br w:val="nil"/>
              <w:tr2bl w:val="nil"/>
            </w:tcBorders>
            <w:vAlign w:val="center"/>
          </w:tcPr>
          <w:p w14:paraId="16E22875">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7850027B">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0D428CD8">
            <w:pPr>
              <w:adjustRightInd w:val="0"/>
              <w:snapToGrid w:val="0"/>
              <w:jc w:val="center"/>
              <w:rPr>
                <w:rFonts w:hint="default" w:ascii="Times New Roman" w:hAnsi="Times New Roman" w:eastAsia="宋体" w:cs="Times New Roman"/>
                <w:snapToGrid w:val="0"/>
                <w:kern w:val="21"/>
                <w:sz w:val="24"/>
                <w:szCs w:val="24"/>
                <w:lang w:val="en-US" w:eastAsia="zh-CN"/>
              </w:rPr>
            </w:pPr>
            <w:r>
              <w:rPr>
                <w:rFonts w:hint="eastAsia" w:ascii="Times New Roman" w:hAnsi="Times New Roman" w:cs="Times New Roman"/>
                <w:snapToGrid w:val="0"/>
                <w:kern w:val="21"/>
                <w:sz w:val="24"/>
                <w:szCs w:val="24"/>
                <w:lang w:val="en-US" w:eastAsia="zh-CN"/>
              </w:rPr>
              <w:t>0.0007</w:t>
            </w:r>
            <w:r>
              <w:rPr>
                <w:rFonts w:hint="default" w:ascii="Times New Roman" w:hAnsi="Times New Roman" w:cs="Times New Roman"/>
                <w:snapToGrid w:val="0"/>
                <w:kern w:val="21"/>
                <w:sz w:val="24"/>
                <w:szCs w:val="24"/>
                <w:lang w:val="en-US" w:eastAsia="zh-CN"/>
              </w:rPr>
              <w:t>t/a</w:t>
            </w:r>
          </w:p>
        </w:tc>
        <w:tc>
          <w:tcPr>
            <w:tcW w:w="1740" w:type="dxa"/>
            <w:tcBorders>
              <w:tl2br w:val="nil"/>
              <w:tr2bl w:val="nil"/>
            </w:tcBorders>
            <w:vAlign w:val="center"/>
          </w:tcPr>
          <w:p w14:paraId="19DA95F6">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740" w:type="dxa"/>
            <w:tcBorders>
              <w:tl2br w:val="nil"/>
              <w:tr2bl w:val="nil"/>
            </w:tcBorders>
            <w:vAlign w:val="center"/>
          </w:tcPr>
          <w:p w14:paraId="00127102">
            <w:pPr>
              <w:adjustRightInd w:val="0"/>
              <w:snapToGrid w:val="0"/>
              <w:jc w:val="center"/>
              <w:rPr>
                <w:rFonts w:hint="default" w:ascii="Times New Roman" w:hAnsi="Times New Roman" w:eastAsia="宋体" w:cs="Times New Roman"/>
                <w:snapToGrid w:val="0"/>
                <w:kern w:val="21"/>
                <w:sz w:val="24"/>
                <w:szCs w:val="24"/>
                <w:lang w:val="en-US" w:eastAsia="zh-CN" w:bidi="ar-SA"/>
              </w:rPr>
            </w:pPr>
            <w:r>
              <w:rPr>
                <w:rFonts w:hint="eastAsia" w:ascii="Times New Roman" w:hAnsi="Times New Roman" w:cs="Times New Roman"/>
                <w:snapToGrid w:val="0"/>
                <w:kern w:val="21"/>
                <w:sz w:val="24"/>
                <w:szCs w:val="24"/>
                <w:lang w:val="en-US" w:eastAsia="zh-CN"/>
              </w:rPr>
              <w:t>0.0007</w:t>
            </w:r>
            <w:r>
              <w:rPr>
                <w:rFonts w:hint="default" w:ascii="Times New Roman" w:hAnsi="Times New Roman" w:cs="Times New Roman"/>
                <w:snapToGrid w:val="0"/>
                <w:kern w:val="21"/>
                <w:sz w:val="24"/>
                <w:szCs w:val="24"/>
                <w:lang w:val="en-US" w:eastAsia="zh-CN"/>
              </w:rPr>
              <w:t>t/a</w:t>
            </w:r>
          </w:p>
        </w:tc>
        <w:tc>
          <w:tcPr>
            <w:tcW w:w="1648" w:type="dxa"/>
            <w:tcBorders>
              <w:tl2br w:val="nil"/>
              <w:tr2bl w:val="nil"/>
            </w:tcBorders>
            <w:vAlign w:val="center"/>
          </w:tcPr>
          <w:p w14:paraId="574480B2">
            <w:pPr>
              <w:adjustRightInd w:val="0"/>
              <w:snapToGrid w:val="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lang w:val="en-US" w:eastAsia="zh-CN"/>
              </w:rPr>
              <w:t>/</w:t>
            </w:r>
          </w:p>
        </w:tc>
      </w:tr>
      <w:tr w14:paraId="681FE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5" w:type="dxa"/>
            <w:vMerge w:val="continue"/>
            <w:tcBorders>
              <w:tl2br w:val="nil"/>
              <w:tr2bl w:val="nil"/>
            </w:tcBorders>
            <w:vAlign w:val="center"/>
          </w:tcPr>
          <w:p w14:paraId="0F455592">
            <w:pPr>
              <w:adjustRightInd w:val="0"/>
              <w:snapToGrid w:val="0"/>
              <w:jc w:val="center"/>
              <w:rPr>
                <w:rFonts w:hint="default" w:ascii="Times New Roman" w:hAnsi="Times New Roman" w:cs="Times New Roman"/>
                <w:snapToGrid w:val="0"/>
                <w:kern w:val="21"/>
                <w:sz w:val="24"/>
                <w:szCs w:val="24"/>
              </w:rPr>
            </w:pPr>
          </w:p>
        </w:tc>
        <w:tc>
          <w:tcPr>
            <w:tcW w:w="1550" w:type="dxa"/>
            <w:gridSpan w:val="2"/>
            <w:tcBorders>
              <w:tl2br w:val="nil"/>
              <w:tr2bl w:val="nil"/>
            </w:tcBorders>
            <w:vAlign w:val="center"/>
          </w:tcPr>
          <w:p w14:paraId="28655F32">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生活污水</w:t>
            </w:r>
          </w:p>
        </w:tc>
        <w:tc>
          <w:tcPr>
            <w:tcW w:w="1694" w:type="dxa"/>
            <w:tcBorders>
              <w:tl2br w:val="nil"/>
              <w:tr2bl w:val="nil"/>
            </w:tcBorders>
            <w:vAlign w:val="center"/>
          </w:tcPr>
          <w:p w14:paraId="507B0B79">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304" w:type="dxa"/>
            <w:tcBorders>
              <w:tl2br w:val="nil"/>
              <w:tr2bl w:val="nil"/>
            </w:tcBorders>
            <w:vAlign w:val="center"/>
          </w:tcPr>
          <w:p w14:paraId="2D23DE1F">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005EB498">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6CCF4D13">
            <w:pPr>
              <w:adjustRightInd w:val="0"/>
              <w:snapToGrid w:val="0"/>
              <w:jc w:val="center"/>
              <w:rPr>
                <w:rFonts w:hint="default" w:ascii="Times New Roman" w:hAnsi="Times New Roman" w:eastAsia="宋体" w:cs="Times New Roman"/>
                <w:snapToGrid w:val="0"/>
                <w:kern w:val="21"/>
                <w:sz w:val="24"/>
                <w:szCs w:val="24"/>
                <w:lang w:val="en-US" w:eastAsia="zh-CN"/>
              </w:rPr>
            </w:pPr>
            <w:r>
              <w:rPr>
                <w:rFonts w:hint="default" w:ascii="Times New Roman" w:hAnsi="Times New Roman" w:cs="Times New Roman"/>
                <w:snapToGrid w:val="0"/>
                <w:kern w:val="21"/>
                <w:sz w:val="24"/>
                <w:szCs w:val="24"/>
                <w:lang w:val="en-US" w:eastAsia="zh-CN"/>
              </w:rPr>
              <w:t>160t/a</w:t>
            </w:r>
          </w:p>
        </w:tc>
        <w:tc>
          <w:tcPr>
            <w:tcW w:w="1740" w:type="dxa"/>
            <w:tcBorders>
              <w:tl2br w:val="nil"/>
              <w:tr2bl w:val="nil"/>
            </w:tcBorders>
            <w:vAlign w:val="center"/>
          </w:tcPr>
          <w:p w14:paraId="5CB44174">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740" w:type="dxa"/>
            <w:tcBorders>
              <w:tl2br w:val="nil"/>
              <w:tr2bl w:val="nil"/>
            </w:tcBorders>
            <w:vAlign w:val="center"/>
          </w:tcPr>
          <w:p w14:paraId="617C6FF0">
            <w:pPr>
              <w:adjustRightInd w:val="0"/>
              <w:snapToGrid w:val="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lang w:val="en-US" w:eastAsia="zh-CN"/>
              </w:rPr>
              <w:t>160t/a</w:t>
            </w:r>
          </w:p>
        </w:tc>
        <w:tc>
          <w:tcPr>
            <w:tcW w:w="1648" w:type="dxa"/>
            <w:tcBorders>
              <w:tl2br w:val="nil"/>
              <w:tr2bl w:val="nil"/>
            </w:tcBorders>
            <w:vAlign w:val="center"/>
          </w:tcPr>
          <w:p w14:paraId="68C9A550">
            <w:pPr>
              <w:adjustRightInd w:val="0"/>
              <w:snapToGrid w:val="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lang w:val="en-US" w:eastAsia="zh-CN"/>
              </w:rPr>
              <w:t>/</w:t>
            </w:r>
          </w:p>
        </w:tc>
      </w:tr>
      <w:tr w14:paraId="50997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5" w:type="dxa"/>
            <w:vMerge w:val="restart"/>
            <w:tcBorders>
              <w:tl2br w:val="nil"/>
              <w:tr2bl w:val="nil"/>
            </w:tcBorders>
            <w:vAlign w:val="center"/>
          </w:tcPr>
          <w:p w14:paraId="27741E5C">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一般工业固体废物</w:t>
            </w:r>
          </w:p>
        </w:tc>
        <w:tc>
          <w:tcPr>
            <w:tcW w:w="1550" w:type="dxa"/>
            <w:gridSpan w:val="2"/>
            <w:tcBorders>
              <w:tl2br w:val="nil"/>
              <w:tr2bl w:val="nil"/>
            </w:tcBorders>
            <w:vAlign w:val="center"/>
          </w:tcPr>
          <w:p w14:paraId="62CB4D82">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eastAsia="宋体" w:cs="Times New Roman"/>
                <w:color w:val="auto"/>
                <w:kern w:val="2"/>
                <w:sz w:val="24"/>
                <w:szCs w:val="24"/>
                <w:lang w:val="en-US" w:eastAsia="zh-CN" w:bidi="ar-SA"/>
              </w:rPr>
              <w:t>生活垃圾</w:t>
            </w:r>
          </w:p>
        </w:tc>
        <w:tc>
          <w:tcPr>
            <w:tcW w:w="1694" w:type="dxa"/>
            <w:tcBorders>
              <w:tl2br w:val="nil"/>
              <w:tr2bl w:val="nil"/>
            </w:tcBorders>
            <w:vAlign w:val="center"/>
          </w:tcPr>
          <w:p w14:paraId="6171C742">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304" w:type="dxa"/>
            <w:tcBorders>
              <w:tl2br w:val="nil"/>
              <w:tr2bl w:val="nil"/>
            </w:tcBorders>
            <w:vAlign w:val="center"/>
          </w:tcPr>
          <w:p w14:paraId="7B2553D2">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52CB6418">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349E9687">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1.76</w:t>
            </w:r>
            <w:r>
              <w:rPr>
                <w:rFonts w:hint="default" w:ascii="Times New Roman" w:hAnsi="Times New Roman" w:cs="Times New Roman"/>
                <w:snapToGrid w:val="0"/>
                <w:kern w:val="21"/>
                <w:sz w:val="24"/>
                <w:szCs w:val="24"/>
                <w:lang w:val="en-US" w:eastAsia="zh-CN"/>
              </w:rPr>
              <w:t>t/a</w:t>
            </w:r>
          </w:p>
        </w:tc>
        <w:tc>
          <w:tcPr>
            <w:tcW w:w="1740" w:type="dxa"/>
            <w:tcBorders>
              <w:tl2br w:val="nil"/>
              <w:tr2bl w:val="nil"/>
            </w:tcBorders>
            <w:vAlign w:val="center"/>
          </w:tcPr>
          <w:p w14:paraId="3BEF983B">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740" w:type="dxa"/>
            <w:tcBorders>
              <w:tl2br w:val="nil"/>
              <w:tr2bl w:val="nil"/>
            </w:tcBorders>
            <w:vAlign w:val="center"/>
          </w:tcPr>
          <w:p w14:paraId="5F41D0F2">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1.76</w:t>
            </w:r>
            <w:r>
              <w:rPr>
                <w:rFonts w:hint="default" w:ascii="Times New Roman" w:hAnsi="Times New Roman" w:cs="Times New Roman"/>
                <w:snapToGrid w:val="0"/>
                <w:kern w:val="21"/>
                <w:sz w:val="24"/>
                <w:szCs w:val="24"/>
                <w:lang w:val="en-US" w:eastAsia="zh-CN"/>
              </w:rPr>
              <w:t>t/a</w:t>
            </w:r>
          </w:p>
        </w:tc>
        <w:tc>
          <w:tcPr>
            <w:tcW w:w="1648" w:type="dxa"/>
            <w:tcBorders>
              <w:tl2br w:val="nil"/>
              <w:tr2bl w:val="nil"/>
            </w:tcBorders>
            <w:vAlign w:val="center"/>
          </w:tcPr>
          <w:p w14:paraId="34EFAE7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napToGrid w:val="0"/>
                <w:kern w:val="21"/>
                <w:sz w:val="24"/>
                <w:szCs w:val="24"/>
                <w:lang w:val="en-US" w:eastAsia="zh-CN"/>
              </w:rPr>
              <w:t>/</w:t>
            </w:r>
          </w:p>
        </w:tc>
      </w:tr>
      <w:tr w14:paraId="01D59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5" w:type="dxa"/>
            <w:vMerge w:val="continue"/>
            <w:tcBorders>
              <w:tl2br w:val="nil"/>
              <w:tr2bl w:val="nil"/>
            </w:tcBorders>
            <w:vAlign w:val="center"/>
          </w:tcPr>
          <w:p w14:paraId="74AAB3E2">
            <w:pPr>
              <w:adjustRightInd w:val="0"/>
              <w:snapToGrid w:val="0"/>
              <w:jc w:val="center"/>
              <w:rPr>
                <w:rFonts w:hint="default" w:ascii="Times New Roman" w:hAnsi="Times New Roman" w:cs="Times New Roman"/>
                <w:snapToGrid w:val="0"/>
                <w:kern w:val="21"/>
                <w:sz w:val="24"/>
                <w:szCs w:val="24"/>
              </w:rPr>
            </w:pPr>
          </w:p>
        </w:tc>
        <w:tc>
          <w:tcPr>
            <w:tcW w:w="1550" w:type="dxa"/>
            <w:gridSpan w:val="2"/>
            <w:tcBorders>
              <w:tl2br w:val="nil"/>
              <w:tr2bl w:val="nil"/>
            </w:tcBorders>
            <w:vAlign w:val="center"/>
          </w:tcPr>
          <w:p w14:paraId="35C2B3C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废包装袋</w:t>
            </w:r>
          </w:p>
        </w:tc>
        <w:tc>
          <w:tcPr>
            <w:tcW w:w="1694" w:type="dxa"/>
            <w:tcBorders>
              <w:tl2br w:val="nil"/>
              <w:tr2bl w:val="nil"/>
            </w:tcBorders>
            <w:vAlign w:val="center"/>
          </w:tcPr>
          <w:p w14:paraId="13E30BAE">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304" w:type="dxa"/>
            <w:tcBorders>
              <w:tl2br w:val="nil"/>
              <w:tr2bl w:val="nil"/>
            </w:tcBorders>
            <w:vAlign w:val="center"/>
          </w:tcPr>
          <w:p w14:paraId="5850AE50">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628C4FE5">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287B3E40">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0.2</w:t>
            </w:r>
            <w:r>
              <w:rPr>
                <w:rFonts w:hint="default" w:ascii="Times New Roman" w:hAnsi="Times New Roman" w:cs="Times New Roman"/>
                <w:snapToGrid w:val="0"/>
                <w:kern w:val="21"/>
                <w:sz w:val="24"/>
                <w:szCs w:val="24"/>
                <w:lang w:val="en-US" w:eastAsia="zh-CN"/>
              </w:rPr>
              <w:t>t/a</w:t>
            </w:r>
          </w:p>
        </w:tc>
        <w:tc>
          <w:tcPr>
            <w:tcW w:w="1740" w:type="dxa"/>
            <w:tcBorders>
              <w:tl2br w:val="nil"/>
              <w:tr2bl w:val="nil"/>
            </w:tcBorders>
            <w:vAlign w:val="center"/>
          </w:tcPr>
          <w:p w14:paraId="5ADCCA59">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740" w:type="dxa"/>
            <w:tcBorders>
              <w:tl2br w:val="nil"/>
              <w:tr2bl w:val="nil"/>
            </w:tcBorders>
            <w:vAlign w:val="center"/>
          </w:tcPr>
          <w:p w14:paraId="10982A8A">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0.2</w:t>
            </w:r>
            <w:r>
              <w:rPr>
                <w:rFonts w:hint="default" w:ascii="Times New Roman" w:hAnsi="Times New Roman" w:cs="Times New Roman"/>
                <w:snapToGrid w:val="0"/>
                <w:kern w:val="21"/>
                <w:sz w:val="24"/>
                <w:szCs w:val="24"/>
                <w:lang w:val="en-US" w:eastAsia="zh-CN"/>
              </w:rPr>
              <w:t>t/a</w:t>
            </w:r>
          </w:p>
        </w:tc>
        <w:tc>
          <w:tcPr>
            <w:tcW w:w="1648" w:type="dxa"/>
            <w:tcBorders>
              <w:tl2br w:val="nil"/>
              <w:tr2bl w:val="nil"/>
            </w:tcBorders>
            <w:vAlign w:val="center"/>
          </w:tcPr>
          <w:p w14:paraId="6403EF26">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napToGrid w:val="0"/>
                <w:kern w:val="21"/>
                <w:sz w:val="24"/>
                <w:szCs w:val="24"/>
                <w:lang w:val="en-US" w:eastAsia="zh-CN"/>
              </w:rPr>
              <w:t>/</w:t>
            </w:r>
          </w:p>
        </w:tc>
      </w:tr>
      <w:tr w14:paraId="5D35F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65" w:type="dxa"/>
            <w:vMerge w:val="continue"/>
            <w:tcBorders>
              <w:tl2br w:val="nil"/>
              <w:tr2bl w:val="nil"/>
            </w:tcBorders>
            <w:vAlign w:val="center"/>
          </w:tcPr>
          <w:p w14:paraId="4CBD2D63">
            <w:pPr>
              <w:adjustRightInd w:val="0"/>
              <w:snapToGrid w:val="0"/>
              <w:jc w:val="center"/>
              <w:rPr>
                <w:rFonts w:hint="default" w:ascii="Times New Roman" w:hAnsi="Times New Roman" w:cs="Times New Roman"/>
                <w:snapToGrid w:val="0"/>
                <w:kern w:val="21"/>
                <w:sz w:val="24"/>
                <w:szCs w:val="24"/>
              </w:rPr>
            </w:pPr>
          </w:p>
        </w:tc>
        <w:tc>
          <w:tcPr>
            <w:tcW w:w="1550" w:type="dxa"/>
            <w:gridSpan w:val="2"/>
            <w:tcBorders>
              <w:tl2br w:val="nil"/>
              <w:tr2bl w:val="nil"/>
            </w:tcBorders>
            <w:vAlign w:val="center"/>
          </w:tcPr>
          <w:p w14:paraId="6AA4A0E8">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废布袋</w:t>
            </w:r>
          </w:p>
        </w:tc>
        <w:tc>
          <w:tcPr>
            <w:tcW w:w="1694" w:type="dxa"/>
            <w:tcBorders>
              <w:tl2br w:val="nil"/>
              <w:tr2bl w:val="nil"/>
            </w:tcBorders>
            <w:vAlign w:val="center"/>
          </w:tcPr>
          <w:p w14:paraId="35C5118D">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304" w:type="dxa"/>
            <w:tcBorders>
              <w:tl2br w:val="nil"/>
              <w:tr2bl w:val="nil"/>
            </w:tcBorders>
            <w:vAlign w:val="center"/>
          </w:tcPr>
          <w:p w14:paraId="184F2DFB">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4768B3E8">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46CD83A4">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0.1</w:t>
            </w:r>
            <w:r>
              <w:rPr>
                <w:rFonts w:hint="default" w:ascii="Times New Roman" w:hAnsi="Times New Roman" w:cs="Times New Roman"/>
                <w:snapToGrid w:val="0"/>
                <w:kern w:val="21"/>
                <w:sz w:val="24"/>
                <w:szCs w:val="24"/>
                <w:lang w:val="en-US" w:eastAsia="zh-CN"/>
              </w:rPr>
              <w:t>t/a</w:t>
            </w:r>
          </w:p>
        </w:tc>
        <w:tc>
          <w:tcPr>
            <w:tcW w:w="1740" w:type="dxa"/>
            <w:tcBorders>
              <w:tl2br w:val="nil"/>
              <w:tr2bl w:val="nil"/>
            </w:tcBorders>
            <w:vAlign w:val="center"/>
          </w:tcPr>
          <w:p w14:paraId="60E6E4A4">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740" w:type="dxa"/>
            <w:tcBorders>
              <w:tl2br w:val="nil"/>
              <w:tr2bl w:val="nil"/>
            </w:tcBorders>
            <w:vAlign w:val="center"/>
          </w:tcPr>
          <w:p w14:paraId="4729AE7E">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0.1</w:t>
            </w:r>
            <w:r>
              <w:rPr>
                <w:rFonts w:hint="default" w:ascii="Times New Roman" w:hAnsi="Times New Roman" w:cs="Times New Roman"/>
                <w:snapToGrid w:val="0"/>
                <w:kern w:val="21"/>
                <w:sz w:val="24"/>
                <w:szCs w:val="24"/>
                <w:lang w:val="en-US" w:eastAsia="zh-CN"/>
              </w:rPr>
              <w:t>t/a</w:t>
            </w:r>
          </w:p>
        </w:tc>
        <w:tc>
          <w:tcPr>
            <w:tcW w:w="1648" w:type="dxa"/>
            <w:tcBorders>
              <w:tl2br w:val="nil"/>
              <w:tr2bl w:val="nil"/>
            </w:tcBorders>
            <w:vAlign w:val="center"/>
          </w:tcPr>
          <w:p w14:paraId="473FAF7B">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napToGrid w:val="0"/>
                <w:kern w:val="21"/>
                <w:sz w:val="24"/>
                <w:szCs w:val="24"/>
                <w:lang w:val="en-US" w:eastAsia="zh-CN"/>
              </w:rPr>
              <w:t>/</w:t>
            </w:r>
          </w:p>
        </w:tc>
      </w:tr>
      <w:tr w14:paraId="244B4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5" w:type="dxa"/>
            <w:vMerge w:val="continue"/>
            <w:tcBorders>
              <w:tl2br w:val="nil"/>
              <w:tr2bl w:val="nil"/>
            </w:tcBorders>
            <w:vAlign w:val="center"/>
          </w:tcPr>
          <w:p w14:paraId="3B59F0BD">
            <w:pPr>
              <w:adjustRightInd w:val="0"/>
              <w:snapToGrid w:val="0"/>
              <w:jc w:val="center"/>
              <w:rPr>
                <w:rFonts w:hint="default" w:ascii="Times New Roman" w:hAnsi="Times New Roman" w:cs="Times New Roman"/>
                <w:snapToGrid w:val="0"/>
                <w:kern w:val="21"/>
                <w:sz w:val="24"/>
                <w:szCs w:val="24"/>
              </w:rPr>
            </w:pPr>
          </w:p>
        </w:tc>
        <w:tc>
          <w:tcPr>
            <w:tcW w:w="1550" w:type="dxa"/>
            <w:gridSpan w:val="2"/>
            <w:tcBorders>
              <w:tl2br w:val="nil"/>
              <w:tr2bl w:val="nil"/>
            </w:tcBorders>
            <w:vAlign w:val="center"/>
          </w:tcPr>
          <w:p w14:paraId="7ED63C9A">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除尘</w:t>
            </w:r>
            <w:r>
              <w:rPr>
                <w:rFonts w:hint="default" w:ascii="Times New Roman" w:hAnsi="Times New Roman" w:cs="Times New Roman"/>
                <w:color w:val="auto"/>
                <w:sz w:val="24"/>
                <w:szCs w:val="24"/>
              </w:rPr>
              <w:t>器收集的粉尘</w:t>
            </w:r>
          </w:p>
        </w:tc>
        <w:tc>
          <w:tcPr>
            <w:tcW w:w="1694" w:type="dxa"/>
            <w:tcBorders>
              <w:tl2br w:val="nil"/>
              <w:tr2bl w:val="nil"/>
            </w:tcBorders>
            <w:vAlign w:val="center"/>
          </w:tcPr>
          <w:p w14:paraId="58D5FC46">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304" w:type="dxa"/>
            <w:tcBorders>
              <w:tl2br w:val="nil"/>
              <w:tr2bl w:val="nil"/>
            </w:tcBorders>
            <w:vAlign w:val="center"/>
          </w:tcPr>
          <w:p w14:paraId="2E12DCAD">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0329965A">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077966D0">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snapToGrid w:val="0"/>
                <w:kern w:val="21"/>
                <w:sz w:val="24"/>
                <w:szCs w:val="24"/>
                <w:lang w:val="en-US" w:eastAsia="zh-CN"/>
              </w:rPr>
              <w:t>0.25</w:t>
            </w:r>
            <w:r>
              <w:rPr>
                <w:rFonts w:hint="default" w:ascii="Times New Roman" w:hAnsi="Times New Roman" w:cs="Times New Roman"/>
                <w:snapToGrid w:val="0"/>
                <w:kern w:val="21"/>
                <w:sz w:val="24"/>
                <w:szCs w:val="24"/>
                <w:lang w:val="en-US" w:eastAsia="zh-CN"/>
              </w:rPr>
              <w:t>t/a</w:t>
            </w:r>
          </w:p>
        </w:tc>
        <w:tc>
          <w:tcPr>
            <w:tcW w:w="1740" w:type="dxa"/>
            <w:tcBorders>
              <w:tl2br w:val="nil"/>
              <w:tr2bl w:val="nil"/>
            </w:tcBorders>
            <w:vAlign w:val="center"/>
          </w:tcPr>
          <w:p w14:paraId="142F6057">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740" w:type="dxa"/>
            <w:tcBorders>
              <w:tl2br w:val="nil"/>
              <w:tr2bl w:val="nil"/>
            </w:tcBorders>
            <w:vAlign w:val="center"/>
          </w:tcPr>
          <w:p w14:paraId="041DC342">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snapToGrid w:val="0"/>
                <w:kern w:val="21"/>
                <w:sz w:val="24"/>
                <w:szCs w:val="24"/>
                <w:lang w:val="en-US" w:eastAsia="zh-CN"/>
              </w:rPr>
              <w:t>0.25</w:t>
            </w:r>
            <w:r>
              <w:rPr>
                <w:rFonts w:hint="default" w:ascii="Times New Roman" w:hAnsi="Times New Roman" w:cs="Times New Roman"/>
                <w:snapToGrid w:val="0"/>
                <w:kern w:val="21"/>
                <w:sz w:val="24"/>
                <w:szCs w:val="24"/>
                <w:lang w:val="en-US" w:eastAsia="zh-CN"/>
              </w:rPr>
              <w:t>t/a</w:t>
            </w:r>
          </w:p>
        </w:tc>
        <w:tc>
          <w:tcPr>
            <w:tcW w:w="1648" w:type="dxa"/>
            <w:tcBorders>
              <w:tl2br w:val="nil"/>
              <w:tr2bl w:val="nil"/>
            </w:tcBorders>
            <w:vAlign w:val="center"/>
          </w:tcPr>
          <w:p w14:paraId="59D9ACE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napToGrid w:val="0"/>
                <w:kern w:val="21"/>
                <w:sz w:val="24"/>
                <w:szCs w:val="24"/>
                <w:lang w:val="en-US" w:eastAsia="zh-CN"/>
              </w:rPr>
              <w:t>/</w:t>
            </w:r>
          </w:p>
        </w:tc>
      </w:tr>
      <w:tr w14:paraId="5D21F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65" w:type="dxa"/>
            <w:tcBorders>
              <w:tl2br w:val="nil"/>
              <w:tr2bl w:val="nil"/>
            </w:tcBorders>
            <w:vAlign w:val="center"/>
          </w:tcPr>
          <w:p w14:paraId="1F75F2AA">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危险废物</w:t>
            </w:r>
          </w:p>
        </w:tc>
        <w:tc>
          <w:tcPr>
            <w:tcW w:w="1550" w:type="dxa"/>
            <w:gridSpan w:val="2"/>
            <w:tcBorders>
              <w:tl2br w:val="nil"/>
              <w:tr2bl w:val="nil"/>
            </w:tcBorders>
            <w:vAlign w:val="center"/>
          </w:tcPr>
          <w:p w14:paraId="3038E26F">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废机油</w:t>
            </w:r>
          </w:p>
        </w:tc>
        <w:tc>
          <w:tcPr>
            <w:tcW w:w="1694" w:type="dxa"/>
            <w:tcBorders>
              <w:tl2br w:val="nil"/>
              <w:tr2bl w:val="nil"/>
            </w:tcBorders>
            <w:vAlign w:val="center"/>
          </w:tcPr>
          <w:p w14:paraId="786B56F3">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304" w:type="dxa"/>
            <w:tcBorders>
              <w:tl2br w:val="nil"/>
              <w:tr2bl w:val="nil"/>
            </w:tcBorders>
            <w:vAlign w:val="center"/>
          </w:tcPr>
          <w:p w14:paraId="00DBCA7B">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78016159">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593" w:type="dxa"/>
            <w:tcBorders>
              <w:tl2br w:val="nil"/>
              <w:tr2bl w:val="nil"/>
            </w:tcBorders>
            <w:vAlign w:val="center"/>
          </w:tcPr>
          <w:p w14:paraId="10B53186">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0.01</w:t>
            </w:r>
            <w:r>
              <w:rPr>
                <w:rFonts w:hint="default" w:ascii="Times New Roman" w:hAnsi="Times New Roman" w:cs="Times New Roman"/>
                <w:snapToGrid w:val="0"/>
                <w:kern w:val="21"/>
                <w:sz w:val="24"/>
                <w:szCs w:val="24"/>
                <w:lang w:val="en-US" w:eastAsia="zh-CN"/>
              </w:rPr>
              <w:t>t/a</w:t>
            </w:r>
          </w:p>
        </w:tc>
        <w:tc>
          <w:tcPr>
            <w:tcW w:w="1740" w:type="dxa"/>
            <w:tcBorders>
              <w:tl2br w:val="nil"/>
              <w:tr2bl w:val="nil"/>
            </w:tcBorders>
            <w:vAlign w:val="center"/>
          </w:tcPr>
          <w:p w14:paraId="759D0E21">
            <w:pPr>
              <w:adjustRightInd w:val="0"/>
              <w:snapToGrid w:val="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val="en-US" w:eastAsia="zh-CN"/>
              </w:rPr>
              <w:t>/</w:t>
            </w:r>
          </w:p>
        </w:tc>
        <w:tc>
          <w:tcPr>
            <w:tcW w:w="1740" w:type="dxa"/>
            <w:tcBorders>
              <w:tl2br w:val="nil"/>
              <w:tr2bl w:val="nil"/>
            </w:tcBorders>
            <w:vAlign w:val="center"/>
          </w:tcPr>
          <w:p w14:paraId="37D0CA74">
            <w:pPr>
              <w:adjustRightInd w:val="0"/>
              <w:snapToGrid w:val="0"/>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0.01</w:t>
            </w:r>
            <w:r>
              <w:rPr>
                <w:rFonts w:hint="default" w:ascii="Times New Roman" w:hAnsi="Times New Roman" w:cs="Times New Roman"/>
                <w:snapToGrid w:val="0"/>
                <w:kern w:val="21"/>
                <w:sz w:val="24"/>
                <w:szCs w:val="24"/>
                <w:lang w:val="en-US" w:eastAsia="zh-CN"/>
              </w:rPr>
              <w:t>t/a</w:t>
            </w:r>
          </w:p>
        </w:tc>
        <w:tc>
          <w:tcPr>
            <w:tcW w:w="1648" w:type="dxa"/>
            <w:tcBorders>
              <w:tl2br w:val="nil"/>
              <w:tr2bl w:val="nil"/>
            </w:tcBorders>
            <w:vAlign w:val="center"/>
          </w:tcPr>
          <w:p w14:paraId="5AEF91DA">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napToGrid w:val="0"/>
                <w:kern w:val="21"/>
                <w:sz w:val="24"/>
                <w:szCs w:val="24"/>
                <w:lang w:val="en-US" w:eastAsia="zh-CN"/>
              </w:rPr>
              <w:t>/</w:t>
            </w:r>
          </w:p>
        </w:tc>
      </w:tr>
    </w:tbl>
    <w:p w14:paraId="474D6C16">
      <w:pPr>
        <w:jc w:val="left"/>
        <w:rPr>
          <w:rFonts w:hint="default" w:ascii="Times New Roman" w:hAnsi="Times New Roman" w:cs="Times New Roman"/>
          <w:snapToGrid w:val="0"/>
          <w:spacing w:val="-6"/>
          <w:kern w:val="21"/>
          <w:sz w:val="24"/>
          <w:szCs w:val="24"/>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pPr>
      <w:r>
        <w:rPr>
          <w:rFonts w:hint="default" w:ascii="Times New Roman" w:hAnsi="Times New Roman" w:cs="Times New Roman"/>
          <w:snapToGrid w:val="0"/>
          <w:kern w:val="21"/>
          <w:sz w:val="24"/>
          <w:szCs w:val="24"/>
        </w:rPr>
        <w:t>注：</w:t>
      </w:r>
      <w:r>
        <w:rPr>
          <w:rFonts w:hint="default" w:ascii="Times New Roman" w:hAnsi="Times New Roman" w:cs="Times New Roman"/>
          <w:snapToGrid w:val="0"/>
          <w:spacing w:val="-16"/>
          <w:kern w:val="21"/>
          <w:sz w:val="24"/>
          <w:szCs w:val="24"/>
        </w:rPr>
        <w:fldChar w:fldCharType="begin"/>
      </w:r>
      <w:r>
        <w:rPr>
          <w:rFonts w:hint="default" w:ascii="Times New Roman" w:hAnsi="Times New Roman" w:cs="Times New Roman"/>
          <w:snapToGrid w:val="0"/>
          <w:spacing w:val="-16"/>
          <w:kern w:val="21"/>
          <w:sz w:val="24"/>
          <w:szCs w:val="24"/>
        </w:rPr>
        <w:instrText xml:space="preserve"> = 6 \* GB3 \* MERGEFORMAT </w:instrText>
      </w:r>
      <w:r>
        <w:rPr>
          <w:rFonts w:hint="default" w:ascii="Times New Roman" w:hAnsi="Times New Roman" w:cs="Times New Roman"/>
          <w:snapToGrid w:val="0"/>
          <w:spacing w:val="-16"/>
          <w:kern w:val="21"/>
          <w:sz w:val="24"/>
          <w:szCs w:val="24"/>
        </w:rPr>
        <w:fldChar w:fldCharType="separate"/>
      </w:r>
      <w:r>
        <w:rPr>
          <w:rFonts w:hint="default" w:ascii="Times New Roman" w:hAnsi="Times New Roman" w:cs="Times New Roman"/>
          <w:kern w:val="0"/>
          <w:sz w:val="24"/>
          <w:szCs w:val="24"/>
        </w:rPr>
        <w:t>⑥</w:t>
      </w:r>
      <w:r>
        <w:rPr>
          <w:rFonts w:hint="default" w:ascii="Times New Roman" w:hAnsi="Times New Roman" w:cs="Times New Roman"/>
          <w:snapToGrid w:val="0"/>
          <w:spacing w:val="-16"/>
          <w:kern w:val="21"/>
          <w:sz w:val="24"/>
          <w:szCs w:val="24"/>
        </w:rPr>
        <w:fldChar w:fldCharType="end"/>
      </w:r>
      <w:r>
        <w:rPr>
          <w:rFonts w:hint="default" w:ascii="Times New Roman" w:hAnsi="Times New Roman" w:cs="Times New Roman"/>
          <w:snapToGrid w:val="0"/>
          <w:spacing w:val="-16"/>
          <w:kern w:val="21"/>
          <w:sz w:val="24"/>
          <w:szCs w:val="24"/>
        </w:rPr>
        <w:t>=</w:t>
      </w:r>
      <w:r>
        <w:rPr>
          <w:rFonts w:hint="default" w:ascii="Times New Roman" w:hAnsi="Times New Roman" w:cs="Times New Roman"/>
          <w:snapToGrid w:val="0"/>
          <w:spacing w:val="-6"/>
          <w:kern w:val="21"/>
          <w:sz w:val="24"/>
          <w:szCs w:val="24"/>
        </w:rPr>
        <w:fldChar w:fldCharType="begin"/>
      </w:r>
      <w:r>
        <w:rPr>
          <w:rFonts w:hint="default" w:ascii="Times New Roman" w:hAnsi="Times New Roman" w:cs="Times New Roman"/>
          <w:snapToGrid w:val="0"/>
          <w:spacing w:val="-6"/>
          <w:kern w:val="21"/>
          <w:sz w:val="24"/>
          <w:szCs w:val="24"/>
        </w:rPr>
        <w:instrText xml:space="preserve"> = 1 \* GB3 \* MERGEFORMAT </w:instrText>
      </w:r>
      <w:r>
        <w:rPr>
          <w:rFonts w:hint="default" w:ascii="Times New Roman" w:hAnsi="Times New Roman" w:cs="Times New Roman"/>
          <w:snapToGrid w:val="0"/>
          <w:spacing w:val="-6"/>
          <w:kern w:val="21"/>
          <w:sz w:val="24"/>
          <w:szCs w:val="24"/>
        </w:rPr>
        <w:fldChar w:fldCharType="separate"/>
      </w:r>
      <w:r>
        <w:rPr>
          <w:rFonts w:hint="default" w:ascii="Times New Roman" w:hAnsi="Times New Roman" w:cs="Times New Roman"/>
          <w:kern w:val="0"/>
          <w:sz w:val="24"/>
          <w:szCs w:val="24"/>
        </w:rPr>
        <w:t>①</w:t>
      </w:r>
      <w:r>
        <w:rPr>
          <w:rFonts w:hint="default" w:ascii="Times New Roman" w:hAnsi="Times New Roman" w:cs="Times New Roman"/>
          <w:snapToGrid w:val="0"/>
          <w:spacing w:val="-6"/>
          <w:kern w:val="21"/>
          <w:sz w:val="24"/>
          <w:szCs w:val="24"/>
        </w:rPr>
        <w:fldChar w:fldCharType="end"/>
      </w:r>
      <w:r>
        <w:rPr>
          <w:rFonts w:hint="default" w:ascii="Times New Roman" w:hAnsi="Times New Roman" w:cs="Times New Roman"/>
          <w:snapToGrid w:val="0"/>
          <w:spacing w:val="-6"/>
          <w:kern w:val="21"/>
          <w:sz w:val="24"/>
          <w:szCs w:val="24"/>
        </w:rPr>
        <w:t>+</w:t>
      </w:r>
      <w:r>
        <w:rPr>
          <w:rFonts w:hint="default" w:ascii="Times New Roman" w:hAnsi="Times New Roman" w:cs="Times New Roman"/>
          <w:snapToGrid w:val="0"/>
          <w:spacing w:val="-6"/>
          <w:kern w:val="21"/>
          <w:sz w:val="24"/>
          <w:szCs w:val="24"/>
        </w:rPr>
        <w:fldChar w:fldCharType="begin"/>
      </w:r>
      <w:r>
        <w:rPr>
          <w:rFonts w:hint="default" w:ascii="Times New Roman" w:hAnsi="Times New Roman" w:cs="Times New Roman"/>
          <w:snapToGrid w:val="0"/>
          <w:spacing w:val="-6"/>
          <w:kern w:val="21"/>
          <w:sz w:val="24"/>
          <w:szCs w:val="24"/>
        </w:rPr>
        <w:instrText xml:space="preserve"> = 3 \* GB3 \* MERGEFORMAT </w:instrText>
      </w:r>
      <w:r>
        <w:rPr>
          <w:rFonts w:hint="default" w:ascii="Times New Roman" w:hAnsi="Times New Roman" w:cs="Times New Roman"/>
          <w:snapToGrid w:val="0"/>
          <w:spacing w:val="-6"/>
          <w:kern w:val="21"/>
          <w:sz w:val="24"/>
          <w:szCs w:val="24"/>
        </w:rPr>
        <w:fldChar w:fldCharType="separate"/>
      </w:r>
      <w:r>
        <w:rPr>
          <w:rFonts w:hint="default" w:ascii="Times New Roman" w:hAnsi="Times New Roman" w:cs="Times New Roman"/>
          <w:kern w:val="0"/>
          <w:sz w:val="24"/>
          <w:szCs w:val="24"/>
        </w:rPr>
        <w:t>③</w:t>
      </w:r>
      <w:r>
        <w:rPr>
          <w:rFonts w:hint="default" w:ascii="Times New Roman" w:hAnsi="Times New Roman" w:cs="Times New Roman"/>
          <w:snapToGrid w:val="0"/>
          <w:spacing w:val="-6"/>
          <w:kern w:val="21"/>
          <w:sz w:val="24"/>
          <w:szCs w:val="24"/>
        </w:rPr>
        <w:fldChar w:fldCharType="end"/>
      </w:r>
      <w:r>
        <w:rPr>
          <w:rFonts w:hint="default" w:ascii="Times New Roman" w:hAnsi="Times New Roman" w:cs="Times New Roman"/>
          <w:snapToGrid w:val="0"/>
          <w:spacing w:val="-6"/>
          <w:kern w:val="21"/>
          <w:sz w:val="24"/>
          <w:szCs w:val="24"/>
        </w:rPr>
        <w:t>+</w:t>
      </w:r>
      <w:r>
        <w:rPr>
          <w:rFonts w:hint="default" w:ascii="Times New Roman" w:hAnsi="Times New Roman" w:cs="Times New Roman"/>
          <w:snapToGrid w:val="0"/>
          <w:spacing w:val="-6"/>
          <w:kern w:val="21"/>
          <w:sz w:val="24"/>
          <w:szCs w:val="24"/>
        </w:rPr>
        <w:fldChar w:fldCharType="begin"/>
      </w:r>
      <w:r>
        <w:rPr>
          <w:rFonts w:hint="default" w:ascii="Times New Roman" w:hAnsi="Times New Roman" w:cs="Times New Roman"/>
          <w:snapToGrid w:val="0"/>
          <w:spacing w:val="-6"/>
          <w:kern w:val="21"/>
          <w:sz w:val="24"/>
          <w:szCs w:val="24"/>
        </w:rPr>
        <w:instrText xml:space="preserve"> = 4 \* GB3 \* MERGEFORMAT </w:instrText>
      </w:r>
      <w:r>
        <w:rPr>
          <w:rFonts w:hint="default" w:ascii="Times New Roman" w:hAnsi="Times New Roman" w:cs="Times New Roman"/>
          <w:snapToGrid w:val="0"/>
          <w:spacing w:val="-6"/>
          <w:kern w:val="21"/>
          <w:sz w:val="24"/>
          <w:szCs w:val="24"/>
        </w:rPr>
        <w:fldChar w:fldCharType="separate"/>
      </w:r>
      <w:r>
        <w:rPr>
          <w:rFonts w:hint="default" w:ascii="Times New Roman" w:hAnsi="Times New Roman" w:cs="Times New Roman"/>
          <w:kern w:val="0"/>
          <w:sz w:val="24"/>
          <w:szCs w:val="24"/>
        </w:rPr>
        <w:t>④</w:t>
      </w:r>
      <w:r>
        <w:rPr>
          <w:rFonts w:hint="default" w:ascii="Times New Roman" w:hAnsi="Times New Roman" w:cs="Times New Roman"/>
          <w:snapToGrid w:val="0"/>
          <w:spacing w:val="-6"/>
          <w:kern w:val="21"/>
          <w:sz w:val="24"/>
          <w:szCs w:val="24"/>
        </w:rPr>
        <w:fldChar w:fldCharType="end"/>
      </w:r>
      <w:r>
        <w:rPr>
          <w:rFonts w:hint="default" w:ascii="Times New Roman" w:hAnsi="Times New Roman" w:cs="Times New Roman"/>
          <w:snapToGrid w:val="0"/>
          <w:spacing w:val="-6"/>
          <w:kern w:val="21"/>
          <w:sz w:val="24"/>
          <w:szCs w:val="24"/>
        </w:rPr>
        <w:t>-</w:t>
      </w:r>
      <w:r>
        <w:rPr>
          <w:rFonts w:hint="default" w:ascii="Times New Roman" w:hAnsi="Times New Roman" w:cs="Times New Roman"/>
          <w:snapToGrid w:val="0"/>
          <w:spacing w:val="-16"/>
          <w:kern w:val="21"/>
          <w:sz w:val="24"/>
          <w:szCs w:val="24"/>
        </w:rPr>
        <w:fldChar w:fldCharType="begin"/>
      </w:r>
      <w:r>
        <w:rPr>
          <w:rFonts w:hint="default" w:ascii="Times New Roman" w:hAnsi="Times New Roman" w:cs="Times New Roman"/>
          <w:snapToGrid w:val="0"/>
          <w:spacing w:val="-16"/>
          <w:kern w:val="21"/>
          <w:sz w:val="24"/>
          <w:szCs w:val="24"/>
        </w:rPr>
        <w:instrText xml:space="preserve"> = 5 \* GB3 \* MERGEFORMAT </w:instrText>
      </w:r>
      <w:r>
        <w:rPr>
          <w:rFonts w:hint="default" w:ascii="Times New Roman" w:hAnsi="Times New Roman" w:cs="Times New Roman"/>
          <w:snapToGrid w:val="0"/>
          <w:spacing w:val="-16"/>
          <w:kern w:val="21"/>
          <w:sz w:val="24"/>
          <w:szCs w:val="24"/>
        </w:rPr>
        <w:fldChar w:fldCharType="separate"/>
      </w:r>
      <w:r>
        <w:rPr>
          <w:rFonts w:hint="default" w:ascii="Times New Roman" w:hAnsi="Times New Roman" w:cs="Times New Roman"/>
          <w:kern w:val="0"/>
          <w:sz w:val="24"/>
          <w:szCs w:val="24"/>
        </w:rPr>
        <w:t>⑤</w:t>
      </w:r>
      <w:r>
        <w:rPr>
          <w:rFonts w:hint="default" w:ascii="Times New Roman" w:hAnsi="Times New Roman" w:cs="Times New Roman"/>
          <w:snapToGrid w:val="0"/>
          <w:spacing w:val="-16"/>
          <w:kern w:val="21"/>
          <w:sz w:val="24"/>
          <w:szCs w:val="24"/>
        </w:rPr>
        <w:fldChar w:fldCharType="end"/>
      </w:r>
      <w:r>
        <w:rPr>
          <w:rFonts w:hint="default" w:ascii="Times New Roman" w:hAnsi="Times New Roman" w:cs="Times New Roman"/>
          <w:snapToGrid w:val="0"/>
          <w:spacing w:val="-16"/>
          <w:kern w:val="21"/>
          <w:sz w:val="24"/>
          <w:szCs w:val="24"/>
        </w:rPr>
        <w:t>；</w:t>
      </w:r>
      <w:r>
        <w:rPr>
          <w:rFonts w:hint="default" w:ascii="Times New Roman" w:hAnsi="Times New Roman" w:cs="Times New Roman"/>
          <w:snapToGrid w:val="0"/>
          <w:spacing w:val="-6"/>
          <w:kern w:val="21"/>
          <w:sz w:val="24"/>
          <w:szCs w:val="24"/>
        </w:rPr>
        <w:fldChar w:fldCharType="begin"/>
      </w:r>
      <w:r>
        <w:rPr>
          <w:rFonts w:hint="default" w:ascii="Times New Roman" w:hAnsi="Times New Roman" w:cs="Times New Roman"/>
          <w:snapToGrid w:val="0"/>
          <w:spacing w:val="-6"/>
          <w:kern w:val="21"/>
          <w:sz w:val="24"/>
          <w:szCs w:val="24"/>
        </w:rPr>
        <w:instrText xml:space="preserve"> = 7 \* GB3 \* MERGEFORMAT </w:instrText>
      </w:r>
      <w:r>
        <w:rPr>
          <w:rFonts w:hint="default" w:ascii="Times New Roman" w:hAnsi="Times New Roman" w:cs="Times New Roman"/>
          <w:snapToGrid w:val="0"/>
          <w:spacing w:val="-6"/>
          <w:kern w:val="21"/>
          <w:sz w:val="24"/>
          <w:szCs w:val="24"/>
        </w:rPr>
        <w:fldChar w:fldCharType="separate"/>
      </w:r>
      <w:r>
        <w:rPr>
          <w:rFonts w:hint="default" w:ascii="Times New Roman" w:hAnsi="Times New Roman" w:cs="Times New Roman"/>
          <w:kern w:val="0"/>
          <w:sz w:val="24"/>
          <w:szCs w:val="24"/>
        </w:rPr>
        <w:t>⑦</w:t>
      </w:r>
      <w:r>
        <w:rPr>
          <w:rFonts w:hint="default" w:ascii="Times New Roman" w:hAnsi="Times New Roman" w:cs="Times New Roman"/>
          <w:snapToGrid w:val="0"/>
          <w:spacing w:val="-6"/>
          <w:kern w:val="21"/>
          <w:sz w:val="24"/>
          <w:szCs w:val="24"/>
        </w:rPr>
        <w:fldChar w:fldCharType="end"/>
      </w:r>
      <w:r>
        <w:rPr>
          <w:rFonts w:hint="default" w:ascii="Times New Roman" w:hAnsi="Times New Roman" w:cs="Times New Roman"/>
          <w:snapToGrid w:val="0"/>
          <w:spacing w:val="-6"/>
          <w:kern w:val="21"/>
          <w:sz w:val="24"/>
          <w:szCs w:val="24"/>
        </w:rPr>
        <w:t>=</w:t>
      </w:r>
      <w:r>
        <w:rPr>
          <w:rFonts w:hint="default" w:ascii="Times New Roman" w:hAnsi="Times New Roman" w:cs="Times New Roman"/>
          <w:snapToGrid w:val="0"/>
          <w:spacing w:val="-16"/>
          <w:kern w:val="21"/>
          <w:sz w:val="24"/>
          <w:szCs w:val="24"/>
        </w:rPr>
        <w:fldChar w:fldCharType="begin"/>
      </w:r>
      <w:r>
        <w:rPr>
          <w:rFonts w:hint="default" w:ascii="Times New Roman" w:hAnsi="Times New Roman" w:cs="Times New Roman"/>
          <w:snapToGrid w:val="0"/>
          <w:spacing w:val="-16"/>
          <w:kern w:val="21"/>
          <w:sz w:val="24"/>
          <w:szCs w:val="24"/>
        </w:rPr>
        <w:instrText xml:space="preserve"> = 6 \* GB3 \* MERGEFORMAT </w:instrText>
      </w:r>
      <w:r>
        <w:rPr>
          <w:rFonts w:hint="default" w:ascii="Times New Roman" w:hAnsi="Times New Roman" w:cs="Times New Roman"/>
          <w:snapToGrid w:val="0"/>
          <w:spacing w:val="-16"/>
          <w:kern w:val="21"/>
          <w:sz w:val="24"/>
          <w:szCs w:val="24"/>
        </w:rPr>
        <w:fldChar w:fldCharType="separate"/>
      </w:r>
      <w:r>
        <w:rPr>
          <w:rFonts w:hint="default" w:ascii="Times New Roman" w:hAnsi="Times New Roman" w:cs="Times New Roman"/>
          <w:kern w:val="0"/>
          <w:sz w:val="24"/>
          <w:szCs w:val="24"/>
        </w:rPr>
        <w:t>⑥</w:t>
      </w:r>
      <w:r>
        <w:rPr>
          <w:rFonts w:hint="default" w:ascii="Times New Roman" w:hAnsi="Times New Roman" w:cs="Times New Roman"/>
          <w:snapToGrid w:val="0"/>
          <w:spacing w:val="-16"/>
          <w:kern w:val="21"/>
          <w:sz w:val="24"/>
          <w:szCs w:val="24"/>
        </w:rPr>
        <w:fldChar w:fldCharType="end"/>
      </w:r>
      <w:r>
        <w:rPr>
          <w:rFonts w:hint="default" w:ascii="Times New Roman" w:hAnsi="Times New Roman" w:cs="Times New Roman"/>
          <w:snapToGrid w:val="0"/>
          <w:spacing w:val="-16"/>
          <w:kern w:val="21"/>
          <w:sz w:val="24"/>
          <w:szCs w:val="24"/>
        </w:rPr>
        <w:t>-</w:t>
      </w:r>
      <w:r>
        <w:rPr>
          <w:rFonts w:hint="default" w:ascii="Times New Roman" w:hAnsi="Times New Roman" w:cs="Times New Roman"/>
          <w:snapToGrid w:val="0"/>
          <w:spacing w:val="-6"/>
          <w:kern w:val="21"/>
          <w:sz w:val="24"/>
          <w:szCs w:val="24"/>
        </w:rPr>
        <w:fldChar w:fldCharType="begin"/>
      </w:r>
      <w:r>
        <w:rPr>
          <w:rFonts w:hint="default" w:ascii="Times New Roman" w:hAnsi="Times New Roman" w:cs="Times New Roman"/>
          <w:snapToGrid w:val="0"/>
          <w:spacing w:val="-6"/>
          <w:kern w:val="21"/>
          <w:sz w:val="24"/>
          <w:szCs w:val="24"/>
        </w:rPr>
        <w:instrText xml:space="preserve"> = 1 \* GB3 \* MERGEFORMAT </w:instrText>
      </w:r>
      <w:r>
        <w:rPr>
          <w:rFonts w:hint="default" w:ascii="Times New Roman" w:hAnsi="Times New Roman" w:cs="Times New Roman"/>
          <w:snapToGrid w:val="0"/>
          <w:spacing w:val="-6"/>
          <w:kern w:val="21"/>
          <w:sz w:val="24"/>
          <w:szCs w:val="24"/>
        </w:rPr>
        <w:fldChar w:fldCharType="separate"/>
      </w:r>
      <w:r>
        <w:rPr>
          <w:rFonts w:hint="default" w:ascii="Times New Roman" w:hAnsi="Times New Roman" w:cs="Times New Roman"/>
          <w:kern w:val="0"/>
          <w:sz w:val="24"/>
          <w:szCs w:val="24"/>
        </w:rPr>
        <w:t>①</w:t>
      </w:r>
      <w:r>
        <w:rPr>
          <w:rFonts w:hint="default" w:ascii="Times New Roman" w:hAnsi="Times New Roman" w:cs="Times New Roman"/>
          <w:snapToGrid w:val="0"/>
          <w:spacing w:val="-6"/>
          <w:kern w:val="21"/>
          <w:sz w:val="24"/>
          <w:szCs w:val="24"/>
        </w:rPr>
        <w:fldChar w:fldCharType="end"/>
      </w:r>
    </w:p>
    <w:p w14:paraId="48E49519"/>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FangSong_GB2312">
    <w:altName w:val="仿宋_GB2312"/>
    <w:panose1 w:val="02010609060101010101"/>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A90EE3"/>
    <w:multiLevelType w:val="singleLevel"/>
    <w:tmpl w:val="9DA90EE3"/>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1">
    <w:nsid w:val="CB7BFA06"/>
    <w:multiLevelType w:val="singleLevel"/>
    <w:tmpl w:val="CB7BFA06"/>
    <w:lvl w:ilvl="0" w:tentative="0">
      <w:start w:val="1"/>
      <w:numFmt w:val="decimal"/>
      <w:suff w:val="nothing"/>
      <w:lvlText w:val="%1、"/>
      <w:lvlJc w:val="left"/>
    </w:lvl>
  </w:abstractNum>
  <w:abstractNum w:abstractNumId="2">
    <w:nsid w:val="CC8D18AE"/>
    <w:multiLevelType w:val="singleLevel"/>
    <w:tmpl w:val="CC8D18AE"/>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3">
    <w:nsid w:val="CE977210"/>
    <w:multiLevelType w:val="singleLevel"/>
    <w:tmpl w:val="CE977210"/>
    <w:lvl w:ilvl="0" w:tentative="0">
      <w:start w:val="1"/>
      <w:numFmt w:val="decimal"/>
      <w:suff w:val="nothing"/>
      <w:lvlText w:val="（%1）"/>
      <w:lvlJc w:val="left"/>
    </w:lvl>
  </w:abstractNum>
  <w:abstractNum w:abstractNumId="4">
    <w:nsid w:val="F8C1527B"/>
    <w:multiLevelType w:val="singleLevel"/>
    <w:tmpl w:val="F8C1527B"/>
    <w:lvl w:ilvl="0" w:tentative="0">
      <w:start w:val="2"/>
      <w:numFmt w:val="decimal"/>
      <w:suff w:val="nothing"/>
      <w:lvlText w:val="（%1）"/>
      <w:lvlJc w:val="left"/>
    </w:lvl>
  </w:abstractNum>
  <w:abstractNum w:abstractNumId="5">
    <w:nsid w:val="0253FC56"/>
    <w:multiLevelType w:val="singleLevel"/>
    <w:tmpl w:val="0253FC56"/>
    <w:lvl w:ilvl="0" w:tentative="0">
      <w:start w:val="2"/>
      <w:numFmt w:val="decimal"/>
      <w:suff w:val="nothing"/>
      <w:lvlText w:val="（%1）"/>
      <w:lvlJc w:val="left"/>
    </w:lvl>
  </w:abstractNum>
  <w:abstractNum w:abstractNumId="6">
    <w:nsid w:val="2C220A5F"/>
    <w:multiLevelType w:val="singleLevel"/>
    <w:tmpl w:val="2C220A5F"/>
    <w:lvl w:ilvl="0" w:tentative="0">
      <w:start w:val="1"/>
      <w:numFmt w:val="decimal"/>
      <w:suff w:val="nothing"/>
      <w:lvlText w:val="%1、"/>
      <w:lvlJc w:val="left"/>
    </w:lvl>
  </w:abstractNum>
  <w:abstractNum w:abstractNumId="7">
    <w:nsid w:val="69E012CC"/>
    <w:multiLevelType w:val="singleLevel"/>
    <w:tmpl w:val="69E012CC"/>
    <w:lvl w:ilvl="0" w:tentative="0">
      <w:start w:val="2"/>
      <w:numFmt w:val="decimal"/>
      <w:suff w:val="nothing"/>
      <w:lvlText w:val="（%1）"/>
      <w:lvlJc w:val="left"/>
    </w:lvl>
  </w:abstractNum>
  <w:num w:numId="1">
    <w:abstractNumId w:val="0"/>
  </w:num>
  <w:num w:numId="2">
    <w:abstractNumId w:val="2"/>
  </w:num>
  <w:num w:numId="3">
    <w:abstractNumId w:val="7"/>
  </w:num>
  <w:num w:numId="4">
    <w:abstractNumId w:val="5"/>
  </w:num>
  <w:num w:numId="5">
    <w:abstractNumId w:val="4"/>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3MjNhZWFiN2EwYzBiMWY4ZTU5ODEyYTIyYmFiOWYifQ=="/>
  </w:docVars>
  <w:rsids>
    <w:rsidRoot w:val="31E24BC9"/>
    <w:rsid w:val="05AC1AAE"/>
    <w:rsid w:val="05C04034"/>
    <w:rsid w:val="067D371E"/>
    <w:rsid w:val="086E7A73"/>
    <w:rsid w:val="099A379A"/>
    <w:rsid w:val="0F2E3D3A"/>
    <w:rsid w:val="108A1444"/>
    <w:rsid w:val="18F26721"/>
    <w:rsid w:val="1AD16DEA"/>
    <w:rsid w:val="22431522"/>
    <w:rsid w:val="26B20955"/>
    <w:rsid w:val="270268A5"/>
    <w:rsid w:val="27660359"/>
    <w:rsid w:val="2D5431DC"/>
    <w:rsid w:val="2D826840"/>
    <w:rsid w:val="312A17C7"/>
    <w:rsid w:val="31E24BC9"/>
    <w:rsid w:val="36842B5B"/>
    <w:rsid w:val="40EA138C"/>
    <w:rsid w:val="43043ED0"/>
    <w:rsid w:val="46F31C44"/>
    <w:rsid w:val="47517A6B"/>
    <w:rsid w:val="50515284"/>
    <w:rsid w:val="50E22C1F"/>
    <w:rsid w:val="51F621D5"/>
    <w:rsid w:val="52111268"/>
    <w:rsid w:val="58841449"/>
    <w:rsid w:val="58EE31BF"/>
    <w:rsid w:val="58F22470"/>
    <w:rsid w:val="599D70BF"/>
    <w:rsid w:val="607A7DA8"/>
    <w:rsid w:val="683A5DD2"/>
    <w:rsid w:val="6A175A16"/>
    <w:rsid w:val="6B955233"/>
    <w:rsid w:val="6F4F0078"/>
    <w:rsid w:val="70801293"/>
    <w:rsid w:val="77E85ED2"/>
    <w:rsid w:val="7ACD2412"/>
    <w:rsid w:val="7D851DEF"/>
    <w:rsid w:val="7F9F4600"/>
    <w:rsid w:val="7FF53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8"/>
    <w:qFormat/>
    <w:uiPriority w:val="0"/>
    <w:pPr>
      <w:keepNext/>
      <w:keepLines/>
      <w:spacing w:line="360" w:lineRule="auto"/>
      <w:outlineLvl w:val="0"/>
    </w:pPr>
    <w:rPr>
      <w:rFonts w:ascii="Times New Roman" w:hAnsi="Times New Roman" w:eastAsia="仿宋"/>
      <w:b/>
      <w:bCs/>
      <w:kern w:val="44"/>
      <w:sz w:val="36"/>
      <w:szCs w:val="44"/>
    </w:rPr>
  </w:style>
  <w:style w:type="paragraph" w:styleId="3">
    <w:name w:val="heading 2"/>
    <w:basedOn w:val="1"/>
    <w:next w:val="1"/>
    <w:link w:val="29"/>
    <w:semiHidden/>
    <w:unhideWhenUsed/>
    <w:qFormat/>
    <w:uiPriority w:val="0"/>
    <w:pPr>
      <w:keepNext/>
      <w:keepLines/>
      <w:spacing w:line="360" w:lineRule="auto"/>
      <w:outlineLvl w:val="1"/>
    </w:pPr>
    <w:rPr>
      <w:rFonts w:ascii="仿宋" w:hAnsi="仿宋" w:eastAsia="仿宋" w:cs="Times New Roman"/>
      <w:b/>
      <w:bCs/>
      <w:kern w:val="2"/>
      <w:sz w:val="32"/>
      <w:szCs w:val="32"/>
      <w:lang w:eastAsia="zh-CN"/>
    </w:rPr>
  </w:style>
  <w:style w:type="paragraph" w:styleId="4">
    <w:name w:val="heading 3"/>
    <w:basedOn w:val="1"/>
    <w:next w:val="1"/>
    <w:link w:val="30"/>
    <w:semiHidden/>
    <w:unhideWhenUsed/>
    <w:qFormat/>
    <w:uiPriority w:val="0"/>
    <w:pPr>
      <w:keepNext/>
      <w:keepLines/>
      <w:spacing w:line="360" w:lineRule="auto"/>
      <w:outlineLvl w:val="2"/>
    </w:pPr>
    <w:rPr>
      <w:rFonts w:ascii="Times New Roman" w:hAnsi="Times New Roman" w:eastAsia="仿宋"/>
      <w:b/>
      <w:bCs/>
      <w:sz w:val="32"/>
      <w:szCs w:val="32"/>
    </w:rPr>
  </w:style>
  <w:style w:type="paragraph" w:styleId="5">
    <w:name w:val="heading 4"/>
    <w:basedOn w:val="1"/>
    <w:next w:val="1"/>
    <w:semiHidden/>
    <w:unhideWhenUsed/>
    <w:qFormat/>
    <w:uiPriority w:val="0"/>
    <w:pPr>
      <w:keepNext/>
      <w:keepLines/>
      <w:spacing w:beforeLines="0" w:beforeAutospacing="0" w:afterLines="0" w:afterAutospacing="0" w:line="360" w:lineRule="auto"/>
      <w:outlineLvl w:val="3"/>
    </w:pPr>
    <w:rPr>
      <w:rFonts w:ascii="仿宋" w:hAnsi="仿宋" w:eastAsia="仿宋"/>
      <w:b/>
      <w:sz w:val="30"/>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rFonts w:ascii="Times New Roman" w:hAnsi="Times New Roman" w:eastAsia="仿宋"/>
      <w:b/>
      <w:sz w:val="30"/>
    </w:rPr>
  </w:style>
  <w:style w:type="paragraph" w:styleId="7">
    <w:name w:val="heading 6"/>
    <w:basedOn w:val="1"/>
    <w:next w:val="1"/>
    <w:semiHidden/>
    <w:unhideWhenUsed/>
    <w:qFormat/>
    <w:uiPriority w:val="0"/>
    <w:pPr>
      <w:keepNext/>
      <w:keepLines/>
      <w:spacing w:beforeLines="0" w:beforeAutospacing="0" w:afterLines="0" w:afterAutospacing="0" w:line="360" w:lineRule="auto"/>
      <w:outlineLvl w:val="5"/>
    </w:pPr>
    <w:rPr>
      <w:rFonts w:ascii="Arial" w:hAnsi="Arial" w:eastAsia="仿宋"/>
      <w:b/>
      <w:sz w:val="28"/>
    </w:rPr>
  </w:style>
  <w:style w:type="paragraph" w:styleId="8">
    <w:name w:val="heading 7"/>
    <w:basedOn w:val="1"/>
    <w:next w:val="1"/>
    <w:autoRedefine/>
    <w:semiHidden/>
    <w:unhideWhenUsed/>
    <w:qFormat/>
    <w:uiPriority w:val="0"/>
    <w:pPr>
      <w:keepNext/>
      <w:keepLines/>
      <w:spacing w:beforeLines="0" w:beforeAutospacing="0" w:afterLines="0" w:afterAutospacing="0" w:line="360" w:lineRule="auto"/>
      <w:outlineLvl w:val="6"/>
    </w:pPr>
    <w:rPr>
      <w:rFonts w:ascii="Times New Roman" w:hAnsi="Times New Roman" w:eastAsia="仿宋"/>
      <w:b/>
      <w:sz w:val="28"/>
    </w:rPr>
  </w:style>
  <w:style w:type="character" w:default="1" w:styleId="26">
    <w:name w:val="Default Paragraph Font"/>
    <w:autoRedefine/>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next w:val="11"/>
    <w:autoRedefine/>
    <w:qFormat/>
    <w:uiPriority w:val="0"/>
    <w:pPr>
      <w:spacing w:after="120" w:afterLines="0" w:afterAutospacing="0"/>
    </w:pPr>
  </w:style>
  <w:style w:type="paragraph" w:styleId="11">
    <w:name w:val="List Bullet 5"/>
    <w:basedOn w:val="1"/>
    <w:qFormat/>
    <w:uiPriority w:val="0"/>
    <w:pPr>
      <w:numPr>
        <w:ilvl w:val="0"/>
        <w:numId w:val="1"/>
      </w:numPr>
    </w:pPr>
  </w:style>
  <w:style w:type="paragraph" w:styleId="12">
    <w:name w:val="Body Text Indent"/>
    <w:basedOn w:val="1"/>
    <w:qFormat/>
    <w:uiPriority w:val="0"/>
    <w:pPr>
      <w:spacing w:after="120" w:afterLines="0" w:afterAutospacing="0"/>
      <w:ind w:left="420" w:leftChars="200"/>
    </w:pPr>
  </w:style>
  <w:style w:type="paragraph" w:styleId="13">
    <w:name w:val="List Bullet 2"/>
    <w:basedOn w:val="1"/>
    <w:next w:val="14"/>
    <w:qFormat/>
    <w:uiPriority w:val="0"/>
    <w:pPr>
      <w:numPr>
        <w:ilvl w:val="0"/>
        <w:numId w:val="2"/>
      </w:numPr>
    </w:pPr>
  </w:style>
  <w:style w:type="paragraph" w:customStyle="1" w:styleId="14">
    <w:name w:val="xl70"/>
    <w:basedOn w:val="1"/>
    <w:next w:val="15"/>
    <w:autoRedefine/>
    <w:qFormat/>
    <w:uiPriority w:val="0"/>
    <w:pPr>
      <w:widowControl/>
      <w:spacing w:before="280" w:after="280" w:line="240" w:lineRule="auto"/>
    </w:pPr>
    <w:rPr>
      <w:rFonts w:ascii="宋体"/>
    </w:rPr>
  </w:style>
  <w:style w:type="paragraph" w:customStyle="1" w:styleId="15">
    <w:name w:val="正文缩进1"/>
    <w:basedOn w:val="1"/>
    <w:next w:val="16"/>
    <w:autoRedefine/>
    <w:qFormat/>
    <w:uiPriority w:val="0"/>
    <w:pPr>
      <w:spacing w:line="240" w:lineRule="auto"/>
      <w:ind w:firstLine="420" w:firstLineChars="0"/>
    </w:pPr>
    <w:rPr>
      <w:sz w:val="21"/>
      <w:szCs w:val="20"/>
    </w:rPr>
  </w:style>
  <w:style w:type="paragraph" w:customStyle="1" w:styleId="16">
    <w:name w:val="td1"/>
    <w:basedOn w:val="1"/>
    <w:next w:val="1"/>
    <w:autoRedefine/>
    <w:qFormat/>
    <w:uiPriority w:val="0"/>
    <w:pPr>
      <w:widowControl/>
      <w:spacing w:before="280" w:after="280" w:line="300" w:lineRule="atLeast"/>
      <w:ind w:firstLine="200"/>
    </w:pPr>
    <w:rPr>
      <w:color w:val="000000"/>
      <w:sz w:val="18"/>
    </w:rPr>
  </w:style>
  <w:style w:type="paragraph" w:styleId="17">
    <w:name w:val="Plain Text"/>
    <w:basedOn w:val="1"/>
    <w:next w:val="1"/>
    <w:qFormat/>
    <w:uiPriority w:val="0"/>
    <w:rPr>
      <w:rFonts w:ascii="宋体" w:hAnsi="Courier New" w:cs="Times New Roman"/>
      <w:sz w:val="24"/>
    </w:rPr>
  </w:style>
  <w:style w:type="paragraph" w:styleId="18">
    <w:name w:val="footer"/>
    <w:basedOn w:val="1"/>
    <w:qFormat/>
    <w:uiPriority w:val="99"/>
    <w:pPr>
      <w:tabs>
        <w:tab w:val="center" w:pos="4153"/>
        <w:tab w:val="right" w:pos="8306"/>
      </w:tabs>
      <w:snapToGrid w:val="0"/>
      <w:jc w:val="left"/>
    </w:pPr>
    <w:rPr>
      <w:rFonts w:ascii="Times New Roman" w:hAnsi="Times New Roman"/>
      <w:kern w:val="0"/>
      <w:sz w:val="18"/>
      <w:szCs w:val="20"/>
    </w:rPr>
  </w:style>
  <w:style w:type="paragraph" w:styleId="19">
    <w:name w:val="List"/>
    <w:basedOn w:val="1"/>
    <w:next w:val="13"/>
    <w:qFormat/>
    <w:uiPriority w:val="99"/>
    <w:pPr>
      <w:widowControl/>
      <w:spacing w:line="240" w:lineRule="auto"/>
      <w:ind w:left="0" w:firstLine="0" w:firstLineChars="0"/>
      <w:jc w:val="center"/>
    </w:pPr>
    <w:rPr>
      <w:rFonts w:ascii="Times New Roman" w:hAnsi="Times New Roman"/>
      <w:kern w:val="0"/>
      <w:sz w:val="21"/>
      <w:szCs w:val="21"/>
    </w:rPr>
  </w:style>
  <w:style w:type="paragraph" w:styleId="20">
    <w:name w:val="table of figures"/>
    <w:basedOn w:val="1"/>
    <w:next w:val="1"/>
    <w:qFormat/>
    <w:uiPriority w:val="0"/>
    <w:pPr>
      <w:ind w:leftChars="200" w:hanging="200" w:hangingChars="200"/>
    </w:p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2">
    <w:name w:val="Body Text First Indent"/>
    <w:basedOn w:val="10"/>
    <w:next w:val="20"/>
    <w:qFormat/>
    <w:uiPriority w:val="0"/>
    <w:pPr>
      <w:ind w:firstLine="420" w:firstLineChars="100"/>
    </w:pPr>
  </w:style>
  <w:style w:type="paragraph" w:styleId="23">
    <w:name w:val="Body Text First Indent 2"/>
    <w:basedOn w:val="12"/>
    <w:qFormat/>
    <w:uiPriority w:val="0"/>
    <w:pPr>
      <w:ind w:firstLine="420" w:firstLineChars="200"/>
    </w:pPr>
  </w:style>
  <w:style w:type="table" w:styleId="25">
    <w:name w:val="Table Grid"/>
    <w:basedOn w:val="24"/>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annotation reference"/>
    <w:basedOn w:val="26"/>
    <w:qFormat/>
    <w:uiPriority w:val="0"/>
    <w:rPr>
      <w:sz w:val="21"/>
      <w:szCs w:val="21"/>
    </w:rPr>
  </w:style>
  <w:style w:type="character" w:customStyle="1" w:styleId="28">
    <w:name w:val="标题 1 Char"/>
    <w:link w:val="2"/>
    <w:autoRedefine/>
    <w:qFormat/>
    <w:uiPriority w:val="0"/>
    <w:rPr>
      <w:rFonts w:ascii="Times New Roman" w:hAnsi="Times New Roman" w:eastAsia="仿宋" w:cs="Times New Roman"/>
      <w:b/>
      <w:bCs/>
      <w:kern w:val="44"/>
      <w:sz w:val="36"/>
      <w:szCs w:val="44"/>
      <w:lang w:eastAsia="zh-CN"/>
    </w:rPr>
  </w:style>
  <w:style w:type="character" w:customStyle="1" w:styleId="29">
    <w:name w:val="标题 2 Char"/>
    <w:link w:val="3"/>
    <w:qFormat/>
    <w:uiPriority w:val="0"/>
    <w:rPr>
      <w:rFonts w:ascii="仿宋" w:hAnsi="仿宋" w:eastAsia="仿宋" w:cs="Times New Roman"/>
      <w:b/>
      <w:bCs/>
      <w:kern w:val="2"/>
      <w:sz w:val="32"/>
      <w:szCs w:val="32"/>
      <w:lang w:eastAsia="zh-CN"/>
    </w:rPr>
  </w:style>
  <w:style w:type="character" w:customStyle="1" w:styleId="30">
    <w:name w:val="标题 3 Char1"/>
    <w:link w:val="4"/>
    <w:autoRedefine/>
    <w:qFormat/>
    <w:uiPriority w:val="0"/>
    <w:rPr>
      <w:rFonts w:ascii="Times New Roman" w:hAnsi="Times New Roman" w:eastAsia="仿宋"/>
      <w:b/>
      <w:bCs/>
      <w:kern w:val="2"/>
      <w:sz w:val="32"/>
      <w:szCs w:val="32"/>
    </w:rPr>
  </w:style>
  <w:style w:type="paragraph" w:customStyle="1" w:styleId="31">
    <w:name w:val="标5"/>
    <w:basedOn w:val="1"/>
    <w:qFormat/>
    <w:uiPriority w:val="0"/>
    <w:pPr>
      <w:spacing w:line="360" w:lineRule="auto"/>
    </w:pPr>
    <w:rPr>
      <w:rFonts w:ascii="Times New Roman" w:hAnsi="Times New Roman" w:eastAsia="仿宋"/>
      <w:b/>
      <w:sz w:val="30"/>
    </w:rPr>
  </w:style>
  <w:style w:type="paragraph" w:customStyle="1" w:styleId="32">
    <w:name w:val="WPSOffice手动目录 1"/>
    <w:autoRedefine/>
    <w:qFormat/>
    <w:uiPriority w:val="0"/>
    <w:rPr>
      <w:rFonts w:ascii="Times New Roman" w:hAnsi="Times New Roman" w:eastAsia="宋体" w:cs="Times New Roman"/>
      <w:lang w:val="en-US" w:eastAsia="zh-CN" w:bidi="ar-SA"/>
    </w:rPr>
  </w:style>
  <w:style w:type="paragraph" w:customStyle="1" w:styleId="3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Table Text"/>
    <w:basedOn w:val="1"/>
    <w:autoRedefine/>
    <w:semiHidden/>
    <w:qFormat/>
    <w:uiPriority w:val="0"/>
    <w:rPr>
      <w:rFonts w:ascii="宋体" w:hAnsi="宋体" w:eastAsia="宋体" w:cs="宋体"/>
      <w:sz w:val="24"/>
      <w:szCs w:val="24"/>
      <w:lang w:val="en-US" w:eastAsia="en-US" w:bidi="ar-SA"/>
    </w:rPr>
  </w:style>
  <w:style w:type="paragraph" w:customStyle="1" w:styleId="35">
    <w:name w:val="Table Paragraph"/>
    <w:basedOn w:val="1"/>
    <w:autoRedefine/>
    <w:qFormat/>
    <w:uiPriority w:val="1"/>
    <w:rPr>
      <w:rFonts w:ascii="宋体" w:hAnsi="宋体" w:cs="宋体"/>
      <w:lang w:val="zh-CN" w:bidi="zh-CN"/>
    </w:rPr>
  </w:style>
  <w:style w:type="paragraph" w:customStyle="1" w:styleId="36">
    <w:name w:val="表格"/>
    <w:basedOn w:val="19"/>
    <w:next w:val="1"/>
    <w:autoRedefine/>
    <w:qFormat/>
    <w:uiPriority w:val="0"/>
    <w:pPr>
      <w:adjustRightInd w:val="0"/>
      <w:snapToGrid w:val="0"/>
      <w:spacing w:beforeLines="10" w:afterLines="10" w:line="259" w:lineRule="auto"/>
      <w:jc w:val="center"/>
    </w:pPr>
    <w:rPr>
      <w:rFonts w:ascii="宋体"/>
      <w:kern w:val="0"/>
      <w:szCs w:val="20"/>
    </w:rPr>
  </w:style>
  <w:style w:type="paragraph" w:styleId="37">
    <w:name w:val="List Paragraph"/>
    <w:basedOn w:val="1"/>
    <w:autoRedefine/>
    <w:qFormat/>
    <w:uiPriority w:val="99"/>
    <w:pPr>
      <w:ind w:firstLine="420" w:firstLineChars="200"/>
    </w:pPr>
  </w:style>
  <w:style w:type="paragraph" w:customStyle="1" w:styleId="38">
    <w:name w:val="0正文"/>
    <w:basedOn w:val="1"/>
    <w:autoRedefine/>
    <w:qFormat/>
    <w:uiPriority w:val="0"/>
    <w:pPr>
      <w:wordWrap w:val="0"/>
      <w:spacing w:line="360" w:lineRule="auto"/>
      <w:ind w:firstLine="200" w:firstLineChars="200"/>
      <w:jc w:val="left"/>
    </w:pPr>
    <w:rPr>
      <w:sz w:val="24"/>
      <w:szCs w:val="22"/>
    </w:rPr>
  </w:style>
  <w:style w:type="paragraph" w:customStyle="1" w:styleId="39">
    <w:name w:val="标题2"/>
    <w:basedOn w:val="3"/>
    <w:autoRedefine/>
    <w:qFormat/>
    <w:uiPriority w:val="0"/>
    <w:pPr>
      <w:adjustRightInd w:val="0"/>
      <w:snapToGrid w:val="0"/>
      <w:spacing w:before="0" w:after="0" w:line="360" w:lineRule="auto"/>
      <w:jc w:val="left"/>
    </w:pPr>
    <w:rPr>
      <w:rFonts w:ascii="Times New Roman" w:hAnsi="Times New Roman" w:eastAsia="宋体" w:cs="宋体"/>
      <w:sz w:val="30"/>
      <w:szCs w:val="21"/>
    </w:rPr>
  </w:style>
  <w:style w:type="paragraph" w:customStyle="1" w:styleId="40">
    <w:name w:val="Text type"/>
    <w:basedOn w:val="1"/>
    <w:autoRedefine/>
    <w:qFormat/>
    <w:uiPriority w:val="0"/>
    <w:pPr>
      <w:widowControl/>
      <w:snapToGrid w:val="0"/>
      <w:spacing w:line="360" w:lineRule="auto"/>
      <w:ind w:firstLine="200" w:firstLineChars="200"/>
    </w:pPr>
    <w:rPr>
      <w:sz w:val="24"/>
      <w:szCs w:val="32"/>
    </w:rPr>
  </w:style>
  <w:style w:type="paragraph" w:customStyle="1" w:styleId="41">
    <w:name w:val="Table Header"/>
    <w:basedOn w:val="1"/>
    <w:autoRedefine/>
    <w:qFormat/>
    <w:uiPriority w:val="0"/>
    <w:pPr>
      <w:widowControl/>
      <w:spacing w:before="20" w:beforeLines="20"/>
      <w:jc w:val="center"/>
    </w:pPr>
    <w:rPr>
      <w:b/>
      <w:sz w:val="24"/>
    </w:rPr>
  </w:style>
  <w:style w:type="paragraph" w:customStyle="1" w:styleId="42">
    <w:name w:val="Table text"/>
    <w:basedOn w:val="1"/>
    <w:autoRedefine/>
    <w:qFormat/>
    <w:uiPriority w:val="0"/>
    <w:pPr>
      <w:snapToGrid w:val="0"/>
      <w:jc w:val="center"/>
    </w:pPr>
    <w:rPr>
      <w:bCs/>
      <w:szCs w:val="30"/>
    </w:rPr>
  </w:style>
  <w:style w:type="character" w:customStyle="1" w:styleId="43">
    <w:name w:val="unnamed11"/>
    <w:autoRedefine/>
    <w:qFormat/>
    <w:uiPriority w:val="0"/>
    <w:rPr>
      <w:sz w:val="21"/>
    </w:rPr>
  </w:style>
  <w:style w:type="paragraph" w:customStyle="1" w:styleId="44">
    <w:name w:val="4正文"/>
    <w:basedOn w:val="1"/>
    <w:autoRedefine/>
    <w:qFormat/>
    <w:uiPriority w:val="0"/>
    <w:pPr>
      <w:spacing w:line="360" w:lineRule="auto"/>
      <w:ind w:firstLine="200" w:firstLineChars="200"/>
      <w:jc w:val="left"/>
    </w:pPr>
    <w:rPr>
      <w:kern w:val="0"/>
      <w:sz w:val="24"/>
    </w:rPr>
  </w:style>
  <w:style w:type="paragraph" w:customStyle="1" w:styleId="45">
    <w:name w:val="XQ报告表正文"/>
    <w:basedOn w:val="1"/>
    <w:autoRedefine/>
    <w:qFormat/>
    <w:uiPriority w:val="0"/>
    <w:pPr>
      <w:adjustRightInd w:val="0"/>
      <w:snapToGrid w:val="0"/>
      <w:ind w:firstLine="200" w:firstLineChars="200"/>
    </w:pPr>
    <w:rPr>
      <w:rFonts w:hAnsi="宋体"/>
      <w:bCs/>
      <w:kern w:val="0"/>
      <w:szCs w:val="22"/>
      <w:lang w:val="zh-CN"/>
    </w:rPr>
  </w:style>
  <w:style w:type="paragraph" w:customStyle="1" w:styleId="46">
    <w:name w:val="*正文"/>
    <w:basedOn w:val="1"/>
    <w:autoRedefine/>
    <w:qFormat/>
    <w:uiPriority w:val="0"/>
    <w:pPr>
      <w:adjustRightInd w:val="0"/>
    </w:pPr>
    <w:rPr>
      <w:rFonts w:ascii="Times New Roman" w:hAnsi="Times New Roman"/>
      <w:kern w:val="0"/>
      <w:sz w:val="24"/>
      <w:szCs w:val="24"/>
    </w:rPr>
  </w:style>
  <w:style w:type="paragraph" w:customStyle="1" w:styleId="47">
    <w:name w:val="表格文字"/>
    <w:basedOn w:val="17"/>
    <w:next w:val="1"/>
    <w:autoRedefine/>
    <w:qFormat/>
    <w:uiPriority w:val="99"/>
    <w:pPr>
      <w:widowControl/>
      <w:jc w:val="center"/>
    </w:pPr>
    <w:rPr>
      <w:rFonts w:ascii="FangSong_GB2312" w:hAnsi="Arial Black" w:eastAsia="FangSong_GB2312"/>
      <w:kern w:val="44"/>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wmf"/><Relationship Id="rId33" Type="http://schemas.openxmlformats.org/officeDocument/2006/relationships/oleObject" Target="embeddings/oleObject10.bin"/><Relationship Id="rId32" Type="http://schemas.openxmlformats.org/officeDocument/2006/relationships/image" Target="media/image20.wmf"/><Relationship Id="rId31" Type="http://schemas.openxmlformats.org/officeDocument/2006/relationships/oleObject" Target="embeddings/oleObject9.bin"/><Relationship Id="rId30" Type="http://schemas.openxmlformats.org/officeDocument/2006/relationships/image" Target="media/image19.wmf"/><Relationship Id="rId3" Type="http://schemas.openxmlformats.org/officeDocument/2006/relationships/theme" Target="theme/theme1.xml"/><Relationship Id="rId29" Type="http://schemas.openxmlformats.org/officeDocument/2006/relationships/oleObject" Target="embeddings/oleObject8.bin"/><Relationship Id="rId28" Type="http://schemas.openxmlformats.org/officeDocument/2006/relationships/image" Target="media/image18.wmf"/><Relationship Id="rId27" Type="http://schemas.openxmlformats.org/officeDocument/2006/relationships/oleObject" Target="embeddings/oleObject7.bin"/><Relationship Id="rId26" Type="http://schemas.openxmlformats.org/officeDocument/2006/relationships/image" Target="media/image17.wmf"/><Relationship Id="rId25" Type="http://schemas.openxmlformats.org/officeDocument/2006/relationships/oleObject" Target="embeddings/oleObject6.bin"/><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oleObject" Target="embeddings/oleObject5.bin"/><Relationship Id="rId21" Type="http://schemas.openxmlformats.org/officeDocument/2006/relationships/image" Target="media/image14.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3.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emf"/><Relationship Id="rId14" Type="http://schemas.openxmlformats.org/officeDocument/2006/relationships/oleObject" Target="embeddings/oleObject2.bin"/><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26548</Words>
  <Characters>29288</Characters>
  <Lines>0</Lines>
  <Paragraphs>0</Paragraphs>
  <TotalTime>3</TotalTime>
  <ScaleCrop>false</ScaleCrop>
  <LinksUpToDate>false</LinksUpToDate>
  <CharactersWithSpaces>29379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2024-09-03T06:28:00Z</dcterms:created>
  <dc:creator>Town</dc:creator>
  <cp:lastModifiedBy>简</cp:lastModifiedBy>
  <dcterms:modified xsi:type="dcterms:W3CDTF">2024-12-20T07:16:06Z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1C2C269C4C5B4EA1B68F990EDB539F6C_11</vt:lpwstr>
  </property>
</Properties>
</file>