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A9AD4F">
      <w:pPr>
        <w:adjustRightInd w:val="0"/>
        <w:snapToGrid w:val="0"/>
        <w:spacing w:line="288" w:lineRule="auto"/>
        <w:ind w:firstLine="1040"/>
        <w:jc w:val="left"/>
        <w:rPr>
          <w:rFonts w:eastAsia="仿宋_GB2312"/>
          <w:color w:val="auto"/>
          <w:sz w:val="36"/>
          <w:szCs w:val="36"/>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Hlk57884087"/>
      <w:r>
        <w:drawing>
          <wp:anchor distT="0" distB="0" distL="114300" distR="114300" simplePos="0" relativeHeight="251659264" behindDoc="0" locked="0" layoutInCell="1" allowOverlap="1">
            <wp:simplePos x="0" y="0"/>
            <wp:positionH relativeFrom="column">
              <wp:posOffset>-76835</wp:posOffset>
            </wp:positionH>
            <wp:positionV relativeFrom="paragraph">
              <wp:posOffset>67945</wp:posOffset>
            </wp:positionV>
            <wp:extent cx="5870575" cy="8260715"/>
            <wp:effectExtent l="0" t="0" r="15875" b="698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870575" cy="8260715"/>
                    </a:xfrm>
                    <a:prstGeom prst="rect">
                      <a:avLst/>
                    </a:prstGeom>
                    <a:noFill/>
                    <a:ln>
                      <a:noFill/>
                    </a:ln>
                  </pic:spPr>
                </pic:pic>
              </a:graphicData>
            </a:graphic>
          </wp:anchor>
        </w:drawing>
      </w:r>
    </w:p>
    <w:p w14:paraId="066C0DB8">
      <w:pPr>
        <w:adjustRightInd w:val="0"/>
        <w:snapToGrid w:val="0"/>
        <w:spacing w:line="288" w:lineRule="auto"/>
        <w:ind w:firstLine="1040"/>
        <w:jc w:val="left"/>
        <w:rPr>
          <w:rFonts w:eastAsia="仿宋_GB2312"/>
          <w:color w:val="auto"/>
          <w:sz w:val="36"/>
          <w:szCs w:val="36"/>
        </w:rPr>
      </w:pPr>
      <w:r>
        <w:drawing>
          <wp:anchor distT="0" distB="0" distL="114300" distR="114300" simplePos="0" relativeHeight="251660288" behindDoc="0" locked="0" layoutInCell="1" allowOverlap="1">
            <wp:simplePos x="0" y="0"/>
            <wp:positionH relativeFrom="column">
              <wp:posOffset>-75565</wp:posOffset>
            </wp:positionH>
            <wp:positionV relativeFrom="paragraph">
              <wp:posOffset>43180</wp:posOffset>
            </wp:positionV>
            <wp:extent cx="6057265" cy="8698230"/>
            <wp:effectExtent l="0" t="0" r="635" b="762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6057265" cy="8698230"/>
                    </a:xfrm>
                    <a:prstGeom prst="rect">
                      <a:avLst/>
                    </a:prstGeom>
                    <a:noFill/>
                    <a:ln>
                      <a:noFill/>
                    </a:ln>
                  </pic:spPr>
                </pic:pic>
              </a:graphicData>
            </a:graphic>
          </wp:anchor>
        </w:drawing>
      </w:r>
    </w:p>
    <w:p w14:paraId="4DBBF2C1">
      <w:pPr>
        <w:adjustRightInd w:val="0"/>
        <w:snapToGrid w:val="0"/>
        <w:spacing w:line="288" w:lineRule="auto"/>
        <w:ind w:firstLine="1040"/>
        <w:rPr>
          <w:rFonts w:eastAsia="仿宋_GB2312"/>
          <w:color w:val="auto"/>
          <w:sz w:val="36"/>
          <w:szCs w:val="36"/>
        </w:rPr>
      </w:pPr>
      <w:r>
        <w:drawing>
          <wp:anchor distT="0" distB="0" distL="114300" distR="114300" simplePos="0" relativeHeight="251661312" behindDoc="0" locked="0" layoutInCell="1" allowOverlap="1">
            <wp:simplePos x="0" y="0"/>
            <wp:positionH relativeFrom="column">
              <wp:posOffset>660400</wp:posOffset>
            </wp:positionH>
            <wp:positionV relativeFrom="paragraph">
              <wp:posOffset>0</wp:posOffset>
            </wp:positionV>
            <wp:extent cx="4962525" cy="7058025"/>
            <wp:effectExtent l="0" t="0" r="9525" b="9525"/>
            <wp:wrapSquare wrapText="bothSides"/>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7"/>
                    <a:stretch>
                      <a:fillRect/>
                    </a:stretch>
                  </pic:blipFill>
                  <pic:spPr>
                    <a:xfrm>
                      <a:off x="0" y="0"/>
                      <a:ext cx="4962525" cy="7058025"/>
                    </a:xfrm>
                    <a:prstGeom prst="rect">
                      <a:avLst/>
                    </a:prstGeom>
                    <a:noFill/>
                    <a:ln>
                      <a:noFill/>
                    </a:ln>
                  </pic:spPr>
                </pic:pic>
              </a:graphicData>
            </a:graphic>
          </wp:anchor>
        </w:drawing>
      </w:r>
    </w:p>
    <w:p w14:paraId="5169EF9B">
      <w:pPr>
        <w:adjustRightInd w:val="0"/>
        <w:snapToGrid w:val="0"/>
        <w:spacing w:line="288" w:lineRule="auto"/>
        <w:ind w:firstLine="1040"/>
        <w:rPr>
          <w:rFonts w:eastAsia="仿宋_GB2312"/>
          <w:color w:val="auto"/>
          <w:sz w:val="36"/>
          <w:szCs w:val="36"/>
        </w:rPr>
      </w:pPr>
    </w:p>
    <w:p w14:paraId="52216363">
      <w:pPr>
        <w:keepNext/>
        <w:keepLines/>
        <w:widowControl/>
        <w:spacing w:before="480" w:line="276" w:lineRule="auto"/>
        <w:jc w:val="cente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C40B0A5">
      <w:pPr>
        <w:keepNext/>
        <w:keepLines/>
        <w:widowControl/>
        <w:spacing w:before="480" w:line="276" w:lineRule="auto"/>
        <w:jc w:val="cente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7343775" cy="5167630"/>
            <wp:effectExtent l="0" t="0" r="1397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stretch>
                      <a:fillRect/>
                    </a:stretch>
                  </pic:blipFill>
                  <pic:spPr>
                    <a:xfrm rot="16200000">
                      <a:off x="0" y="0"/>
                      <a:ext cx="7343775" cy="5167630"/>
                    </a:xfrm>
                    <a:prstGeom prst="rect">
                      <a:avLst/>
                    </a:prstGeom>
                    <a:noFill/>
                    <a:ln>
                      <a:noFill/>
                    </a:ln>
                  </pic:spPr>
                </pic:pic>
              </a:graphicData>
            </a:graphic>
          </wp:inline>
        </w:drawing>
      </w:r>
    </w:p>
    <w:p w14:paraId="0A7B50A4">
      <w:pPr>
        <w:keepNext/>
        <w:keepLines/>
        <w:widowControl/>
        <w:spacing w:before="480" w:line="276" w:lineRule="auto"/>
        <w:jc w:val="center"/>
        <w:rPr>
          <w:lang w:val="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6963410" cy="4621530"/>
            <wp:effectExtent l="0" t="0" r="762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rot="16200000">
                      <a:off x="0" y="0"/>
                      <a:ext cx="6963410" cy="4621530"/>
                    </a:xfrm>
                    <a:prstGeom prst="rect">
                      <a:avLst/>
                    </a:prstGeom>
                    <a:noFill/>
                    <a:ln>
                      <a:noFill/>
                    </a:ln>
                  </pic:spPr>
                </pic:pic>
              </a:graphicData>
            </a:graphic>
          </wp:inline>
        </w:drawing>
      </w:r>
    </w:p>
    <w:p w14:paraId="71E7FD5B">
      <w:pPr>
        <w:keepNext/>
        <w:keepLines/>
        <w:widowControl/>
        <w:spacing w:before="480" w:line="276" w:lineRule="auto"/>
        <w:jc w:val="center"/>
        <w:rPr>
          <w:b/>
          <w:bCs/>
          <w:color w:val="auto"/>
          <w:kern w:val="0"/>
          <w:sz w:val="44"/>
          <w:szCs w:val="44"/>
          <w:lang w:val="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b/>
          <w:bCs/>
          <w:color w:val="auto"/>
          <w:kern w:val="0"/>
          <w:sz w:val="44"/>
          <w:szCs w:val="44"/>
          <w:lang w:val="zh-CN"/>
        </w:rPr>
        <w:drawing>
          <wp:inline distT="0" distB="0" distL="114300" distR="114300">
            <wp:extent cx="5272405" cy="7467600"/>
            <wp:effectExtent l="0" t="0" r="4445" b="0"/>
            <wp:docPr id="19" name="图片 19" descr="173260794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732607942674"/>
                    <pic:cNvPicPr>
                      <a:picLocks noChangeAspect="1"/>
                    </pic:cNvPicPr>
                  </pic:nvPicPr>
                  <pic:blipFill>
                    <a:blip r:embed="rId10"/>
                    <a:stretch>
                      <a:fillRect/>
                    </a:stretch>
                  </pic:blipFill>
                  <pic:spPr>
                    <a:xfrm>
                      <a:off x="0" y="0"/>
                      <a:ext cx="5272405" cy="7467600"/>
                    </a:xfrm>
                    <a:prstGeom prst="rect">
                      <a:avLst/>
                    </a:prstGeom>
                  </pic:spPr>
                </pic:pic>
              </a:graphicData>
            </a:graphic>
          </wp:inline>
        </w:drawing>
      </w:r>
    </w:p>
    <w:p w14:paraId="0E6DB7EE">
      <w:pPr>
        <w:keepNext/>
        <w:keepLines/>
        <w:widowControl/>
        <w:spacing w:before="480" w:line="276" w:lineRule="auto"/>
        <w:jc w:val="center"/>
        <w:rPr>
          <w:b/>
          <w:bCs/>
          <w:color w:val="auto"/>
          <w:kern w:val="0"/>
          <w:sz w:val="44"/>
          <w:szCs w:val="44"/>
          <w:lang w:val="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b/>
          <w:bCs/>
          <w:color w:val="auto"/>
          <w:kern w:val="0"/>
          <w:sz w:val="44"/>
          <w:szCs w:val="44"/>
          <w:lang w:val="zh-CN"/>
        </w:rPr>
        <w:drawing>
          <wp:inline distT="0" distB="0" distL="114300" distR="114300">
            <wp:extent cx="5271135" cy="7505065"/>
            <wp:effectExtent l="0" t="0" r="5715" b="635"/>
            <wp:docPr id="20" name="图片 20" descr="1732607950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2607950569"/>
                    <pic:cNvPicPr>
                      <a:picLocks noChangeAspect="1"/>
                    </pic:cNvPicPr>
                  </pic:nvPicPr>
                  <pic:blipFill>
                    <a:blip r:embed="rId11"/>
                    <a:stretch>
                      <a:fillRect/>
                    </a:stretch>
                  </pic:blipFill>
                  <pic:spPr>
                    <a:xfrm>
                      <a:off x="0" y="0"/>
                      <a:ext cx="5271135" cy="7505065"/>
                    </a:xfrm>
                    <a:prstGeom prst="rect">
                      <a:avLst/>
                    </a:prstGeom>
                  </pic:spPr>
                </pic:pic>
              </a:graphicData>
            </a:graphic>
          </wp:inline>
        </w:drawing>
      </w:r>
    </w:p>
    <w:bookmarkEnd w:id="0"/>
    <w:p w14:paraId="7341EF5A">
      <w:pPr>
        <w:keepNext/>
        <w:keepLines/>
        <w:widowControl/>
        <w:spacing w:before="480" w:line="276" w:lineRule="auto"/>
        <w:jc w:val="center"/>
        <w:rPr>
          <w:b/>
          <w:bCs/>
          <w:kern w:val="0"/>
          <w:sz w:val="28"/>
          <w:szCs w:val="28"/>
        </w:rPr>
      </w:pPr>
      <w:r>
        <w:rPr>
          <w:b/>
          <w:bCs/>
          <w:kern w:val="0"/>
          <w:sz w:val="44"/>
          <w:szCs w:val="44"/>
          <w:lang w:val="zh-CN"/>
        </w:rPr>
        <w:t>目录</w:t>
      </w:r>
    </w:p>
    <w:p w14:paraId="1A82DFDB">
      <w:pPr>
        <w:widowControl/>
        <w:tabs>
          <w:tab w:val="right" w:leader="dot" w:pos="8834"/>
        </w:tabs>
        <w:spacing w:after="100" w:line="276" w:lineRule="auto"/>
        <w:jc w:val="left"/>
        <w:outlineLvl w:val="0"/>
        <w:rPr>
          <w:b/>
          <w:sz w:val="24"/>
        </w:rPr>
      </w:pPr>
      <w:r>
        <w:rPr>
          <w:kern w:val="0"/>
          <w:sz w:val="22"/>
          <w:szCs w:val="22"/>
        </w:rPr>
        <w:fldChar w:fldCharType="begin" w:fldLock="1"/>
      </w:r>
      <w:r>
        <w:rPr>
          <w:kern w:val="0"/>
          <w:sz w:val="22"/>
          <w:szCs w:val="22"/>
        </w:rPr>
        <w:instrText xml:space="preserve"> TOC \o "1-3" \h \z \u </w:instrText>
      </w:r>
      <w:r>
        <w:rPr>
          <w:kern w:val="0"/>
          <w:sz w:val="22"/>
          <w:szCs w:val="22"/>
        </w:rPr>
        <w:fldChar w:fldCharType="separate"/>
      </w:r>
      <w:r>
        <w:fldChar w:fldCharType="begin"/>
      </w:r>
      <w:r>
        <w:instrText xml:space="preserve"> HYPERLINK \l "_Toc91525004" </w:instrText>
      </w:r>
      <w:r>
        <w:fldChar w:fldCharType="separate"/>
      </w:r>
      <w:r>
        <w:fldChar w:fldCharType="end"/>
      </w:r>
    </w:p>
    <w:p w14:paraId="14E262B4">
      <w:pPr>
        <w:widowControl/>
        <w:tabs>
          <w:tab w:val="right" w:leader="dot" w:pos="8834"/>
        </w:tabs>
        <w:spacing w:line="480" w:lineRule="auto"/>
        <w:jc w:val="left"/>
        <w:rPr>
          <w:b/>
          <w:sz w:val="28"/>
          <w:szCs w:val="28"/>
        </w:rPr>
      </w:pPr>
      <w:r>
        <w:fldChar w:fldCharType="begin"/>
      </w:r>
      <w:r>
        <w:instrText xml:space="preserve"> HYPERLINK \l "_Toc91525005" </w:instrText>
      </w:r>
      <w:r>
        <w:fldChar w:fldCharType="separate"/>
      </w:r>
      <w:r>
        <w:rPr>
          <w:b/>
          <w:snapToGrid w:val="0"/>
          <w:kern w:val="0"/>
          <w:sz w:val="28"/>
          <w:szCs w:val="28"/>
          <w:u w:val="single"/>
        </w:rPr>
        <w:t>一、建设项目基本情况</w:t>
      </w:r>
      <w:r>
        <w:rPr>
          <w:b/>
          <w:kern w:val="0"/>
          <w:sz w:val="28"/>
          <w:szCs w:val="28"/>
        </w:rPr>
        <w:tab/>
      </w:r>
      <w:r>
        <w:rPr>
          <w:b/>
          <w:kern w:val="0"/>
          <w:sz w:val="28"/>
          <w:szCs w:val="28"/>
        </w:rPr>
        <w:fldChar w:fldCharType="begin" w:fldLock="1"/>
      </w:r>
      <w:r>
        <w:rPr>
          <w:b/>
          <w:kern w:val="0"/>
          <w:sz w:val="28"/>
          <w:szCs w:val="28"/>
        </w:rPr>
        <w:instrText xml:space="preserve"> PAGEREF _Toc91525005 \h </w:instrText>
      </w:r>
      <w:r>
        <w:rPr>
          <w:b/>
          <w:kern w:val="0"/>
          <w:sz w:val="28"/>
          <w:szCs w:val="28"/>
        </w:rPr>
        <w:fldChar w:fldCharType="separate"/>
      </w:r>
      <w:r>
        <w:rPr>
          <w:b/>
          <w:kern w:val="0"/>
          <w:sz w:val="28"/>
          <w:szCs w:val="28"/>
        </w:rPr>
        <w:t>1</w:t>
      </w:r>
      <w:r>
        <w:rPr>
          <w:b/>
          <w:kern w:val="0"/>
          <w:sz w:val="28"/>
          <w:szCs w:val="28"/>
        </w:rPr>
        <w:fldChar w:fldCharType="end"/>
      </w:r>
      <w:r>
        <w:rPr>
          <w:b/>
          <w:kern w:val="0"/>
          <w:sz w:val="28"/>
          <w:szCs w:val="28"/>
        </w:rPr>
        <w:fldChar w:fldCharType="end"/>
      </w:r>
    </w:p>
    <w:p w14:paraId="5B00F897">
      <w:pPr>
        <w:widowControl/>
        <w:tabs>
          <w:tab w:val="right" w:leader="dot" w:pos="8834"/>
        </w:tabs>
        <w:spacing w:line="480" w:lineRule="auto"/>
        <w:jc w:val="left"/>
        <w:rPr>
          <w:b/>
          <w:sz w:val="28"/>
          <w:szCs w:val="28"/>
        </w:rPr>
      </w:pPr>
      <w:r>
        <w:fldChar w:fldCharType="begin"/>
      </w:r>
      <w:r>
        <w:instrText xml:space="preserve"> HYPERLINK \l "_Toc91525006" </w:instrText>
      </w:r>
      <w:r>
        <w:fldChar w:fldCharType="separate"/>
      </w:r>
      <w:r>
        <w:rPr>
          <w:b/>
          <w:snapToGrid w:val="0"/>
          <w:kern w:val="0"/>
          <w:sz w:val="28"/>
          <w:szCs w:val="28"/>
          <w:u w:val="single"/>
        </w:rPr>
        <w:t>二、建设项目工程分析</w:t>
      </w:r>
      <w:r>
        <w:rPr>
          <w:b/>
          <w:kern w:val="0"/>
          <w:sz w:val="28"/>
          <w:szCs w:val="28"/>
        </w:rPr>
        <w:tab/>
      </w:r>
      <w:r>
        <w:rPr>
          <w:rFonts w:hint="eastAsia"/>
          <w:b/>
          <w:kern w:val="0"/>
          <w:sz w:val="28"/>
          <w:szCs w:val="28"/>
        </w:rPr>
        <w:t>1</w:t>
      </w:r>
      <w:r>
        <w:rPr>
          <w:rFonts w:hint="eastAsia"/>
          <w:b/>
          <w:kern w:val="0"/>
          <w:sz w:val="28"/>
          <w:szCs w:val="28"/>
          <w:lang w:val="en-US" w:eastAsia="zh-CN"/>
        </w:rPr>
        <w:t>8</w:t>
      </w:r>
      <w:r>
        <w:rPr>
          <w:rFonts w:hint="eastAsia"/>
          <w:b/>
          <w:kern w:val="0"/>
          <w:sz w:val="28"/>
          <w:szCs w:val="28"/>
        </w:rPr>
        <w:fldChar w:fldCharType="end"/>
      </w:r>
    </w:p>
    <w:p w14:paraId="6309A979">
      <w:pPr>
        <w:widowControl/>
        <w:tabs>
          <w:tab w:val="right" w:leader="dot" w:pos="8834"/>
        </w:tabs>
        <w:spacing w:line="480" w:lineRule="auto"/>
        <w:jc w:val="left"/>
        <w:rPr>
          <w:rFonts w:hint="eastAsia" w:eastAsia="宋体"/>
          <w:b/>
          <w:sz w:val="28"/>
          <w:szCs w:val="28"/>
          <w:lang w:val="en-US" w:eastAsia="zh-CN"/>
        </w:rPr>
      </w:pPr>
      <w:r>
        <w:fldChar w:fldCharType="begin"/>
      </w:r>
      <w:r>
        <w:instrText xml:space="preserve"> HYPERLINK \l "_Toc91525007" </w:instrText>
      </w:r>
      <w:r>
        <w:fldChar w:fldCharType="separate"/>
      </w:r>
      <w:r>
        <w:rPr>
          <w:b/>
          <w:snapToGrid w:val="0"/>
          <w:kern w:val="0"/>
          <w:sz w:val="28"/>
          <w:szCs w:val="28"/>
          <w:u w:val="single"/>
        </w:rPr>
        <w:t>三、区域环境质量现状、环境保护目标及评价标准</w:t>
      </w:r>
      <w:r>
        <w:rPr>
          <w:b/>
          <w:kern w:val="0"/>
          <w:sz w:val="28"/>
          <w:szCs w:val="28"/>
        </w:rPr>
        <w:tab/>
      </w:r>
      <w:r>
        <w:rPr>
          <w:rFonts w:hint="eastAsia"/>
          <w:b/>
          <w:kern w:val="0"/>
          <w:sz w:val="28"/>
          <w:szCs w:val="28"/>
          <w:lang w:val="en-US" w:eastAsia="zh-CN"/>
        </w:rPr>
        <w:t>3</w:t>
      </w:r>
      <w:r>
        <w:rPr>
          <w:rFonts w:hint="eastAsia"/>
          <w:b/>
          <w:kern w:val="0"/>
          <w:sz w:val="28"/>
          <w:szCs w:val="28"/>
        </w:rPr>
        <w:fldChar w:fldCharType="end"/>
      </w:r>
      <w:r>
        <w:rPr>
          <w:rFonts w:hint="eastAsia"/>
          <w:b/>
          <w:kern w:val="0"/>
          <w:sz w:val="28"/>
          <w:szCs w:val="28"/>
          <w:lang w:val="en-US" w:eastAsia="zh-CN"/>
        </w:rPr>
        <w:t>3</w:t>
      </w:r>
    </w:p>
    <w:p w14:paraId="366CFF31">
      <w:pPr>
        <w:widowControl/>
        <w:tabs>
          <w:tab w:val="right" w:leader="dot" w:pos="8834"/>
        </w:tabs>
        <w:spacing w:line="480" w:lineRule="auto"/>
        <w:jc w:val="left"/>
        <w:rPr>
          <w:b/>
          <w:sz w:val="28"/>
          <w:szCs w:val="28"/>
        </w:rPr>
      </w:pPr>
      <w:r>
        <w:fldChar w:fldCharType="begin"/>
      </w:r>
      <w:r>
        <w:instrText xml:space="preserve"> HYPERLINK \l "_Toc91525008" </w:instrText>
      </w:r>
      <w:r>
        <w:fldChar w:fldCharType="separate"/>
      </w:r>
      <w:r>
        <w:rPr>
          <w:b/>
          <w:snapToGrid w:val="0"/>
          <w:kern w:val="0"/>
          <w:sz w:val="28"/>
          <w:szCs w:val="28"/>
          <w:u w:val="single"/>
        </w:rPr>
        <w:t>四、主要环境影响和保护措施</w:t>
      </w:r>
      <w:r>
        <w:rPr>
          <w:b/>
          <w:kern w:val="0"/>
          <w:sz w:val="28"/>
          <w:szCs w:val="28"/>
        </w:rPr>
        <w:tab/>
      </w:r>
      <w:r>
        <w:rPr>
          <w:rFonts w:hint="eastAsia"/>
          <w:b/>
          <w:kern w:val="0"/>
          <w:sz w:val="28"/>
          <w:szCs w:val="28"/>
        </w:rPr>
        <w:t>3</w:t>
      </w:r>
      <w:r>
        <w:rPr>
          <w:rFonts w:hint="eastAsia"/>
          <w:b/>
          <w:kern w:val="0"/>
          <w:sz w:val="28"/>
          <w:szCs w:val="28"/>
          <w:lang w:val="en-US" w:eastAsia="zh-CN"/>
        </w:rPr>
        <w:t>9</w:t>
      </w:r>
      <w:r>
        <w:rPr>
          <w:rFonts w:hint="eastAsia"/>
          <w:b/>
          <w:kern w:val="0"/>
          <w:sz w:val="28"/>
          <w:szCs w:val="28"/>
        </w:rPr>
        <w:fldChar w:fldCharType="end"/>
      </w:r>
    </w:p>
    <w:p w14:paraId="37BD2A14">
      <w:pPr>
        <w:widowControl/>
        <w:tabs>
          <w:tab w:val="right" w:leader="dot" w:pos="8834"/>
        </w:tabs>
        <w:spacing w:line="480" w:lineRule="auto"/>
        <w:jc w:val="left"/>
        <w:rPr>
          <w:rFonts w:hint="eastAsia" w:eastAsia="宋体"/>
          <w:b/>
          <w:sz w:val="28"/>
          <w:szCs w:val="28"/>
          <w:lang w:val="en-US" w:eastAsia="zh-CN"/>
        </w:rPr>
      </w:pPr>
      <w:r>
        <w:fldChar w:fldCharType="begin"/>
      </w:r>
      <w:r>
        <w:instrText xml:space="preserve"> HYPERLINK \l "_Toc91525010" </w:instrText>
      </w:r>
      <w:r>
        <w:fldChar w:fldCharType="separate"/>
      </w:r>
      <w:r>
        <w:rPr>
          <w:b/>
          <w:snapToGrid w:val="0"/>
          <w:kern w:val="0"/>
          <w:sz w:val="28"/>
          <w:szCs w:val="28"/>
          <w:u w:val="single"/>
        </w:rPr>
        <w:t>五、环境保护措施监督检查清单</w:t>
      </w:r>
      <w:r>
        <w:rPr>
          <w:b/>
          <w:kern w:val="0"/>
          <w:sz w:val="28"/>
          <w:szCs w:val="28"/>
        </w:rPr>
        <w:tab/>
      </w:r>
      <w:r>
        <w:rPr>
          <w:rFonts w:hint="eastAsia"/>
          <w:b/>
          <w:kern w:val="0"/>
          <w:sz w:val="28"/>
          <w:szCs w:val="28"/>
          <w:lang w:val="en-US" w:eastAsia="zh-CN"/>
        </w:rPr>
        <w:t>6</w:t>
      </w:r>
      <w:r>
        <w:rPr>
          <w:rFonts w:hint="eastAsia"/>
          <w:b/>
          <w:kern w:val="0"/>
          <w:sz w:val="28"/>
          <w:szCs w:val="28"/>
        </w:rPr>
        <w:fldChar w:fldCharType="end"/>
      </w:r>
      <w:r>
        <w:rPr>
          <w:rFonts w:hint="eastAsia"/>
          <w:b/>
          <w:kern w:val="0"/>
          <w:sz w:val="28"/>
          <w:szCs w:val="28"/>
          <w:lang w:val="en-US" w:eastAsia="zh-CN"/>
        </w:rPr>
        <w:t>9</w:t>
      </w:r>
    </w:p>
    <w:p w14:paraId="7A691EA6">
      <w:pPr>
        <w:widowControl/>
        <w:tabs>
          <w:tab w:val="right" w:leader="dot" w:pos="8834"/>
        </w:tabs>
        <w:spacing w:line="480" w:lineRule="auto"/>
        <w:jc w:val="left"/>
        <w:rPr>
          <w:rFonts w:hint="eastAsia" w:eastAsia="宋体"/>
          <w:b/>
          <w:sz w:val="28"/>
          <w:szCs w:val="28"/>
          <w:lang w:val="en-US" w:eastAsia="zh-CN"/>
        </w:rPr>
      </w:pPr>
      <w:r>
        <w:fldChar w:fldCharType="begin"/>
      </w:r>
      <w:r>
        <w:instrText xml:space="preserve"> HYPERLINK \l "_Toc91525011" </w:instrText>
      </w:r>
      <w:r>
        <w:fldChar w:fldCharType="separate"/>
      </w:r>
      <w:r>
        <w:rPr>
          <w:b/>
          <w:snapToGrid w:val="0"/>
          <w:kern w:val="0"/>
          <w:sz w:val="28"/>
          <w:szCs w:val="28"/>
          <w:u w:val="single"/>
        </w:rPr>
        <w:t>六、结论</w:t>
      </w:r>
      <w:r>
        <w:rPr>
          <w:b/>
          <w:kern w:val="0"/>
          <w:sz w:val="28"/>
          <w:szCs w:val="28"/>
        </w:rPr>
        <w:tab/>
      </w:r>
      <w:r>
        <w:rPr>
          <w:rFonts w:hint="eastAsia"/>
          <w:b/>
          <w:kern w:val="0"/>
          <w:sz w:val="28"/>
          <w:szCs w:val="28"/>
          <w:lang w:val="en-US" w:eastAsia="zh-CN"/>
        </w:rPr>
        <w:t>6</w:t>
      </w:r>
      <w:r>
        <w:rPr>
          <w:rFonts w:hint="eastAsia"/>
          <w:b/>
          <w:kern w:val="0"/>
          <w:sz w:val="28"/>
          <w:szCs w:val="28"/>
        </w:rPr>
        <w:fldChar w:fldCharType="end"/>
      </w:r>
      <w:r>
        <w:rPr>
          <w:rFonts w:hint="eastAsia"/>
          <w:b/>
          <w:kern w:val="0"/>
          <w:sz w:val="28"/>
          <w:szCs w:val="28"/>
          <w:lang w:val="en-US" w:eastAsia="zh-CN"/>
        </w:rPr>
        <w:t>9</w:t>
      </w:r>
    </w:p>
    <w:p w14:paraId="05DACEF0">
      <w:pPr>
        <w:widowControl/>
        <w:tabs>
          <w:tab w:val="right" w:leader="dot" w:pos="8834"/>
        </w:tabs>
        <w:spacing w:line="480" w:lineRule="auto"/>
        <w:jc w:val="left"/>
        <w:rPr>
          <w:rFonts w:hint="eastAsia" w:eastAsia="宋体"/>
          <w:b/>
          <w:sz w:val="28"/>
          <w:szCs w:val="28"/>
          <w:lang w:val="en-US" w:eastAsia="zh-CN"/>
        </w:rPr>
      </w:pPr>
      <w:r>
        <w:fldChar w:fldCharType="begin"/>
      </w:r>
      <w:r>
        <w:instrText xml:space="preserve"> HYPERLINK \l "_Toc91525012" </w:instrText>
      </w:r>
      <w:r>
        <w:fldChar w:fldCharType="separate"/>
      </w:r>
      <w:r>
        <w:rPr>
          <w:b/>
          <w:snapToGrid w:val="0"/>
          <w:kern w:val="0"/>
          <w:sz w:val="28"/>
          <w:szCs w:val="28"/>
          <w:u w:val="single"/>
        </w:rPr>
        <w:t>附表</w:t>
      </w:r>
      <w:r>
        <w:rPr>
          <w:b/>
          <w:kern w:val="0"/>
          <w:sz w:val="28"/>
          <w:szCs w:val="28"/>
        </w:rPr>
        <w:tab/>
      </w:r>
      <w:r>
        <w:rPr>
          <w:rFonts w:hint="eastAsia"/>
          <w:b/>
          <w:kern w:val="0"/>
          <w:sz w:val="28"/>
          <w:szCs w:val="28"/>
          <w:lang w:val="en-US" w:eastAsia="zh-CN"/>
        </w:rPr>
        <w:t>7</w:t>
      </w:r>
      <w:r>
        <w:rPr>
          <w:rFonts w:hint="eastAsia"/>
          <w:b/>
          <w:kern w:val="0"/>
          <w:sz w:val="28"/>
          <w:szCs w:val="28"/>
        </w:rPr>
        <w:fldChar w:fldCharType="end"/>
      </w:r>
      <w:r>
        <w:rPr>
          <w:rFonts w:hint="eastAsia"/>
          <w:b/>
          <w:kern w:val="0"/>
          <w:sz w:val="28"/>
          <w:szCs w:val="28"/>
          <w:lang w:val="en-US" w:eastAsia="zh-CN"/>
        </w:rPr>
        <w:t>2</w:t>
      </w:r>
    </w:p>
    <w:p w14:paraId="75FC3D38">
      <w:pPr>
        <w:rPr>
          <w:b/>
          <w:bCs/>
          <w:lang w:val="zh-CN"/>
        </w:rPr>
        <w:sectPr>
          <w:pgSz w:w="11906" w:h="16838"/>
          <w:pgMar w:top="1440" w:right="1800" w:bottom="1440" w:left="1800" w:header="851" w:footer="992" w:gutter="0"/>
          <w:cols w:space="425" w:num="1"/>
          <w:docGrid w:type="lines" w:linePitch="312" w:charSpace="0"/>
        </w:sectPr>
      </w:pPr>
      <w:r>
        <w:rPr>
          <w:b/>
          <w:bCs/>
          <w:lang w:val="zh-CN"/>
        </w:rPr>
        <w:fldChar w:fldCharType="end"/>
      </w:r>
    </w:p>
    <w:p w14:paraId="14DEB49C">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cs="Times New Roman" w:eastAsiaTheme="minorEastAsia"/>
          <w:b/>
          <w:bCs/>
          <w:snapToGrid w:val="0"/>
          <w:sz w:val="30"/>
          <w:szCs w:val="30"/>
        </w:rPr>
      </w:pPr>
      <w:r>
        <w:rPr>
          <w:rFonts w:ascii="Times New Roman" w:hAnsi="Times New Roman" w:cs="Times New Roman" w:eastAsiaTheme="minorEastAsia"/>
          <w:b/>
          <w:bCs/>
          <w:snapToGrid w:val="0"/>
          <w:sz w:val="30"/>
          <w:szCs w:val="30"/>
        </w:rPr>
        <w:t>一、建设项目基本情况</w:t>
      </w:r>
    </w:p>
    <w:tbl>
      <w:tblPr>
        <w:tblStyle w:val="20"/>
        <w:tblW w:w="88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73"/>
        <w:gridCol w:w="2446"/>
        <w:gridCol w:w="1841"/>
        <w:gridCol w:w="3010"/>
      </w:tblGrid>
      <w:tr w14:paraId="73162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6E58D212">
            <w:pPr>
              <w:adjustRightInd w:val="0"/>
              <w:snapToGrid w:val="0"/>
              <w:jc w:val="center"/>
              <w:rPr>
                <w:rFonts w:eastAsiaTheme="minorEastAsia"/>
                <w:sz w:val="24"/>
              </w:rPr>
            </w:pPr>
            <w:r>
              <w:rPr>
                <w:rFonts w:eastAsiaTheme="minorEastAsia"/>
                <w:sz w:val="24"/>
              </w:rPr>
              <w:t>建设项目名称</w:t>
            </w:r>
          </w:p>
        </w:tc>
        <w:tc>
          <w:tcPr>
            <w:tcW w:w="7297" w:type="dxa"/>
            <w:gridSpan w:val="3"/>
            <w:tcBorders>
              <w:tl2br w:val="nil"/>
              <w:tr2bl w:val="nil"/>
            </w:tcBorders>
            <w:noWrap/>
            <w:vAlign w:val="center"/>
          </w:tcPr>
          <w:p w14:paraId="7B363494">
            <w:pPr>
              <w:adjustRightInd w:val="0"/>
              <w:snapToGrid w:val="0"/>
              <w:jc w:val="center"/>
              <w:rPr>
                <w:rFonts w:eastAsiaTheme="minorEastAsia"/>
                <w:sz w:val="24"/>
              </w:rPr>
            </w:pPr>
            <w:r>
              <w:rPr>
                <w:rFonts w:hint="eastAsia" w:eastAsiaTheme="minorEastAsia"/>
                <w:sz w:val="24"/>
              </w:rPr>
              <w:t>粉末涂料生产加工</w:t>
            </w:r>
            <w:r>
              <w:rPr>
                <w:rFonts w:eastAsiaTheme="minorEastAsia"/>
                <w:sz w:val="24"/>
              </w:rPr>
              <w:t>项目</w:t>
            </w:r>
          </w:p>
        </w:tc>
      </w:tr>
      <w:tr w14:paraId="69C6D1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334CD2A5">
            <w:pPr>
              <w:adjustRightInd w:val="0"/>
              <w:snapToGrid w:val="0"/>
              <w:jc w:val="center"/>
              <w:rPr>
                <w:rFonts w:eastAsiaTheme="minorEastAsia"/>
                <w:sz w:val="24"/>
              </w:rPr>
            </w:pPr>
            <w:r>
              <w:rPr>
                <w:rFonts w:eastAsiaTheme="minorEastAsia"/>
                <w:sz w:val="24"/>
              </w:rPr>
              <w:t>项目代码</w:t>
            </w:r>
          </w:p>
        </w:tc>
        <w:tc>
          <w:tcPr>
            <w:tcW w:w="7297" w:type="dxa"/>
            <w:gridSpan w:val="3"/>
            <w:tcBorders>
              <w:tl2br w:val="nil"/>
              <w:tr2bl w:val="nil"/>
            </w:tcBorders>
            <w:noWrap/>
            <w:vAlign w:val="center"/>
          </w:tcPr>
          <w:p w14:paraId="6604D230">
            <w:pPr>
              <w:adjustRightInd w:val="0"/>
              <w:snapToGrid w:val="0"/>
              <w:jc w:val="center"/>
              <w:rPr>
                <w:rFonts w:eastAsiaTheme="minorEastAsia"/>
                <w:sz w:val="24"/>
              </w:rPr>
            </w:pPr>
            <w:r>
              <w:rPr>
                <w:rFonts w:hint="eastAsia" w:eastAsiaTheme="minorEastAsia"/>
                <w:sz w:val="24"/>
              </w:rPr>
              <w:t>/</w:t>
            </w:r>
          </w:p>
        </w:tc>
      </w:tr>
      <w:tr w14:paraId="48076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7F26E52E">
            <w:pPr>
              <w:adjustRightInd w:val="0"/>
              <w:snapToGrid w:val="0"/>
              <w:jc w:val="center"/>
              <w:rPr>
                <w:rFonts w:eastAsiaTheme="minorEastAsia"/>
                <w:sz w:val="24"/>
              </w:rPr>
            </w:pPr>
            <w:r>
              <w:rPr>
                <w:rFonts w:eastAsiaTheme="minorEastAsia"/>
                <w:sz w:val="24"/>
              </w:rPr>
              <w:t>建设单位联系人</w:t>
            </w:r>
          </w:p>
        </w:tc>
        <w:tc>
          <w:tcPr>
            <w:tcW w:w="2446" w:type="dxa"/>
            <w:tcBorders>
              <w:tl2br w:val="nil"/>
              <w:tr2bl w:val="nil"/>
            </w:tcBorders>
            <w:noWrap/>
            <w:vAlign w:val="center"/>
          </w:tcPr>
          <w:p w14:paraId="3DE46DC1">
            <w:pPr>
              <w:pStyle w:val="27"/>
              <w:jc w:val="center"/>
              <w:rPr>
                <w:rFonts w:ascii="Times New Roman" w:hAnsi="Times New Roman" w:cs="Times New Roman" w:eastAsiaTheme="minorEastAsia"/>
                <w:sz w:val="24"/>
                <w:lang w:val="en-US" w:bidi="ar-SA"/>
              </w:rPr>
            </w:pPr>
            <w:r>
              <w:rPr>
                <w:rFonts w:hint="eastAsia" w:ascii="Times New Roman" w:hAnsi="Times New Roman" w:cs="Times New Roman" w:eastAsiaTheme="minorEastAsia"/>
                <w:sz w:val="24"/>
                <w:lang w:val="en-US" w:bidi="ar-SA"/>
              </w:rPr>
              <w:t>王爱华</w:t>
            </w:r>
          </w:p>
        </w:tc>
        <w:tc>
          <w:tcPr>
            <w:tcW w:w="1841" w:type="dxa"/>
            <w:tcBorders>
              <w:tl2br w:val="nil"/>
              <w:tr2bl w:val="nil"/>
            </w:tcBorders>
            <w:noWrap/>
            <w:vAlign w:val="center"/>
          </w:tcPr>
          <w:p w14:paraId="7E63B92C">
            <w:pPr>
              <w:pStyle w:val="27"/>
              <w:jc w:val="center"/>
              <w:rPr>
                <w:rFonts w:ascii="Times New Roman" w:hAnsi="Times New Roman" w:cs="Times New Roman" w:eastAsiaTheme="minorEastAsia"/>
                <w:sz w:val="24"/>
                <w:lang w:bidi="ar-SA"/>
              </w:rPr>
            </w:pPr>
            <w:r>
              <w:rPr>
                <w:rFonts w:ascii="Times New Roman" w:hAnsi="Times New Roman" w:cs="Times New Roman" w:eastAsiaTheme="minorEastAsia"/>
                <w:sz w:val="24"/>
                <w:lang w:val="en-US" w:bidi="ar-SA"/>
              </w:rPr>
              <w:t>联系方式</w:t>
            </w:r>
          </w:p>
        </w:tc>
        <w:tc>
          <w:tcPr>
            <w:tcW w:w="3010" w:type="dxa"/>
            <w:tcBorders>
              <w:tl2br w:val="nil"/>
              <w:tr2bl w:val="nil"/>
            </w:tcBorders>
            <w:noWrap/>
            <w:vAlign w:val="center"/>
          </w:tcPr>
          <w:p w14:paraId="47489691">
            <w:pPr>
              <w:pStyle w:val="27"/>
              <w:jc w:val="center"/>
              <w:rPr>
                <w:rFonts w:ascii="Times New Roman" w:hAnsi="Times New Roman" w:cs="Times New Roman" w:eastAsiaTheme="minorEastAsia"/>
                <w:sz w:val="24"/>
              </w:rPr>
            </w:pPr>
            <w:r>
              <w:rPr>
                <w:rFonts w:hint="eastAsia" w:ascii="Times New Roman" w:hAnsi="Times New Roman" w:cs="Times New Roman" w:eastAsiaTheme="minorEastAsia"/>
                <w:sz w:val="24"/>
                <w:lang w:val="en-US" w:bidi="ar-SA"/>
              </w:rPr>
              <w:t>13809193223</w:t>
            </w:r>
          </w:p>
        </w:tc>
      </w:tr>
      <w:tr w14:paraId="02508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32FEA5C7">
            <w:pPr>
              <w:adjustRightInd w:val="0"/>
              <w:snapToGrid w:val="0"/>
              <w:jc w:val="center"/>
              <w:rPr>
                <w:rFonts w:eastAsiaTheme="minorEastAsia"/>
                <w:sz w:val="24"/>
              </w:rPr>
            </w:pPr>
            <w:r>
              <w:rPr>
                <w:rFonts w:eastAsiaTheme="minorEastAsia"/>
                <w:sz w:val="24"/>
              </w:rPr>
              <w:t>建设地点</w:t>
            </w:r>
          </w:p>
        </w:tc>
        <w:tc>
          <w:tcPr>
            <w:tcW w:w="7297" w:type="dxa"/>
            <w:gridSpan w:val="3"/>
            <w:tcBorders>
              <w:tl2br w:val="nil"/>
              <w:tr2bl w:val="nil"/>
            </w:tcBorders>
            <w:noWrap/>
            <w:vAlign w:val="center"/>
          </w:tcPr>
          <w:p w14:paraId="0E432396">
            <w:pPr>
              <w:adjustRightInd w:val="0"/>
              <w:snapToGrid w:val="0"/>
              <w:jc w:val="center"/>
              <w:rPr>
                <w:rFonts w:eastAsiaTheme="minorEastAsia"/>
                <w:sz w:val="24"/>
              </w:rPr>
            </w:pPr>
            <w:r>
              <w:rPr>
                <w:rFonts w:eastAsiaTheme="minorEastAsia"/>
                <w:sz w:val="24"/>
                <w:u w:val="single"/>
              </w:rPr>
              <w:t>陕西</w:t>
            </w:r>
            <w:r>
              <w:rPr>
                <w:rFonts w:eastAsiaTheme="minorEastAsia"/>
                <w:sz w:val="24"/>
              </w:rPr>
              <w:t>（省）</w:t>
            </w:r>
            <w:r>
              <w:rPr>
                <w:rFonts w:eastAsiaTheme="minorEastAsia"/>
                <w:sz w:val="24"/>
                <w:u w:val="single"/>
              </w:rPr>
              <w:t>西安</w:t>
            </w:r>
            <w:r>
              <w:rPr>
                <w:rFonts w:eastAsiaTheme="minorEastAsia"/>
                <w:sz w:val="24"/>
              </w:rPr>
              <w:t>（市）</w:t>
            </w:r>
            <w:r>
              <w:rPr>
                <w:rFonts w:eastAsiaTheme="minorEastAsia"/>
                <w:sz w:val="24"/>
                <w:u w:val="single"/>
              </w:rPr>
              <w:t>西咸新区</w:t>
            </w:r>
            <w:r>
              <w:rPr>
                <w:rFonts w:eastAsiaTheme="minorEastAsia"/>
                <w:sz w:val="24"/>
              </w:rPr>
              <w:t>（区）</w:t>
            </w:r>
            <w:r>
              <w:rPr>
                <w:rFonts w:hint="eastAsia" w:eastAsiaTheme="minorEastAsia"/>
                <w:sz w:val="24"/>
                <w:u w:val="single"/>
              </w:rPr>
              <w:t>沣西新城大王</w:t>
            </w:r>
            <w:r>
              <w:rPr>
                <w:rFonts w:hint="eastAsia" w:eastAsiaTheme="minorEastAsia"/>
                <w:sz w:val="24"/>
                <w:u w:val="single"/>
                <w:lang w:val="en-US" w:eastAsia="zh-CN"/>
              </w:rPr>
              <w:t>街办</w:t>
            </w:r>
            <w:r>
              <w:rPr>
                <w:rFonts w:hint="eastAsia" w:eastAsiaTheme="minorEastAsia"/>
                <w:sz w:val="24"/>
                <w:u w:val="single"/>
              </w:rPr>
              <w:t>大王西村西宝路口十字南路西7号</w:t>
            </w:r>
          </w:p>
        </w:tc>
      </w:tr>
      <w:tr w14:paraId="6CD66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1B87CFCB">
            <w:pPr>
              <w:adjustRightInd w:val="0"/>
              <w:snapToGrid w:val="0"/>
              <w:jc w:val="center"/>
              <w:rPr>
                <w:rFonts w:eastAsiaTheme="minorEastAsia"/>
                <w:sz w:val="24"/>
              </w:rPr>
            </w:pPr>
            <w:r>
              <w:rPr>
                <w:rFonts w:eastAsiaTheme="minorEastAsia"/>
                <w:sz w:val="24"/>
              </w:rPr>
              <w:t>地理坐标</w:t>
            </w:r>
          </w:p>
        </w:tc>
        <w:tc>
          <w:tcPr>
            <w:tcW w:w="7297" w:type="dxa"/>
            <w:gridSpan w:val="3"/>
            <w:tcBorders>
              <w:tl2br w:val="nil"/>
              <w:tr2bl w:val="nil"/>
            </w:tcBorders>
            <w:noWrap/>
            <w:vAlign w:val="center"/>
          </w:tcPr>
          <w:p w14:paraId="3D779874">
            <w:pPr>
              <w:jc w:val="center"/>
              <w:rPr>
                <w:rFonts w:eastAsiaTheme="minorEastAsia"/>
                <w:sz w:val="24"/>
              </w:rPr>
            </w:pPr>
            <w:r>
              <w:rPr>
                <w:rFonts w:hint="eastAsia" w:eastAsiaTheme="minorEastAsia"/>
                <w:sz w:val="24"/>
                <w:u w:val="none"/>
                <w:lang w:val="en-US" w:eastAsia="zh-CN"/>
              </w:rPr>
              <w:t>东经：</w:t>
            </w:r>
            <w:r>
              <w:rPr>
                <w:rFonts w:eastAsiaTheme="minorEastAsia"/>
                <w:sz w:val="24"/>
                <w:u w:val="single"/>
              </w:rPr>
              <w:t>108</w:t>
            </w:r>
            <w:r>
              <w:rPr>
                <w:rFonts w:eastAsiaTheme="minorEastAsia"/>
                <w:sz w:val="24"/>
              </w:rPr>
              <w:t>度</w:t>
            </w:r>
            <w:r>
              <w:rPr>
                <w:rFonts w:hint="eastAsia" w:eastAsiaTheme="minorEastAsia"/>
                <w:sz w:val="24"/>
                <w:u w:val="single"/>
              </w:rPr>
              <w:t>38</w:t>
            </w:r>
            <w:r>
              <w:rPr>
                <w:rFonts w:eastAsiaTheme="minorEastAsia"/>
                <w:sz w:val="24"/>
              </w:rPr>
              <w:t>分</w:t>
            </w:r>
            <w:r>
              <w:rPr>
                <w:rFonts w:hint="eastAsia" w:eastAsiaTheme="minorEastAsia"/>
                <w:sz w:val="24"/>
                <w:u w:val="single"/>
              </w:rPr>
              <w:t>19</w:t>
            </w:r>
            <w:r>
              <w:rPr>
                <w:rFonts w:eastAsiaTheme="minorEastAsia"/>
                <w:sz w:val="24"/>
                <w:u w:val="single"/>
              </w:rPr>
              <w:t>.</w:t>
            </w:r>
            <w:r>
              <w:rPr>
                <w:rFonts w:hint="eastAsia" w:eastAsiaTheme="minorEastAsia"/>
                <w:sz w:val="24"/>
                <w:u w:val="single"/>
              </w:rPr>
              <w:t>01</w:t>
            </w:r>
            <w:r>
              <w:rPr>
                <w:rFonts w:eastAsiaTheme="minorEastAsia"/>
                <w:sz w:val="24"/>
              </w:rPr>
              <w:t>秒，</w:t>
            </w:r>
            <w:r>
              <w:rPr>
                <w:rFonts w:hint="eastAsia" w:eastAsiaTheme="minorEastAsia"/>
                <w:sz w:val="24"/>
                <w:lang w:val="en-US" w:eastAsia="zh-CN"/>
              </w:rPr>
              <w:t>北纬：</w:t>
            </w:r>
            <w:r>
              <w:rPr>
                <w:rFonts w:eastAsiaTheme="minorEastAsia"/>
                <w:sz w:val="24"/>
                <w:u w:val="single"/>
              </w:rPr>
              <w:t>34</w:t>
            </w:r>
            <w:r>
              <w:rPr>
                <w:rFonts w:eastAsiaTheme="minorEastAsia"/>
                <w:sz w:val="24"/>
              </w:rPr>
              <w:t>度</w:t>
            </w:r>
            <w:r>
              <w:rPr>
                <w:rFonts w:hint="eastAsia" w:eastAsiaTheme="minorEastAsia"/>
                <w:sz w:val="24"/>
                <w:u w:val="single"/>
              </w:rPr>
              <w:t>11</w:t>
            </w:r>
            <w:r>
              <w:rPr>
                <w:rFonts w:eastAsiaTheme="minorEastAsia"/>
                <w:sz w:val="24"/>
              </w:rPr>
              <w:t>分</w:t>
            </w:r>
            <w:r>
              <w:rPr>
                <w:rFonts w:hint="eastAsia" w:eastAsiaTheme="minorEastAsia"/>
                <w:sz w:val="24"/>
                <w:u w:val="single"/>
              </w:rPr>
              <w:t>35</w:t>
            </w:r>
            <w:r>
              <w:rPr>
                <w:rFonts w:eastAsiaTheme="minorEastAsia"/>
                <w:sz w:val="24"/>
                <w:u w:val="single"/>
              </w:rPr>
              <w:t>.</w:t>
            </w:r>
            <w:r>
              <w:rPr>
                <w:rFonts w:hint="eastAsia" w:eastAsiaTheme="minorEastAsia"/>
                <w:sz w:val="24"/>
                <w:u w:val="single"/>
              </w:rPr>
              <w:t>75</w:t>
            </w:r>
            <w:r>
              <w:rPr>
                <w:rFonts w:eastAsiaTheme="minorEastAsia"/>
                <w:sz w:val="24"/>
              </w:rPr>
              <w:t>秒）</w:t>
            </w:r>
          </w:p>
        </w:tc>
      </w:tr>
      <w:tr w14:paraId="64A9C8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73" w:type="dxa"/>
            <w:tcBorders>
              <w:tl2br w:val="nil"/>
              <w:tr2bl w:val="nil"/>
            </w:tcBorders>
            <w:noWrap/>
            <w:tcMar>
              <w:top w:w="16" w:type="dxa"/>
              <w:left w:w="16" w:type="dxa"/>
              <w:right w:w="16" w:type="dxa"/>
            </w:tcMar>
            <w:vAlign w:val="center"/>
          </w:tcPr>
          <w:p w14:paraId="49180FF1">
            <w:pPr>
              <w:adjustRightInd w:val="0"/>
              <w:snapToGrid w:val="0"/>
              <w:jc w:val="center"/>
              <w:rPr>
                <w:rFonts w:eastAsiaTheme="minorEastAsia"/>
                <w:sz w:val="24"/>
              </w:rPr>
            </w:pPr>
            <w:r>
              <w:rPr>
                <w:rFonts w:eastAsiaTheme="minorEastAsia"/>
                <w:sz w:val="24"/>
              </w:rPr>
              <w:t>国民经济</w:t>
            </w:r>
          </w:p>
          <w:p w14:paraId="1CC7A40A">
            <w:pPr>
              <w:adjustRightInd w:val="0"/>
              <w:snapToGrid w:val="0"/>
              <w:jc w:val="center"/>
              <w:rPr>
                <w:rFonts w:eastAsiaTheme="minorEastAsia"/>
                <w:sz w:val="24"/>
              </w:rPr>
            </w:pPr>
            <w:r>
              <w:rPr>
                <w:rFonts w:eastAsiaTheme="minorEastAsia"/>
                <w:sz w:val="24"/>
              </w:rPr>
              <w:t>行业类别</w:t>
            </w:r>
          </w:p>
        </w:tc>
        <w:tc>
          <w:tcPr>
            <w:tcW w:w="2446" w:type="dxa"/>
            <w:tcBorders>
              <w:tl2br w:val="nil"/>
              <w:tr2bl w:val="nil"/>
            </w:tcBorders>
            <w:noWrap/>
            <w:vAlign w:val="center"/>
          </w:tcPr>
          <w:p w14:paraId="72505354">
            <w:pPr>
              <w:adjustRightInd w:val="0"/>
              <w:snapToGrid w:val="0"/>
              <w:jc w:val="center"/>
              <w:rPr>
                <w:rFonts w:eastAsiaTheme="minorEastAsia"/>
                <w:sz w:val="24"/>
              </w:rPr>
            </w:pPr>
            <w:r>
              <w:rPr>
                <w:rFonts w:eastAsiaTheme="minorEastAsia"/>
                <w:sz w:val="24"/>
              </w:rPr>
              <w:t>C26</w:t>
            </w:r>
            <w:r>
              <w:rPr>
                <w:rFonts w:hint="eastAsia" w:eastAsiaTheme="minorEastAsia"/>
                <w:sz w:val="24"/>
              </w:rPr>
              <w:t>41涂料</w:t>
            </w:r>
            <w:r>
              <w:rPr>
                <w:rFonts w:eastAsiaTheme="minorEastAsia"/>
                <w:sz w:val="24"/>
              </w:rPr>
              <w:t>制造</w:t>
            </w:r>
          </w:p>
          <w:p w14:paraId="5EBBB9A8">
            <w:pPr>
              <w:adjustRightInd w:val="0"/>
              <w:snapToGrid w:val="0"/>
              <w:jc w:val="center"/>
              <w:rPr>
                <w:rFonts w:hint="default" w:eastAsiaTheme="minorEastAsia"/>
                <w:sz w:val="24"/>
                <w:lang w:val="en-US" w:eastAsia="zh-CN"/>
              </w:rPr>
            </w:pPr>
            <w:r>
              <w:rPr>
                <w:rFonts w:hint="eastAsia" w:eastAsiaTheme="minorEastAsia"/>
                <w:sz w:val="24"/>
                <w:lang w:val="en-US" w:eastAsia="zh-CN"/>
              </w:rPr>
              <w:t>C3360金属表面处理及热处理加工</w:t>
            </w:r>
          </w:p>
          <w:p w14:paraId="339C232F">
            <w:pPr>
              <w:adjustRightInd w:val="0"/>
              <w:snapToGrid w:val="0"/>
              <w:jc w:val="center"/>
              <w:rPr>
                <w:rFonts w:eastAsiaTheme="minorEastAsia"/>
                <w:sz w:val="24"/>
              </w:rPr>
            </w:pPr>
          </w:p>
        </w:tc>
        <w:tc>
          <w:tcPr>
            <w:tcW w:w="1841" w:type="dxa"/>
            <w:tcBorders>
              <w:tl2br w:val="nil"/>
              <w:tr2bl w:val="nil"/>
            </w:tcBorders>
            <w:noWrap/>
            <w:vAlign w:val="center"/>
          </w:tcPr>
          <w:p w14:paraId="340DD5F8">
            <w:pPr>
              <w:adjustRightInd w:val="0"/>
              <w:snapToGrid w:val="0"/>
              <w:jc w:val="center"/>
              <w:rPr>
                <w:rFonts w:eastAsiaTheme="minorEastAsia"/>
                <w:sz w:val="24"/>
              </w:rPr>
            </w:pPr>
            <w:r>
              <w:rPr>
                <w:rFonts w:eastAsiaTheme="minorEastAsia"/>
                <w:sz w:val="24"/>
              </w:rPr>
              <w:t>建设项目</w:t>
            </w:r>
          </w:p>
          <w:p w14:paraId="6DDBFF3E">
            <w:pPr>
              <w:adjustRightInd w:val="0"/>
              <w:snapToGrid w:val="0"/>
              <w:jc w:val="center"/>
              <w:rPr>
                <w:rFonts w:eastAsiaTheme="minorEastAsia"/>
                <w:sz w:val="24"/>
              </w:rPr>
            </w:pPr>
            <w:r>
              <w:rPr>
                <w:rFonts w:eastAsiaTheme="minorEastAsia"/>
                <w:sz w:val="24"/>
              </w:rPr>
              <w:t>行业类别</w:t>
            </w:r>
          </w:p>
        </w:tc>
        <w:tc>
          <w:tcPr>
            <w:tcW w:w="3010" w:type="dxa"/>
            <w:tcBorders>
              <w:tl2br w:val="nil"/>
              <w:tr2bl w:val="nil"/>
            </w:tcBorders>
            <w:noWrap/>
            <w:vAlign w:val="center"/>
          </w:tcPr>
          <w:p w14:paraId="1439256C">
            <w:pPr>
              <w:adjustRightInd w:val="0"/>
              <w:snapToGrid w:val="0"/>
              <w:jc w:val="center"/>
              <w:rPr>
                <w:rFonts w:hint="default" w:eastAsiaTheme="minorEastAsia"/>
                <w:sz w:val="24"/>
                <w:lang w:val="en-US" w:eastAsia="zh-CN"/>
              </w:rPr>
            </w:pPr>
            <w:r>
              <w:rPr>
                <w:rFonts w:hint="eastAsia" w:eastAsiaTheme="minorEastAsia"/>
                <w:sz w:val="24"/>
              </w:rPr>
              <w:t>二十三</w:t>
            </w:r>
            <w:r>
              <w:rPr>
                <w:rFonts w:eastAsiaTheme="minorEastAsia"/>
                <w:sz w:val="24"/>
              </w:rPr>
              <w:t>、化学原料和化学制品制造业-</w:t>
            </w:r>
            <w:r>
              <w:rPr>
                <w:rFonts w:hint="eastAsia" w:eastAsiaTheme="minorEastAsia"/>
                <w:sz w:val="24"/>
              </w:rPr>
              <w:t>44</w:t>
            </w:r>
            <w:r>
              <w:rPr>
                <w:rFonts w:eastAsiaTheme="minorEastAsia"/>
                <w:sz w:val="24"/>
              </w:rPr>
              <w:t>、</w:t>
            </w:r>
            <w:r>
              <w:rPr>
                <w:rFonts w:hint="eastAsia" w:eastAsiaTheme="minorEastAsia"/>
                <w:sz w:val="24"/>
              </w:rPr>
              <w:t>基础化学原料制造261；农药制造263；涂料、油墨、颜料及类似产品制造264；合成材料制造265；专用化学产品制造266；炸药、火工及焰火产品制造267</w:t>
            </w:r>
            <w:r>
              <w:rPr>
                <w:rFonts w:eastAsiaTheme="minorEastAsia"/>
                <w:sz w:val="24"/>
              </w:rPr>
              <w:t>-单纯</w:t>
            </w:r>
            <w:r>
              <w:rPr>
                <w:rFonts w:hint="eastAsia" w:eastAsiaTheme="minorEastAsia"/>
                <w:sz w:val="24"/>
              </w:rPr>
              <w:t>物理分离、物理提纯、混合、分装的</w:t>
            </w:r>
            <w:r>
              <w:rPr>
                <w:rFonts w:hint="eastAsia" w:eastAsiaTheme="minorEastAsia"/>
                <w:sz w:val="24"/>
                <w:lang w:eastAsia="zh-CN"/>
              </w:rPr>
              <w:t>；</w:t>
            </w:r>
            <w:r>
              <w:rPr>
                <w:rFonts w:hint="eastAsia" w:eastAsiaTheme="minorEastAsia"/>
                <w:sz w:val="24"/>
                <w:lang w:val="en-US" w:eastAsia="zh-CN"/>
              </w:rPr>
              <w:t>三十、金属制品业-67金属表面处理及热处理加工</w:t>
            </w:r>
          </w:p>
        </w:tc>
      </w:tr>
      <w:tr w14:paraId="6BDE9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73" w:type="dxa"/>
            <w:tcBorders>
              <w:tl2br w:val="nil"/>
              <w:tr2bl w:val="nil"/>
            </w:tcBorders>
            <w:noWrap/>
            <w:tcMar>
              <w:top w:w="16" w:type="dxa"/>
              <w:left w:w="16" w:type="dxa"/>
              <w:right w:w="16" w:type="dxa"/>
            </w:tcMar>
            <w:vAlign w:val="center"/>
          </w:tcPr>
          <w:p w14:paraId="713EEEC2">
            <w:pPr>
              <w:adjustRightInd w:val="0"/>
              <w:snapToGrid w:val="0"/>
              <w:jc w:val="center"/>
              <w:rPr>
                <w:rFonts w:eastAsiaTheme="minorEastAsia"/>
                <w:sz w:val="24"/>
              </w:rPr>
            </w:pPr>
            <w:r>
              <w:rPr>
                <w:rFonts w:eastAsiaTheme="minorEastAsia"/>
                <w:sz w:val="24"/>
              </w:rPr>
              <w:t>建设性质</w:t>
            </w:r>
          </w:p>
        </w:tc>
        <w:tc>
          <w:tcPr>
            <w:tcW w:w="2446" w:type="dxa"/>
            <w:tcBorders>
              <w:tl2br w:val="nil"/>
              <w:tr2bl w:val="nil"/>
            </w:tcBorders>
            <w:noWrap/>
            <w:vAlign w:val="center"/>
          </w:tcPr>
          <w:p w14:paraId="5EC04E82">
            <w:pPr>
              <w:jc w:val="left"/>
              <w:rPr>
                <w:rFonts w:eastAsiaTheme="minorEastAsia"/>
                <w:sz w:val="24"/>
              </w:rPr>
            </w:pPr>
            <w:r>
              <w:rPr>
                <w:rFonts w:hint="eastAsia" w:ascii="MS Mincho" w:hAnsi="MS Mincho" w:eastAsia="MS Mincho" w:cs="MS Mincho"/>
                <w:sz w:val="24"/>
              </w:rPr>
              <w:t>☑</w:t>
            </w:r>
            <w:r>
              <w:rPr>
                <w:rFonts w:eastAsiaTheme="minorEastAsia"/>
                <w:sz w:val="24"/>
              </w:rPr>
              <w:t>新建（迁建）</w:t>
            </w:r>
          </w:p>
          <w:p w14:paraId="06A29D01">
            <w:pPr>
              <w:jc w:val="left"/>
              <w:rPr>
                <w:rFonts w:eastAsiaTheme="minorEastAsia"/>
                <w:sz w:val="24"/>
              </w:rPr>
            </w:pPr>
            <w:r>
              <w:rPr>
                <w:rFonts w:eastAsiaTheme="minorEastAsia"/>
                <w:sz w:val="24"/>
              </w:rPr>
              <w:t>□改建</w:t>
            </w:r>
          </w:p>
          <w:p w14:paraId="65226DCA">
            <w:pPr>
              <w:jc w:val="left"/>
              <w:rPr>
                <w:rFonts w:eastAsiaTheme="minorEastAsia"/>
                <w:color w:val="FF0000"/>
                <w:sz w:val="24"/>
              </w:rPr>
            </w:pPr>
            <w:r>
              <w:rPr>
                <w:rFonts w:eastAsiaTheme="minorEastAsia"/>
                <w:sz w:val="24"/>
              </w:rPr>
              <w:t>□扩建</w:t>
            </w:r>
          </w:p>
          <w:p w14:paraId="1FD11497">
            <w:pPr>
              <w:jc w:val="left"/>
              <w:rPr>
                <w:rFonts w:eastAsiaTheme="minorEastAsia"/>
                <w:sz w:val="24"/>
              </w:rPr>
            </w:pPr>
            <w:r>
              <w:rPr>
                <w:rFonts w:eastAsiaTheme="minorEastAsia"/>
                <w:sz w:val="24"/>
              </w:rPr>
              <w:t>□技术改造</w:t>
            </w:r>
          </w:p>
        </w:tc>
        <w:tc>
          <w:tcPr>
            <w:tcW w:w="1841" w:type="dxa"/>
            <w:tcBorders>
              <w:tl2br w:val="nil"/>
              <w:tr2bl w:val="nil"/>
            </w:tcBorders>
            <w:noWrap/>
            <w:vAlign w:val="center"/>
          </w:tcPr>
          <w:p w14:paraId="5ABFC4EE">
            <w:pPr>
              <w:adjustRightInd w:val="0"/>
              <w:snapToGrid w:val="0"/>
              <w:jc w:val="center"/>
              <w:rPr>
                <w:rFonts w:eastAsiaTheme="minorEastAsia"/>
                <w:sz w:val="24"/>
              </w:rPr>
            </w:pPr>
            <w:r>
              <w:rPr>
                <w:rFonts w:eastAsiaTheme="minorEastAsia"/>
                <w:sz w:val="24"/>
              </w:rPr>
              <w:t>建设项目</w:t>
            </w:r>
          </w:p>
          <w:p w14:paraId="268AA4E9">
            <w:pPr>
              <w:adjustRightInd w:val="0"/>
              <w:snapToGrid w:val="0"/>
              <w:jc w:val="center"/>
              <w:rPr>
                <w:rFonts w:eastAsiaTheme="minorEastAsia"/>
                <w:sz w:val="24"/>
              </w:rPr>
            </w:pPr>
            <w:r>
              <w:rPr>
                <w:rFonts w:eastAsiaTheme="minorEastAsia"/>
                <w:sz w:val="24"/>
              </w:rPr>
              <w:t>申报情形</w:t>
            </w:r>
          </w:p>
        </w:tc>
        <w:tc>
          <w:tcPr>
            <w:tcW w:w="3010" w:type="dxa"/>
            <w:tcBorders>
              <w:tl2br w:val="nil"/>
              <w:tr2bl w:val="nil"/>
            </w:tcBorders>
            <w:noWrap/>
            <w:vAlign w:val="center"/>
          </w:tcPr>
          <w:p w14:paraId="2597D2B6">
            <w:pPr>
              <w:jc w:val="left"/>
              <w:rPr>
                <w:rFonts w:eastAsiaTheme="minorEastAsia"/>
                <w:sz w:val="24"/>
              </w:rPr>
            </w:pPr>
            <w:r>
              <w:rPr>
                <w:rFonts w:hint="eastAsia" w:ascii="MS Mincho" w:hAnsi="MS Mincho" w:eastAsia="MS Mincho" w:cs="MS Mincho"/>
                <w:sz w:val="24"/>
              </w:rPr>
              <w:t>☑</w:t>
            </w:r>
            <w:r>
              <w:rPr>
                <w:rFonts w:eastAsiaTheme="minorEastAsia"/>
                <w:sz w:val="24"/>
              </w:rPr>
              <w:t>首次申报项目</w:t>
            </w:r>
          </w:p>
          <w:p w14:paraId="39D9B173">
            <w:pPr>
              <w:jc w:val="left"/>
              <w:rPr>
                <w:rFonts w:eastAsiaTheme="minorEastAsia"/>
                <w:sz w:val="24"/>
              </w:rPr>
            </w:pPr>
            <w:r>
              <w:rPr>
                <w:rFonts w:eastAsiaTheme="minorEastAsia"/>
                <w:sz w:val="24"/>
              </w:rPr>
              <w:t>□不予批准后再次申报项目</w:t>
            </w:r>
          </w:p>
          <w:p w14:paraId="78658573">
            <w:pPr>
              <w:jc w:val="left"/>
              <w:rPr>
                <w:rFonts w:eastAsiaTheme="minorEastAsia"/>
                <w:sz w:val="24"/>
              </w:rPr>
            </w:pPr>
            <w:r>
              <w:rPr>
                <w:rFonts w:eastAsiaTheme="minorEastAsia"/>
                <w:sz w:val="24"/>
              </w:rPr>
              <w:t>□超五年重新审核项目</w:t>
            </w:r>
          </w:p>
          <w:p w14:paraId="3F03AC74">
            <w:pPr>
              <w:jc w:val="left"/>
              <w:rPr>
                <w:rFonts w:eastAsiaTheme="minorEastAsia"/>
                <w:sz w:val="24"/>
              </w:rPr>
            </w:pPr>
            <w:r>
              <w:rPr>
                <w:rFonts w:eastAsiaTheme="minorEastAsia"/>
                <w:sz w:val="24"/>
              </w:rPr>
              <w:t>□重大变动重新报批项目</w:t>
            </w:r>
          </w:p>
        </w:tc>
      </w:tr>
      <w:tr w14:paraId="511CE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73" w:type="dxa"/>
            <w:tcBorders>
              <w:tl2br w:val="nil"/>
              <w:tr2bl w:val="nil"/>
            </w:tcBorders>
            <w:noWrap/>
            <w:tcMar>
              <w:top w:w="16" w:type="dxa"/>
              <w:left w:w="16" w:type="dxa"/>
              <w:right w:w="16" w:type="dxa"/>
            </w:tcMar>
            <w:vAlign w:val="center"/>
          </w:tcPr>
          <w:p w14:paraId="7C309498">
            <w:pPr>
              <w:adjustRightInd w:val="0"/>
              <w:snapToGrid w:val="0"/>
              <w:jc w:val="center"/>
              <w:rPr>
                <w:rFonts w:eastAsiaTheme="minorEastAsia"/>
                <w:sz w:val="24"/>
              </w:rPr>
            </w:pPr>
            <w:r>
              <w:rPr>
                <w:rFonts w:eastAsiaTheme="minorEastAsia"/>
                <w:sz w:val="24"/>
              </w:rPr>
              <w:t>项目审批（核准/备案）部门（选填）</w:t>
            </w:r>
          </w:p>
        </w:tc>
        <w:tc>
          <w:tcPr>
            <w:tcW w:w="2446" w:type="dxa"/>
            <w:tcBorders>
              <w:tl2br w:val="nil"/>
              <w:tr2bl w:val="nil"/>
            </w:tcBorders>
            <w:noWrap/>
            <w:vAlign w:val="center"/>
          </w:tcPr>
          <w:p w14:paraId="209E6AAD">
            <w:pPr>
              <w:adjustRightInd w:val="0"/>
              <w:snapToGrid w:val="0"/>
              <w:jc w:val="center"/>
              <w:rPr>
                <w:rFonts w:eastAsiaTheme="minorEastAsia"/>
                <w:sz w:val="24"/>
              </w:rPr>
            </w:pPr>
            <w:r>
              <w:rPr>
                <w:rFonts w:eastAsiaTheme="minorEastAsia"/>
                <w:sz w:val="24"/>
              </w:rPr>
              <w:t>/</w:t>
            </w:r>
          </w:p>
        </w:tc>
        <w:tc>
          <w:tcPr>
            <w:tcW w:w="1841" w:type="dxa"/>
            <w:tcBorders>
              <w:tl2br w:val="nil"/>
              <w:tr2bl w:val="nil"/>
            </w:tcBorders>
            <w:noWrap/>
            <w:vAlign w:val="center"/>
          </w:tcPr>
          <w:p w14:paraId="5FF83E9C">
            <w:pPr>
              <w:adjustRightInd w:val="0"/>
              <w:snapToGrid w:val="0"/>
              <w:jc w:val="center"/>
              <w:rPr>
                <w:rFonts w:eastAsiaTheme="minorEastAsia"/>
                <w:sz w:val="24"/>
              </w:rPr>
            </w:pPr>
            <w:r>
              <w:rPr>
                <w:rFonts w:eastAsiaTheme="minorEastAsia"/>
                <w:sz w:val="24"/>
              </w:rPr>
              <w:t>项目审批（核准/</w:t>
            </w:r>
          </w:p>
          <w:p w14:paraId="202D1D31">
            <w:pPr>
              <w:adjustRightInd w:val="0"/>
              <w:snapToGrid w:val="0"/>
              <w:jc w:val="center"/>
              <w:rPr>
                <w:rFonts w:eastAsiaTheme="minorEastAsia"/>
                <w:sz w:val="24"/>
              </w:rPr>
            </w:pPr>
            <w:r>
              <w:rPr>
                <w:rFonts w:eastAsiaTheme="minorEastAsia"/>
                <w:sz w:val="24"/>
              </w:rPr>
              <w:t>备案）文号（选填）</w:t>
            </w:r>
          </w:p>
        </w:tc>
        <w:tc>
          <w:tcPr>
            <w:tcW w:w="3010" w:type="dxa"/>
            <w:tcBorders>
              <w:tl2br w:val="nil"/>
              <w:tr2bl w:val="nil"/>
            </w:tcBorders>
            <w:noWrap/>
            <w:vAlign w:val="center"/>
          </w:tcPr>
          <w:p w14:paraId="25D7C0A4">
            <w:pPr>
              <w:adjustRightInd w:val="0"/>
              <w:snapToGrid w:val="0"/>
              <w:jc w:val="center"/>
              <w:rPr>
                <w:rFonts w:eastAsiaTheme="minorEastAsia"/>
                <w:sz w:val="24"/>
              </w:rPr>
            </w:pPr>
            <w:r>
              <w:rPr>
                <w:rFonts w:eastAsiaTheme="minorEastAsia"/>
                <w:sz w:val="24"/>
              </w:rPr>
              <w:t>/</w:t>
            </w:r>
          </w:p>
        </w:tc>
      </w:tr>
      <w:tr w14:paraId="08A7C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30C9AC28">
            <w:pPr>
              <w:adjustRightInd w:val="0"/>
              <w:snapToGrid w:val="0"/>
              <w:jc w:val="center"/>
              <w:rPr>
                <w:rFonts w:eastAsiaTheme="minorEastAsia"/>
                <w:sz w:val="24"/>
              </w:rPr>
            </w:pPr>
            <w:r>
              <w:rPr>
                <w:rFonts w:eastAsiaTheme="minorEastAsia"/>
                <w:sz w:val="24"/>
              </w:rPr>
              <w:t>总投资（万元）</w:t>
            </w:r>
          </w:p>
        </w:tc>
        <w:tc>
          <w:tcPr>
            <w:tcW w:w="2446" w:type="dxa"/>
            <w:tcBorders>
              <w:tl2br w:val="nil"/>
              <w:tr2bl w:val="nil"/>
            </w:tcBorders>
            <w:noWrap/>
            <w:vAlign w:val="center"/>
          </w:tcPr>
          <w:p w14:paraId="266E1A17">
            <w:pPr>
              <w:adjustRightInd w:val="0"/>
              <w:snapToGrid w:val="0"/>
              <w:jc w:val="center"/>
              <w:rPr>
                <w:rFonts w:eastAsiaTheme="minorEastAsia"/>
                <w:sz w:val="24"/>
              </w:rPr>
            </w:pPr>
            <w:r>
              <w:rPr>
                <w:rFonts w:hint="eastAsia" w:eastAsiaTheme="minorEastAsia"/>
                <w:sz w:val="24"/>
              </w:rPr>
              <w:t>50</w:t>
            </w:r>
          </w:p>
        </w:tc>
        <w:tc>
          <w:tcPr>
            <w:tcW w:w="1841" w:type="dxa"/>
            <w:tcBorders>
              <w:tl2br w:val="nil"/>
              <w:tr2bl w:val="nil"/>
            </w:tcBorders>
            <w:noWrap/>
            <w:tcMar>
              <w:top w:w="16" w:type="dxa"/>
              <w:left w:w="16" w:type="dxa"/>
              <w:right w:w="16" w:type="dxa"/>
            </w:tcMar>
            <w:vAlign w:val="center"/>
          </w:tcPr>
          <w:p w14:paraId="71AF47A7">
            <w:pPr>
              <w:adjustRightInd w:val="0"/>
              <w:snapToGrid w:val="0"/>
              <w:jc w:val="center"/>
              <w:rPr>
                <w:rFonts w:eastAsiaTheme="minorEastAsia"/>
                <w:sz w:val="24"/>
              </w:rPr>
            </w:pPr>
            <w:r>
              <w:rPr>
                <w:rFonts w:eastAsiaTheme="minorEastAsia"/>
                <w:sz w:val="24"/>
              </w:rPr>
              <w:t>环保投资（万元）</w:t>
            </w:r>
          </w:p>
        </w:tc>
        <w:tc>
          <w:tcPr>
            <w:tcW w:w="3010" w:type="dxa"/>
            <w:tcBorders>
              <w:tl2br w:val="nil"/>
              <w:tr2bl w:val="nil"/>
            </w:tcBorders>
            <w:noWrap/>
            <w:vAlign w:val="center"/>
          </w:tcPr>
          <w:p w14:paraId="1A25FD96">
            <w:pPr>
              <w:adjustRightInd w:val="0"/>
              <w:snapToGrid w:val="0"/>
              <w:jc w:val="center"/>
              <w:rPr>
                <w:rFonts w:eastAsiaTheme="minorEastAsia"/>
                <w:sz w:val="24"/>
              </w:rPr>
            </w:pPr>
            <w:r>
              <w:rPr>
                <w:rFonts w:hint="eastAsia" w:eastAsiaTheme="minorEastAsia"/>
                <w:sz w:val="24"/>
              </w:rPr>
              <w:t>10</w:t>
            </w:r>
          </w:p>
        </w:tc>
      </w:tr>
      <w:tr w14:paraId="6513A6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2A508FA4">
            <w:pPr>
              <w:adjustRightInd w:val="0"/>
              <w:snapToGrid w:val="0"/>
              <w:jc w:val="center"/>
              <w:rPr>
                <w:rFonts w:eastAsiaTheme="minorEastAsia"/>
                <w:sz w:val="24"/>
              </w:rPr>
            </w:pPr>
            <w:r>
              <w:rPr>
                <w:rFonts w:eastAsiaTheme="minorEastAsia"/>
                <w:sz w:val="24"/>
              </w:rPr>
              <w:t>环保投资占比（%）</w:t>
            </w:r>
          </w:p>
        </w:tc>
        <w:tc>
          <w:tcPr>
            <w:tcW w:w="2446" w:type="dxa"/>
            <w:tcBorders>
              <w:tl2br w:val="nil"/>
              <w:tr2bl w:val="nil"/>
            </w:tcBorders>
            <w:noWrap/>
            <w:vAlign w:val="center"/>
          </w:tcPr>
          <w:p w14:paraId="7C1CFC77">
            <w:pPr>
              <w:adjustRightInd w:val="0"/>
              <w:snapToGrid w:val="0"/>
              <w:jc w:val="center"/>
              <w:rPr>
                <w:rFonts w:eastAsiaTheme="minorEastAsia"/>
                <w:sz w:val="24"/>
              </w:rPr>
            </w:pPr>
            <w:r>
              <w:rPr>
                <w:rFonts w:hint="eastAsia" w:eastAsiaTheme="minorEastAsia"/>
                <w:sz w:val="24"/>
              </w:rPr>
              <w:t>20</w:t>
            </w:r>
          </w:p>
        </w:tc>
        <w:tc>
          <w:tcPr>
            <w:tcW w:w="1841" w:type="dxa"/>
            <w:tcBorders>
              <w:tl2br w:val="nil"/>
              <w:tr2bl w:val="nil"/>
            </w:tcBorders>
            <w:noWrap/>
            <w:tcMar>
              <w:top w:w="16" w:type="dxa"/>
              <w:left w:w="16" w:type="dxa"/>
              <w:right w:w="16" w:type="dxa"/>
            </w:tcMar>
            <w:vAlign w:val="center"/>
          </w:tcPr>
          <w:p w14:paraId="716E01AB">
            <w:pPr>
              <w:adjustRightInd w:val="0"/>
              <w:snapToGrid w:val="0"/>
              <w:jc w:val="center"/>
              <w:rPr>
                <w:rFonts w:eastAsiaTheme="minorEastAsia"/>
                <w:sz w:val="24"/>
              </w:rPr>
            </w:pPr>
            <w:r>
              <w:rPr>
                <w:rFonts w:eastAsiaTheme="minorEastAsia"/>
                <w:sz w:val="24"/>
              </w:rPr>
              <w:t>施工工期</w:t>
            </w:r>
          </w:p>
        </w:tc>
        <w:tc>
          <w:tcPr>
            <w:tcW w:w="3010" w:type="dxa"/>
            <w:tcBorders>
              <w:tl2br w:val="nil"/>
              <w:tr2bl w:val="nil"/>
            </w:tcBorders>
            <w:noWrap/>
            <w:vAlign w:val="center"/>
          </w:tcPr>
          <w:p w14:paraId="60D1BA28">
            <w:pPr>
              <w:adjustRightInd w:val="0"/>
              <w:snapToGrid w:val="0"/>
              <w:jc w:val="center"/>
              <w:rPr>
                <w:rFonts w:eastAsiaTheme="minorEastAsia"/>
                <w:sz w:val="24"/>
              </w:rPr>
            </w:pPr>
            <w:r>
              <w:rPr>
                <w:rFonts w:eastAsiaTheme="minorEastAsia"/>
                <w:sz w:val="24"/>
              </w:rPr>
              <w:t>3个月</w:t>
            </w:r>
          </w:p>
        </w:tc>
      </w:tr>
      <w:tr w14:paraId="3E581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Borders>
              <w:tl2br w:val="nil"/>
              <w:tr2bl w:val="nil"/>
            </w:tcBorders>
            <w:noWrap/>
            <w:tcMar>
              <w:top w:w="16" w:type="dxa"/>
              <w:left w:w="16" w:type="dxa"/>
              <w:right w:w="16" w:type="dxa"/>
            </w:tcMar>
            <w:vAlign w:val="center"/>
          </w:tcPr>
          <w:p w14:paraId="451BE81F">
            <w:pPr>
              <w:adjustRightInd w:val="0"/>
              <w:snapToGrid w:val="0"/>
              <w:jc w:val="center"/>
              <w:rPr>
                <w:rFonts w:eastAsiaTheme="minorEastAsia"/>
                <w:sz w:val="24"/>
              </w:rPr>
            </w:pPr>
            <w:r>
              <w:rPr>
                <w:rFonts w:eastAsiaTheme="minorEastAsia"/>
                <w:sz w:val="24"/>
              </w:rPr>
              <w:t>是否开工建设</w:t>
            </w:r>
          </w:p>
        </w:tc>
        <w:tc>
          <w:tcPr>
            <w:tcW w:w="2446" w:type="dxa"/>
            <w:tcBorders>
              <w:tl2br w:val="nil"/>
              <w:tr2bl w:val="nil"/>
            </w:tcBorders>
            <w:noWrap/>
            <w:vAlign w:val="center"/>
          </w:tcPr>
          <w:p w14:paraId="1168DA2D">
            <w:pPr>
              <w:jc w:val="left"/>
              <w:rPr>
                <w:rFonts w:eastAsiaTheme="minorEastAsia"/>
                <w:sz w:val="24"/>
              </w:rPr>
            </w:pPr>
            <w:r>
              <w:rPr>
                <w:rFonts w:hint="eastAsia" w:ascii="MS Mincho" w:hAnsi="MS Mincho" w:eastAsia="MS Mincho" w:cs="MS Mincho"/>
                <w:sz w:val="24"/>
              </w:rPr>
              <w:t>☑</w:t>
            </w:r>
            <w:r>
              <w:rPr>
                <w:rFonts w:eastAsiaTheme="minorEastAsia"/>
                <w:sz w:val="24"/>
              </w:rPr>
              <w:t>否</w:t>
            </w:r>
          </w:p>
          <w:p w14:paraId="2B9A2C7D">
            <w:pPr>
              <w:jc w:val="left"/>
              <w:rPr>
                <w:rFonts w:eastAsiaTheme="minorEastAsia"/>
                <w:sz w:val="24"/>
              </w:rPr>
            </w:pPr>
            <w:r>
              <w:rPr>
                <w:rFonts w:eastAsiaTheme="minorEastAsia"/>
                <w:sz w:val="24"/>
              </w:rPr>
              <w:t>□是：</w:t>
            </w:r>
          </w:p>
        </w:tc>
        <w:tc>
          <w:tcPr>
            <w:tcW w:w="1841" w:type="dxa"/>
            <w:tcBorders>
              <w:tl2br w:val="nil"/>
              <w:tr2bl w:val="nil"/>
            </w:tcBorders>
            <w:noWrap/>
            <w:tcMar>
              <w:top w:w="16" w:type="dxa"/>
              <w:left w:w="16" w:type="dxa"/>
              <w:right w:w="16" w:type="dxa"/>
            </w:tcMar>
            <w:vAlign w:val="center"/>
          </w:tcPr>
          <w:p w14:paraId="4F564AFD">
            <w:pPr>
              <w:adjustRightInd w:val="0"/>
              <w:snapToGrid w:val="0"/>
              <w:jc w:val="center"/>
              <w:rPr>
                <w:rFonts w:eastAsiaTheme="minorEastAsia"/>
                <w:spacing w:val="-6"/>
                <w:sz w:val="24"/>
              </w:rPr>
            </w:pPr>
            <w:r>
              <w:rPr>
                <w:rFonts w:eastAsiaTheme="minorEastAsia"/>
                <w:spacing w:val="-6"/>
                <w:sz w:val="24"/>
              </w:rPr>
              <w:t>用地（用海）</w:t>
            </w:r>
          </w:p>
          <w:p w14:paraId="63C6A5DA">
            <w:pPr>
              <w:adjustRightInd w:val="0"/>
              <w:snapToGrid w:val="0"/>
              <w:jc w:val="center"/>
              <w:rPr>
                <w:rFonts w:eastAsiaTheme="minorEastAsia"/>
                <w:sz w:val="24"/>
              </w:rPr>
            </w:pPr>
            <w:r>
              <w:rPr>
                <w:rFonts w:eastAsiaTheme="minorEastAsia"/>
                <w:spacing w:val="-6"/>
                <w:sz w:val="24"/>
              </w:rPr>
              <w:t>面积（m</w:t>
            </w:r>
            <w:r>
              <w:rPr>
                <w:rFonts w:eastAsiaTheme="minorEastAsia"/>
                <w:spacing w:val="-6"/>
                <w:sz w:val="24"/>
                <w:vertAlign w:val="superscript"/>
              </w:rPr>
              <w:t>2</w:t>
            </w:r>
            <w:r>
              <w:rPr>
                <w:rFonts w:eastAsiaTheme="minorEastAsia"/>
                <w:spacing w:val="-6"/>
                <w:sz w:val="24"/>
              </w:rPr>
              <w:t>）</w:t>
            </w:r>
          </w:p>
        </w:tc>
        <w:tc>
          <w:tcPr>
            <w:tcW w:w="3010" w:type="dxa"/>
            <w:tcBorders>
              <w:tl2br w:val="nil"/>
              <w:tr2bl w:val="nil"/>
            </w:tcBorders>
            <w:noWrap/>
            <w:vAlign w:val="center"/>
          </w:tcPr>
          <w:p w14:paraId="35B8F614">
            <w:pPr>
              <w:adjustRightInd w:val="0"/>
              <w:snapToGrid w:val="0"/>
              <w:jc w:val="center"/>
              <w:rPr>
                <w:rFonts w:eastAsiaTheme="minorEastAsia"/>
                <w:sz w:val="24"/>
              </w:rPr>
            </w:pPr>
            <w:r>
              <w:rPr>
                <w:rFonts w:eastAsiaTheme="minorEastAsia"/>
                <w:sz w:val="24"/>
              </w:rPr>
              <w:t>1</w:t>
            </w:r>
            <w:r>
              <w:rPr>
                <w:rFonts w:hint="eastAsia" w:eastAsiaTheme="minorEastAsia"/>
                <w:sz w:val="24"/>
              </w:rPr>
              <w:t>400</w:t>
            </w:r>
          </w:p>
        </w:tc>
      </w:tr>
      <w:tr w14:paraId="17A37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573" w:type="dxa"/>
            <w:tcBorders>
              <w:tl2br w:val="nil"/>
              <w:tr2bl w:val="nil"/>
            </w:tcBorders>
            <w:noWrap/>
            <w:vAlign w:val="center"/>
          </w:tcPr>
          <w:p w14:paraId="329DF89A">
            <w:pPr>
              <w:autoSpaceDE w:val="0"/>
              <w:autoSpaceDN w:val="0"/>
              <w:adjustRightInd w:val="0"/>
              <w:snapToGrid w:val="0"/>
              <w:jc w:val="center"/>
              <w:rPr>
                <w:rFonts w:eastAsiaTheme="minorEastAsia"/>
                <w:kern w:val="0"/>
                <w:sz w:val="24"/>
              </w:rPr>
            </w:pPr>
            <w:r>
              <w:rPr>
                <w:rFonts w:eastAsiaTheme="minorEastAsia"/>
                <w:kern w:val="0"/>
                <w:sz w:val="24"/>
              </w:rPr>
              <w:t>专项评价设置情况</w:t>
            </w:r>
          </w:p>
        </w:tc>
        <w:tc>
          <w:tcPr>
            <w:tcW w:w="7297" w:type="dxa"/>
            <w:gridSpan w:val="3"/>
            <w:tcBorders>
              <w:tl2br w:val="nil"/>
              <w:tr2bl w:val="nil"/>
            </w:tcBorders>
            <w:noWrap/>
            <w:vAlign w:val="center"/>
          </w:tcPr>
          <w:p w14:paraId="52CE8218">
            <w:pPr>
              <w:autoSpaceDE w:val="0"/>
              <w:autoSpaceDN w:val="0"/>
              <w:adjustRightInd w:val="0"/>
              <w:snapToGrid w:val="0"/>
              <w:ind w:firstLine="3360" w:firstLineChars="1400"/>
              <w:rPr>
                <w:rFonts w:eastAsiaTheme="minorEastAsia"/>
                <w:kern w:val="0"/>
                <w:sz w:val="24"/>
              </w:rPr>
            </w:pPr>
            <w:r>
              <w:rPr>
                <w:rFonts w:eastAsiaTheme="minorEastAsia"/>
                <w:kern w:val="0"/>
                <w:sz w:val="24"/>
              </w:rPr>
              <w:t>无</w:t>
            </w:r>
          </w:p>
        </w:tc>
      </w:tr>
      <w:tr w14:paraId="410A9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573" w:type="dxa"/>
            <w:tcBorders>
              <w:tl2br w:val="nil"/>
              <w:tr2bl w:val="nil"/>
            </w:tcBorders>
            <w:noWrap/>
            <w:vAlign w:val="center"/>
          </w:tcPr>
          <w:p w14:paraId="59F98BAB">
            <w:pPr>
              <w:autoSpaceDE w:val="0"/>
              <w:autoSpaceDN w:val="0"/>
              <w:adjustRightInd w:val="0"/>
              <w:snapToGrid w:val="0"/>
              <w:jc w:val="center"/>
              <w:rPr>
                <w:rFonts w:eastAsiaTheme="minorEastAsia"/>
                <w:kern w:val="0"/>
                <w:sz w:val="24"/>
              </w:rPr>
            </w:pPr>
            <w:r>
              <w:rPr>
                <w:rFonts w:eastAsiaTheme="minorEastAsia"/>
                <w:sz w:val="24"/>
              </w:rPr>
              <w:t>规划情况</w:t>
            </w:r>
          </w:p>
        </w:tc>
        <w:tc>
          <w:tcPr>
            <w:tcW w:w="7297" w:type="dxa"/>
            <w:gridSpan w:val="3"/>
            <w:tcBorders>
              <w:tl2br w:val="nil"/>
              <w:tr2bl w:val="nil"/>
            </w:tcBorders>
            <w:noWrap/>
            <w:vAlign w:val="center"/>
          </w:tcPr>
          <w:p w14:paraId="29D8C2EA">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Times New Roman" w:hAnsi="Times New Roman"/>
                <w:color w:val="auto"/>
                <w:kern w:val="0"/>
                <w:sz w:val="24"/>
                <w:szCs w:val="24"/>
              </w:rPr>
            </w:pPr>
            <w:r>
              <w:rPr>
                <w:rFonts w:hint="eastAsia" w:ascii="Times New Roman" w:hAnsi="Times New Roman"/>
                <w:color w:val="auto"/>
                <w:kern w:val="0"/>
                <w:sz w:val="24"/>
                <w:szCs w:val="24"/>
              </w:rPr>
              <w:t>规划名称：《西咸新区沣西新城分区规划（2016-2035）》；</w:t>
            </w:r>
          </w:p>
          <w:p w14:paraId="22B9C5E2">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Times New Roman" w:hAnsi="Times New Roman"/>
                <w:color w:val="auto"/>
                <w:kern w:val="0"/>
                <w:sz w:val="24"/>
                <w:szCs w:val="24"/>
              </w:rPr>
            </w:pPr>
            <w:r>
              <w:rPr>
                <w:rFonts w:hint="eastAsia" w:ascii="Times New Roman" w:hAnsi="Times New Roman"/>
                <w:color w:val="auto"/>
                <w:kern w:val="0"/>
                <w:sz w:val="24"/>
                <w:szCs w:val="24"/>
              </w:rPr>
              <w:t>审批机关：陕西省西咸新区开发建设管理委员会；</w:t>
            </w:r>
          </w:p>
          <w:p w14:paraId="03BCC9F4">
            <w:pPr>
              <w:autoSpaceDE w:val="0"/>
              <w:autoSpaceDN w:val="0"/>
              <w:adjustRightInd w:val="0"/>
              <w:snapToGrid w:val="0"/>
              <w:spacing w:line="360" w:lineRule="auto"/>
              <w:jc w:val="left"/>
              <w:rPr>
                <w:rFonts w:eastAsiaTheme="minorEastAsia"/>
                <w:sz w:val="24"/>
              </w:rPr>
            </w:pPr>
            <w:r>
              <w:rPr>
                <w:rFonts w:hint="eastAsia" w:ascii="Times New Roman" w:hAnsi="Times New Roman"/>
                <w:color w:val="auto"/>
                <w:kern w:val="0"/>
                <w:sz w:val="24"/>
                <w:szCs w:val="24"/>
              </w:rPr>
              <w:t>审批文件名称：《西咸新区沣西新城分区规划2016年-2035年总体规划审查意见》</w:t>
            </w:r>
          </w:p>
        </w:tc>
      </w:tr>
      <w:tr w14:paraId="318B92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1573" w:type="dxa"/>
            <w:tcBorders>
              <w:tl2br w:val="nil"/>
              <w:tr2bl w:val="nil"/>
            </w:tcBorders>
            <w:noWrap/>
            <w:vAlign w:val="center"/>
          </w:tcPr>
          <w:p w14:paraId="1B13C174">
            <w:pPr>
              <w:adjustRightInd w:val="0"/>
              <w:snapToGrid w:val="0"/>
              <w:jc w:val="center"/>
              <w:rPr>
                <w:rFonts w:eastAsiaTheme="minorEastAsia"/>
                <w:sz w:val="24"/>
              </w:rPr>
            </w:pPr>
            <w:r>
              <w:rPr>
                <w:rFonts w:eastAsiaTheme="minorEastAsia"/>
                <w:sz w:val="24"/>
              </w:rPr>
              <w:t>规划环境影响评价情况</w:t>
            </w:r>
          </w:p>
        </w:tc>
        <w:tc>
          <w:tcPr>
            <w:tcW w:w="7297" w:type="dxa"/>
            <w:gridSpan w:val="3"/>
            <w:tcBorders>
              <w:tl2br w:val="nil"/>
              <w:tr2bl w:val="nil"/>
            </w:tcBorders>
            <w:noWrap/>
            <w:vAlign w:val="center"/>
          </w:tcPr>
          <w:p w14:paraId="7B84D94A">
            <w:pPr>
              <w:autoSpaceDE w:val="0"/>
              <w:autoSpaceDN w:val="0"/>
              <w:adjustRightInd w:val="0"/>
              <w:snapToGrid w:val="0"/>
              <w:spacing w:line="360" w:lineRule="auto"/>
              <w:jc w:val="left"/>
              <w:rPr>
                <w:rFonts w:eastAsiaTheme="minorEastAsia"/>
                <w:kern w:val="0"/>
                <w:sz w:val="24"/>
              </w:rPr>
            </w:pPr>
            <w:r>
              <w:rPr>
                <w:rFonts w:eastAsiaTheme="minorEastAsia"/>
                <w:kern w:val="0"/>
                <w:sz w:val="24"/>
              </w:rPr>
              <w:t>规划环评文件名称：《陕西省西咸新区</w:t>
            </w:r>
            <w:r>
              <w:rPr>
                <w:rFonts w:hint="eastAsia" w:eastAsiaTheme="minorEastAsia"/>
                <w:kern w:val="0"/>
                <w:sz w:val="24"/>
              </w:rPr>
              <w:t>沣西</w:t>
            </w:r>
            <w:r>
              <w:rPr>
                <w:rFonts w:eastAsiaTheme="minorEastAsia"/>
                <w:kern w:val="0"/>
                <w:sz w:val="24"/>
              </w:rPr>
              <w:t>新城分区规划（2016-2035）环境影响报告书》；</w:t>
            </w:r>
          </w:p>
          <w:p w14:paraId="1514A3E5">
            <w:pPr>
              <w:autoSpaceDE w:val="0"/>
              <w:autoSpaceDN w:val="0"/>
              <w:adjustRightInd w:val="0"/>
              <w:snapToGrid w:val="0"/>
              <w:spacing w:line="360" w:lineRule="auto"/>
              <w:jc w:val="left"/>
              <w:rPr>
                <w:rFonts w:eastAsiaTheme="minorEastAsia"/>
                <w:kern w:val="0"/>
                <w:sz w:val="24"/>
              </w:rPr>
            </w:pPr>
            <w:r>
              <w:rPr>
                <w:rFonts w:eastAsiaTheme="minorEastAsia"/>
                <w:kern w:val="0"/>
                <w:sz w:val="24"/>
              </w:rPr>
              <w:t>审查机关：陕西省西咸新区生态环境局；</w:t>
            </w:r>
          </w:p>
          <w:p w14:paraId="7ACC9314">
            <w:pPr>
              <w:autoSpaceDE w:val="0"/>
              <w:autoSpaceDN w:val="0"/>
              <w:adjustRightInd w:val="0"/>
              <w:snapToGrid w:val="0"/>
              <w:spacing w:line="360" w:lineRule="auto"/>
              <w:rPr>
                <w:rFonts w:eastAsiaTheme="minorEastAsia"/>
                <w:sz w:val="24"/>
              </w:rPr>
            </w:pPr>
            <w:r>
              <w:rPr>
                <w:rFonts w:eastAsiaTheme="minorEastAsia"/>
                <w:kern w:val="0"/>
                <w:sz w:val="24"/>
              </w:rPr>
              <w:t>审批文件名称及文号：《陕西省西咸新区生态环境局关于陕西省西咸新区</w:t>
            </w:r>
            <w:r>
              <w:rPr>
                <w:rFonts w:hint="eastAsia" w:eastAsiaTheme="minorEastAsia"/>
                <w:kern w:val="0"/>
                <w:sz w:val="24"/>
              </w:rPr>
              <w:t>沣西</w:t>
            </w:r>
            <w:r>
              <w:rPr>
                <w:rFonts w:eastAsiaTheme="minorEastAsia"/>
                <w:kern w:val="0"/>
                <w:sz w:val="24"/>
              </w:rPr>
              <w:t>新城分区规划（2016-2035）环境影响报告书审查意见的函》陕西咸环函[201</w:t>
            </w:r>
            <w:r>
              <w:rPr>
                <w:rFonts w:hint="eastAsia" w:eastAsiaTheme="minorEastAsia"/>
                <w:kern w:val="0"/>
                <w:sz w:val="24"/>
              </w:rPr>
              <w:t>8</w:t>
            </w:r>
            <w:r>
              <w:rPr>
                <w:rFonts w:eastAsiaTheme="minorEastAsia"/>
                <w:kern w:val="0"/>
                <w:sz w:val="24"/>
              </w:rPr>
              <w:t>]</w:t>
            </w:r>
            <w:r>
              <w:rPr>
                <w:rFonts w:hint="eastAsia" w:eastAsiaTheme="minorEastAsia"/>
                <w:kern w:val="0"/>
                <w:sz w:val="24"/>
              </w:rPr>
              <w:t>61</w:t>
            </w:r>
            <w:r>
              <w:rPr>
                <w:rFonts w:eastAsiaTheme="minorEastAsia"/>
                <w:kern w:val="0"/>
                <w:sz w:val="24"/>
              </w:rPr>
              <w:t>号</w:t>
            </w:r>
          </w:p>
        </w:tc>
      </w:tr>
      <w:tr w14:paraId="72A3AE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73" w:type="dxa"/>
            <w:tcBorders>
              <w:tl2br w:val="nil"/>
              <w:tr2bl w:val="nil"/>
            </w:tcBorders>
            <w:noWrap/>
            <w:vAlign w:val="center"/>
          </w:tcPr>
          <w:p w14:paraId="51D2E0FD">
            <w:pPr>
              <w:autoSpaceDE w:val="0"/>
              <w:autoSpaceDN w:val="0"/>
              <w:adjustRightInd w:val="0"/>
              <w:snapToGrid w:val="0"/>
              <w:jc w:val="center"/>
              <w:rPr>
                <w:rFonts w:eastAsiaTheme="minorEastAsia"/>
                <w:kern w:val="0"/>
                <w:szCs w:val="21"/>
              </w:rPr>
            </w:pPr>
            <w:r>
              <w:rPr>
                <w:rFonts w:eastAsiaTheme="minorEastAsia"/>
                <w:kern w:val="0"/>
                <w:sz w:val="24"/>
              </w:rPr>
              <w:t>规划及规划环境影响评价符合性分析</w:t>
            </w:r>
          </w:p>
        </w:tc>
        <w:tc>
          <w:tcPr>
            <w:tcW w:w="7297" w:type="dxa"/>
            <w:gridSpan w:val="3"/>
            <w:tcBorders>
              <w:tl2br w:val="nil"/>
              <w:tr2bl w:val="nil"/>
            </w:tcBorders>
            <w:noWrap/>
            <w:vAlign w:val="center"/>
          </w:tcPr>
          <w:p w14:paraId="445A83AB">
            <w:pPr>
              <w:jc w:val="center"/>
              <w:rPr>
                <w:rFonts w:eastAsiaTheme="minorEastAsia"/>
                <w:b/>
                <w:bCs/>
                <w:szCs w:val="21"/>
              </w:rPr>
            </w:pPr>
            <w:r>
              <w:rPr>
                <w:rFonts w:eastAsiaTheme="minorEastAsia"/>
                <w:b/>
                <w:bCs/>
                <w:szCs w:val="21"/>
              </w:rPr>
              <w:t xml:space="preserve">表1-1  </w:t>
            </w:r>
            <w:r>
              <w:rPr>
                <w:rFonts w:eastAsiaTheme="minorEastAsia"/>
                <w:b/>
                <w:bCs/>
                <w:kern w:val="0"/>
                <w:szCs w:val="21"/>
              </w:rPr>
              <w:t>与</w:t>
            </w:r>
            <w:r>
              <w:rPr>
                <w:rFonts w:eastAsiaTheme="minorEastAsia"/>
                <w:b/>
                <w:bCs/>
                <w:szCs w:val="21"/>
              </w:rPr>
              <w:t>《西咸新区控制性详细规划》及</w:t>
            </w:r>
            <w:r>
              <w:rPr>
                <w:rFonts w:eastAsiaTheme="minorEastAsia"/>
                <w:b/>
                <w:bCs/>
                <w:kern w:val="0"/>
                <w:szCs w:val="21"/>
              </w:rPr>
              <w:t>《陕西省西咸新区</w:t>
            </w:r>
            <w:r>
              <w:rPr>
                <w:rFonts w:hint="eastAsia" w:eastAsiaTheme="minorEastAsia"/>
                <w:b/>
                <w:bCs/>
                <w:kern w:val="0"/>
                <w:szCs w:val="21"/>
              </w:rPr>
              <w:t>沣西</w:t>
            </w:r>
            <w:r>
              <w:rPr>
                <w:rFonts w:eastAsiaTheme="minorEastAsia"/>
                <w:b/>
                <w:bCs/>
                <w:kern w:val="0"/>
                <w:szCs w:val="21"/>
              </w:rPr>
              <w:t>新城分区规划（2016~2035）环境影响报告书》相符性分析</w:t>
            </w:r>
          </w:p>
          <w:tbl>
            <w:tblPr>
              <w:tblStyle w:val="20"/>
              <w:tblW w:w="498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844"/>
              <w:gridCol w:w="1898"/>
              <w:gridCol w:w="924"/>
            </w:tblGrid>
            <w:tr w14:paraId="585B4A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pct"/>
                  <w:tcBorders>
                    <w:tl2br w:val="nil"/>
                    <w:tr2bl w:val="nil"/>
                  </w:tcBorders>
                  <w:vAlign w:val="center"/>
                </w:tcPr>
                <w:p w14:paraId="7961C795">
                  <w:pPr>
                    <w:adjustRightInd w:val="0"/>
                    <w:snapToGrid w:val="0"/>
                    <w:jc w:val="center"/>
                    <w:rPr>
                      <w:rFonts w:eastAsiaTheme="minorEastAsia"/>
                      <w:b/>
                      <w:bCs/>
                      <w:szCs w:val="21"/>
                    </w:rPr>
                  </w:pPr>
                  <w:r>
                    <w:rPr>
                      <w:rFonts w:eastAsiaTheme="minorEastAsia"/>
                      <w:b/>
                      <w:bCs/>
                      <w:szCs w:val="21"/>
                    </w:rPr>
                    <w:t>规划</w:t>
                  </w:r>
                </w:p>
              </w:tc>
              <w:tc>
                <w:tcPr>
                  <w:tcW w:w="2022" w:type="pct"/>
                  <w:tcBorders>
                    <w:tl2br w:val="nil"/>
                    <w:tr2bl w:val="nil"/>
                  </w:tcBorders>
                  <w:vAlign w:val="center"/>
                </w:tcPr>
                <w:p w14:paraId="7235BA9C">
                  <w:pPr>
                    <w:widowControl/>
                    <w:wordWrap w:val="0"/>
                    <w:jc w:val="center"/>
                    <w:rPr>
                      <w:rFonts w:eastAsiaTheme="minorEastAsia"/>
                      <w:b/>
                      <w:bCs/>
                      <w:szCs w:val="21"/>
                    </w:rPr>
                  </w:pPr>
                  <w:r>
                    <w:rPr>
                      <w:rFonts w:eastAsiaTheme="minorEastAsia"/>
                      <w:b/>
                      <w:bCs/>
                      <w:szCs w:val="21"/>
                    </w:rPr>
                    <w:t>规划详情</w:t>
                  </w:r>
                </w:p>
              </w:tc>
              <w:tc>
                <w:tcPr>
                  <w:tcW w:w="1349" w:type="pct"/>
                  <w:tcBorders>
                    <w:tl2br w:val="nil"/>
                    <w:tr2bl w:val="nil"/>
                  </w:tcBorders>
                  <w:vAlign w:val="center"/>
                </w:tcPr>
                <w:p w14:paraId="4C780492">
                  <w:pPr>
                    <w:pStyle w:val="10"/>
                    <w:ind w:firstLine="210"/>
                    <w:jc w:val="center"/>
                    <w:rPr>
                      <w:rFonts w:eastAsiaTheme="minorEastAsia"/>
                      <w:b/>
                      <w:bCs/>
                      <w:sz w:val="21"/>
                      <w:szCs w:val="21"/>
                    </w:rPr>
                  </w:pPr>
                  <w:r>
                    <w:rPr>
                      <w:rFonts w:eastAsiaTheme="minorEastAsia"/>
                      <w:b/>
                      <w:bCs/>
                      <w:sz w:val="21"/>
                      <w:szCs w:val="21"/>
                    </w:rPr>
                    <w:t>项目情况</w:t>
                  </w:r>
                </w:p>
              </w:tc>
              <w:tc>
                <w:tcPr>
                  <w:tcW w:w="657" w:type="pct"/>
                  <w:tcBorders>
                    <w:tl2br w:val="nil"/>
                    <w:tr2bl w:val="nil"/>
                  </w:tcBorders>
                  <w:vAlign w:val="center"/>
                </w:tcPr>
                <w:p w14:paraId="26B63034">
                  <w:pPr>
                    <w:adjustRightInd w:val="0"/>
                    <w:snapToGrid w:val="0"/>
                    <w:spacing w:line="320" w:lineRule="exact"/>
                    <w:jc w:val="center"/>
                    <w:rPr>
                      <w:rFonts w:eastAsiaTheme="minorEastAsia"/>
                      <w:b/>
                      <w:bCs/>
                      <w:szCs w:val="21"/>
                    </w:rPr>
                  </w:pPr>
                  <w:r>
                    <w:rPr>
                      <w:rFonts w:eastAsiaTheme="minorEastAsia"/>
                      <w:b/>
                      <w:bCs/>
                      <w:szCs w:val="21"/>
                    </w:rPr>
                    <w:t>符合性</w:t>
                  </w:r>
                </w:p>
              </w:tc>
            </w:tr>
            <w:tr w14:paraId="6E9B9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970" w:type="pct"/>
                  <w:tcBorders>
                    <w:tl2br w:val="nil"/>
                    <w:tr2bl w:val="nil"/>
                  </w:tcBorders>
                  <w:vAlign w:val="center"/>
                </w:tcPr>
                <w:p w14:paraId="56033BD2">
                  <w:pPr>
                    <w:adjustRightInd w:val="0"/>
                    <w:snapToGrid w:val="0"/>
                    <w:spacing w:line="320" w:lineRule="exact"/>
                    <w:jc w:val="center"/>
                    <w:rPr>
                      <w:rFonts w:eastAsiaTheme="minorEastAsia"/>
                      <w:kern w:val="0"/>
                      <w:szCs w:val="21"/>
                    </w:rPr>
                  </w:pPr>
                  <w:r>
                    <w:rPr>
                      <w:rFonts w:eastAsiaTheme="minorEastAsia"/>
                      <w:kern w:val="0"/>
                      <w:szCs w:val="21"/>
                    </w:rPr>
                    <w:t>与《西咸新区控制性详细规划》符合性分析</w:t>
                  </w:r>
                </w:p>
              </w:tc>
              <w:tc>
                <w:tcPr>
                  <w:tcW w:w="2022" w:type="pct"/>
                  <w:tcBorders>
                    <w:tl2br w:val="nil"/>
                    <w:tr2bl w:val="nil"/>
                  </w:tcBorders>
                  <w:vAlign w:val="center"/>
                </w:tcPr>
                <w:p w14:paraId="15B674BF">
                  <w:pPr>
                    <w:widowControl/>
                    <w:jc w:val="left"/>
                    <w:rPr>
                      <w:rFonts w:ascii="宋体" w:hAnsi="宋体" w:cs="宋体"/>
                      <w:kern w:val="0"/>
                      <w:szCs w:val="21"/>
                    </w:rPr>
                  </w:pPr>
                  <w:r>
                    <w:rPr>
                      <w:rFonts w:hint="eastAsia" w:eastAsiaTheme="minorEastAsia"/>
                      <w:szCs w:val="21"/>
                    </w:rPr>
                    <w:t>西咸新区发展定位为：现代化大西安新中心、西部大开发的新引擎、丝绸之路经济带重要支撑点、国家创新城市发展方式试验区。规划以实现新区治理体系和治理能力现代化为总体要求，制定以建设生态新区与和谐美丽宜居新区为目标的控制指标体系。</w:t>
                  </w:r>
                </w:p>
              </w:tc>
              <w:tc>
                <w:tcPr>
                  <w:tcW w:w="1349" w:type="pct"/>
                  <w:tcBorders>
                    <w:tl2br w:val="nil"/>
                    <w:tr2bl w:val="nil"/>
                  </w:tcBorders>
                  <w:vAlign w:val="center"/>
                </w:tcPr>
                <w:p w14:paraId="5C231A2F">
                  <w:pPr>
                    <w:adjustRightInd w:val="0"/>
                    <w:snapToGrid w:val="0"/>
                    <w:jc w:val="center"/>
                    <w:rPr>
                      <w:color w:val="000000"/>
                      <w:szCs w:val="21"/>
                    </w:rPr>
                  </w:pPr>
                  <w:r>
                    <w:rPr>
                      <w:color w:val="000000"/>
                      <w:szCs w:val="21"/>
                    </w:rPr>
                    <w:t>本项目</w:t>
                  </w:r>
                  <w:r>
                    <w:rPr>
                      <w:rFonts w:hint="eastAsia"/>
                      <w:color w:val="000000"/>
                      <w:szCs w:val="21"/>
                      <w:lang w:val="en-US" w:eastAsia="zh-CN"/>
                    </w:rPr>
                    <w:t>属于</w:t>
                  </w:r>
                  <w:r>
                    <w:rPr>
                      <w:rFonts w:hint="eastAsia"/>
                      <w:color w:val="000000"/>
                      <w:szCs w:val="21"/>
                    </w:rPr>
                    <w:t>涂料</w:t>
                  </w:r>
                  <w:r>
                    <w:rPr>
                      <w:color w:val="000000"/>
                      <w:szCs w:val="21"/>
                    </w:rPr>
                    <w:t>制造</w:t>
                  </w:r>
                  <w:r>
                    <w:rPr>
                      <w:rFonts w:hint="eastAsia"/>
                      <w:color w:val="000000"/>
                      <w:szCs w:val="21"/>
                      <w:lang w:val="en-US" w:eastAsia="zh-CN"/>
                    </w:rPr>
                    <w:t>及金属表面处理及热处理加工</w:t>
                  </w:r>
                  <w:r>
                    <w:rPr>
                      <w:color w:val="000000"/>
                      <w:szCs w:val="21"/>
                    </w:rPr>
                    <w:t>。项目建成后对推进</w:t>
                  </w:r>
                  <w:r>
                    <w:rPr>
                      <w:rFonts w:hint="eastAsia"/>
                      <w:color w:val="000000"/>
                      <w:szCs w:val="21"/>
                    </w:rPr>
                    <w:t>沣西新城</w:t>
                  </w:r>
                  <w:r>
                    <w:rPr>
                      <w:color w:val="000000"/>
                      <w:szCs w:val="21"/>
                    </w:rPr>
                    <w:t>经济发展具有积极的意义。</w:t>
                  </w:r>
                </w:p>
              </w:tc>
              <w:tc>
                <w:tcPr>
                  <w:tcW w:w="657" w:type="pct"/>
                  <w:tcBorders>
                    <w:tl2br w:val="nil"/>
                    <w:tr2bl w:val="nil"/>
                  </w:tcBorders>
                  <w:vAlign w:val="center"/>
                </w:tcPr>
                <w:p w14:paraId="50320F7E">
                  <w:pPr>
                    <w:adjustRightInd w:val="0"/>
                    <w:snapToGrid w:val="0"/>
                    <w:spacing w:line="320" w:lineRule="exact"/>
                    <w:jc w:val="left"/>
                    <w:rPr>
                      <w:color w:val="000000"/>
                      <w:szCs w:val="21"/>
                    </w:rPr>
                  </w:pPr>
                  <w:r>
                    <w:rPr>
                      <w:color w:val="000000"/>
                      <w:szCs w:val="21"/>
                    </w:rPr>
                    <w:t>符合</w:t>
                  </w:r>
                </w:p>
              </w:tc>
            </w:tr>
            <w:tr w14:paraId="78BA7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970" w:type="pct"/>
                  <w:tcBorders>
                    <w:tl2br w:val="nil"/>
                    <w:tr2bl w:val="nil"/>
                  </w:tcBorders>
                  <w:vAlign w:val="center"/>
                </w:tcPr>
                <w:p w14:paraId="7D0AEA0F">
                  <w:pPr>
                    <w:adjustRightInd w:val="0"/>
                    <w:snapToGrid w:val="0"/>
                    <w:spacing w:line="320" w:lineRule="exact"/>
                    <w:jc w:val="center"/>
                    <w:rPr>
                      <w:rFonts w:eastAsiaTheme="minorEastAsia"/>
                      <w:kern w:val="0"/>
                      <w:szCs w:val="21"/>
                    </w:rPr>
                  </w:pPr>
                  <w:r>
                    <w:rPr>
                      <w:rFonts w:eastAsiaTheme="minorEastAsia"/>
                      <w:szCs w:val="21"/>
                    </w:rPr>
                    <w:t>与《陕西省西咸新区</w:t>
                  </w:r>
                  <w:r>
                    <w:rPr>
                      <w:rFonts w:hint="eastAsia" w:eastAsiaTheme="minorEastAsia"/>
                      <w:szCs w:val="21"/>
                    </w:rPr>
                    <w:t>沣西</w:t>
                  </w:r>
                  <w:r>
                    <w:rPr>
                      <w:rFonts w:eastAsiaTheme="minorEastAsia"/>
                      <w:szCs w:val="21"/>
                    </w:rPr>
                    <w:t>新城分区规划（2016~2035）环境影响报告书》符合性分析</w:t>
                  </w:r>
                </w:p>
              </w:tc>
              <w:tc>
                <w:tcPr>
                  <w:tcW w:w="2022" w:type="pct"/>
                  <w:tcBorders>
                    <w:tl2br w:val="nil"/>
                    <w:tr2bl w:val="nil"/>
                  </w:tcBorders>
                  <w:vAlign w:val="center"/>
                </w:tcPr>
                <w:p w14:paraId="62CF90E0">
                  <w:pPr>
                    <w:spacing w:line="240" w:lineRule="auto"/>
                    <w:jc w:val="left"/>
                    <w:rPr>
                      <w:rFonts w:eastAsiaTheme="minorEastAsia"/>
                      <w:kern w:val="0"/>
                      <w:szCs w:val="21"/>
                      <w:highlight w:val="yellow"/>
                    </w:rPr>
                  </w:pPr>
                  <w:r>
                    <w:rPr>
                      <w:rFonts w:hint="eastAsia"/>
                      <w:color w:val="000000"/>
                      <w:szCs w:val="21"/>
                    </w:rPr>
                    <w:t>规划区域准入条件：主要发展</w:t>
                  </w:r>
                  <w:r>
                    <w:rPr>
                      <w:rFonts w:hint="eastAsia"/>
                      <w:color w:val="000000"/>
                      <w:szCs w:val="21"/>
                      <w:lang w:eastAsia="zh-CN"/>
                    </w:rPr>
                    <w:t>“</w:t>
                  </w:r>
                  <w:r>
                    <w:rPr>
                      <w:rFonts w:hint="eastAsia"/>
                      <w:color w:val="000000"/>
                      <w:szCs w:val="21"/>
                    </w:rPr>
                    <w:t>新能源、新材料、节能环保相关产业、现代仓储物流产业、农产品加工、新型建材行业、生物研发行业</w:t>
                  </w:r>
                  <w:r>
                    <w:rPr>
                      <w:rFonts w:hint="eastAsia"/>
                      <w:color w:val="000000"/>
                      <w:szCs w:val="21"/>
                      <w:lang w:eastAsia="zh-CN"/>
                    </w:rPr>
                    <w:t>”</w:t>
                  </w:r>
                  <w:r>
                    <w:rPr>
                      <w:rFonts w:hint="eastAsia"/>
                      <w:color w:val="000000"/>
                      <w:szCs w:val="21"/>
                    </w:rPr>
                    <w:t>等重点行业。强化</w:t>
                  </w:r>
                  <w:r>
                    <w:rPr>
                      <w:rFonts w:hint="eastAsia"/>
                      <w:color w:val="000000"/>
                      <w:szCs w:val="21"/>
                      <w:lang w:eastAsia="zh-CN"/>
                    </w:rPr>
                    <w:t>“</w:t>
                  </w:r>
                  <w:r>
                    <w:rPr>
                      <w:rFonts w:hint="eastAsia"/>
                      <w:color w:val="000000"/>
                      <w:szCs w:val="21"/>
                    </w:rPr>
                    <w:t>三线一单</w:t>
                  </w:r>
                  <w:r>
                    <w:rPr>
                      <w:rFonts w:hint="eastAsia"/>
                      <w:color w:val="000000"/>
                      <w:szCs w:val="21"/>
                      <w:lang w:eastAsia="zh-CN"/>
                    </w:rPr>
                    <w:t>”</w:t>
                  </w:r>
                  <w:r>
                    <w:rPr>
                      <w:rFonts w:hint="eastAsia"/>
                      <w:color w:val="000000"/>
                      <w:szCs w:val="21"/>
                    </w:rPr>
                    <w:t>在优布局、控规模及对项目环境准入的强制约束作用。严禁</w:t>
                  </w:r>
                  <w:r>
                    <w:rPr>
                      <w:rFonts w:hint="eastAsia"/>
                      <w:color w:val="000000"/>
                      <w:szCs w:val="21"/>
                      <w:lang w:eastAsia="zh-CN"/>
                    </w:rPr>
                    <w:t>“</w:t>
                  </w:r>
                  <w:r>
                    <w:rPr>
                      <w:rFonts w:hint="eastAsia"/>
                      <w:color w:val="000000"/>
                      <w:szCs w:val="21"/>
                    </w:rPr>
                    <w:t>三高一低</w:t>
                  </w:r>
                  <w:r>
                    <w:rPr>
                      <w:rFonts w:hint="eastAsia"/>
                      <w:color w:val="000000"/>
                      <w:szCs w:val="21"/>
                      <w:lang w:eastAsia="zh-CN"/>
                    </w:rPr>
                    <w:t>”</w:t>
                  </w:r>
                  <w:r>
                    <w:rPr>
                      <w:rFonts w:hint="eastAsia"/>
                      <w:color w:val="000000"/>
                      <w:szCs w:val="21"/>
                    </w:rPr>
                    <w:t>项目入区，采用总量控制方式，限制大气污染物及水污染物排放量大的项目入区。</w:t>
                  </w:r>
                </w:p>
              </w:tc>
              <w:tc>
                <w:tcPr>
                  <w:tcW w:w="1349" w:type="pct"/>
                  <w:tcBorders>
                    <w:tl2br w:val="nil"/>
                    <w:tr2bl w:val="nil"/>
                  </w:tcBorders>
                  <w:vAlign w:val="center"/>
                </w:tcPr>
                <w:p w14:paraId="719CD493">
                  <w:pPr>
                    <w:adjustRightInd w:val="0"/>
                    <w:snapToGrid w:val="0"/>
                    <w:spacing w:line="240" w:lineRule="auto"/>
                    <w:jc w:val="left"/>
                    <w:rPr>
                      <w:rFonts w:eastAsiaTheme="minorEastAsia"/>
                      <w:kern w:val="0"/>
                      <w:szCs w:val="21"/>
                      <w:highlight w:val="yellow"/>
                    </w:rPr>
                  </w:pPr>
                  <w:r>
                    <w:rPr>
                      <w:rFonts w:hint="eastAsia"/>
                      <w:color w:val="000000"/>
                      <w:szCs w:val="21"/>
                    </w:rPr>
                    <w:t>本项目满足</w:t>
                  </w:r>
                  <w:r>
                    <w:rPr>
                      <w:rFonts w:hint="eastAsia"/>
                      <w:color w:val="000000"/>
                      <w:szCs w:val="21"/>
                      <w:lang w:eastAsia="zh-CN"/>
                    </w:rPr>
                    <w:t>“</w:t>
                  </w:r>
                  <w:r>
                    <w:rPr>
                      <w:rFonts w:hint="eastAsia"/>
                      <w:color w:val="000000"/>
                      <w:szCs w:val="21"/>
                    </w:rPr>
                    <w:t>三线一单</w:t>
                  </w:r>
                  <w:r>
                    <w:rPr>
                      <w:rFonts w:hint="eastAsia"/>
                      <w:color w:val="000000"/>
                      <w:szCs w:val="21"/>
                      <w:lang w:eastAsia="zh-CN"/>
                    </w:rPr>
                    <w:t>”</w:t>
                  </w:r>
                  <w:r>
                    <w:rPr>
                      <w:rFonts w:hint="eastAsia"/>
                      <w:color w:val="000000"/>
                      <w:szCs w:val="21"/>
                    </w:rPr>
                    <w:t>管控要求，不属于</w:t>
                  </w:r>
                  <w:r>
                    <w:rPr>
                      <w:rFonts w:hint="eastAsia"/>
                      <w:color w:val="000000"/>
                      <w:szCs w:val="21"/>
                      <w:lang w:eastAsia="zh-CN"/>
                    </w:rPr>
                    <w:t>“</w:t>
                  </w:r>
                  <w:r>
                    <w:rPr>
                      <w:rFonts w:hint="eastAsia"/>
                      <w:color w:val="000000"/>
                      <w:szCs w:val="21"/>
                    </w:rPr>
                    <w:t>三高一低</w:t>
                  </w:r>
                  <w:r>
                    <w:rPr>
                      <w:rFonts w:hint="eastAsia"/>
                      <w:color w:val="000000"/>
                      <w:szCs w:val="21"/>
                      <w:lang w:eastAsia="zh-CN"/>
                    </w:rPr>
                    <w:t>”</w:t>
                  </w:r>
                  <w:r>
                    <w:rPr>
                      <w:rFonts w:hint="eastAsia"/>
                      <w:color w:val="000000"/>
                      <w:szCs w:val="21"/>
                    </w:rPr>
                    <w:t>项目，项目产品属于环保类涂料</w:t>
                  </w:r>
                  <w:r>
                    <w:rPr>
                      <w:rFonts w:hint="eastAsia"/>
                      <w:color w:val="000000"/>
                      <w:szCs w:val="21"/>
                      <w:lang w:val="en-US" w:eastAsia="zh-CN"/>
                    </w:rPr>
                    <w:t>和金属表面处理及热处理加工</w:t>
                  </w:r>
                  <w:r>
                    <w:rPr>
                      <w:rFonts w:hint="eastAsia"/>
                      <w:color w:val="000000"/>
                      <w:szCs w:val="21"/>
                    </w:rPr>
                    <w:t>，产污较少，不属于大气污染物和水污染物排放量大的项目。</w:t>
                  </w:r>
                </w:p>
              </w:tc>
              <w:tc>
                <w:tcPr>
                  <w:tcW w:w="657" w:type="pct"/>
                  <w:tcBorders>
                    <w:tl2br w:val="nil"/>
                    <w:tr2bl w:val="nil"/>
                  </w:tcBorders>
                  <w:vAlign w:val="center"/>
                </w:tcPr>
                <w:p w14:paraId="1E11F511">
                  <w:pPr>
                    <w:adjustRightInd w:val="0"/>
                    <w:snapToGrid w:val="0"/>
                    <w:spacing w:line="320" w:lineRule="exact"/>
                    <w:jc w:val="center"/>
                    <w:rPr>
                      <w:rFonts w:eastAsiaTheme="minorEastAsia"/>
                      <w:szCs w:val="21"/>
                    </w:rPr>
                  </w:pPr>
                  <w:r>
                    <w:rPr>
                      <w:rFonts w:eastAsiaTheme="minorEastAsia"/>
                      <w:szCs w:val="21"/>
                    </w:rPr>
                    <w:t>符合</w:t>
                  </w:r>
                </w:p>
              </w:tc>
            </w:tr>
            <w:tr w14:paraId="04288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970" w:type="pct"/>
                  <w:tcBorders>
                    <w:tl2br w:val="nil"/>
                    <w:tr2bl w:val="nil"/>
                  </w:tcBorders>
                  <w:vAlign w:val="center"/>
                </w:tcPr>
                <w:p w14:paraId="6E0C0257">
                  <w:pPr>
                    <w:jc w:val="center"/>
                    <w:rPr>
                      <w:rFonts w:eastAsiaTheme="minorEastAsia"/>
                      <w:kern w:val="0"/>
                      <w:szCs w:val="21"/>
                    </w:rPr>
                  </w:pPr>
                  <w:r>
                    <w:rPr>
                      <w:rFonts w:hint="eastAsia"/>
                      <w:color w:val="000000"/>
                      <w:szCs w:val="21"/>
                    </w:rPr>
                    <w:t>《西咸新区沣西新城大王片区控制性详细规划》</w:t>
                  </w:r>
                </w:p>
              </w:tc>
              <w:tc>
                <w:tcPr>
                  <w:tcW w:w="2022" w:type="pct"/>
                  <w:tcBorders>
                    <w:tl2br w:val="nil"/>
                    <w:tr2bl w:val="nil"/>
                  </w:tcBorders>
                  <w:vAlign w:val="center"/>
                </w:tcPr>
                <w:p w14:paraId="5111C840">
                  <w:pPr>
                    <w:jc w:val="left"/>
                    <w:rPr>
                      <w:rFonts w:eastAsiaTheme="minorEastAsia"/>
                      <w:kern w:val="0"/>
                      <w:szCs w:val="21"/>
                      <w:highlight w:val="yellow"/>
                    </w:rPr>
                  </w:pPr>
                  <w:r>
                    <w:rPr>
                      <w:rFonts w:hint="eastAsia"/>
                      <w:color w:val="000000"/>
                      <w:szCs w:val="21"/>
                    </w:rPr>
                    <w:t>第三章：土地使用规划，第7条主要土地使用性质规划内用地性质和用地代码参照《城市用地分类与规划建设用地标准》（GB50137-2011）相关要求执行。</w:t>
                  </w:r>
                </w:p>
              </w:tc>
              <w:tc>
                <w:tcPr>
                  <w:tcW w:w="1349" w:type="pct"/>
                  <w:tcBorders>
                    <w:tl2br w:val="nil"/>
                    <w:tr2bl w:val="nil"/>
                  </w:tcBorders>
                  <w:vAlign w:val="center"/>
                </w:tcPr>
                <w:p w14:paraId="1A5B77B8">
                  <w:pPr>
                    <w:adjustRightInd w:val="0"/>
                    <w:snapToGrid w:val="0"/>
                    <w:spacing w:line="320" w:lineRule="exact"/>
                    <w:jc w:val="center"/>
                    <w:rPr>
                      <w:rFonts w:eastAsiaTheme="minorEastAsia"/>
                      <w:kern w:val="0"/>
                      <w:szCs w:val="21"/>
                      <w:highlight w:val="yellow"/>
                    </w:rPr>
                  </w:pPr>
                  <w:r>
                    <w:rPr>
                      <w:rFonts w:hint="eastAsia"/>
                      <w:color w:val="000000"/>
                      <w:szCs w:val="21"/>
                    </w:rPr>
                    <w:t>本项目位于</w:t>
                  </w:r>
                  <w:r>
                    <w:rPr>
                      <w:rFonts w:hint="eastAsia"/>
                      <w:color w:val="000000"/>
                      <w:szCs w:val="21"/>
                      <w:lang w:eastAsia="zh-CN"/>
                    </w:rPr>
                    <w:t>大王街办</w:t>
                  </w:r>
                  <w:r>
                    <w:rPr>
                      <w:rFonts w:hint="eastAsia"/>
                      <w:color w:val="000000"/>
                      <w:szCs w:val="21"/>
                    </w:rPr>
                    <w:t>，根据西咸新区沣西新城大王片区控制性详细规划土地利用规划图可知本项目用地属于二类工业用地（见附图五），满足规划要求。</w:t>
                  </w:r>
                </w:p>
              </w:tc>
              <w:tc>
                <w:tcPr>
                  <w:tcW w:w="657" w:type="pct"/>
                  <w:tcBorders>
                    <w:tl2br w:val="nil"/>
                    <w:tr2bl w:val="nil"/>
                  </w:tcBorders>
                  <w:vAlign w:val="center"/>
                </w:tcPr>
                <w:p w14:paraId="7DC49F47">
                  <w:pPr>
                    <w:adjustRightInd w:val="0"/>
                    <w:snapToGrid w:val="0"/>
                    <w:spacing w:line="320" w:lineRule="exact"/>
                    <w:jc w:val="center"/>
                    <w:rPr>
                      <w:rFonts w:eastAsiaTheme="minorEastAsia"/>
                      <w:szCs w:val="21"/>
                    </w:rPr>
                  </w:pPr>
                  <w:r>
                    <w:rPr>
                      <w:rFonts w:eastAsiaTheme="minorEastAsia"/>
                      <w:szCs w:val="21"/>
                    </w:rPr>
                    <w:t>符合</w:t>
                  </w:r>
                </w:p>
              </w:tc>
            </w:tr>
          </w:tbl>
          <w:p w14:paraId="31FD1FAA">
            <w:pPr>
              <w:autoSpaceDE w:val="0"/>
              <w:autoSpaceDN w:val="0"/>
              <w:adjustRightInd w:val="0"/>
              <w:snapToGrid w:val="0"/>
              <w:rPr>
                <w:rFonts w:eastAsiaTheme="minorEastAsia"/>
                <w:kern w:val="0"/>
                <w:sz w:val="24"/>
              </w:rPr>
            </w:pPr>
          </w:p>
        </w:tc>
      </w:tr>
      <w:tr w14:paraId="459C6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73" w:type="dxa"/>
            <w:tcBorders>
              <w:tl2br w:val="nil"/>
              <w:tr2bl w:val="nil"/>
            </w:tcBorders>
            <w:noWrap/>
            <w:vAlign w:val="center"/>
          </w:tcPr>
          <w:p w14:paraId="06BA4446">
            <w:pPr>
              <w:autoSpaceDE w:val="0"/>
              <w:autoSpaceDN w:val="0"/>
              <w:adjustRightInd w:val="0"/>
              <w:snapToGrid w:val="0"/>
              <w:jc w:val="center"/>
              <w:rPr>
                <w:rFonts w:eastAsiaTheme="minorEastAsia"/>
                <w:kern w:val="0"/>
                <w:szCs w:val="21"/>
              </w:rPr>
            </w:pPr>
            <w:r>
              <w:rPr>
                <w:rFonts w:eastAsiaTheme="minorEastAsia"/>
                <w:kern w:val="0"/>
                <w:sz w:val="24"/>
              </w:rPr>
              <w:t>其他符合性分析</w:t>
            </w:r>
          </w:p>
        </w:tc>
        <w:tc>
          <w:tcPr>
            <w:tcW w:w="7297" w:type="dxa"/>
            <w:gridSpan w:val="3"/>
            <w:tcBorders>
              <w:tl2br w:val="nil"/>
              <w:tr2bl w:val="nil"/>
            </w:tcBorders>
            <w:noWrap/>
            <w:vAlign w:val="center"/>
          </w:tcPr>
          <w:p w14:paraId="27FD6321">
            <w:pPr>
              <w:widowControl/>
              <w:numPr>
                <w:ilvl w:val="0"/>
                <w:numId w:val="0"/>
              </w:numPr>
              <w:spacing w:line="360" w:lineRule="auto"/>
              <w:jc w:val="left"/>
              <w:rPr>
                <w:rFonts w:eastAsiaTheme="minorEastAsia"/>
                <w:b/>
                <w:bCs/>
                <w:color w:val="000000"/>
                <w:kern w:val="0"/>
                <w:sz w:val="24"/>
                <w:lang w:bidi="ar"/>
              </w:rPr>
            </w:pPr>
            <w:r>
              <w:rPr>
                <w:rFonts w:hint="eastAsia" w:eastAsiaTheme="minorEastAsia"/>
                <w:b/>
                <w:bCs/>
                <w:color w:val="000000"/>
                <w:kern w:val="0"/>
                <w:sz w:val="24"/>
                <w:lang w:val="en-US" w:eastAsia="zh-CN" w:bidi="ar"/>
              </w:rPr>
              <w:t>1.</w:t>
            </w:r>
            <w:r>
              <w:rPr>
                <w:rFonts w:hint="eastAsia" w:eastAsiaTheme="minorEastAsia"/>
                <w:b/>
                <w:bCs/>
                <w:color w:val="000000"/>
                <w:kern w:val="0"/>
                <w:sz w:val="24"/>
                <w:lang w:eastAsia="zh-CN" w:bidi="ar"/>
              </w:rPr>
              <w:t>“</w:t>
            </w:r>
            <w:r>
              <w:rPr>
                <w:rFonts w:eastAsiaTheme="minorEastAsia"/>
                <w:b/>
                <w:bCs/>
                <w:color w:val="000000"/>
                <w:kern w:val="0"/>
                <w:sz w:val="24"/>
                <w:lang w:bidi="ar"/>
              </w:rPr>
              <w:t>三线一单</w:t>
            </w:r>
            <w:r>
              <w:rPr>
                <w:rFonts w:hint="eastAsia" w:eastAsiaTheme="minorEastAsia"/>
                <w:b/>
                <w:bCs/>
                <w:color w:val="000000"/>
                <w:kern w:val="0"/>
                <w:sz w:val="24"/>
                <w:lang w:eastAsia="zh-CN" w:bidi="ar"/>
              </w:rPr>
              <w:t>”</w:t>
            </w:r>
            <w:r>
              <w:rPr>
                <w:rFonts w:eastAsiaTheme="minorEastAsia"/>
                <w:b/>
                <w:bCs/>
                <w:color w:val="000000"/>
                <w:kern w:val="0"/>
                <w:sz w:val="24"/>
                <w:lang w:bidi="ar"/>
              </w:rPr>
              <w:t>符合性分析</w:t>
            </w:r>
          </w:p>
          <w:p w14:paraId="7435AAD6">
            <w:pPr>
              <w:widowControl/>
              <w:numPr>
                <w:ilvl w:val="0"/>
                <w:numId w:val="0"/>
              </w:numPr>
              <w:spacing w:line="360" w:lineRule="auto"/>
              <w:ind w:firstLine="480" w:firstLineChars="200"/>
              <w:jc w:val="left"/>
              <w:rPr>
                <w:rFonts w:eastAsiaTheme="minorEastAsia"/>
                <w:sz w:val="24"/>
              </w:rPr>
            </w:pPr>
            <w:r>
              <w:rPr>
                <w:rFonts w:eastAsiaTheme="minorEastAsia"/>
                <w:sz w:val="24"/>
              </w:rPr>
              <w:t>根据2021年11月27日西安市人民政府《西安市人民政府关于印发</w:t>
            </w:r>
            <w:r>
              <w:rPr>
                <w:rFonts w:hint="eastAsia" w:eastAsiaTheme="minorEastAsia"/>
                <w:sz w:val="24"/>
                <w:lang w:eastAsia="zh-CN"/>
              </w:rPr>
              <w:t>“</w:t>
            </w:r>
            <w:r>
              <w:rPr>
                <w:rFonts w:eastAsiaTheme="minorEastAsia"/>
                <w:sz w:val="24"/>
              </w:rPr>
              <w:t>三线一单</w:t>
            </w:r>
            <w:r>
              <w:rPr>
                <w:rFonts w:hint="eastAsia" w:eastAsiaTheme="minorEastAsia"/>
                <w:sz w:val="24"/>
                <w:lang w:eastAsia="zh-CN"/>
              </w:rPr>
              <w:t>”</w:t>
            </w:r>
            <w:r>
              <w:rPr>
                <w:rFonts w:eastAsiaTheme="minorEastAsia"/>
                <w:sz w:val="24"/>
              </w:rPr>
              <w:t>生态环境分区管控方案的通知》（市政发[2021]22号），</w:t>
            </w:r>
            <w:r>
              <w:rPr>
                <w:rFonts w:eastAsiaTheme="minorEastAsia"/>
                <w:color w:val="000000"/>
                <w:kern w:val="0"/>
                <w:sz w:val="24"/>
                <w:lang w:bidi="ar"/>
              </w:rPr>
              <w:t>项目选址位于</w:t>
            </w:r>
            <w:r>
              <w:rPr>
                <w:rFonts w:hint="eastAsia" w:eastAsiaTheme="minorEastAsia"/>
                <w:color w:val="000000" w:themeColor="text1"/>
                <w:kern w:val="0"/>
                <w:sz w:val="24"/>
                <w14:textFill>
                  <w14:solidFill>
                    <w14:schemeClr w14:val="tx1"/>
                  </w14:solidFill>
                </w14:textFill>
              </w:rPr>
              <w:t>陕西省西咸新区沣西新城</w:t>
            </w:r>
            <w:r>
              <w:rPr>
                <w:rFonts w:hint="eastAsia" w:eastAsiaTheme="minorEastAsia"/>
                <w:color w:val="000000" w:themeColor="text1"/>
                <w:kern w:val="0"/>
                <w:sz w:val="24"/>
                <w:lang w:eastAsia="zh-CN"/>
                <w14:textFill>
                  <w14:solidFill>
                    <w14:schemeClr w14:val="tx1"/>
                  </w14:solidFill>
                </w14:textFill>
              </w:rPr>
              <w:t>大王街办</w:t>
            </w:r>
            <w:r>
              <w:rPr>
                <w:rFonts w:hint="eastAsia" w:eastAsiaTheme="minorEastAsia"/>
                <w:color w:val="000000" w:themeColor="text1"/>
                <w:kern w:val="0"/>
                <w:sz w:val="24"/>
                <w14:textFill>
                  <w14:solidFill>
                    <w14:schemeClr w14:val="tx1"/>
                  </w14:solidFill>
                </w14:textFill>
              </w:rPr>
              <w:t>大王西村西宝十字口南路西7号，</w:t>
            </w:r>
            <w:r>
              <w:rPr>
                <w:rFonts w:eastAsiaTheme="minorEastAsia"/>
                <w:sz w:val="24"/>
              </w:rPr>
              <w:t>属于西安市重点管控单元，重点管控单元以优化空间布局提升资源利用效率、加强污染物减排治理和环境风险防控为重点，解决突出生态环境问题。项目与其相符性分析如下：</w:t>
            </w:r>
          </w:p>
          <w:p w14:paraId="146305D7">
            <w:pPr>
              <w:jc w:val="center"/>
              <w:rPr>
                <w:rFonts w:eastAsiaTheme="minorEastAsia"/>
                <w:b/>
                <w:bCs/>
                <w:szCs w:val="21"/>
              </w:rPr>
            </w:pPr>
            <w:r>
              <w:rPr>
                <w:rFonts w:eastAsiaTheme="minorEastAsia"/>
                <w:b/>
                <w:bCs/>
                <w:szCs w:val="21"/>
              </w:rPr>
              <w:t xml:space="preserve">表1-2  </w:t>
            </w:r>
            <w:r>
              <w:rPr>
                <w:rFonts w:hint="eastAsia" w:eastAsiaTheme="minorEastAsia"/>
                <w:b/>
                <w:bCs/>
                <w:szCs w:val="21"/>
                <w:lang w:eastAsia="zh-CN"/>
              </w:rPr>
              <w:t>“</w:t>
            </w:r>
            <w:r>
              <w:rPr>
                <w:rFonts w:eastAsiaTheme="minorEastAsia"/>
                <w:b/>
                <w:bCs/>
                <w:szCs w:val="21"/>
              </w:rPr>
              <w:t>三线一单</w:t>
            </w:r>
            <w:r>
              <w:rPr>
                <w:rFonts w:hint="eastAsia" w:eastAsiaTheme="minorEastAsia"/>
                <w:b/>
                <w:bCs/>
                <w:szCs w:val="21"/>
                <w:lang w:eastAsia="zh-CN"/>
              </w:rPr>
              <w:t>”</w:t>
            </w:r>
            <w:r>
              <w:rPr>
                <w:rFonts w:eastAsiaTheme="minorEastAsia"/>
                <w:b/>
                <w:bCs/>
                <w:szCs w:val="21"/>
              </w:rPr>
              <w:t>符合性分析</w:t>
            </w:r>
          </w:p>
          <w:tbl>
            <w:tblPr>
              <w:tblStyle w:val="20"/>
              <w:tblW w:w="70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8"/>
              <w:gridCol w:w="2495"/>
              <w:gridCol w:w="2663"/>
              <w:gridCol w:w="1045"/>
            </w:tblGrid>
            <w:tr w14:paraId="0F070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6328210B">
                  <w:pPr>
                    <w:pStyle w:val="17"/>
                    <w:keepNext w:val="0"/>
                    <w:keepLines w:val="0"/>
                    <w:pageBreakBefore w:val="0"/>
                    <w:widowControl w:val="0"/>
                    <w:kinsoku/>
                    <w:wordWrap/>
                    <w:overflowPunct/>
                    <w:topLinePunct w:val="0"/>
                    <w:autoSpaceDE/>
                    <w:autoSpaceDN/>
                    <w:bidi w:val="0"/>
                    <w:adjustRightInd w:val="0"/>
                    <w:snapToGrid w:val="0"/>
                    <w:ind w:firstLine="0"/>
                    <w:textAlignment w:val="auto"/>
                    <w:rPr>
                      <w:rFonts w:eastAsiaTheme="minorEastAsia"/>
                      <w:b/>
                      <w:bCs w:val="0"/>
                      <w:sz w:val="21"/>
                      <w:szCs w:val="21"/>
                    </w:rPr>
                  </w:pPr>
                  <w:r>
                    <w:rPr>
                      <w:rFonts w:eastAsiaTheme="minorEastAsia"/>
                      <w:b/>
                      <w:bCs w:val="0"/>
                      <w:sz w:val="21"/>
                      <w:szCs w:val="21"/>
                    </w:rPr>
                    <w:t>三线一单</w:t>
                  </w:r>
                </w:p>
              </w:tc>
              <w:tc>
                <w:tcPr>
                  <w:tcW w:w="1781" w:type="pct"/>
                  <w:tcBorders>
                    <w:tl2br w:val="nil"/>
                    <w:tr2bl w:val="nil"/>
                  </w:tcBorders>
                  <w:vAlign w:val="center"/>
                </w:tcPr>
                <w:p w14:paraId="11A4E9B9">
                  <w:pPr>
                    <w:pStyle w:val="17"/>
                    <w:keepNext w:val="0"/>
                    <w:keepLines w:val="0"/>
                    <w:pageBreakBefore w:val="0"/>
                    <w:widowControl w:val="0"/>
                    <w:kinsoku/>
                    <w:wordWrap/>
                    <w:overflowPunct/>
                    <w:topLinePunct w:val="0"/>
                    <w:autoSpaceDE/>
                    <w:autoSpaceDN/>
                    <w:bidi w:val="0"/>
                    <w:adjustRightInd w:val="0"/>
                    <w:snapToGrid w:val="0"/>
                    <w:ind w:firstLine="0"/>
                    <w:textAlignment w:val="auto"/>
                    <w:rPr>
                      <w:rFonts w:eastAsiaTheme="minorEastAsia"/>
                      <w:b/>
                      <w:bCs w:val="0"/>
                      <w:sz w:val="21"/>
                      <w:szCs w:val="21"/>
                    </w:rPr>
                  </w:pPr>
                  <w:r>
                    <w:rPr>
                      <w:rFonts w:eastAsiaTheme="minorEastAsia"/>
                      <w:b/>
                      <w:bCs w:val="0"/>
                      <w:sz w:val="21"/>
                      <w:szCs w:val="21"/>
                    </w:rPr>
                    <w:t>相关要求</w:t>
                  </w:r>
                </w:p>
              </w:tc>
              <w:tc>
                <w:tcPr>
                  <w:tcW w:w="1901" w:type="pct"/>
                  <w:tcBorders>
                    <w:tl2br w:val="nil"/>
                    <w:tr2bl w:val="nil"/>
                  </w:tcBorders>
                  <w:vAlign w:val="center"/>
                </w:tcPr>
                <w:p w14:paraId="33B3140B">
                  <w:pPr>
                    <w:pStyle w:val="17"/>
                    <w:keepNext w:val="0"/>
                    <w:keepLines w:val="0"/>
                    <w:pageBreakBefore w:val="0"/>
                    <w:widowControl w:val="0"/>
                    <w:kinsoku/>
                    <w:wordWrap/>
                    <w:overflowPunct/>
                    <w:topLinePunct w:val="0"/>
                    <w:autoSpaceDE/>
                    <w:autoSpaceDN/>
                    <w:bidi w:val="0"/>
                    <w:adjustRightInd w:val="0"/>
                    <w:snapToGrid w:val="0"/>
                    <w:ind w:firstLine="0"/>
                    <w:textAlignment w:val="auto"/>
                    <w:rPr>
                      <w:rFonts w:eastAsiaTheme="minorEastAsia"/>
                      <w:b/>
                      <w:bCs w:val="0"/>
                      <w:sz w:val="21"/>
                      <w:szCs w:val="21"/>
                    </w:rPr>
                  </w:pPr>
                  <w:r>
                    <w:rPr>
                      <w:rFonts w:eastAsiaTheme="minorEastAsia"/>
                      <w:b/>
                      <w:bCs w:val="0"/>
                      <w:sz w:val="21"/>
                      <w:szCs w:val="21"/>
                    </w:rPr>
                    <w:t>本项目情况</w:t>
                  </w:r>
                </w:p>
              </w:tc>
              <w:tc>
                <w:tcPr>
                  <w:tcW w:w="746" w:type="pct"/>
                  <w:tcBorders>
                    <w:tl2br w:val="nil"/>
                    <w:tr2bl w:val="nil"/>
                  </w:tcBorders>
                  <w:vAlign w:val="center"/>
                </w:tcPr>
                <w:p w14:paraId="5C2BD677">
                  <w:pPr>
                    <w:pStyle w:val="17"/>
                    <w:keepNext w:val="0"/>
                    <w:keepLines w:val="0"/>
                    <w:pageBreakBefore w:val="0"/>
                    <w:widowControl w:val="0"/>
                    <w:kinsoku/>
                    <w:wordWrap/>
                    <w:overflowPunct/>
                    <w:topLinePunct w:val="0"/>
                    <w:autoSpaceDE/>
                    <w:autoSpaceDN/>
                    <w:bidi w:val="0"/>
                    <w:adjustRightInd w:val="0"/>
                    <w:snapToGrid w:val="0"/>
                    <w:ind w:firstLine="0"/>
                    <w:textAlignment w:val="auto"/>
                    <w:rPr>
                      <w:rFonts w:eastAsiaTheme="minorEastAsia"/>
                      <w:b/>
                      <w:bCs w:val="0"/>
                      <w:sz w:val="21"/>
                      <w:szCs w:val="21"/>
                    </w:rPr>
                  </w:pPr>
                  <w:r>
                    <w:rPr>
                      <w:rFonts w:eastAsiaTheme="minorEastAsia"/>
                      <w:b/>
                      <w:bCs w:val="0"/>
                      <w:sz w:val="21"/>
                      <w:szCs w:val="21"/>
                    </w:rPr>
                    <w:t>符合性</w:t>
                  </w:r>
                </w:p>
              </w:tc>
            </w:tr>
            <w:tr w14:paraId="7E1FC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43DFEB18">
                  <w:pPr>
                    <w:pStyle w:val="16"/>
                    <w:jc w:val="center"/>
                    <w:rPr>
                      <w:rFonts w:ascii="Times New Roman" w:hAnsi="Times New Roman" w:eastAsiaTheme="minorEastAsia"/>
                      <w:sz w:val="21"/>
                      <w:szCs w:val="21"/>
                    </w:rPr>
                  </w:pPr>
                  <w:r>
                    <w:rPr>
                      <w:rFonts w:ascii="Times New Roman" w:hAnsi="Times New Roman" w:eastAsiaTheme="minorEastAsia"/>
                      <w:sz w:val="21"/>
                      <w:szCs w:val="21"/>
                    </w:rPr>
                    <w:t>生态保护红线及《西安市人民政府关于印发</w:t>
                  </w:r>
                  <w:r>
                    <w:rPr>
                      <w:rFonts w:hint="eastAsia" w:ascii="Times New Roman" w:hAnsi="Times New Roman" w:eastAsiaTheme="minorEastAsia"/>
                      <w:sz w:val="21"/>
                      <w:szCs w:val="21"/>
                      <w:lang w:eastAsia="zh-CN"/>
                    </w:rPr>
                    <w:t>“</w:t>
                  </w:r>
                  <w:r>
                    <w:rPr>
                      <w:rFonts w:ascii="Times New Roman" w:hAnsi="Times New Roman" w:eastAsiaTheme="minorEastAsia"/>
                      <w:sz w:val="21"/>
                      <w:szCs w:val="21"/>
                    </w:rPr>
                    <w:t>三线一单</w:t>
                  </w:r>
                  <w:r>
                    <w:rPr>
                      <w:rFonts w:hint="eastAsia" w:ascii="Times New Roman" w:hAnsi="Times New Roman" w:eastAsiaTheme="minorEastAsia"/>
                      <w:sz w:val="21"/>
                      <w:szCs w:val="21"/>
                      <w:lang w:eastAsia="zh-CN"/>
                    </w:rPr>
                    <w:t>”</w:t>
                  </w:r>
                  <w:r>
                    <w:rPr>
                      <w:rFonts w:ascii="Times New Roman" w:hAnsi="Times New Roman" w:eastAsiaTheme="minorEastAsia"/>
                      <w:sz w:val="21"/>
                      <w:szCs w:val="21"/>
                    </w:rPr>
                    <w:t>生态环境分区管控方案的通知》（市政发[2021]22号）</w:t>
                  </w:r>
                </w:p>
              </w:tc>
              <w:tc>
                <w:tcPr>
                  <w:tcW w:w="1781" w:type="pct"/>
                  <w:tcBorders>
                    <w:tl2br w:val="nil"/>
                    <w:tr2bl w:val="nil"/>
                  </w:tcBorders>
                  <w:vAlign w:val="center"/>
                </w:tcPr>
                <w:p w14:paraId="66ACE8A6">
                  <w:pPr>
                    <w:widowControl/>
                    <w:rPr>
                      <w:rFonts w:eastAsiaTheme="minorEastAsia"/>
                      <w:kern w:val="0"/>
                      <w:szCs w:val="21"/>
                    </w:rPr>
                  </w:pPr>
                  <w:r>
                    <w:rPr>
                      <w:rFonts w:eastAsiaTheme="minorEastAsia"/>
                      <w:color w:val="000000" w:themeColor="text1"/>
                      <w:szCs w:val="21"/>
                      <w14:textFill>
                        <w14:solidFill>
                          <w14:schemeClr w14:val="tx1"/>
                        </w14:solidFill>
                      </w14:textFill>
                    </w:rPr>
                    <w:t>按照保护优先、衔接整合、有效管理的原则，将全市统筹划定为优先保护和重点管控两类环境管控单元共158个，实施生态环境分区管控。其中，重点保护单元：涉及水、大气、土壤、自然资源等资源环境要素重点管控的区域，主要包括城镇规划区、产业园区和资源开发强度大、污染物排放强度高的区域等。全市划定重点管控单元65个，主要分布在除秦岭北麓以外的区域。重点管控单元应优化空间布局，结合生态环境质量达标情况以及经济社会发展水平等，按照差别化的生态环境准入要求，加强污染物排放控制和环境风险防控，不断提升资源利用效率，稳步改善生态环境质量。</w:t>
                  </w:r>
                </w:p>
              </w:tc>
              <w:tc>
                <w:tcPr>
                  <w:tcW w:w="1901" w:type="pct"/>
                  <w:tcBorders>
                    <w:tl2br w:val="nil"/>
                    <w:tr2bl w:val="nil"/>
                  </w:tcBorders>
                  <w:vAlign w:val="center"/>
                </w:tcPr>
                <w:p w14:paraId="3F64F310">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项目位于</w:t>
                  </w:r>
                  <w:r>
                    <w:rPr>
                      <w:rFonts w:hint="eastAsia" w:eastAsiaTheme="minorEastAsia"/>
                      <w:color w:val="000000" w:themeColor="text1"/>
                      <w:szCs w:val="21"/>
                      <w14:textFill>
                        <w14:solidFill>
                          <w14:schemeClr w14:val="tx1"/>
                        </w14:solidFill>
                      </w14:textFill>
                    </w:rPr>
                    <w:t>陕西省西咸新区沣西新城</w:t>
                  </w:r>
                  <w:r>
                    <w:rPr>
                      <w:rFonts w:hint="eastAsia" w:eastAsiaTheme="minorEastAsia"/>
                      <w:color w:val="000000" w:themeColor="text1"/>
                      <w:szCs w:val="21"/>
                      <w:lang w:eastAsia="zh-CN"/>
                      <w14:textFill>
                        <w14:solidFill>
                          <w14:schemeClr w14:val="tx1"/>
                        </w14:solidFill>
                      </w14:textFill>
                    </w:rPr>
                    <w:t>大王街办</w:t>
                  </w:r>
                  <w:r>
                    <w:rPr>
                      <w:rFonts w:hint="eastAsia" w:eastAsiaTheme="minorEastAsia"/>
                      <w:color w:val="000000" w:themeColor="text1"/>
                      <w:szCs w:val="21"/>
                      <w14:textFill>
                        <w14:solidFill>
                          <w14:schemeClr w14:val="tx1"/>
                        </w14:solidFill>
                      </w14:textFill>
                    </w:rPr>
                    <w:t>大王西村西宝十字口南路西7号</w:t>
                  </w:r>
                  <w:r>
                    <w:rPr>
                      <w:rFonts w:eastAsiaTheme="minorEastAsia"/>
                      <w:color w:val="000000" w:themeColor="text1"/>
                      <w:szCs w:val="21"/>
                      <w14:textFill>
                        <w14:solidFill>
                          <w14:schemeClr w14:val="tx1"/>
                        </w14:solidFill>
                      </w14:textFill>
                    </w:rPr>
                    <w:t>，用地符合规划要求，评价范围内无自然保护区及文物设施、风景名胜区等敏感点分布，不属于生态红线保护范围。根据西安市生态环境管控单元分布图，本项目属于其中的重点管控单元</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本项目工艺简单、不涉及化学反应</w:t>
                  </w:r>
                  <w:r>
                    <w:rPr>
                      <w:rFonts w:hint="eastAsia" w:eastAsiaTheme="minorEastAsia"/>
                      <w:color w:val="000000" w:themeColor="text1"/>
                      <w:szCs w:val="21"/>
                      <w:lang w:eastAsia="zh-CN"/>
                      <w14:textFill>
                        <w14:solidFill>
                          <w14:schemeClr w14:val="tx1"/>
                        </w14:solidFill>
                      </w14:textFill>
                    </w:rPr>
                    <w:t>。</w:t>
                  </w:r>
                  <w:r>
                    <w:rPr>
                      <w:rFonts w:hint="eastAsia" w:eastAsiaTheme="minorEastAsia"/>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snapToGrid w:val="0"/>
                      <w:szCs w:val="21"/>
                      <w:lang w:val="en-US" w:eastAsia="zh-CN"/>
                    </w:rPr>
                    <w:t>在混料机进料口上方设置集气罩</w:t>
                  </w:r>
                  <w:r>
                    <w:rPr>
                      <w:rFonts w:hint="eastAsia" w:cs="Times New Roman"/>
                      <w:snapToGrid w:val="0"/>
                      <w:szCs w:val="21"/>
                      <w:lang w:val="en-US" w:eastAsia="zh-CN"/>
                    </w:rPr>
                    <w:t>及</w:t>
                  </w:r>
                  <w:r>
                    <w:rPr>
                      <w:rFonts w:hint="eastAsia" w:ascii="Times New Roman" w:hAnsi="Times New Roman" w:eastAsia="宋体" w:cs="Times New Roman"/>
                      <w:snapToGrid w:val="0"/>
                      <w:szCs w:val="21"/>
                      <w:lang w:val="en-US" w:eastAsia="zh-CN"/>
                    </w:rPr>
                    <w:t>研磨超细的粉粒则是进入旋风分离器后</w:t>
                  </w:r>
                  <w:r>
                    <w:rPr>
                      <w:rFonts w:hint="default" w:ascii="Times New Roman" w:hAnsi="Times New Roman" w:eastAsia="宋体" w:cs="Times New Roman"/>
                      <w:snapToGrid w:val="0"/>
                      <w:szCs w:val="21"/>
                      <w:lang w:val="en-US" w:eastAsia="zh-CN"/>
                    </w:rPr>
                    <w:t>，进入</w:t>
                  </w:r>
                  <w:r>
                    <w:rPr>
                      <w:rFonts w:hint="eastAsia" w:ascii="Times New Roman" w:hAnsi="Times New Roman" w:eastAsia="宋体" w:cs="Times New Roman"/>
                      <w:snapToGrid w:val="0"/>
                      <w:szCs w:val="21"/>
                      <w:lang w:val="en-US" w:eastAsia="zh-CN"/>
                    </w:rPr>
                    <w:t>同一套滤筒</w:t>
                  </w:r>
                  <w:r>
                    <w:rPr>
                      <w:rFonts w:hint="default" w:ascii="Times New Roman" w:hAnsi="Times New Roman" w:eastAsia="宋体" w:cs="Times New Roman"/>
                      <w:snapToGrid w:val="0"/>
                      <w:szCs w:val="21"/>
                      <w:lang w:val="en-US" w:eastAsia="zh-CN"/>
                    </w:rPr>
                    <w:t>除尘系统</w:t>
                  </w:r>
                  <w:r>
                    <w:rPr>
                      <w:rFonts w:hint="eastAsia" w:ascii="Times New Roman" w:hAnsi="Times New Roman" w:eastAsia="宋体" w:cs="Times New Roman"/>
                      <w:snapToGrid w:val="0"/>
                      <w:szCs w:val="21"/>
                      <w:lang w:val="en-US" w:eastAsia="zh-CN"/>
                    </w:rPr>
                    <w:t>处理</w:t>
                  </w:r>
                  <w:r>
                    <w:rPr>
                      <w:rFonts w:hint="default" w:ascii="Times New Roman" w:hAnsi="Times New Roman" w:eastAsia="宋体" w:cs="Times New Roman"/>
                      <w:snapToGrid w:val="0"/>
                      <w:szCs w:val="21"/>
                      <w:lang w:val="en-US" w:eastAsia="zh-CN"/>
                    </w:rPr>
                    <w:t>，处理后经15m高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P1有组织达标排放</w:t>
                  </w:r>
                  <w:r>
                    <w:rPr>
                      <w:rFonts w:hint="eastAsia" w:ascii="Times New Roman" w:hAnsi="Times New Roman" w:eastAsia="宋体" w:cs="Times New Roman"/>
                      <w:snapToGrid w:val="0"/>
                      <w:szCs w:val="21"/>
                      <w:lang w:val="en-US" w:eastAsia="zh-CN"/>
                    </w:rPr>
                    <w:t>；在各挤出机物料出口上方安装集气罩收集后引至二级活性炭吸附装置处理，通过15m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有组织达标排放</w:t>
                  </w:r>
                  <w:r>
                    <w:rPr>
                      <w:rFonts w:hint="eastAsia" w:eastAsiaTheme="minorEastAsia"/>
                      <w:color w:val="000000" w:themeColor="text1"/>
                      <w:szCs w:val="21"/>
                      <w:lang w:eastAsia="zh-CN"/>
                      <w14:textFill>
                        <w14:solidFill>
                          <w14:schemeClr w14:val="tx1"/>
                        </w14:solidFill>
                      </w14:textFill>
                    </w:rPr>
                    <w:t>；</w:t>
                  </w:r>
                  <w:r>
                    <w:rPr>
                      <w:rFonts w:hint="eastAsia" w:ascii="Times New Roman" w:hAnsi="Times New Roman" w:eastAsia="宋体" w:cs="Times New Roman"/>
                      <w:snapToGrid w:val="0"/>
                      <w:szCs w:val="21"/>
                      <w:lang w:val="en-US" w:eastAsia="zh-CN"/>
                    </w:rPr>
                    <w:t>电泳有机废气</w:t>
                  </w:r>
                  <w:r>
                    <w:rPr>
                      <w:rFonts w:hint="eastAsia"/>
                      <w:color w:val="000000" w:themeColor="text1"/>
                      <w:lang w:val="en-US" w:eastAsia="zh-CN"/>
                      <w14:textFill>
                        <w14:solidFill>
                          <w14:schemeClr w14:val="tx1"/>
                        </w14:solidFill>
                      </w14:textFill>
                    </w:rPr>
                    <w:t>经</w:t>
                  </w:r>
                  <w:r>
                    <w:rPr>
                      <w:color w:val="000000" w:themeColor="text1"/>
                      <w14:textFill>
                        <w14:solidFill>
                          <w14:schemeClr w14:val="tx1"/>
                        </w14:solidFill>
                      </w14:textFill>
                    </w:rPr>
                    <w:t>电泳槽</w:t>
                  </w:r>
                  <w:r>
                    <w:rPr>
                      <w:rFonts w:hint="eastAsia"/>
                      <w:color w:val="000000" w:themeColor="text1"/>
                      <w:lang w:eastAsia="zh-CN"/>
                      <w14:textFill>
                        <w14:solidFill>
                          <w14:schemeClr w14:val="tx1"/>
                        </w14:solidFill>
                      </w14:textFill>
                    </w:rPr>
                    <w:t>上部设置包围型集气罩</w:t>
                  </w:r>
                  <w:r>
                    <w:rPr>
                      <w:rFonts w:hint="eastAsia"/>
                      <w:color w:val="000000" w:themeColor="text1"/>
                      <w:lang w:val="en-US" w:eastAsia="zh-CN"/>
                      <w14:textFill>
                        <w14:solidFill>
                          <w14:schemeClr w14:val="tx1"/>
                        </w14:solidFill>
                      </w14:textFill>
                    </w:rPr>
                    <w:t>收集</w:t>
                  </w:r>
                  <w:r>
                    <w:rPr>
                      <w:rFonts w:hint="eastAsia" w:ascii="Times New Roman" w:hAnsi="Times New Roman" w:eastAsia="宋体" w:cs="Times New Roman"/>
                      <w:snapToGrid w:val="0"/>
                      <w:szCs w:val="21"/>
                      <w:lang w:val="en-US" w:eastAsia="zh-CN"/>
                    </w:rPr>
                    <w:t>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排放</w:t>
                  </w:r>
                  <w:r>
                    <w:rPr>
                      <w:rFonts w:hint="eastAsia" w:ascii="Times New Roman" w:hAnsi="Times New Roman" w:eastAsia="宋体" w:cs="Times New Roman"/>
                      <w:snapToGrid w:val="0"/>
                      <w:szCs w:val="21"/>
                      <w:lang w:val="en-US" w:eastAsia="zh-CN"/>
                    </w:rPr>
                    <w:t>；</w:t>
                  </w:r>
                  <w:r>
                    <w:rPr>
                      <w:rFonts w:hint="default" w:ascii="Times New Roman" w:hAnsi="Times New Roman" w:eastAsia="宋体" w:cs="Times New Roman"/>
                      <w:snapToGrid w:val="0"/>
                      <w:szCs w:val="21"/>
                      <w:lang w:val="en-US" w:eastAsia="zh-CN"/>
                    </w:rPr>
                    <w:t>喷粉作业在单独的密闭喷粉室内进行，塑粉经过喷枪充电后喷出，没有附着工件的粉末由喷粉室配备的</w:t>
                  </w:r>
                  <w:r>
                    <w:rPr>
                      <w:rFonts w:hint="eastAsia" w:ascii="Times New Roman" w:hAnsi="Times New Roman" w:eastAsia="宋体" w:cs="Times New Roman"/>
                      <w:snapToGrid w:val="0"/>
                      <w:szCs w:val="21"/>
                      <w:lang w:val="en-US" w:eastAsia="zh-CN"/>
                    </w:rPr>
                    <w:t>旋风+布袋除尘</w:t>
                  </w:r>
                  <w:r>
                    <w:rPr>
                      <w:rFonts w:hint="default" w:ascii="Times New Roman" w:hAnsi="Times New Roman" w:eastAsia="宋体" w:cs="Times New Roman"/>
                      <w:snapToGrid w:val="0"/>
                      <w:szCs w:val="21"/>
                      <w:lang w:val="en-US" w:eastAsia="zh-CN"/>
                    </w:rPr>
                    <w:t>装置收集处理，处理后的废气经15m排气筒P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；固化废气在烘道出入口设置集气罩+软帘收集，收集后的废气由管道进入二级活性炭吸附装置，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；热风炉产生的废气直接进入固化烘道，烘道出入口设置集气罩+软帘收集，收集后的废气由管道进入旋风除尘器+布袋除尘器+二级活性炭吸附装置，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。项目生活污水及</w:t>
                  </w:r>
                  <w:r>
                    <w:rPr>
                      <w:rFonts w:hint="eastAsia" w:ascii="Times New Roman" w:hAnsi="Times New Roman" w:cs="Times New Roman" w:eastAsiaTheme="minorEastAsia"/>
                      <w:sz w:val="21"/>
                      <w:szCs w:val="21"/>
                      <w:lang w:val="en-US" w:eastAsia="zh-CN"/>
                    </w:rPr>
                    <w:t>纯水制备系统废水</w:t>
                  </w:r>
                  <w:r>
                    <w:rPr>
                      <w:rFonts w:hint="eastAsia" w:ascii="Times New Roman" w:hAnsi="Times New Roman" w:eastAsia="宋体" w:cs="Times New Roman"/>
                      <w:snapToGrid w:val="0"/>
                      <w:szCs w:val="21"/>
                      <w:lang w:val="en-US" w:eastAsia="zh-CN"/>
                    </w:rPr>
                    <w:t>进入化粪池沉淀处理后排入沣西新城大王污水处理厂，经处理达标后排入新河</w:t>
                  </w:r>
                  <w:r>
                    <w:rPr>
                      <w:rFonts w:hint="eastAsia" w:cs="Times New Roman"/>
                      <w:snapToGrid w:val="0"/>
                      <w:szCs w:val="21"/>
                      <w:lang w:val="en-US" w:eastAsia="zh-CN"/>
                    </w:rPr>
                    <w:t>；</w:t>
                  </w:r>
                  <w:r>
                    <w:rPr>
                      <w:rFonts w:hint="default" w:ascii="Times New Roman" w:hAnsi="Times New Roman" w:eastAsia="宋体" w:cs="Times New Roman"/>
                      <w:snapToGrid w:val="0"/>
                      <w:color w:val="auto"/>
                      <w:kern w:val="2"/>
                      <w:sz w:val="21"/>
                      <w:szCs w:val="21"/>
                      <w:highlight w:val="none"/>
                      <w:lang w:val="en-US" w:eastAsia="zh-CN" w:bidi="ar-SA"/>
                    </w:rPr>
                    <w:t>废包装材料收集暂存于一般固废暂存区</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定期外售于物资回收公司</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收尘灰</w:t>
                  </w:r>
                  <w:r>
                    <w:rPr>
                      <w:rFonts w:hint="eastAsia" w:ascii="Times New Roman" w:hAnsi="Times New Roman" w:eastAsia="宋体" w:cs="Times New Roman"/>
                      <w:snapToGrid w:val="0"/>
                      <w:color w:val="auto"/>
                      <w:kern w:val="2"/>
                      <w:sz w:val="21"/>
                      <w:szCs w:val="21"/>
                      <w:highlight w:val="none"/>
                      <w:lang w:val="en-US" w:eastAsia="zh-CN" w:bidi="ar-SA"/>
                    </w:rPr>
                    <w:t>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工序；粉末</w:t>
                  </w:r>
                  <w:r>
                    <w:rPr>
                      <w:rFonts w:hint="default" w:ascii="Times New Roman" w:hAnsi="Times New Roman" w:eastAsia="宋体" w:cs="Times New Roman"/>
                      <w:snapToGrid w:val="0"/>
                      <w:color w:val="auto"/>
                      <w:kern w:val="2"/>
                      <w:sz w:val="21"/>
                      <w:szCs w:val="21"/>
                      <w:highlight w:val="none"/>
                      <w:lang w:val="en-US" w:eastAsia="zh-CN" w:bidi="ar-SA"/>
                    </w:rPr>
                    <w:t>不合格品收集暂存于一般固废暂存区</w:t>
                  </w:r>
                  <w:r>
                    <w:rPr>
                      <w:rFonts w:hint="eastAsia" w:ascii="Times New Roman" w:hAnsi="Times New Roman" w:cs="Times New Roman"/>
                      <w:snapToGrid w:val="0"/>
                      <w:color w:val="auto"/>
                      <w:kern w:val="2"/>
                      <w:sz w:val="21"/>
                      <w:szCs w:val="21"/>
                      <w:highlight w:val="none"/>
                      <w:lang w:val="en-US" w:eastAsia="zh-CN" w:bidi="ar-SA"/>
                    </w:rPr>
                    <w:t>，收</w:t>
                  </w:r>
                  <w:r>
                    <w:rPr>
                      <w:rFonts w:hint="eastAsia" w:ascii="Times New Roman" w:hAnsi="Times New Roman" w:eastAsia="宋体" w:cs="Times New Roman"/>
                      <w:snapToGrid w:val="0"/>
                      <w:color w:val="auto"/>
                      <w:kern w:val="2"/>
                      <w:sz w:val="21"/>
                      <w:szCs w:val="21"/>
                      <w:highlight w:val="none"/>
                      <w:lang w:val="en-US" w:eastAsia="zh-CN" w:bidi="ar-SA"/>
                    </w:rPr>
                    <w:t>集后回用于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工序；废反渗透膜，暂存于一般固废暂存区，由纯水机厂家检修时回收处置；</w:t>
                  </w:r>
                  <w:r>
                    <w:rPr>
                      <w:rFonts w:hint="default" w:ascii="Times New Roman" w:hAnsi="Times New Roman" w:eastAsia="宋体" w:cs="Times New Roman"/>
                      <w:snapToGrid w:val="0"/>
                      <w:color w:val="auto"/>
                      <w:kern w:val="2"/>
                      <w:sz w:val="21"/>
                      <w:szCs w:val="21"/>
                      <w:highlight w:val="none"/>
                      <w:lang w:val="en-US" w:eastAsia="zh-CN" w:bidi="ar-SA"/>
                    </w:rPr>
                    <w:t>废漆渣</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收集暂存于一般固废暂存区，定期外售于物资回收公司</w:t>
                  </w:r>
                  <w:r>
                    <w:rPr>
                      <w:rFonts w:hint="eastAsia" w:cs="Times New Roman"/>
                      <w:snapToGrid w:val="0"/>
                      <w:color w:val="auto"/>
                      <w:kern w:val="2"/>
                      <w:sz w:val="21"/>
                      <w:szCs w:val="21"/>
                      <w:highlight w:val="none"/>
                      <w:lang w:val="en-US" w:eastAsia="zh-CN" w:bidi="ar-SA"/>
                    </w:rPr>
                    <w:t>；</w:t>
                  </w:r>
                  <w:r>
                    <w:rPr>
                      <w:rFonts w:hint="eastAsia" w:ascii="Times New Roman" w:hAnsi="Times New Roman" w:eastAsia="宋体" w:cs="Times New Roman"/>
                      <w:color w:val="auto"/>
                      <w:highlight w:val="none"/>
                      <w:lang w:val="en-US" w:eastAsia="zh-CN"/>
                    </w:rPr>
                    <w:t>废机油及废油桶、废活性炭、废超滤芯、废油槽渣、废陶化槽渣以及废电泳</w:t>
                  </w:r>
                  <w:r>
                    <w:rPr>
                      <w:rFonts w:hint="default" w:ascii="Times New Roman" w:hAnsi="Times New Roman" w:eastAsia="宋体" w:cs="Times New Roman"/>
                      <w:color w:val="auto"/>
                      <w:highlight w:val="none"/>
                      <w:lang w:val="en-US" w:eastAsia="zh-CN"/>
                    </w:rPr>
                    <w:t>漆渣收集后妥善暂存于危险废物贮存间，交由陕西绿林环保科技有限公司进行处理。</w:t>
                  </w:r>
                  <w:r>
                    <w:rPr>
                      <w:rFonts w:eastAsiaTheme="minorEastAsia"/>
                      <w:color w:val="auto"/>
                      <w:szCs w:val="21"/>
                    </w:rPr>
                    <w:t>对环境影响较小。建设项目符合重点</w:t>
                  </w:r>
                  <w:r>
                    <w:rPr>
                      <w:rFonts w:eastAsiaTheme="minorEastAsia"/>
                      <w:color w:val="000000" w:themeColor="text1"/>
                      <w:szCs w:val="21"/>
                      <w14:textFill>
                        <w14:solidFill>
                          <w14:schemeClr w14:val="tx1"/>
                        </w14:solidFill>
                      </w14:textFill>
                    </w:rPr>
                    <w:t>管控单元环境准入及管控要求。</w:t>
                  </w:r>
                </w:p>
              </w:tc>
              <w:tc>
                <w:tcPr>
                  <w:tcW w:w="746" w:type="pct"/>
                  <w:tcBorders>
                    <w:tl2br w:val="nil"/>
                    <w:tr2bl w:val="nil"/>
                  </w:tcBorders>
                  <w:vAlign w:val="center"/>
                </w:tcPr>
                <w:p w14:paraId="233B0146">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14:paraId="5982E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6BDEDC4E">
                  <w:pPr>
                    <w:widowControl/>
                    <w:jc w:val="center"/>
                    <w:rPr>
                      <w:rFonts w:eastAsiaTheme="minorEastAsia"/>
                      <w:szCs w:val="21"/>
                    </w:rPr>
                  </w:pPr>
                  <w:r>
                    <w:rPr>
                      <w:rFonts w:eastAsiaTheme="minorEastAsia"/>
                      <w:szCs w:val="21"/>
                    </w:rPr>
                    <w:t>环境质量底线</w:t>
                  </w:r>
                </w:p>
              </w:tc>
              <w:tc>
                <w:tcPr>
                  <w:tcW w:w="1781" w:type="pct"/>
                  <w:vMerge w:val="restart"/>
                  <w:tcBorders>
                    <w:tl2br w:val="nil"/>
                    <w:tr2bl w:val="nil"/>
                  </w:tcBorders>
                  <w:vAlign w:val="center"/>
                </w:tcPr>
                <w:p w14:paraId="44A33320">
                  <w:pPr>
                    <w:widowControl/>
                    <w:rPr>
                      <w:rFonts w:eastAsiaTheme="minorEastAsia"/>
                      <w:color w:val="333333"/>
                      <w:kern w:val="0"/>
                      <w:szCs w:val="21"/>
                    </w:rPr>
                  </w:pPr>
                  <w:r>
                    <w:rPr>
                      <w:rFonts w:eastAsiaTheme="minorEastAsia"/>
                      <w:color w:val="000000" w:themeColor="text1"/>
                      <w:szCs w:val="21"/>
                      <w14:textFill>
                        <w14:solidFill>
                          <w14:schemeClr w14:val="tx1"/>
                        </w14:solidFill>
                      </w14:textFill>
                    </w:rPr>
                    <w:t>到2025年，全市生态环境质量持续改善。空气质量稳步提升，水环境质量持续改善，主要污染物排放总量持续减少，碳排放强度持续降低，土壤安全利用水平持续提升，环境风险防控能力明显增强。国土空间开发保护格局得到优化，生态系统稳定性和生态状况稳步提升。生产生活方式绿色转型成效显著，生态文明建设深入推进，生态西安建设取得明显成效。到2035年，广泛形成绿色生产生活方式，低碳与可持续发展水平显著提升，空气和水环境质量实现全面根本改善，土壤环境质量稳中向好，环境风险得到全面管控，生态环境质量根本好转，美丽西安建设目标基本实现。</w:t>
                  </w:r>
                </w:p>
              </w:tc>
              <w:tc>
                <w:tcPr>
                  <w:tcW w:w="1901" w:type="pct"/>
                  <w:tcBorders>
                    <w:tl2br w:val="nil"/>
                    <w:tr2bl w:val="nil"/>
                  </w:tcBorders>
                  <w:vAlign w:val="center"/>
                </w:tcPr>
                <w:p w14:paraId="54F627E0">
                  <w:pPr>
                    <w:widowControl/>
                    <w:rPr>
                      <w:rFonts w:eastAsiaTheme="minorEastAsia"/>
                      <w:szCs w:val="21"/>
                    </w:rPr>
                  </w:pPr>
                  <w:r>
                    <w:rPr>
                      <w:rFonts w:eastAsiaTheme="minorEastAsia"/>
                      <w:color w:val="000000" w:themeColor="text1"/>
                      <w:szCs w:val="21"/>
                      <w14:textFill>
                        <w14:solidFill>
                          <w14:schemeClr w14:val="tx1"/>
                        </w14:solidFill>
                      </w14:textFill>
                    </w:rPr>
                    <w:t>项目产生的污染物采取措施后，污染物均可达标排放，不会对区域环境质量产生明显影响。</w:t>
                  </w:r>
                </w:p>
              </w:tc>
              <w:tc>
                <w:tcPr>
                  <w:tcW w:w="746" w:type="pct"/>
                  <w:tcBorders>
                    <w:tl2br w:val="nil"/>
                    <w:tr2bl w:val="nil"/>
                  </w:tcBorders>
                  <w:vAlign w:val="center"/>
                </w:tcPr>
                <w:p w14:paraId="34D655DA">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14:paraId="372E2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tcBorders>
                    <w:tl2br w:val="nil"/>
                    <w:tr2bl w:val="nil"/>
                  </w:tcBorders>
                  <w:vAlign w:val="center"/>
                </w:tcPr>
                <w:p w14:paraId="08F7D1A3">
                  <w:pPr>
                    <w:widowControl/>
                    <w:jc w:val="center"/>
                    <w:rPr>
                      <w:rFonts w:eastAsiaTheme="minorEastAsia"/>
                      <w:szCs w:val="21"/>
                    </w:rPr>
                  </w:pPr>
                  <w:r>
                    <w:rPr>
                      <w:rFonts w:eastAsiaTheme="minorEastAsia"/>
                      <w:szCs w:val="21"/>
                    </w:rPr>
                    <w:t>资源利用上线</w:t>
                  </w:r>
                </w:p>
              </w:tc>
              <w:tc>
                <w:tcPr>
                  <w:tcW w:w="1781" w:type="pct"/>
                  <w:vMerge w:val="continue"/>
                  <w:tcBorders>
                    <w:tl2br w:val="nil"/>
                    <w:tr2bl w:val="nil"/>
                  </w:tcBorders>
                  <w:vAlign w:val="center"/>
                </w:tcPr>
                <w:p w14:paraId="696B52D0">
                  <w:pPr>
                    <w:pStyle w:val="17"/>
                    <w:ind w:firstLine="420"/>
                    <w:rPr>
                      <w:rFonts w:eastAsiaTheme="minorEastAsia"/>
                      <w:bCs w:val="0"/>
                      <w:sz w:val="21"/>
                      <w:szCs w:val="21"/>
                    </w:rPr>
                  </w:pPr>
                </w:p>
              </w:tc>
              <w:tc>
                <w:tcPr>
                  <w:tcW w:w="1901" w:type="pct"/>
                  <w:tcBorders>
                    <w:tl2br w:val="nil"/>
                    <w:tr2bl w:val="nil"/>
                  </w:tcBorders>
                  <w:vAlign w:val="center"/>
                </w:tcPr>
                <w:p w14:paraId="05B41652">
                  <w:pPr>
                    <w:widowControl/>
                    <w:rPr>
                      <w:rFonts w:eastAsiaTheme="minorEastAsia"/>
                      <w:szCs w:val="21"/>
                    </w:rPr>
                  </w:pPr>
                  <w:r>
                    <w:rPr>
                      <w:rFonts w:eastAsiaTheme="minorEastAsia"/>
                      <w:color w:val="000000" w:themeColor="text1"/>
                      <w:szCs w:val="21"/>
                      <w14:textFill>
                        <w14:solidFill>
                          <w14:schemeClr w14:val="tx1"/>
                        </w14:solidFill>
                      </w14:textFill>
                    </w:rPr>
                    <w:t>本</w:t>
                  </w:r>
                  <w:r>
                    <w:rPr>
                      <w:rFonts w:eastAsiaTheme="minorEastAsia"/>
                      <w:color w:val="auto"/>
                      <w:szCs w:val="21"/>
                    </w:rPr>
                    <w:t>项目原辅材料及能源消耗分配合理，</w:t>
                  </w:r>
                  <w:r>
                    <w:rPr>
                      <w:rFonts w:hint="eastAsia" w:eastAsiaTheme="minorEastAsia"/>
                      <w:color w:val="auto"/>
                      <w:szCs w:val="21"/>
                      <w:lang w:val="en-US" w:eastAsia="zh-CN"/>
                    </w:rPr>
                    <w:t>纯水制备废水与</w:t>
                  </w:r>
                  <w:r>
                    <w:rPr>
                      <w:rFonts w:eastAsiaTheme="minorEastAsia"/>
                      <w:color w:val="auto"/>
                      <w:szCs w:val="21"/>
                    </w:rPr>
                    <w:t>生活污水经</w:t>
                  </w:r>
                  <w:r>
                    <w:rPr>
                      <w:rFonts w:hint="eastAsia" w:eastAsiaTheme="minorEastAsia"/>
                      <w:color w:val="auto"/>
                      <w:szCs w:val="21"/>
                    </w:rPr>
                    <w:t>沣西新城大王</w:t>
                  </w:r>
                  <w:r>
                    <w:rPr>
                      <w:rFonts w:eastAsiaTheme="minorEastAsia"/>
                      <w:color w:val="auto"/>
                      <w:szCs w:val="21"/>
                    </w:rPr>
                    <w:t>污水处理厂处理后达标排放</w:t>
                  </w:r>
                  <w:r>
                    <w:rPr>
                      <w:rFonts w:hint="eastAsia" w:cs="宋体"/>
                      <w:color w:val="000000"/>
                      <w:kern w:val="0"/>
                      <w:sz w:val="21"/>
                      <w:szCs w:val="21"/>
                      <w:highlight w:val="none"/>
                      <w:lang w:val="en-US" w:eastAsia="zh-CN" w:bidi="ar"/>
                    </w:rPr>
                    <w:t>。</w:t>
                  </w:r>
                  <w:r>
                    <w:rPr>
                      <w:rFonts w:hint="default" w:ascii="Times New Roman" w:hAnsi="Times New Roman" w:eastAsia="宋体" w:cs="Times New Roman"/>
                      <w:snapToGrid w:val="0"/>
                      <w:color w:val="auto"/>
                      <w:kern w:val="2"/>
                      <w:sz w:val="21"/>
                      <w:szCs w:val="21"/>
                      <w:highlight w:val="none"/>
                      <w:lang w:val="en-US" w:eastAsia="zh-CN" w:bidi="ar-SA"/>
                    </w:rPr>
                    <w:t>废包装材料收集暂存于一般固废暂存区</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定期外售于物资回收公司</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收尘灰</w:t>
                  </w:r>
                  <w:r>
                    <w:rPr>
                      <w:rFonts w:hint="eastAsia" w:ascii="Times New Roman" w:hAnsi="Times New Roman" w:eastAsia="宋体" w:cs="Times New Roman"/>
                      <w:snapToGrid w:val="0"/>
                      <w:color w:val="auto"/>
                      <w:kern w:val="2"/>
                      <w:sz w:val="21"/>
                      <w:szCs w:val="21"/>
                      <w:highlight w:val="none"/>
                      <w:lang w:val="en-US" w:eastAsia="zh-CN" w:bidi="ar-SA"/>
                    </w:rPr>
                    <w:t>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工序；粉末</w:t>
                  </w:r>
                  <w:r>
                    <w:rPr>
                      <w:rFonts w:hint="default" w:ascii="Times New Roman" w:hAnsi="Times New Roman" w:eastAsia="宋体" w:cs="Times New Roman"/>
                      <w:snapToGrid w:val="0"/>
                      <w:color w:val="auto"/>
                      <w:kern w:val="2"/>
                      <w:sz w:val="21"/>
                      <w:szCs w:val="21"/>
                      <w:highlight w:val="none"/>
                      <w:lang w:val="en-US" w:eastAsia="zh-CN" w:bidi="ar-SA"/>
                    </w:rPr>
                    <w:t>不合格品收集暂存于一般固废暂存区</w:t>
                  </w:r>
                  <w:r>
                    <w:rPr>
                      <w:rFonts w:hint="eastAsia" w:ascii="Times New Roman" w:hAnsi="Times New Roman" w:cs="Times New Roman"/>
                      <w:snapToGrid w:val="0"/>
                      <w:color w:val="auto"/>
                      <w:kern w:val="2"/>
                      <w:sz w:val="21"/>
                      <w:szCs w:val="21"/>
                      <w:highlight w:val="none"/>
                      <w:lang w:val="en-US" w:eastAsia="zh-CN" w:bidi="ar-SA"/>
                    </w:rPr>
                    <w:t>，收</w:t>
                  </w:r>
                  <w:r>
                    <w:rPr>
                      <w:rFonts w:hint="eastAsia" w:ascii="Times New Roman" w:hAnsi="Times New Roman" w:eastAsia="宋体" w:cs="Times New Roman"/>
                      <w:snapToGrid w:val="0"/>
                      <w:color w:val="auto"/>
                      <w:kern w:val="2"/>
                      <w:sz w:val="21"/>
                      <w:szCs w:val="21"/>
                      <w:highlight w:val="none"/>
                      <w:lang w:val="en-US" w:eastAsia="zh-CN" w:bidi="ar-SA"/>
                    </w:rPr>
                    <w:t>集后回用于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工序；废反渗透膜，暂存于一般固废暂存区，由纯水机厂家检修时回收处置；</w:t>
                  </w:r>
                  <w:r>
                    <w:rPr>
                      <w:rFonts w:hint="default" w:ascii="Times New Roman" w:hAnsi="Times New Roman" w:eastAsia="宋体" w:cs="Times New Roman"/>
                      <w:snapToGrid w:val="0"/>
                      <w:color w:val="auto"/>
                      <w:kern w:val="2"/>
                      <w:sz w:val="21"/>
                      <w:szCs w:val="21"/>
                      <w:highlight w:val="none"/>
                      <w:lang w:val="en-US" w:eastAsia="zh-CN" w:bidi="ar-SA"/>
                    </w:rPr>
                    <w:t>废漆渣</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收集暂存于一般固废暂存区，定期外售于物资回收公司</w:t>
                  </w:r>
                  <w:r>
                    <w:rPr>
                      <w:rFonts w:hint="eastAsia" w:cs="Times New Roman"/>
                      <w:snapToGrid w:val="0"/>
                      <w:color w:val="auto"/>
                      <w:kern w:val="2"/>
                      <w:sz w:val="21"/>
                      <w:szCs w:val="21"/>
                      <w:highlight w:val="none"/>
                      <w:lang w:val="en-US" w:eastAsia="zh-CN" w:bidi="ar-SA"/>
                    </w:rPr>
                    <w:t>；</w:t>
                  </w:r>
                  <w:r>
                    <w:rPr>
                      <w:rFonts w:hint="eastAsia" w:ascii="Times New Roman" w:hAnsi="Times New Roman" w:eastAsia="宋体" w:cs="Times New Roman"/>
                      <w:color w:val="auto"/>
                      <w:highlight w:val="none"/>
                      <w:lang w:val="en-US" w:eastAsia="zh-CN"/>
                    </w:rPr>
                    <w:t>废机油及废油桶、废活性炭、废超滤芯、废油槽渣、废陶化槽渣以及废电泳</w:t>
                  </w:r>
                  <w:r>
                    <w:rPr>
                      <w:rFonts w:hint="default" w:ascii="Times New Roman" w:hAnsi="Times New Roman" w:eastAsia="宋体" w:cs="Times New Roman"/>
                      <w:color w:val="auto"/>
                      <w:highlight w:val="none"/>
                      <w:lang w:val="en-US" w:eastAsia="zh-CN"/>
                    </w:rPr>
                    <w:t>漆渣收集后妥善暂存于危险废物贮存间，交由陕西绿林环保科技有限公司进行处理。</w:t>
                  </w:r>
                  <w:r>
                    <w:rPr>
                      <w:rFonts w:eastAsiaTheme="minorEastAsia"/>
                      <w:color w:val="auto"/>
                      <w:szCs w:val="21"/>
                    </w:rPr>
                    <w:t>对环境影响较小</w:t>
                  </w:r>
                  <w:r>
                    <w:rPr>
                      <w:rFonts w:hint="eastAsia" w:eastAsiaTheme="minorEastAsia"/>
                      <w:color w:val="auto"/>
                      <w:szCs w:val="21"/>
                      <w:lang w:eastAsia="zh-CN"/>
                    </w:rPr>
                    <w:t>，</w:t>
                  </w:r>
                  <w:r>
                    <w:rPr>
                      <w:rFonts w:eastAsiaTheme="minorEastAsia"/>
                      <w:color w:val="auto"/>
                      <w:szCs w:val="21"/>
                    </w:rPr>
                    <w:t>不触及资源利用上线。</w:t>
                  </w:r>
                </w:p>
              </w:tc>
              <w:tc>
                <w:tcPr>
                  <w:tcW w:w="746" w:type="pct"/>
                  <w:tcBorders>
                    <w:tl2br w:val="nil"/>
                    <w:tr2bl w:val="nil"/>
                  </w:tcBorders>
                  <w:vAlign w:val="center"/>
                </w:tcPr>
                <w:p w14:paraId="7B21C6FB">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14:paraId="7C3AA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restart"/>
                  <w:tcBorders>
                    <w:tl2br w:val="nil"/>
                    <w:tr2bl w:val="nil"/>
                  </w:tcBorders>
                  <w:vAlign w:val="center"/>
                </w:tcPr>
                <w:p w14:paraId="11A43339">
                  <w:pPr>
                    <w:widowControl/>
                    <w:jc w:val="center"/>
                    <w:rPr>
                      <w:rFonts w:eastAsiaTheme="minorEastAsia"/>
                      <w:szCs w:val="21"/>
                    </w:rPr>
                  </w:pPr>
                  <w:r>
                    <w:rPr>
                      <w:rFonts w:eastAsiaTheme="minorEastAsia"/>
                      <w:szCs w:val="21"/>
                    </w:rPr>
                    <w:t>环境准入负面清单</w:t>
                  </w:r>
                </w:p>
              </w:tc>
              <w:tc>
                <w:tcPr>
                  <w:tcW w:w="1781" w:type="pct"/>
                  <w:tcBorders>
                    <w:tl2br w:val="nil"/>
                    <w:tr2bl w:val="nil"/>
                  </w:tcBorders>
                  <w:vAlign w:val="center"/>
                </w:tcPr>
                <w:p w14:paraId="36662E51">
                  <w:pPr>
                    <w:widowControl/>
                    <w:rPr>
                      <w:rFonts w:eastAsiaTheme="minorEastAsia"/>
                      <w:szCs w:val="21"/>
                    </w:rPr>
                  </w:pPr>
                  <w:r>
                    <w:rPr>
                      <w:rFonts w:eastAsiaTheme="minorEastAsia"/>
                      <w:color w:val="000000" w:themeColor="text1"/>
                      <w:szCs w:val="21"/>
                      <w14:textFill>
                        <w14:solidFill>
                          <w14:schemeClr w14:val="tx1"/>
                        </w14:solidFill>
                      </w14:textFill>
                    </w:rPr>
                    <w:t>坚决遏制高耗能、高排放项目盲目发展，严控</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两高</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行业产能。新建</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两高</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项目必须严格落实国家《产业结构调整指导目录》和《环境保护综合名录（2021年版）》要求。</w:t>
                  </w:r>
                </w:p>
              </w:tc>
              <w:tc>
                <w:tcPr>
                  <w:tcW w:w="1901" w:type="pct"/>
                  <w:tcBorders>
                    <w:tl2br w:val="nil"/>
                    <w:tr2bl w:val="nil"/>
                  </w:tcBorders>
                  <w:vAlign w:val="center"/>
                </w:tcPr>
                <w:p w14:paraId="3C43778D">
                  <w:pPr>
                    <w:widowControl/>
                    <w:rPr>
                      <w:rFonts w:eastAsiaTheme="minorEastAsia"/>
                      <w:szCs w:val="21"/>
                    </w:rPr>
                  </w:pPr>
                  <w:r>
                    <w:rPr>
                      <w:rFonts w:eastAsiaTheme="minorEastAsia"/>
                      <w:color w:val="000000" w:themeColor="text1"/>
                      <w:szCs w:val="21"/>
                      <w14:textFill>
                        <w14:solidFill>
                          <w14:schemeClr w14:val="tx1"/>
                        </w14:solidFill>
                      </w14:textFill>
                    </w:rPr>
                    <w:t>本项目工艺简单、不涉及化学反应，耗能少、污染小。不属于《陕西省</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两高</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项目管理暂行目录》（2022年版）中的</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两高</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项目。查阅国家发展改革委令第49号《产业结构调整指导目录（2019年本）》（2021修订版），本项目所使</w:t>
                  </w:r>
                  <w:r>
                    <w:rPr>
                      <w:rFonts w:hint="eastAsia" w:eastAsiaTheme="minorEastAsia"/>
                      <w:color w:val="000000" w:themeColor="text1"/>
                      <w:szCs w:val="21"/>
                      <w:lang w:eastAsia="zh-CN"/>
                      <w14:textFill>
                        <w14:solidFill>
                          <w14:schemeClr w14:val="tx1"/>
                        </w14:solidFill>
                      </w14:textFill>
                    </w:rPr>
                    <w:t>用的</w:t>
                  </w:r>
                  <w:r>
                    <w:rPr>
                      <w:rFonts w:eastAsiaTheme="minorEastAsia"/>
                      <w:color w:val="000000" w:themeColor="text1"/>
                      <w:szCs w:val="21"/>
                      <w14:textFill>
                        <w14:solidFill>
                          <w14:schemeClr w14:val="tx1"/>
                        </w14:solidFill>
                      </w14:textFill>
                    </w:rPr>
                    <w:t>生产工艺及设备未列入其落后生产工艺装备类</w:t>
                  </w:r>
                  <w:r>
                    <w:rPr>
                      <w:rFonts w:hint="eastAsia" w:eastAsiaTheme="minorEastAsia"/>
                      <w:color w:val="000000" w:themeColor="text1"/>
                      <w:szCs w:val="21"/>
                      <w14:textFill>
                        <w14:solidFill>
                          <w14:schemeClr w14:val="tx1"/>
                        </w14:solidFill>
                      </w14:textFill>
                    </w:rPr>
                    <w:t>、项目产品不属于红线的限制类；另查阅《环境保护综合名录》（2021年版），项目粉末涂料不属于</w:t>
                  </w:r>
                  <w:r>
                    <w:rPr>
                      <w:rFonts w:hint="eastAsia" w:eastAsiaTheme="minorEastAsia"/>
                      <w:color w:val="000000" w:themeColor="text1"/>
                      <w:szCs w:val="21"/>
                      <w:lang w:eastAsia="zh-CN"/>
                      <w14:textFill>
                        <w14:solidFill>
                          <w14:schemeClr w14:val="tx1"/>
                        </w14:solidFill>
                      </w14:textFill>
                    </w:rPr>
                    <w:t>“</w:t>
                  </w:r>
                  <w:r>
                    <w:rPr>
                      <w:rFonts w:hint="eastAsia" w:eastAsiaTheme="minorEastAsia"/>
                      <w:color w:val="000000" w:themeColor="text1"/>
                      <w:szCs w:val="21"/>
                      <w14:textFill>
                        <w14:solidFill>
                          <w14:schemeClr w14:val="tx1"/>
                        </w14:solidFill>
                      </w14:textFill>
                    </w:rPr>
                    <w:t>高环境风险</w:t>
                  </w:r>
                  <w:r>
                    <w:rPr>
                      <w:rFonts w:hint="eastAsia" w:eastAsiaTheme="minorEastAsia"/>
                      <w:color w:val="000000" w:themeColor="text1"/>
                      <w:szCs w:val="21"/>
                      <w:lang w:eastAsia="zh-CN"/>
                      <w14:textFill>
                        <w14:solidFill>
                          <w14:schemeClr w14:val="tx1"/>
                        </w14:solidFill>
                      </w14:textFill>
                    </w:rPr>
                    <w:t>”</w:t>
                  </w:r>
                  <w:r>
                    <w:rPr>
                      <w:rFonts w:hint="eastAsia" w:eastAsiaTheme="minorEastAsia"/>
                      <w:color w:val="000000" w:themeColor="text1"/>
                      <w:szCs w:val="21"/>
                      <w14:textFill>
                        <w14:solidFill>
                          <w14:schemeClr w14:val="tx1"/>
                        </w14:solidFill>
                      </w14:textFill>
                    </w:rPr>
                    <w:t>产品。</w:t>
                  </w:r>
                  <w:r>
                    <w:rPr>
                      <w:rFonts w:eastAsiaTheme="minorEastAsia"/>
                      <w:color w:val="000000" w:themeColor="text1"/>
                      <w:szCs w:val="21"/>
                      <w14:textFill>
                        <w14:solidFill>
                          <w14:schemeClr w14:val="tx1"/>
                        </w14:solidFill>
                      </w14:textFill>
                    </w:rPr>
                    <w:t>即项目不属于负面清单禁止内</w:t>
                  </w:r>
                  <w:r>
                    <w:rPr>
                      <w:rFonts w:hint="eastAsia" w:eastAsiaTheme="minorEastAsia"/>
                      <w:color w:val="000000" w:themeColor="text1"/>
                      <w:szCs w:val="21"/>
                      <w:lang w:val="en-US" w:eastAsia="zh-CN"/>
                      <w14:textFill>
                        <w14:solidFill>
                          <w14:schemeClr w14:val="tx1"/>
                        </w14:solidFill>
                      </w14:textFill>
                    </w:rPr>
                    <w:t>的</w:t>
                  </w:r>
                  <w:r>
                    <w:rPr>
                      <w:rFonts w:eastAsiaTheme="minorEastAsia"/>
                      <w:color w:val="000000" w:themeColor="text1"/>
                      <w:szCs w:val="21"/>
                      <w14:textFill>
                        <w14:solidFill>
                          <w14:schemeClr w14:val="tx1"/>
                        </w14:solidFill>
                      </w14:textFill>
                    </w:rPr>
                    <w:t>项目。</w:t>
                  </w:r>
                </w:p>
              </w:tc>
              <w:tc>
                <w:tcPr>
                  <w:tcW w:w="746" w:type="pct"/>
                  <w:tcBorders>
                    <w:tl2br w:val="nil"/>
                    <w:tr2bl w:val="nil"/>
                  </w:tcBorders>
                  <w:vAlign w:val="center"/>
                </w:tcPr>
                <w:p w14:paraId="41CA3E87">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符合</w:t>
                  </w:r>
                </w:p>
              </w:tc>
            </w:tr>
            <w:tr w14:paraId="5589A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9" w:type="pct"/>
                  <w:vMerge w:val="continue"/>
                  <w:tcBorders>
                    <w:tl2br w:val="nil"/>
                    <w:tr2bl w:val="nil"/>
                  </w:tcBorders>
                  <w:vAlign w:val="center"/>
                </w:tcPr>
                <w:p w14:paraId="0771776D">
                  <w:pPr>
                    <w:widowControl/>
                    <w:jc w:val="center"/>
                    <w:rPr>
                      <w:rFonts w:eastAsiaTheme="minorEastAsia"/>
                      <w:szCs w:val="21"/>
                    </w:rPr>
                  </w:pPr>
                </w:p>
              </w:tc>
              <w:tc>
                <w:tcPr>
                  <w:tcW w:w="1781" w:type="pct"/>
                  <w:tcBorders>
                    <w:tl2br w:val="nil"/>
                    <w:tr2bl w:val="nil"/>
                  </w:tcBorders>
                  <w:vAlign w:val="center"/>
                </w:tcPr>
                <w:p w14:paraId="70FC1928">
                  <w:pPr>
                    <w:widowControl/>
                    <w:rPr>
                      <w:rFonts w:eastAsiaTheme="minorEastAsia"/>
                      <w:kern w:val="0"/>
                      <w:szCs w:val="21"/>
                    </w:rPr>
                  </w:pPr>
                  <w:r>
                    <w:rPr>
                      <w:rFonts w:eastAsiaTheme="minorEastAsia"/>
                      <w:color w:val="000000" w:themeColor="text1"/>
                      <w:szCs w:val="21"/>
                      <w14:textFill>
                        <w14:solidFill>
                          <w14:schemeClr w14:val="tx1"/>
                        </w14:solidFill>
                      </w14:textFill>
                    </w:rPr>
                    <w:t>二氧化硫、氮氧化物、颗粒物、挥发性有机物（VOCs）全面执行大气污染物特别排放限值。</w:t>
                  </w:r>
                </w:p>
              </w:tc>
              <w:tc>
                <w:tcPr>
                  <w:tcW w:w="1901" w:type="pct"/>
                  <w:tcBorders>
                    <w:tl2br w:val="nil"/>
                    <w:tr2bl w:val="nil"/>
                  </w:tcBorders>
                  <w:vAlign w:val="center"/>
                </w:tcPr>
                <w:p w14:paraId="1C6E056C">
                  <w:pPr>
                    <w:widowControl/>
                    <w:jc w:val="both"/>
                    <w:rPr>
                      <w:rFonts w:eastAsiaTheme="minorEastAsia"/>
                      <w:szCs w:val="21"/>
                    </w:rPr>
                  </w:pPr>
                  <w:r>
                    <w:rPr>
                      <w:rFonts w:hint="eastAsia" w:eastAsiaTheme="minorEastAsia"/>
                      <w:szCs w:val="21"/>
                    </w:rPr>
                    <w:t>本次环评要求建设单位：生产过程产生的颗粒物、挥发性有机物严格执行</w:t>
                  </w:r>
                  <w:r>
                    <w:rPr>
                      <w:rFonts w:hint="eastAsia" w:eastAsiaTheme="minorEastAsia"/>
                      <w:color w:val="000000" w:themeColor="text1"/>
                      <w14:textFill>
                        <w14:solidFill>
                          <w14:schemeClr w14:val="tx1"/>
                        </w14:solidFill>
                      </w14:textFill>
                    </w:rPr>
                    <w:t>《涂料、油墨及胶粘剂工业大气污染物排放标准》</w:t>
                  </w:r>
                  <w:r>
                    <w:rPr>
                      <w:rFonts w:eastAsiaTheme="minorEastAsia"/>
                      <w:color w:val="000000" w:themeColor="text1"/>
                      <w14:textFill>
                        <w14:solidFill>
                          <w14:schemeClr w14:val="tx1"/>
                        </w14:solidFill>
                      </w14:textFill>
                    </w:rPr>
                    <w:t>（GB</w:t>
                  </w:r>
                  <w:r>
                    <w:rPr>
                      <w:rFonts w:hint="eastAsia" w:eastAsiaTheme="minorEastAsia"/>
                      <w:color w:val="000000" w:themeColor="text1"/>
                      <w14:textFill>
                        <w14:solidFill>
                          <w14:schemeClr w14:val="tx1"/>
                        </w14:solidFill>
                      </w14:textFill>
                    </w:rPr>
                    <w:t>37824-2019</w:t>
                  </w:r>
                  <w:r>
                    <w:rPr>
                      <w:rFonts w:eastAsiaTheme="minorEastAsia"/>
                      <w:color w:val="000000" w:themeColor="text1"/>
                      <w14:textFill>
                        <w14:solidFill>
                          <w14:schemeClr w14:val="tx1"/>
                        </w14:solidFill>
                      </w14:textFill>
                    </w:rPr>
                    <w:t>）表2</w:t>
                  </w:r>
                  <w:r>
                    <w:rPr>
                      <w:rFonts w:hint="eastAsia" w:eastAsiaTheme="minorEastAsia"/>
                      <w:color w:val="000000" w:themeColor="text1"/>
                      <w14:textFill>
                        <w14:solidFill>
                          <w14:schemeClr w14:val="tx1"/>
                        </w14:solidFill>
                      </w14:textFill>
                    </w:rPr>
                    <w:t>重点地区特别排放限值。</w:t>
                  </w:r>
                </w:p>
              </w:tc>
              <w:tc>
                <w:tcPr>
                  <w:tcW w:w="746" w:type="pct"/>
                  <w:tcBorders>
                    <w:tl2br w:val="nil"/>
                    <w:tr2bl w:val="nil"/>
                  </w:tcBorders>
                  <w:vAlign w:val="center"/>
                </w:tcPr>
                <w:p w14:paraId="360E8F10">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符合</w:t>
                  </w:r>
                </w:p>
              </w:tc>
            </w:tr>
          </w:tbl>
          <w:p w14:paraId="10147301">
            <w:pPr>
              <w:widowControl/>
              <w:spacing w:line="360" w:lineRule="auto"/>
              <w:ind w:firstLine="480" w:firstLineChars="200"/>
              <w:jc w:val="left"/>
              <w:rPr>
                <w:rFonts w:eastAsiaTheme="minorEastAsia"/>
              </w:rPr>
            </w:pPr>
            <w:r>
              <w:rPr>
                <w:rFonts w:eastAsiaTheme="minorEastAsia"/>
                <w:color w:val="000000"/>
                <w:kern w:val="0"/>
                <w:sz w:val="24"/>
                <w:lang w:bidi="ar"/>
              </w:rPr>
              <w:t>综上所述，本项目符合</w:t>
            </w:r>
            <w:r>
              <w:rPr>
                <w:rFonts w:hint="eastAsia" w:eastAsiaTheme="minorEastAsia"/>
                <w:color w:val="000000"/>
                <w:kern w:val="0"/>
                <w:sz w:val="24"/>
                <w:lang w:eastAsia="zh-CN" w:bidi="ar"/>
              </w:rPr>
              <w:t>“</w:t>
            </w:r>
            <w:r>
              <w:rPr>
                <w:rFonts w:eastAsiaTheme="minorEastAsia"/>
                <w:color w:val="000000"/>
                <w:kern w:val="0"/>
                <w:sz w:val="24"/>
                <w:lang w:bidi="ar"/>
              </w:rPr>
              <w:t>三线一单</w:t>
            </w:r>
            <w:r>
              <w:rPr>
                <w:rFonts w:hint="eastAsia" w:eastAsiaTheme="minorEastAsia"/>
                <w:color w:val="000000"/>
                <w:kern w:val="0"/>
                <w:sz w:val="24"/>
                <w:lang w:eastAsia="zh-CN" w:bidi="ar"/>
              </w:rPr>
              <w:t>”</w:t>
            </w:r>
            <w:r>
              <w:rPr>
                <w:rFonts w:eastAsiaTheme="minorEastAsia"/>
                <w:color w:val="000000"/>
                <w:kern w:val="0"/>
                <w:sz w:val="24"/>
                <w:lang w:bidi="ar"/>
              </w:rPr>
              <w:t>环境保护规划要求。</w:t>
            </w:r>
          </w:p>
          <w:p w14:paraId="4C525C9F">
            <w:pPr>
              <w:widowControl/>
              <w:spacing w:line="360" w:lineRule="auto"/>
              <w:jc w:val="left"/>
              <w:rPr>
                <w:rFonts w:eastAsiaTheme="minorEastAsia"/>
                <w:b/>
                <w:bCs/>
                <w:sz w:val="24"/>
              </w:rPr>
            </w:pPr>
            <w:r>
              <w:rPr>
                <w:rFonts w:hint="eastAsia" w:eastAsiaTheme="minorEastAsia"/>
                <w:b/>
                <w:bCs/>
                <w:color w:val="000000"/>
                <w:kern w:val="0"/>
                <w:sz w:val="24"/>
                <w:lang w:bidi="ar"/>
              </w:rPr>
              <w:t>2</w:t>
            </w:r>
            <w:r>
              <w:rPr>
                <w:rFonts w:hint="eastAsia" w:eastAsiaTheme="minorEastAsia"/>
                <w:b/>
                <w:bCs/>
                <w:color w:val="000000"/>
                <w:kern w:val="0"/>
                <w:sz w:val="24"/>
                <w:lang w:eastAsia="zh-CN" w:bidi="ar"/>
              </w:rPr>
              <w:t>.</w:t>
            </w:r>
            <w:r>
              <w:rPr>
                <w:rFonts w:hint="eastAsia" w:eastAsiaTheme="minorEastAsia"/>
                <w:b/>
                <w:bCs/>
                <w:color w:val="000000"/>
                <w:kern w:val="0"/>
                <w:sz w:val="24"/>
                <w:lang w:bidi="ar"/>
              </w:rPr>
              <w:t>项目与西安市</w:t>
            </w:r>
            <w:r>
              <w:rPr>
                <w:rFonts w:hint="eastAsia" w:eastAsiaTheme="minorEastAsia"/>
                <w:b/>
                <w:bCs/>
                <w:color w:val="000000"/>
                <w:kern w:val="0"/>
                <w:sz w:val="24"/>
                <w:lang w:eastAsia="zh-CN" w:bidi="ar"/>
              </w:rPr>
              <w:t>“</w:t>
            </w:r>
            <w:r>
              <w:rPr>
                <w:rFonts w:hint="eastAsia" w:eastAsiaTheme="minorEastAsia"/>
                <w:b/>
                <w:bCs/>
                <w:color w:val="000000"/>
                <w:kern w:val="0"/>
                <w:sz w:val="24"/>
                <w:lang w:bidi="ar"/>
              </w:rPr>
              <w:t>管控单元</w:t>
            </w:r>
            <w:r>
              <w:rPr>
                <w:rFonts w:hint="eastAsia" w:eastAsiaTheme="minorEastAsia"/>
                <w:b/>
                <w:bCs/>
                <w:color w:val="000000"/>
                <w:kern w:val="0"/>
                <w:sz w:val="24"/>
                <w:lang w:eastAsia="zh-CN" w:bidi="ar"/>
              </w:rPr>
              <w:t>”</w:t>
            </w:r>
            <w:r>
              <w:rPr>
                <w:rFonts w:hint="eastAsia" w:eastAsiaTheme="minorEastAsia"/>
                <w:b/>
                <w:bCs/>
                <w:color w:val="000000"/>
                <w:kern w:val="0"/>
                <w:sz w:val="24"/>
                <w:lang w:bidi="ar"/>
              </w:rPr>
              <w:t>生态环境分区管控符合性分析</w:t>
            </w:r>
          </w:p>
          <w:p w14:paraId="111BC952">
            <w:pPr>
              <w:widowControl/>
              <w:spacing w:line="360" w:lineRule="auto"/>
              <w:ind w:firstLine="480" w:firstLineChars="200"/>
              <w:rPr>
                <w:color w:val="000000"/>
                <w:kern w:val="0"/>
                <w:sz w:val="24"/>
                <w:lang w:bidi="ar"/>
              </w:rPr>
            </w:pPr>
            <w:r>
              <w:rPr>
                <w:rFonts w:hint="eastAsia"/>
                <w:color w:val="000000"/>
                <w:kern w:val="0"/>
                <w:sz w:val="24"/>
                <w:lang w:bidi="ar"/>
              </w:rPr>
              <w:t>本项目位于陕西省西安市西咸新区沣西新城，经查阅《关于印发西安市</w:t>
            </w:r>
            <w:r>
              <w:rPr>
                <w:rFonts w:hint="eastAsia"/>
                <w:color w:val="000000"/>
                <w:kern w:val="0"/>
                <w:sz w:val="24"/>
                <w:lang w:eastAsia="zh-CN" w:bidi="ar"/>
              </w:rPr>
              <w:t>“</w:t>
            </w:r>
            <w:r>
              <w:rPr>
                <w:rFonts w:hint="eastAsia"/>
                <w:color w:val="000000"/>
                <w:kern w:val="0"/>
                <w:sz w:val="24"/>
                <w:lang w:bidi="ar"/>
              </w:rPr>
              <w:t>三线一单</w:t>
            </w:r>
            <w:r>
              <w:rPr>
                <w:rFonts w:hint="eastAsia"/>
                <w:color w:val="000000"/>
                <w:kern w:val="0"/>
                <w:sz w:val="24"/>
                <w:lang w:eastAsia="zh-CN" w:bidi="ar"/>
              </w:rPr>
              <w:t>”</w:t>
            </w:r>
            <w:r>
              <w:rPr>
                <w:rFonts w:hint="eastAsia"/>
                <w:color w:val="000000"/>
                <w:kern w:val="0"/>
                <w:sz w:val="24"/>
                <w:lang w:bidi="ar"/>
              </w:rPr>
              <w:t>生态环境分区管控方案的通知》（市政发〔2021〕22号）西安市生态环境管控单元分布示意图，并查阅陕西省</w:t>
            </w:r>
            <w:r>
              <w:rPr>
                <w:rFonts w:hint="eastAsia"/>
                <w:color w:val="000000"/>
                <w:kern w:val="0"/>
                <w:sz w:val="24"/>
                <w:lang w:eastAsia="zh-CN" w:bidi="ar"/>
              </w:rPr>
              <w:t>“</w:t>
            </w:r>
            <w:r>
              <w:rPr>
                <w:rFonts w:hint="eastAsia"/>
                <w:color w:val="000000"/>
                <w:kern w:val="0"/>
                <w:sz w:val="24"/>
                <w:lang w:bidi="ar"/>
              </w:rPr>
              <w:t>三线一单</w:t>
            </w:r>
            <w:r>
              <w:rPr>
                <w:rFonts w:hint="eastAsia"/>
                <w:color w:val="000000"/>
                <w:kern w:val="0"/>
                <w:sz w:val="24"/>
                <w:lang w:eastAsia="zh-CN" w:bidi="ar"/>
              </w:rPr>
              <w:t>”</w:t>
            </w:r>
            <w:r>
              <w:rPr>
                <w:rFonts w:hint="eastAsia"/>
                <w:color w:val="000000"/>
                <w:kern w:val="0"/>
                <w:sz w:val="24"/>
                <w:lang w:bidi="ar"/>
              </w:rPr>
              <w:t>数据应用系统（V1.0），项目与环境管控单元对照分析示意图详见下图。</w:t>
            </w:r>
          </w:p>
          <w:p w14:paraId="36A139C0">
            <w:pPr>
              <w:jc w:val="center"/>
              <w:rPr>
                <w:rFonts w:eastAsiaTheme="minorEastAsia"/>
                <w:b/>
                <w:bCs/>
                <w:szCs w:val="21"/>
              </w:rPr>
            </w:pPr>
            <w:r>
              <w:drawing>
                <wp:inline distT="0" distB="0" distL="0" distR="0">
                  <wp:extent cx="4146550" cy="3538220"/>
                  <wp:effectExtent l="0" t="0" r="635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4152122" cy="3542760"/>
                          </a:xfrm>
                          <a:prstGeom prst="rect">
                            <a:avLst/>
                          </a:prstGeom>
                        </pic:spPr>
                      </pic:pic>
                    </a:graphicData>
                  </a:graphic>
                </wp:inline>
              </w:drawing>
            </w:r>
          </w:p>
          <w:p w14:paraId="68B19CC8">
            <w:pPr>
              <w:spacing w:before="240" w:beforeLines="100" w:after="240" w:afterLines="100"/>
              <w:jc w:val="center"/>
              <w:rPr>
                <w:rFonts w:eastAsiaTheme="minorEastAsia"/>
                <w:b/>
                <w:bCs/>
                <w:szCs w:val="21"/>
              </w:rPr>
            </w:pPr>
            <w:r>
              <w:rPr>
                <w:rFonts w:hint="eastAsia" w:eastAsiaTheme="minorEastAsia"/>
                <w:b/>
                <w:bCs/>
                <w:szCs w:val="21"/>
              </w:rPr>
              <w:t>图1  项目与环境管控单元对照分析示意图</w:t>
            </w:r>
          </w:p>
          <w:p w14:paraId="3AAB54AA">
            <w:pPr>
              <w:widowControl/>
              <w:spacing w:line="360" w:lineRule="auto"/>
              <w:ind w:firstLine="480" w:firstLineChars="200"/>
              <w:rPr>
                <w:color w:val="000000"/>
                <w:kern w:val="0"/>
                <w:sz w:val="24"/>
                <w:lang w:bidi="ar"/>
              </w:rPr>
            </w:pPr>
            <w:r>
              <w:rPr>
                <w:rFonts w:hint="eastAsia"/>
                <w:color w:val="000000"/>
                <w:kern w:val="0"/>
                <w:sz w:val="24"/>
                <w:lang w:bidi="ar"/>
              </w:rPr>
              <w:t>项目范围涉及的生态环境管控单元准入清单及符合性说明详见下表。</w:t>
            </w:r>
          </w:p>
          <w:p w14:paraId="670F090C">
            <w:pPr>
              <w:jc w:val="center"/>
              <w:rPr>
                <w:rFonts w:eastAsiaTheme="minorEastAsia"/>
                <w:b/>
                <w:bCs/>
                <w:szCs w:val="21"/>
              </w:rPr>
            </w:pPr>
            <w:r>
              <w:rPr>
                <w:rFonts w:hint="eastAsia" w:eastAsiaTheme="minorEastAsia"/>
                <w:b/>
                <w:bCs/>
                <w:szCs w:val="21"/>
              </w:rPr>
              <w:t>表1-3  项目范围涉及的生态环境管控单元准入清单及符合性分析</w:t>
            </w:r>
          </w:p>
          <w:tbl>
            <w:tblPr>
              <w:tblStyle w:val="21"/>
              <w:tblW w:w="706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09"/>
              <w:gridCol w:w="709"/>
              <w:gridCol w:w="2409"/>
              <w:gridCol w:w="1843"/>
              <w:gridCol w:w="661"/>
            </w:tblGrid>
            <w:tr w14:paraId="42F64C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tcBorders>
                    <w:tl2br w:val="nil"/>
                    <w:tr2bl w:val="nil"/>
                  </w:tcBorders>
                  <w:vAlign w:val="center"/>
                </w:tcPr>
                <w:p w14:paraId="330CAA3C">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b/>
                      <w:sz w:val="21"/>
                      <w:szCs w:val="21"/>
                    </w:rPr>
                  </w:pPr>
                  <w:r>
                    <w:rPr>
                      <w:rFonts w:eastAsiaTheme="minorEastAsia"/>
                      <w:b/>
                      <w:sz w:val="21"/>
                      <w:szCs w:val="21"/>
                    </w:rPr>
                    <w:t>环境管控单元名称</w:t>
                  </w:r>
                </w:p>
              </w:tc>
              <w:tc>
                <w:tcPr>
                  <w:tcW w:w="709" w:type="dxa"/>
                  <w:tcBorders>
                    <w:tl2br w:val="nil"/>
                    <w:tr2bl w:val="nil"/>
                  </w:tcBorders>
                  <w:vAlign w:val="center"/>
                </w:tcPr>
                <w:p w14:paraId="60EC4604">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b/>
                      <w:sz w:val="21"/>
                      <w:szCs w:val="21"/>
                    </w:rPr>
                  </w:pPr>
                  <w:r>
                    <w:rPr>
                      <w:rFonts w:eastAsiaTheme="minorEastAsia"/>
                      <w:b/>
                      <w:sz w:val="21"/>
                      <w:szCs w:val="21"/>
                    </w:rPr>
                    <w:t>单元要素属性</w:t>
                  </w:r>
                </w:p>
              </w:tc>
              <w:tc>
                <w:tcPr>
                  <w:tcW w:w="709" w:type="dxa"/>
                  <w:tcBorders>
                    <w:tl2br w:val="nil"/>
                    <w:tr2bl w:val="nil"/>
                  </w:tcBorders>
                  <w:vAlign w:val="center"/>
                </w:tcPr>
                <w:p w14:paraId="0505E4A0">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b/>
                      <w:sz w:val="21"/>
                      <w:szCs w:val="21"/>
                    </w:rPr>
                  </w:pPr>
                  <w:r>
                    <w:rPr>
                      <w:rFonts w:eastAsiaTheme="minorEastAsia"/>
                      <w:b/>
                      <w:sz w:val="21"/>
                      <w:szCs w:val="21"/>
                    </w:rPr>
                    <w:t>管控单元分类</w:t>
                  </w:r>
                </w:p>
              </w:tc>
              <w:tc>
                <w:tcPr>
                  <w:tcW w:w="2409" w:type="dxa"/>
                  <w:tcBorders>
                    <w:tl2br w:val="nil"/>
                    <w:tr2bl w:val="nil"/>
                  </w:tcBorders>
                  <w:vAlign w:val="center"/>
                </w:tcPr>
                <w:p w14:paraId="79E5107E">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b/>
                      <w:sz w:val="21"/>
                      <w:szCs w:val="21"/>
                    </w:rPr>
                  </w:pPr>
                  <w:r>
                    <w:rPr>
                      <w:rFonts w:eastAsiaTheme="minorEastAsia"/>
                      <w:b/>
                      <w:sz w:val="21"/>
                      <w:szCs w:val="21"/>
                    </w:rPr>
                    <w:t>管控要求</w:t>
                  </w:r>
                </w:p>
              </w:tc>
              <w:tc>
                <w:tcPr>
                  <w:tcW w:w="1843" w:type="dxa"/>
                  <w:tcBorders>
                    <w:tl2br w:val="nil"/>
                    <w:tr2bl w:val="nil"/>
                  </w:tcBorders>
                  <w:vAlign w:val="center"/>
                </w:tcPr>
                <w:p w14:paraId="4DB363D1">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b/>
                      <w:sz w:val="21"/>
                      <w:szCs w:val="21"/>
                    </w:rPr>
                  </w:pPr>
                  <w:r>
                    <w:rPr>
                      <w:rFonts w:eastAsiaTheme="minorEastAsia"/>
                      <w:b/>
                      <w:sz w:val="21"/>
                      <w:szCs w:val="21"/>
                    </w:rPr>
                    <w:t>项目情况</w:t>
                  </w:r>
                </w:p>
              </w:tc>
              <w:tc>
                <w:tcPr>
                  <w:tcW w:w="661" w:type="dxa"/>
                  <w:tcBorders>
                    <w:tl2br w:val="nil"/>
                    <w:tr2bl w:val="nil"/>
                  </w:tcBorders>
                  <w:vAlign w:val="center"/>
                </w:tcPr>
                <w:p w14:paraId="0E93A4BB">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b/>
                      <w:sz w:val="21"/>
                      <w:szCs w:val="21"/>
                    </w:rPr>
                  </w:pPr>
                  <w:r>
                    <w:rPr>
                      <w:rFonts w:eastAsiaTheme="minorEastAsia"/>
                      <w:b/>
                      <w:sz w:val="21"/>
                      <w:szCs w:val="21"/>
                    </w:rPr>
                    <w:t>是否符合</w:t>
                  </w:r>
                </w:p>
              </w:tc>
            </w:tr>
            <w:tr w14:paraId="7AF894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restart"/>
                  <w:tcBorders>
                    <w:tl2br w:val="nil"/>
                    <w:tr2bl w:val="nil"/>
                  </w:tcBorders>
                  <w:vAlign w:val="center"/>
                </w:tcPr>
                <w:p w14:paraId="3F22EADC">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西咸新区重点管控单元1</w:t>
                  </w:r>
                </w:p>
              </w:tc>
              <w:tc>
                <w:tcPr>
                  <w:tcW w:w="709" w:type="dxa"/>
                  <w:vMerge w:val="restart"/>
                  <w:tcBorders>
                    <w:tl2br w:val="nil"/>
                    <w:tr2bl w:val="nil"/>
                  </w:tcBorders>
                  <w:vAlign w:val="center"/>
                </w:tcPr>
                <w:p w14:paraId="4A4792A4">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大气环境布局敏感重点管控区</w:t>
                  </w:r>
                </w:p>
              </w:tc>
              <w:tc>
                <w:tcPr>
                  <w:tcW w:w="709" w:type="dxa"/>
                  <w:tcBorders>
                    <w:tl2br w:val="nil"/>
                    <w:tr2bl w:val="nil"/>
                  </w:tcBorders>
                  <w:vAlign w:val="center"/>
                </w:tcPr>
                <w:p w14:paraId="3C659614">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空间布局约束</w:t>
                  </w:r>
                </w:p>
              </w:tc>
              <w:tc>
                <w:tcPr>
                  <w:tcW w:w="2409" w:type="dxa"/>
                  <w:tcBorders>
                    <w:tl2br w:val="nil"/>
                    <w:tr2bl w:val="nil"/>
                  </w:tcBorders>
                  <w:vAlign w:val="center"/>
                </w:tcPr>
                <w:p w14:paraId="0AA6A1D9">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eastAsiaTheme="minorEastAsia"/>
                      <w:sz w:val="21"/>
                      <w:szCs w:val="21"/>
                    </w:rPr>
                  </w:pPr>
                  <w:r>
                    <w:rPr>
                      <w:rFonts w:eastAsiaTheme="minorEastAsia"/>
                      <w:sz w:val="21"/>
                      <w:szCs w:val="21"/>
                    </w:rPr>
                    <w:t>大气环境布局敏感重点管控区：</w:t>
                  </w:r>
                </w:p>
                <w:p w14:paraId="060C6D9D">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1.坚决遏制高耗能高排放项目盲目发展，严控</w:t>
                  </w:r>
                  <w:r>
                    <w:rPr>
                      <w:rFonts w:hint="eastAsia" w:eastAsiaTheme="minorEastAsia"/>
                      <w:szCs w:val="21"/>
                      <w:lang w:eastAsia="zh-CN"/>
                    </w:rPr>
                    <w:t>“</w:t>
                  </w:r>
                  <w:r>
                    <w:rPr>
                      <w:rFonts w:eastAsiaTheme="minorEastAsia"/>
                      <w:szCs w:val="21"/>
                    </w:rPr>
                    <w:t>两高</w:t>
                  </w:r>
                  <w:r>
                    <w:rPr>
                      <w:rFonts w:hint="eastAsia" w:eastAsiaTheme="minorEastAsia"/>
                      <w:szCs w:val="21"/>
                      <w:lang w:eastAsia="zh-CN"/>
                    </w:rPr>
                    <w:t>”</w:t>
                  </w:r>
                  <w:r>
                    <w:rPr>
                      <w:rFonts w:eastAsiaTheme="minorEastAsia"/>
                      <w:szCs w:val="21"/>
                    </w:rPr>
                    <w:t>行业产能。</w:t>
                  </w:r>
                </w:p>
              </w:tc>
              <w:tc>
                <w:tcPr>
                  <w:tcW w:w="1843" w:type="dxa"/>
                  <w:tcBorders>
                    <w:tl2br w:val="nil"/>
                    <w:tr2bl w:val="nil"/>
                  </w:tcBorders>
                  <w:vAlign w:val="center"/>
                </w:tcPr>
                <w:p w14:paraId="033227DD">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eastAsiaTheme="minorEastAsia"/>
                      <w:sz w:val="21"/>
                      <w:szCs w:val="21"/>
                    </w:rPr>
                  </w:pPr>
                  <w:r>
                    <w:rPr>
                      <w:rFonts w:eastAsiaTheme="minorEastAsia"/>
                      <w:sz w:val="21"/>
                      <w:szCs w:val="21"/>
                    </w:rPr>
                    <w:t>本项目工艺简单、不涉及化学反应，耗能少、污染小。不属于</w:t>
                  </w:r>
                  <w:r>
                    <w:rPr>
                      <w:rFonts w:hint="eastAsia" w:eastAsiaTheme="minorEastAsia"/>
                      <w:sz w:val="21"/>
                      <w:szCs w:val="21"/>
                      <w:lang w:eastAsia="zh-CN"/>
                    </w:rPr>
                    <w:t>“</w:t>
                  </w:r>
                  <w:r>
                    <w:rPr>
                      <w:rFonts w:eastAsiaTheme="minorEastAsia"/>
                      <w:sz w:val="21"/>
                      <w:szCs w:val="21"/>
                    </w:rPr>
                    <w:t>两高</w:t>
                  </w:r>
                  <w:r>
                    <w:rPr>
                      <w:rFonts w:hint="eastAsia" w:eastAsiaTheme="minorEastAsia"/>
                      <w:sz w:val="21"/>
                      <w:szCs w:val="21"/>
                      <w:lang w:eastAsia="zh-CN"/>
                    </w:rPr>
                    <w:t>”</w:t>
                  </w:r>
                  <w:r>
                    <w:rPr>
                      <w:rFonts w:eastAsiaTheme="minorEastAsia"/>
                      <w:sz w:val="21"/>
                      <w:szCs w:val="21"/>
                    </w:rPr>
                    <w:t>目录中的</w:t>
                  </w:r>
                  <w:r>
                    <w:rPr>
                      <w:rFonts w:hint="eastAsia" w:eastAsiaTheme="minorEastAsia"/>
                      <w:sz w:val="21"/>
                      <w:szCs w:val="21"/>
                      <w:lang w:eastAsia="zh-CN"/>
                    </w:rPr>
                    <w:t>“</w:t>
                  </w:r>
                  <w:r>
                    <w:rPr>
                      <w:rFonts w:eastAsiaTheme="minorEastAsia"/>
                      <w:sz w:val="21"/>
                      <w:szCs w:val="21"/>
                    </w:rPr>
                    <w:t>两高</w:t>
                  </w:r>
                  <w:r>
                    <w:rPr>
                      <w:rFonts w:hint="eastAsia" w:eastAsiaTheme="minorEastAsia"/>
                      <w:sz w:val="21"/>
                      <w:szCs w:val="21"/>
                      <w:lang w:eastAsia="zh-CN"/>
                    </w:rPr>
                    <w:t>”</w:t>
                  </w:r>
                  <w:r>
                    <w:rPr>
                      <w:rFonts w:eastAsiaTheme="minorEastAsia"/>
                      <w:sz w:val="21"/>
                      <w:szCs w:val="21"/>
                    </w:rPr>
                    <w:t>项目。</w:t>
                  </w:r>
                </w:p>
              </w:tc>
              <w:tc>
                <w:tcPr>
                  <w:tcW w:w="661" w:type="dxa"/>
                  <w:tcBorders>
                    <w:tl2br w:val="nil"/>
                    <w:tr2bl w:val="nil"/>
                  </w:tcBorders>
                  <w:vAlign w:val="center"/>
                </w:tcPr>
                <w:p w14:paraId="027C8383">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符合</w:t>
                  </w:r>
                </w:p>
              </w:tc>
            </w:tr>
            <w:tr w14:paraId="473F0C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tcBorders>
                    <w:tl2br w:val="nil"/>
                    <w:tr2bl w:val="nil"/>
                  </w:tcBorders>
                  <w:vAlign w:val="center"/>
                </w:tcPr>
                <w:p w14:paraId="5469FE46">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vMerge w:val="continue"/>
                  <w:tcBorders>
                    <w:tl2br w:val="nil"/>
                    <w:tr2bl w:val="nil"/>
                  </w:tcBorders>
                  <w:vAlign w:val="center"/>
                </w:tcPr>
                <w:p w14:paraId="107CB793">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tcBorders>
                    <w:tl2br w:val="nil"/>
                    <w:tr2bl w:val="nil"/>
                  </w:tcBorders>
                  <w:vAlign w:val="center"/>
                </w:tcPr>
                <w:p w14:paraId="3AC7BA69">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污染物排放管控</w:t>
                  </w:r>
                </w:p>
              </w:tc>
              <w:tc>
                <w:tcPr>
                  <w:tcW w:w="2409" w:type="dxa"/>
                  <w:tcBorders>
                    <w:tl2br w:val="nil"/>
                    <w:tr2bl w:val="nil"/>
                  </w:tcBorders>
                  <w:vAlign w:val="center"/>
                </w:tcPr>
                <w:p w14:paraId="331D0BCA">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大气环境布局敏感重点管控区：</w:t>
                  </w:r>
                </w:p>
                <w:p w14:paraId="2FCD4015">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1.区域内保留企业采用先进生产工艺、严格落实污染治理措施。</w:t>
                  </w:r>
                </w:p>
                <w:p w14:paraId="7A9A17A0">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2.提升环境管理水平，减少污染物排放。</w:t>
                  </w:r>
                </w:p>
                <w:p w14:paraId="54BA5DCF">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3.支持企业开展能效提升、清洁生产、工业节水等绿色化升级改造，实施重点行业和企业循环化改造，推动资源循环再生利用，降低能源消耗和污染物排放量。</w:t>
                  </w:r>
                </w:p>
              </w:tc>
              <w:tc>
                <w:tcPr>
                  <w:tcW w:w="1843" w:type="dxa"/>
                  <w:tcBorders>
                    <w:tl2br w:val="nil"/>
                    <w:tr2bl w:val="nil"/>
                  </w:tcBorders>
                  <w:vAlign w:val="center"/>
                </w:tcPr>
                <w:p w14:paraId="72DBA76D">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eastAsiaTheme="minorEastAsia"/>
                      <w:sz w:val="21"/>
                      <w:szCs w:val="21"/>
                    </w:rPr>
                  </w:pPr>
                  <w:r>
                    <w:rPr>
                      <w:rFonts w:eastAsiaTheme="minorEastAsia"/>
                      <w:sz w:val="21"/>
                      <w:szCs w:val="21"/>
                    </w:rPr>
                    <w:t>本项目工艺简单，污染物采取防治措施后可达标排放，对周围环境污染较小。</w:t>
                  </w:r>
                </w:p>
              </w:tc>
              <w:tc>
                <w:tcPr>
                  <w:tcW w:w="661" w:type="dxa"/>
                  <w:tcBorders>
                    <w:tl2br w:val="nil"/>
                    <w:tr2bl w:val="nil"/>
                  </w:tcBorders>
                  <w:vAlign w:val="center"/>
                </w:tcPr>
                <w:p w14:paraId="08126423">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符合</w:t>
                  </w:r>
                </w:p>
              </w:tc>
            </w:tr>
            <w:tr w14:paraId="7A4348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tcBorders>
                    <w:tl2br w:val="nil"/>
                    <w:tr2bl w:val="nil"/>
                  </w:tcBorders>
                  <w:vAlign w:val="center"/>
                </w:tcPr>
                <w:p w14:paraId="1FEEF7DC">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tcBorders>
                    <w:tl2br w:val="nil"/>
                    <w:tr2bl w:val="nil"/>
                  </w:tcBorders>
                  <w:vAlign w:val="center"/>
                </w:tcPr>
                <w:p w14:paraId="2B37345E">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大气环境受体敏感重点管控区</w:t>
                  </w:r>
                </w:p>
              </w:tc>
              <w:tc>
                <w:tcPr>
                  <w:tcW w:w="709" w:type="dxa"/>
                  <w:tcBorders>
                    <w:tl2br w:val="nil"/>
                    <w:tr2bl w:val="nil"/>
                  </w:tcBorders>
                  <w:vAlign w:val="center"/>
                </w:tcPr>
                <w:p w14:paraId="7AD21D81">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污染物排放管控</w:t>
                  </w:r>
                </w:p>
              </w:tc>
              <w:tc>
                <w:tcPr>
                  <w:tcW w:w="2409" w:type="dxa"/>
                  <w:tcBorders>
                    <w:tl2br w:val="nil"/>
                    <w:tr2bl w:val="nil"/>
                  </w:tcBorders>
                  <w:vAlign w:val="center"/>
                </w:tcPr>
                <w:p w14:paraId="6C9FE756">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大气环境受体敏感重点管控区：</w:t>
                  </w:r>
                </w:p>
                <w:p w14:paraId="2A5039BC">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1.全市不再新建35蒸吨/时以下燃煤锅炉，35蒸吨/时以下燃煤锅炉、燃煤设施和工业煤气发生炉、热风炉、导热油炉全部拆除或实行清洁能源改造。加快电源结构调整，减少煤电占比。加快天然气储气设施建设步伐。</w:t>
                  </w:r>
                </w:p>
                <w:p w14:paraId="0ED7A36A">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2.严格管控高排放机动车污染排放。持续开展储油库、油罐车、加油站油气回收专项检查。</w:t>
                  </w:r>
                </w:p>
              </w:tc>
              <w:tc>
                <w:tcPr>
                  <w:tcW w:w="1843" w:type="dxa"/>
                  <w:tcBorders>
                    <w:tl2br w:val="nil"/>
                    <w:tr2bl w:val="nil"/>
                  </w:tcBorders>
                  <w:vAlign w:val="center"/>
                </w:tcPr>
                <w:p w14:paraId="497F687B">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本项目使用</w:t>
                  </w:r>
                  <w:r>
                    <w:rPr>
                      <w:rFonts w:hint="eastAsia" w:eastAsiaTheme="minorEastAsia"/>
                      <w:szCs w:val="21"/>
                      <w:lang w:val="en-US" w:eastAsia="zh-CN"/>
                    </w:rPr>
                    <w:t>液化石油气</w:t>
                  </w:r>
                  <w:r>
                    <w:rPr>
                      <w:rFonts w:eastAsiaTheme="minorEastAsia"/>
                      <w:szCs w:val="21"/>
                    </w:rPr>
                    <w:t>，不涉及燃煤锅炉。</w:t>
                  </w:r>
                </w:p>
              </w:tc>
              <w:tc>
                <w:tcPr>
                  <w:tcW w:w="661" w:type="dxa"/>
                  <w:tcBorders>
                    <w:tl2br w:val="nil"/>
                    <w:tr2bl w:val="nil"/>
                  </w:tcBorders>
                  <w:vAlign w:val="center"/>
                </w:tcPr>
                <w:p w14:paraId="45EDB4D6">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符合</w:t>
                  </w:r>
                </w:p>
              </w:tc>
            </w:tr>
            <w:tr w14:paraId="262AE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tcBorders>
                    <w:tl2br w:val="nil"/>
                    <w:tr2bl w:val="nil"/>
                  </w:tcBorders>
                  <w:vAlign w:val="center"/>
                </w:tcPr>
                <w:p w14:paraId="77DD1129">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tcBorders>
                    <w:tl2br w:val="nil"/>
                    <w:tr2bl w:val="nil"/>
                  </w:tcBorders>
                  <w:vAlign w:val="center"/>
                </w:tcPr>
                <w:p w14:paraId="0696B34B">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水环境城镇生活污染重点管控区</w:t>
                  </w:r>
                </w:p>
              </w:tc>
              <w:tc>
                <w:tcPr>
                  <w:tcW w:w="709" w:type="dxa"/>
                  <w:tcBorders>
                    <w:tl2br w:val="nil"/>
                    <w:tr2bl w:val="nil"/>
                  </w:tcBorders>
                  <w:vAlign w:val="center"/>
                </w:tcPr>
                <w:p w14:paraId="63071853">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污染物排放管控</w:t>
                  </w:r>
                </w:p>
              </w:tc>
              <w:tc>
                <w:tcPr>
                  <w:tcW w:w="2409" w:type="dxa"/>
                  <w:tcBorders>
                    <w:tl2br w:val="nil"/>
                    <w:tr2bl w:val="nil"/>
                  </w:tcBorders>
                  <w:vAlign w:val="center"/>
                </w:tcPr>
                <w:p w14:paraId="627F1562">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水环境城镇生活重点管控区：加强城镇污水收集处理设施建设与提标改造，推进渭河南岸西部污水处理厂建设，提升污水处理能力，因地制宜在污水处理厂出水口处建设人工水质净化工程。推进新建污水处理设施与配套管网的同步设计、同步建设、同步投运，加快污水管网建设与雨污分流改造，完成市区老旧城区管网升级改造。</w:t>
                  </w:r>
                </w:p>
              </w:tc>
              <w:tc>
                <w:tcPr>
                  <w:tcW w:w="1843" w:type="dxa"/>
                  <w:tcBorders>
                    <w:tl2br w:val="nil"/>
                    <w:tr2bl w:val="nil"/>
                  </w:tcBorders>
                  <w:vAlign w:val="center"/>
                </w:tcPr>
                <w:p w14:paraId="0511342F">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color w:val="FF0000"/>
                      <w:szCs w:val="21"/>
                    </w:rPr>
                  </w:pPr>
                  <w:r>
                    <w:rPr>
                      <w:rFonts w:hint="eastAsia" w:ascii="Times New Roman" w:hAnsi="Times New Roman" w:eastAsia="宋体" w:cs="Times New Roman"/>
                      <w:snapToGrid w:val="0"/>
                      <w:szCs w:val="21"/>
                      <w:lang w:val="en-US" w:eastAsia="zh-CN"/>
                    </w:rPr>
                    <w:t>项目</w:t>
                  </w:r>
                  <w:r>
                    <w:rPr>
                      <w:rFonts w:hint="eastAsia" w:ascii="Times New Roman" w:hAnsi="Times New Roman" w:eastAsia="宋体" w:cs="Times New Roman"/>
                      <w:snapToGrid w:val="0"/>
                      <w:color w:val="auto"/>
                      <w:szCs w:val="21"/>
                      <w:lang w:val="en-US" w:eastAsia="zh-CN"/>
                    </w:rPr>
                    <w:t>纯水制备系统废水</w:t>
                  </w:r>
                  <w:r>
                    <w:rPr>
                      <w:rFonts w:hint="eastAsia" w:cs="Times New Roman"/>
                      <w:snapToGrid w:val="0"/>
                      <w:color w:val="auto"/>
                      <w:szCs w:val="21"/>
                      <w:lang w:val="en-US" w:eastAsia="zh-CN"/>
                    </w:rPr>
                    <w:t>与</w:t>
                  </w:r>
                  <w:r>
                    <w:rPr>
                      <w:rFonts w:hint="eastAsia" w:ascii="Times New Roman" w:hAnsi="Times New Roman" w:eastAsia="宋体" w:cs="Times New Roman"/>
                      <w:snapToGrid w:val="0"/>
                      <w:szCs w:val="21"/>
                      <w:lang w:val="en-US" w:eastAsia="zh-CN"/>
                    </w:rPr>
                    <w:t>生活污水进入化粪池沉淀处理后排入沣西新城大王污水处理厂，经处理达标后排入新河</w:t>
                  </w:r>
                  <w:r>
                    <w:rPr>
                      <w:rFonts w:hint="eastAsia" w:cs="Times New Roman"/>
                      <w:snapToGrid w:val="0"/>
                      <w:szCs w:val="21"/>
                      <w:lang w:val="en-US" w:eastAsia="zh-CN"/>
                    </w:rPr>
                    <w:t>。</w:t>
                  </w:r>
                </w:p>
              </w:tc>
              <w:tc>
                <w:tcPr>
                  <w:tcW w:w="661" w:type="dxa"/>
                  <w:tcBorders>
                    <w:tl2br w:val="nil"/>
                    <w:tr2bl w:val="nil"/>
                  </w:tcBorders>
                  <w:vAlign w:val="center"/>
                </w:tcPr>
                <w:p w14:paraId="788D7A05">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符合</w:t>
                  </w:r>
                </w:p>
              </w:tc>
            </w:tr>
            <w:tr w14:paraId="58D94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tcBorders>
                    <w:tl2br w:val="nil"/>
                    <w:tr2bl w:val="nil"/>
                  </w:tcBorders>
                  <w:vAlign w:val="center"/>
                </w:tcPr>
                <w:p w14:paraId="0FCFEC85">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vMerge w:val="restart"/>
                  <w:tcBorders>
                    <w:tl2br w:val="nil"/>
                    <w:tr2bl w:val="nil"/>
                  </w:tcBorders>
                  <w:vAlign w:val="center"/>
                </w:tcPr>
                <w:p w14:paraId="3740E3AD">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高污染燃料禁燃区</w:t>
                  </w:r>
                </w:p>
              </w:tc>
              <w:tc>
                <w:tcPr>
                  <w:tcW w:w="709" w:type="dxa"/>
                  <w:tcBorders>
                    <w:tl2br w:val="nil"/>
                    <w:tr2bl w:val="nil"/>
                  </w:tcBorders>
                  <w:vAlign w:val="center"/>
                </w:tcPr>
                <w:p w14:paraId="049F4817">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空间布局约束</w:t>
                  </w:r>
                </w:p>
              </w:tc>
              <w:tc>
                <w:tcPr>
                  <w:tcW w:w="2409" w:type="dxa"/>
                  <w:tcBorders>
                    <w:tl2br w:val="nil"/>
                    <w:tr2bl w:val="nil"/>
                  </w:tcBorders>
                  <w:vAlign w:val="center"/>
                </w:tcPr>
                <w:p w14:paraId="15C9D914">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高污染燃料禁燃重点管控区：</w:t>
                  </w:r>
                </w:p>
                <w:p w14:paraId="5816AC48">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禁燃区内禁止销售、燃用高污染燃料，禁止新建、扩建燃用高污染燃料的设施，已建成的应当在市（区）政府规定的期限内改用天然气、页岩气、液化石油气、电等清洁能源。全域全时段禁止生物质露天焚烧。</w:t>
                  </w:r>
                </w:p>
              </w:tc>
              <w:tc>
                <w:tcPr>
                  <w:tcW w:w="1843" w:type="dxa"/>
                  <w:tcBorders>
                    <w:tl2br w:val="nil"/>
                    <w:tr2bl w:val="nil"/>
                  </w:tcBorders>
                  <w:vAlign w:val="center"/>
                </w:tcPr>
                <w:p w14:paraId="60436C11">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eastAsiaTheme="minorEastAsia"/>
                      <w:sz w:val="21"/>
                      <w:szCs w:val="21"/>
                    </w:rPr>
                  </w:pPr>
                  <w:r>
                    <w:rPr>
                      <w:rFonts w:eastAsiaTheme="minorEastAsia"/>
                      <w:sz w:val="21"/>
                      <w:szCs w:val="21"/>
                    </w:rPr>
                    <w:t>本项目使用</w:t>
                  </w:r>
                  <w:r>
                    <w:rPr>
                      <w:rFonts w:hint="eastAsia" w:eastAsiaTheme="minorEastAsia"/>
                      <w:sz w:val="21"/>
                      <w:szCs w:val="21"/>
                      <w:lang w:val="en-US" w:eastAsia="zh-CN"/>
                    </w:rPr>
                    <w:t>液化石油</w:t>
                  </w:r>
                  <w:r>
                    <w:rPr>
                      <w:rFonts w:eastAsiaTheme="minorEastAsia"/>
                      <w:sz w:val="21"/>
                      <w:szCs w:val="21"/>
                    </w:rPr>
                    <w:t>，项目生产在室内进行，不涉及生物质露天焚烧。</w:t>
                  </w:r>
                </w:p>
              </w:tc>
              <w:tc>
                <w:tcPr>
                  <w:tcW w:w="661" w:type="dxa"/>
                  <w:tcBorders>
                    <w:tl2br w:val="nil"/>
                    <w:tr2bl w:val="nil"/>
                  </w:tcBorders>
                  <w:vAlign w:val="center"/>
                </w:tcPr>
                <w:p w14:paraId="4798D3A7">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符合</w:t>
                  </w:r>
                </w:p>
              </w:tc>
            </w:tr>
            <w:tr w14:paraId="61C7D4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tcBorders>
                    <w:tl2br w:val="nil"/>
                    <w:tr2bl w:val="nil"/>
                  </w:tcBorders>
                  <w:vAlign w:val="center"/>
                </w:tcPr>
                <w:p w14:paraId="08AFF42A">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vMerge w:val="continue"/>
                  <w:tcBorders>
                    <w:tl2br w:val="nil"/>
                    <w:tr2bl w:val="nil"/>
                  </w:tcBorders>
                  <w:vAlign w:val="center"/>
                </w:tcPr>
                <w:p w14:paraId="2B2A697C">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tcBorders>
                    <w:tl2br w:val="nil"/>
                    <w:tr2bl w:val="nil"/>
                  </w:tcBorders>
                  <w:vAlign w:val="center"/>
                </w:tcPr>
                <w:p w14:paraId="1F8C4221">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污染物排放管控</w:t>
                  </w:r>
                </w:p>
              </w:tc>
              <w:tc>
                <w:tcPr>
                  <w:tcW w:w="2409" w:type="dxa"/>
                  <w:tcBorders>
                    <w:tl2br w:val="nil"/>
                    <w:tr2bl w:val="nil"/>
                  </w:tcBorders>
                  <w:vAlign w:val="center"/>
                </w:tcPr>
                <w:p w14:paraId="432AE750">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高污染燃料禁燃重点管控区：</w:t>
                  </w:r>
                </w:p>
                <w:p w14:paraId="1A03E2F9">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color w:val="000000"/>
                      <w:kern w:val="0"/>
                      <w:szCs w:val="21"/>
                    </w:rPr>
                  </w:pPr>
                  <w:r>
                    <w:rPr>
                      <w:rFonts w:eastAsiaTheme="minorEastAsia"/>
                      <w:szCs w:val="21"/>
                    </w:rPr>
                    <w:t>1.推进各类园区循环化改造、规范发展和提质增效。大力推进企业清洁生产。全面实行排污许可管理，实现固定污染源排污许可制全覆盖。燃料清洁低碳化替代方面，对以煤、石油焦、渣油、重油等为燃料的工业炉窑，加快利用清洁低碳能源、工厂余热、电厂热力等方式实施替代。</w:t>
                  </w:r>
                </w:p>
              </w:tc>
              <w:tc>
                <w:tcPr>
                  <w:tcW w:w="1843" w:type="dxa"/>
                  <w:vMerge w:val="restart"/>
                  <w:tcBorders>
                    <w:tl2br w:val="nil"/>
                    <w:tr2bl w:val="nil"/>
                  </w:tcBorders>
                  <w:vAlign w:val="center"/>
                </w:tcPr>
                <w:p w14:paraId="5E1368F0">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eastAsiaTheme="minorEastAsia"/>
                      <w:sz w:val="21"/>
                      <w:szCs w:val="21"/>
                    </w:rPr>
                  </w:pPr>
                  <w:r>
                    <w:rPr>
                      <w:rFonts w:eastAsiaTheme="minorEastAsia"/>
                      <w:sz w:val="21"/>
                      <w:szCs w:val="21"/>
                    </w:rPr>
                    <w:t>本项目使用清洁能源电能，项目工艺简单，污染物采取防治措施后可达标排放，对周围环境污染较小。</w:t>
                  </w:r>
                </w:p>
              </w:tc>
              <w:tc>
                <w:tcPr>
                  <w:tcW w:w="661" w:type="dxa"/>
                  <w:tcBorders>
                    <w:tl2br w:val="nil"/>
                    <w:tr2bl w:val="nil"/>
                  </w:tcBorders>
                  <w:vAlign w:val="center"/>
                </w:tcPr>
                <w:p w14:paraId="2A16F91A">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符合</w:t>
                  </w:r>
                </w:p>
              </w:tc>
            </w:tr>
            <w:tr w14:paraId="1D47F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Merge w:val="continue"/>
                  <w:tcBorders>
                    <w:tl2br w:val="nil"/>
                    <w:tr2bl w:val="nil"/>
                  </w:tcBorders>
                  <w:vAlign w:val="center"/>
                </w:tcPr>
                <w:p w14:paraId="525B735F">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vMerge w:val="continue"/>
                  <w:tcBorders>
                    <w:tl2br w:val="nil"/>
                    <w:tr2bl w:val="nil"/>
                  </w:tcBorders>
                  <w:vAlign w:val="center"/>
                </w:tcPr>
                <w:p w14:paraId="7D2CDF22">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709" w:type="dxa"/>
                  <w:tcBorders>
                    <w:tl2br w:val="nil"/>
                    <w:tr2bl w:val="nil"/>
                  </w:tcBorders>
                  <w:vAlign w:val="center"/>
                </w:tcPr>
                <w:p w14:paraId="6BE64625">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资源开发效率要求</w:t>
                  </w:r>
                </w:p>
              </w:tc>
              <w:tc>
                <w:tcPr>
                  <w:tcW w:w="2409" w:type="dxa"/>
                  <w:tcBorders>
                    <w:tl2br w:val="nil"/>
                    <w:tr2bl w:val="nil"/>
                  </w:tcBorders>
                  <w:vAlign w:val="center"/>
                </w:tcPr>
                <w:p w14:paraId="58530797">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高污染燃料禁燃重点管控区：</w:t>
                  </w:r>
                </w:p>
                <w:p w14:paraId="05D6080A">
                  <w:pPr>
                    <w:keepNext w:val="0"/>
                    <w:keepLines w:val="0"/>
                    <w:pageBreakBefore w:val="0"/>
                    <w:widowControl w:val="0"/>
                    <w:kinsoku/>
                    <w:wordWrap/>
                    <w:overflowPunct/>
                    <w:topLinePunct w:val="0"/>
                    <w:autoSpaceDE/>
                    <w:autoSpaceDN/>
                    <w:bidi w:val="0"/>
                    <w:adjustRightInd/>
                    <w:snapToGrid/>
                    <w:ind w:firstLineChars="0"/>
                    <w:textAlignment w:val="auto"/>
                    <w:rPr>
                      <w:rFonts w:eastAsiaTheme="minorEastAsia"/>
                      <w:szCs w:val="21"/>
                    </w:rPr>
                  </w:pPr>
                  <w:r>
                    <w:rPr>
                      <w:rFonts w:eastAsiaTheme="minorEastAsia"/>
                      <w:szCs w:val="21"/>
                    </w:rPr>
                    <w:t>加快发展清洁能源和新能源。推广使用天然气、煤层气、液化石油气、电、太阳能等清洁能源，有序发展水电，优化风能、太阳能开发布局，因地制宜发展生物质能、地热能等。</w:t>
                  </w:r>
                </w:p>
              </w:tc>
              <w:tc>
                <w:tcPr>
                  <w:tcW w:w="1843" w:type="dxa"/>
                  <w:vMerge w:val="continue"/>
                  <w:tcBorders>
                    <w:tl2br w:val="nil"/>
                    <w:tr2bl w:val="nil"/>
                  </w:tcBorders>
                  <w:vAlign w:val="center"/>
                </w:tcPr>
                <w:p w14:paraId="03BCDE36">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p>
              </w:tc>
              <w:tc>
                <w:tcPr>
                  <w:tcW w:w="661" w:type="dxa"/>
                  <w:tcBorders>
                    <w:tl2br w:val="nil"/>
                    <w:tr2bl w:val="nil"/>
                  </w:tcBorders>
                  <w:vAlign w:val="center"/>
                </w:tcPr>
                <w:p w14:paraId="056C01B5">
                  <w:pPr>
                    <w:pStyle w:val="19"/>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jc w:val="center"/>
                    <w:textAlignment w:val="auto"/>
                    <w:rPr>
                      <w:rFonts w:eastAsiaTheme="minorEastAsia"/>
                      <w:sz w:val="21"/>
                      <w:szCs w:val="21"/>
                    </w:rPr>
                  </w:pPr>
                  <w:r>
                    <w:rPr>
                      <w:rFonts w:eastAsiaTheme="minorEastAsia"/>
                      <w:sz w:val="21"/>
                      <w:szCs w:val="21"/>
                    </w:rPr>
                    <w:t>符合</w:t>
                  </w:r>
                </w:p>
              </w:tc>
            </w:tr>
          </w:tbl>
          <w:p w14:paraId="15134CD2">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color w:val="000000" w:themeColor="text1"/>
                <w:lang w:bidi="ar"/>
                <w14:textFill>
                  <w14:solidFill>
                    <w14:schemeClr w14:val="tx1"/>
                  </w14:solidFill>
                </w14:textFill>
              </w:rPr>
            </w:pPr>
            <w:r>
              <w:rPr>
                <w:rFonts w:hint="eastAsia"/>
                <w:color w:val="000000" w:themeColor="text1"/>
                <w:sz w:val="24"/>
                <w:szCs w:val="24"/>
                <w:lang w:bidi="ar"/>
                <w14:textFill>
                  <w14:solidFill>
                    <w14:schemeClr w14:val="tx1"/>
                  </w14:solidFill>
                </w14:textFill>
              </w:rPr>
              <w:t>综上所述，本项目产污少、污染小，废气、</w:t>
            </w:r>
            <w:r>
              <w:rPr>
                <w:rFonts w:hint="eastAsia"/>
                <w:color w:val="000000" w:themeColor="text1"/>
                <w:sz w:val="24"/>
                <w:szCs w:val="24"/>
                <w:lang w:eastAsia="zh-CN" w:bidi="ar"/>
                <w14:textFill>
                  <w14:solidFill>
                    <w14:schemeClr w14:val="tx1"/>
                  </w14:solidFill>
                </w14:textFill>
              </w:rPr>
              <w:t>生活污水</w:t>
            </w:r>
            <w:r>
              <w:rPr>
                <w:rFonts w:hint="eastAsia"/>
                <w:color w:val="000000" w:themeColor="text1"/>
                <w:sz w:val="24"/>
                <w:szCs w:val="24"/>
                <w:lang w:bidi="ar"/>
                <w14:textFill>
                  <w14:solidFill>
                    <w14:schemeClr w14:val="tx1"/>
                  </w14:solidFill>
                </w14:textFill>
              </w:rPr>
              <w:t>均可达标排放，不涉及生态环境管控单元准入清单内容。建设项目符合西安市《关于印发西安市</w:t>
            </w:r>
            <w:r>
              <w:rPr>
                <w:rFonts w:hint="eastAsia"/>
                <w:color w:val="000000" w:themeColor="text1"/>
                <w:sz w:val="24"/>
                <w:szCs w:val="24"/>
                <w:lang w:eastAsia="zh-CN" w:bidi="ar"/>
                <w14:textFill>
                  <w14:solidFill>
                    <w14:schemeClr w14:val="tx1"/>
                  </w14:solidFill>
                </w14:textFill>
              </w:rPr>
              <w:t>“</w:t>
            </w:r>
            <w:r>
              <w:rPr>
                <w:rFonts w:hint="eastAsia"/>
                <w:color w:val="000000" w:themeColor="text1"/>
                <w:sz w:val="24"/>
                <w:szCs w:val="24"/>
                <w:lang w:bidi="ar"/>
                <w14:textFill>
                  <w14:solidFill>
                    <w14:schemeClr w14:val="tx1"/>
                  </w14:solidFill>
                </w14:textFill>
              </w:rPr>
              <w:t>三线一单</w:t>
            </w:r>
            <w:r>
              <w:rPr>
                <w:rFonts w:hint="eastAsia"/>
                <w:color w:val="000000" w:themeColor="text1"/>
                <w:sz w:val="24"/>
                <w:szCs w:val="24"/>
                <w:lang w:eastAsia="zh-CN" w:bidi="ar"/>
                <w14:textFill>
                  <w14:solidFill>
                    <w14:schemeClr w14:val="tx1"/>
                  </w14:solidFill>
                </w14:textFill>
              </w:rPr>
              <w:t>”</w:t>
            </w:r>
            <w:r>
              <w:rPr>
                <w:rFonts w:hint="eastAsia"/>
                <w:color w:val="000000" w:themeColor="text1"/>
                <w:sz w:val="24"/>
                <w:szCs w:val="24"/>
                <w:lang w:bidi="ar"/>
                <w14:textFill>
                  <w14:solidFill>
                    <w14:schemeClr w14:val="tx1"/>
                  </w14:solidFill>
                </w14:textFill>
              </w:rPr>
              <w:t>生态环境分区管控方案的通知》（市政发〔2021〕22号）的要求。</w:t>
            </w:r>
          </w:p>
          <w:p w14:paraId="43CF9B19">
            <w:pPr>
              <w:widowControl/>
              <w:spacing w:line="360" w:lineRule="auto"/>
              <w:jc w:val="left"/>
              <w:rPr>
                <w:rFonts w:eastAsiaTheme="minorEastAsia"/>
                <w:b/>
                <w:bCs/>
                <w:color w:val="000000"/>
                <w:kern w:val="0"/>
                <w:sz w:val="24"/>
                <w:lang w:bidi="ar"/>
              </w:rPr>
            </w:pPr>
            <w:r>
              <w:rPr>
                <w:rFonts w:hint="eastAsia" w:eastAsiaTheme="minorEastAsia"/>
                <w:b/>
                <w:bCs/>
                <w:color w:val="000000"/>
                <w:kern w:val="0"/>
                <w:sz w:val="24"/>
                <w:lang w:bidi="ar"/>
              </w:rPr>
              <w:t>3</w:t>
            </w:r>
            <w:r>
              <w:rPr>
                <w:rFonts w:hint="eastAsia" w:eastAsiaTheme="minorEastAsia"/>
                <w:b/>
                <w:bCs/>
                <w:color w:val="000000"/>
                <w:kern w:val="0"/>
                <w:sz w:val="24"/>
                <w:lang w:eastAsia="zh-CN" w:bidi="ar"/>
              </w:rPr>
              <w:t>.</w:t>
            </w:r>
            <w:r>
              <w:rPr>
                <w:rFonts w:eastAsiaTheme="minorEastAsia"/>
                <w:b/>
                <w:bCs/>
                <w:color w:val="000000"/>
                <w:kern w:val="0"/>
                <w:sz w:val="24"/>
                <w:lang w:bidi="ar"/>
              </w:rPr>
              <w:t>项目与法律法规和环境管理政策符合性分析</w:t>
            </w:r>
          </w:p>
          <w:p w14:paraId="313EAB6E">
            <w:pPr>
              <w:spacing w:line="360" w:lineRule="auto"/>
              <w:ind w:firstLine="480" w:firstLineChars="200"/>
              <w:rPr>
                <w:rFonts w:eastAsiaTheme="minorEastAsia"/>
                <w:sz w:val="24"/>
              </w:rPr>
            </w:pPr>
            <w:r>
              <w:rPr>
                <w:rFonts w:eastAsiaTheme="minorEastAsia"/>
                <w:sz w:val="24"/>
              </w:rPr>
              <w:t>本项目与法律法规和环境管理政策相符性分析见表1-</w:t>
            </w:r>
            <w:r>
              <w:rPr>
                <w:rFonts w:hint="eastAsia" w:eastAsiaTheme="minorEastAsia"/>
                <w:sz w:val="24"/>
              </w:rPr>
              <w:t>4</w:t>
            </w:r>
            <w:r>
              <w:rPr>
                <w:rFonts w:eastAsiaTheme="minorEastAsia"/>
                <w:sz w:val="24"/>
              </w:rPr>
              <w:t>。</w:t>
            </w:r>
          </w:p>
          <w:p w14:paraId="5EB65852">
            <w:pPr>
              <w:jc w:val="center"/>
              <w:rPr>
                <w:rFonts w:eastAsiaTheme="minorEastAsia"/>
                <w:b/>
                <w:bCs/>
                <w:szCs w:val="21"/>
              </w:rPr>
            </w:pPr>
            <w:r>
              <w:rPr>
                <w:rFonts w:eastAsiaTheme="minorEastAsia"/>
                <w:b/>
                <w:bCs/>
                <w:szCs w:val="21"/>
              </w:rPr>
              <w:t>表1-</w:t>
            </w:r>
            <w:r>
              <w:rPr>
                <w:rFonts w:hint="eastAsia" w:eastAsiaTheme="minorEastAsia"/>
                <w:b/>
                <w:bCs/>
                <w:szCs w:val="21"/>
              </w:rPr>
              <w:t>4</w:t>
            </w:r>
            <w:r>
              <w:rPr>
                <w:rFonts w:eastAsiaTheme="minorEastAsia"/>
                <w:b/>
                <w:bCs/>
                <w:szCs w:val="21"/>
              </w:rPr>
              <w:t xml:space="preserve">  项目与相关环境管理政策符合性分析</w:t>
            </w:r>
          </w:p>
          <w:tbl>
            <w:tblPr>
              <w:tblStyle w:val="20"/>
              <w:tblW w:w="511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3078"/>
              <w:gridCol w:w="1875"/>
              <w:gridCol w:w="736"/>
            </w:tblGrid>
            <w:tr w14:paraId="60FEF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58" w:type="pct"/>
                  <w:tcBorders>
                    <w:tl2br w:val="nil"/>
                    <w:tr2bl w:val="nil"/>
                  </w:tcBorders>
                  <w:noWrap/>
                  <w:vAlign w:val="center"/>
                </w:tcPr>
                <w:p w14:paraId="17A3850B">
                  <w:pPr>
                    <w:jc w:val="center"/>
                    <w:rPr>
                      <w:rFonts w:eastAsiaTheme="minorEastAsia"/>
                      <w:b/>
                      <w:bCs/>
                      <w:szCs w:val="21"/>
                    </w:rPr>
                  </w:pPr>
                  <w:r>
                    <w:rPr>
                      <w:rFonts w:eastAsiaTheme="minorEastAsia"/>
                      <w:b/>
                      <w:bCs/>
                      <w:szCs w:val="21"/>
                    </w:rPr>
                    <w:t>政策文件</w:t>
                  </w:r>
                </w:p>
              </w:tc>
              <w:tc>
                <w:tcPr>
                  <w:tcW w:w="2132" w:type="pct"/>
                  <w:tcBorders>
                    <w:tl2br w:val="nil"/>
                    <w:tr2bl w:val="nil"/>
                  </w:tcBorders>
                  <w:noWrap/>
                  <w:vAlign w:val="center"/>
                </w:tcPr>
                <w:p w14:paraId="2D1918CA">
                  <w:pPr>
                    <w:jc w:val="center"/>
                    <w:rPr>
                      <w:rFonts w:eastAsiaTheme="minorEastAsia"/>
                      <w:b/>
                      <w:bCs/>
                      <w:szCs w:val="21"/>
                    </w:rPr>
                  </w:pPr>
                  <w:r>
                    <w:rPr>
                      <w:rFonts w:eastAsiaTheme="minorEastAsia"/>
                      <w:b/>
                      <w:bCs/>
                      <w:szCs w:val="21"/>
                    </w:rPr>
                    <w:t>具体要求</w:t>
                  </w:r>
                </w:p>
              </w:tc>
              <w:tc>
                <w:tcPr>
                  <w:tcW w:w="1299" w:type="pct"/>
                  <w:tcBorders>
                    <w:tl2br w:val="nil"/>
                    <w:tr2bl w:val="nil"/>
                  </w:tcBorders>
                  <w:noWrap/>
                  <w:vAlign w:val="center"/>
                </w:tcPr>
                <w:p w14:paraId="2B8EC1B3">
                  <w:pPr>
                    <w:jc w:val="center"/>
                    <w:rPr>
                      <w:rFonts w:eastAsiaTheme="minorEastAsia"/>
                      <w:b/>
                      <w:bCs/>
                      <w:szCs w:val="21"/>
                    </w:rPr>
                  </w:pPr>
                  <w:r>
                    <w:rPr>
                      <w:rFonts w:eastAsiaTheme="minorEastAsia"/>
                      <w:b/>
                      <w:bCs/>
                      <w:szCs w:val="21"/>
                    </w:rPr>
                    <w:t>本项目情况</w:t>
                  </w:r>
                </w:p>
              </w:tc>
              <w:tc>
                <w:tcPr>
                  <w:tcW w:w="509" w:type="pct"/>
                  <w:tcBorders>
                    <w:tl2br w:val="nil"/>
                    <w:tr2bl w:val="nil"/>
                  </w:tcBorders>
                  <w:noWrap/>
                  <w:vAlign w:val="center"/>
                </w:tcPr>
                <w:p w14:paraId="452CDC91">
                  <w:pPr>
                    <w:jc w:val="center"/>
                    <w:rPr>
                      <w:rFonts w:eastAsiaTheme="minorEastAsia"/>
                      <w:b/>
                      <w:bCs/>
                      <w:szCs w:val="21"/>
                    </w:rPr>
                  </w:pPr>
                  <w:r>
                    <w:rPr>
                      <w:rFonts w:eastAsiaTheme="minorEastAsia"/>
                      <w:b/>
                      <w:bCs/>
                      <w:szCs w:val="21"/>
                    </w:rPr>
                    <w:t>符合性</w:t>
                  </w:r>
                </w:p>
              </w:tc>
            </w:tr>
            <w:tr w14:paraId="6101C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058" w:type="pct"/>
                  <w:tcBorders>
                    <w:tl2br w:val="nil"/>
                    <w:tr2bl w:val="nil"/>
                  </w:tcBorders>
                  <w:noWrap/>
                  <w:vAlign w:val="center"/>
                </w:tcPr>
                <w:p w14:paraId="6234B0F0">
                  <w:pPr>
                    <w:spacing w:line="320" w:lineRule="exact"/>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关于印发</w:t>
                  </w:r>
                  <w:r>
                    <w:rPr>
                      <w:rFonts w:eastAsiaTheme="minorEastAsia"/>
                      <w:color w:val="000000" w:themeColor="text1"/>
                      <w:szCs w:val="21"/>
                      <w14:textFill>
                        <w14:solidFill>
                          <w14:schemeClr w14:val="tx1"/>
                        </w14:solidFill>
                      </w14:textFill>
                    </w:rPr>
                    <w:t>《陕西省西咸新区</w:t>
                  </w:r>
                  <w:r>
                    <w:rPr>
                      <w:rFonts w:hint="eastAsia" w:eastAsiaTheme="minorEastAsia"/>
                      <w:color w:val="000000" w:themeColor="text1"/>
                      <w:szCs w:val="21"/>
                      <w14:textFill>
                        <w14:solidFill>
                          <w14:schemeClr w14:val="tx1"/>
                        </w14:solidFill>
                      </w14:textFill>
                    </w:rPr>
                    <w:t>沣西</w:t>
                  </w:r>
                  <w:r>
                    <w:rPr>
                      <w:rFonts w:eastAsiaTheme="minorEastAsia"/>
                      <w:color w:val="000000" w:themeColor="text1"/>
                      <w:szCs w:val="21"/>
                      <w14:textFill>
                        <w14:solidFill>
                          <w14:schemeClr w14:val="tx1"/>
                        </w14:solidFill>
                      </w14:textFill>
                    </w:rPr>
                    <w:t>新城</w:t>
                  </w:r>
                  <w:r>
                    <w:rPr>
                      <w:rFonts w:hint="eastAsia" w:eastAsiaTheme="minorEastAsia"/>
                      <w:color w:val="000000" w:themeColor="text1"/>
                      <w:szCs w:val="21"/>
                      <w14:textFill>
                        <w14:solidFill>
                          <w14:schemeClr w14:val="tx1"/>
                        </w14:solidFill>
                      </w14:textFill>
                    </w:rPr>
                    <w:t>2023年国民经济和社会发展计划</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的通知（沣西党发[2023]2号）</w:t>
                  </w:r>
                </w:p>
              </w:tc>
              <w:tc>
                <w:tcPr>
                  <w:tcW w:w="2132" w:type="pct"/>
                  <w:tcBorders>
                    <w:tl2br w:val="nil"/>
                    <w:tr2bl w:val="nil"/>
                  </w:tcBorders>
                  <w:noWrap/>
                  <w:vAlign w:val="center"/>
                </w:tcPr>
                <w:p w14:paraId="2B25DC8C">
                  <w:pPr>
                    <w:widowControl/>
                    <w:rPr>
                      <w:rFonts w:eastAsiaTheme="minorEastAsia"/>
                      <w:color w:val="000000" w:themeColor="text1"/>
                      <w:szCs w:val="21"/>
                      <w14:textFill>
                        <w14:solidFill>
                          <w14:schemeClr w14:val="tx1"/>
                        </w14:solidFill>
                      </w14:textFill>
                    </w:rPr>
                  </w:pPr>
                  <w:r>
                    <w:t>持续改善生态环境。打好蓝天保卫战，强化臭氧防控，做好扬尘污染防治，推动空气质量持续改善。打好碧水保卫战，落实河长制，持续抓好沣河、新河排污口整治，确保沣河水质稳定达到</w:t>
                  </w:r>
                  <w:r>
                    <w:rPr>
                      <w:rFonts w:hint="eastAsia" w:ascii="宋体" w:hAnsi="宋体" w:cs="宋体"/>
                    </w:rPr>
                    <w:t>Ⅲ</w:t>
                  </w:r>
                  <w:r>
                    <w:t>类、新河水质稳定达到</w:t>
                  </w:r>
                  <w:r>
                    <w:rPr>
                      <w:rFonts w:hint="eastAsia" w:ascii="宋体" w:hAnsi="宋体" w:cs="宋体"/>
                    </w:rPr>
                    <w:t>Ⅳ</w:t>
                  </w:r>
                  <w:r>
                    <w:t>类，城市污水达标处理率达到96.9%、污泥安全处置率达到99%以上、再生水利用率达到25%。打好净土保卫战，确保建设用地土壤环境风险得到有效管控。持续开展增绿扩绿，新增城市绿地16万平方米，新建（续建）城市公园1个，新建和改造提升口袋公园和绿地广场3个，新建城市绿道5公里，打造绿色低碳生态城市。</w:t>
                  </w:r>
                </w:p>
              </w:tc>
              <w:tc>
                <w:tcPr>
                  <w:tcW w:w="1299" w:type="pct"/>
                  <w:tcBorders>
                    <w:tl2br w:val="nil"/>
                    <w:tr2bl w:val="nil"/>
                  </w:tcBorders>
                  <w:noWrap/>
                  <w:vAlign w:val="center"/>
                </w:tcPr>
                <w:p w14:paraId="053B79B3">
                  <w:pPr>
                    <w:adjustRightInd w:val="0"/>
                    <w:spacing w:line="240" w:lineRule="exact"/>
                    <w:jc w:val="both"/>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snapToGrid w:val="0"/>
                      <w:szCs w:val="21"/>
                      <w:lang w:val="en-US" w:eastAsia="zh-CN"/>
                    </w:rPr>
                    <w:t>在混料机进料口上方设置集气罩</w:t>
                  </w:r>
                  <w:r>
                    <w:rPr>
                      <w:rFonts w:hint="eastAsia" w:cs="Times New Roman"/>
                      <w:snapToGrid w:val="0"/>
                      <w:szCs w:val="21"/>
                      <w:lang w:val="en-US" w:eastAsia="zh-CN"/>
                    </w:rPr>
                    <w:t>及</w:t>
                  </w:r>
                  <w:r>
                    <w:rPr>
                      <w:rFonts w:hint="eastAsia" w:ascii="Times New Roman" w:hAnsi="Times New Roman" w:eastAsia="宋体" w:cs="Times New Roman"/>
                      <w:snapToGrid w:val="0"/>
                      <w:szCs w:val="21"/>
                      <w:lang w:val="en-US" w:eastAsia="zh-CN"/>
                    </w:rPr>
                    <w:t>研磨超细的粉粒则是进入旋风分离器后</w:t>
                  </w:r>
                  <w:r>
                    <w:rPr>
                      <w:rFonts w:hint="default" w:ascii="Times New Roman" w:hAnsi="Times New Roman" w:eastAsia="宋体" w:cs="Times New Roman"/>
                      <w:snapToGrid w:val="0"/>
                      <w:szCs w:val="21"/>
                      <w:lang w:val="en-US" w:eastAsia="zh-CN"/>
                    </w:rPr>
                    <w:t>，进入</w:t>
                  </w:r>
                  <w:r>
                    <w:rPr>
                      <w:rFonts w:hint="eastAsia" w:ascii="Times New Roman" w:hAnsi="Times New Roman" w:eastAsia="宋体" w:cs="Times New Roman"/>
                      <w:snapToGrid w:val="0"/>
                      <w:szCs w:val="21"/>
                      <w:lang w:val="en-US" w:eastAsia="zh-CN"/>
                    </w:rPr>
                    <w:t>同一套滤筒</w:t>
                  </w:r>
                  <w:r>
                    <w:rPr>
                      <w:rFonts w:hint="default" w:ascii="Times New Roman" w:hAnsi="Times New Roman" w:eastAsia="宋体" w:cs="Times New Roman"/>
                      <w:snapToGrid w:val="0"/>
                      <w:szCs w:val="21"/>
                      <w:lang w:val="en-US" w:eastAsia="zh-CN"/>
                    </w:rPr>
                    <w:t>除尘系统</w:t>
                  </w:r>
                  <w:r>
                    <w:rPr>
                      <w:rFonts w:hint="eastAsia" w:ascii="Times New Roman" w:hAnsi="Times New Roman" w:eastAsia="宋体" w:cs="Times New Roman"/>
                      <w:snapToGrid w:val="0"/>
                      <w:szCs w:val="21"/>
                      <w:lang w:val="en-US" w:eastAsia="zh-CN"/>
                    </w:rPr>
                    <w:t>处理</w:t>
                  </w:r>
                  <w:r>
                    <w:rPr>
                      <w:rFonts w:hint="default" w:ascii="Times New Roman" w:hAnsi="Times New Roman" w:eastAsia="宋体" w:cs="Times New Roman"/>
                      <w:snapToGrid w:val="0"/>
                      <w:szCs w:val="21"/>
                      <w:lang w:val="en-US" w:eastAsia="zh-CN"/>
                    </w:rPr>
                    <w:t>，处理后经15m高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P1有组织达标排放</w:t>
                  </w:r>
                  <w:r>
                    <w:rPr>
                      <w:rFonts w:hint="eastAsia" w:ascii="Times New Roman" w:hAnsi="Times New Roman" w:eastAsia="宋体" w:cs="Times New Roman"/>
                      <w:snapToGrid w:val="0"/>
                      <w:szCs w:val="21"/>
                      <w:lang w:val="en-US" w:eastAsia="zh-CN"/>
                    </w:rPr>
                    <w:t>；在各挤出机物料出口上方安装集气罩收集后引至二级活性炭吸附装置处理，通过15m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有组织达标排放</w:t>
                  </w:r>
                  <w:r>
                    <w:rPr>
                      <w:rFonts w:hint="eastAsia" w:eastAsiaTheme="minorEastAsia"/>
                      <w:color w:val="000000" w:themeColor="text1"/>
                      <w:szCs w:val="21"/>
                      <w:lang w:eastAsia="zh-CN"/>
                      <w14:textFill>
                        <w14:solidFill>
                          <w14:schemeClr w14:val="tx1"/>
                        </w14:solidFill>
                      </w14:textFill>
                    </w:rPr>
                    <w:t>；</w:t>
                  </w:r>
                  <w:r>
                    <w:rPr>
                      <w:rFonts w:hint="eastAsia" w:ascii="Times New Roman" w:hAnsi="Times New Roman" w:eastAsia="宋体" w:cs="Times New Roman"/>
                      <w:snapToGrid w:val="0"/>
                      <w:szCs w:val="21"/>
                      <w:lang w:val="en-US" w:eastAsia="zh-CN"/>
                    </w:rPr>
                    <w:t>电泳有机废气</w:t>
                  </w:r>
                  <w:r>
                    <w:rPr>
                      <w:rFonts w:hint="eastAsia"/>
                      <w:color w:val="000000" w:themeColor="text1"/>
                      <w:lang w:val="en-US" w:eastAsia="zh-CN"/>
                      <w14:textFill>
                        <w14:solidFill>
                          <w14:schemeClr w14:val="tx1"/>
                        </w14:solidFill>
                      </w14:textFill>
                    </w:rPr>
                    <w:t>经</w:t>
                  </w:r>
                  <w:r>
                    <w:rPr>
                      <w:color w:val="000000" w:themeColor="text1"/>
                      <w14:textFill>
                        <w14:solidFill>
                          <w14:schemeClr w14:val="tx1"/>
                        </w14:solidFill>
                      </w14:textFill>
                    </w:rPr>
                    <w:t>电泳槽</w:t>
                  </w:r>
                  <w:r>
                    <w:rPr>
                      <w:rFonts w:hint="eastAsia"/>
                      <w:color w:val="000000" w:themeColor="text1"/>
                      <w:lang w:eastAsia="zh-CN"/>
                      <w14:textFill>
                        <w14:solidFill>
                          <w14:schemeClr w14:val="tx1"/>
                        </w14:solidFill>
                      </w14:textFill>
                    </w:rPr>
                    <w:t>上部设置包围型集气罩</w:t>
                  </w:r>
                  <w:r>
                    <w:rPr>
                      <w:rFonts w:hint="eastAsia"/>
                      <w:color w:val="000000" w:themeColor="text1"/>
                      <w:lang w:val="en-US" w:eastAsia="zh-CN"/>
                      <w14:textFill>
                        <w14:solidFill>
                          <w14:schemeClr w14:val="tx1"/>
                        </w14:solidFill>
                      </w14:textFill>
                    </w:rPr>
                    <w:t>收集</w:t>
                  </w:r>
                  <w:r>
                    <w:rPr>
                      <w:rFonts w:hint="eastAsia" w:ascii="Times New Roman" w:hAnsi="Times New Roman" w:eastAsia="宋体" w:cs="Times New Roman"/>
                      <w:snapToGrid w:val="0"/>
                      <w:szCs w:val="21"/>
                      <w:lang w:val="en-US" w:eastAsia="zh-CN"/>
                    </w:rPr>
                    <w:t>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排放</w:t>
                  </w:r>
                  <w:r>
                    <w:rPr>
                      <w:rFonts w:hint="eastAsia" w:ascii="Times New Roman" w:hAnsi="Times New Roman" w:eastAsia="宋体" w:cs="Times New Roman"/>
                      <w:snapToGrid w:val="0"/>
                      <w:szCs w:val="21"/>
                      <w:lang w:val="en-US" w:eastAsia="zh-CN"/>
                    </w:rPr>
                    <w:t>；</w:t>
                  </w:r>
                  <w:r>
                    <w:rPr>
                      <w:rFonts w:hint="default" w:ascii="Times New Roman" w:hAnsi="Times New Roman" w:eastAsia="宋体" w:cs="Times New Roman"/>
                      <w:snapToGrid w:val="0"/>
                      <w:szCs w:val="21"/>
                      <w:lang w:val="en-US" w:eastAsia="zh-CN"/>
                    </w:rPr>
                    <w:t>喷粉作业在单独的密闭喷粉室内进行，塑粉经过喷枪充电后喷出，没有附着工件的粉末由喷粉室配备的</w:t>
                  </w:r>
                  <w:r>
                    <w:rPr>
                      <w:rFonts w:hint="eastAsia" w:ascii="Times New Roman" w:hAnsi="Times New Roman" w:eastAsia="宋体" w:cs="Times New Roman"/>
                      <w:snapToGrid w:val="0"/>
                      <w:szCs w:val="21"/>
                      <w:lang w:val="en-US" w:eastAsia="zh-CN"/>
                    </w:rPr>
                    <w:t>旋风+布袋除尘</w:t>
                  </w:r>
                  <w:r>
                    <w:rPr>
                      <w:rFonts w:hint="default" w:ascii="Times New Roman" w:hAnsi="Times New Roman" w:eastAsia="宋体" w:cs="Times New Roman"/>
                      <w:snapToGrid w:val="0"/>
                      <w:szCs w:val="21"/>
                      <w:lang w:val="en-US" w:eastAsia="zh-CN"/>
                    </w:rPr>
                    <w:t>装置收集处理，处理后的废气经15m排气筒P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；固化废气在烘道出入口设置集气罩+软帘收集，收集后的废气由管道进入二级活性炭吸附装置，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；热风炉产生的废气直接进入固化烘道，烘道出入口设置集气罩+软帘收集，收集后的废气由管道进入旋风除尘器+布袋除尘器+二级活性炭吸附装置，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。项目生活污水及</w:t>
                  </w:r>
                  <w:r>
                    <w:rPr>
                      <w:rFonts w:hint="eastAsia" w:ascii="Times New Roman" w:hAnsi="Times New Roman" w:cs="Times New Roman" w:eastAsiaTheme="minorEastAsia"/>
                      <w:sz w:val="21"/>
                      <w:szCs w:val="21"/>
                      <w:lang w:val="en-US" w:eastAsia="zh-CN"/>
                    </w:rPr>
                    <w:t>纯水制备系统废水</w:t>
                  </w:r>
                  <w:r>
                    <w:rPr>
                      <w:rFonts w:hint="eastAsia" w:ascii="Times New Roman" w:hAnsi="Times New Roman" w:eastAsia="宋体" w:cs="Times New Roman"/>
                      <w:snapToGrid w:val="0"/>
                      <w:szCs w:val="21"/>
                      <w:lang w:val="en-US" w:eastAsia="zh-CN"/>
                    </w:rPr>
                    <w:t>进入化粪池沉淀处理后排入沣西新城大王污水处理厂，经处理达标后排入新河；</w:t>
                  </w:r>
                  <w:r>
                    <w:rPr>
                      <w:rFonts w:hint="default" w:ascii="Times New Roman" w:hAnsi="Times New Roman" w:eastAsia="宋体" w:cs="Times New Roman"/>
                      <w:snapToGrid w:val="0"/>
                      <w:color w:val="auto"/>
                      <w:kern w:val="2"/>
                      <w:sz w:val="21"/>
                      <w:szCs w:val="21"/>
                      <w:highlight w:val="none"/>
                      <w:lang w:val="en-US" w:eastAsia="zh-CN" w:bidi="ar-SA"/>
                    </w:rPr>
                    <w:t>废包装材料收集暂存于一般固废暂存区</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定期外售于物资回收公司</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收尘灰</w:t>
                  </w:r>
                  <w:r>
                    <w:rPr>
                      <w:rFonts w:hint="eastAsia" w:ascii="Times New Roman" w:hAnsi="Times New Roman" w:eastAsia="宋体" w:cs="Times New Roman"/>
                      <w:snapToGrid w:val="0"/>
                      <w:color w:val="auto"/>
                      <w:kern w:val="2"/>
                      <w:sz w:val="21"/>
                      <w:szCs w:val="21"/>
                      <w:highlight w:val="none"/>
                      <w:lang w:val="en-US" w:eastAsia="zh-CN" w:bidi="ar-SA"/>
                    </w:rPr>
                    <w:t>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工序；粉末</w:t>
                  </w:r>
                  <w:r>
                    <w:rPr>
                      <w:rFonts w:hint="default" w:ascii="Times New Roman" w:hAnsi="Times New Roman" w:eastAsia="宋体" w:cs="Times New Roman"/>
                      <w:snapToGrid w:val="0"/>
                      <w:color w:val="auto"/>
                      <w:kern w:val="2"/>
                      <w:sz w:val="21"/>
                      <w:szCs w:val="21"/>
                      <w:highlight w:val="none"/>
                      <w:lang w:val="en-US" w:eastAsia="zh-CN" w:bidi="ar-SA"/>
                    </w:rPr>
                    <w:t>不合格品收集暂存于一般固废暂存区</w:t>
                  </w:r>
                  <w:r>
                    <w:rPr>
                      <w:rFonts w:hint="eastAsia" w:ascii="Times New Roman" w:hAnsi="Times New Roman" w:cs="Times New Roman"/>
                      <w:snapToGrid w:val="0"/>
                      <w:color w:val="auto"/>
                      <w:kern w:val="2"/>
                      <w:sz w:val="21"/>
                      <w:szCs w:val="21"/>
                      <w:highlight w:val="none"/>
                      <w:lang w:val="en-US" w:eastAsia="zh-CN" w:bidi="ar-SA"/>
                    </w:rPr>
                    <w:t>，收</w:t>
                  </w:r>
                  <w:r>
                    <w:rPr>
                      <w:rFonts w:hint="eastAsia" w:ascii="Times New Roman" w:hAnsi="Times New Roman" w:eastAsia="宋体" w:cs="Times New Roman"/>
                      <w:snapToGrid w:val="0"/>
                      <w:color w:val="auto"/>
                      <w:kern w:val="2"/>
                      <w:sz w:val="21"/>
                      <w:szCs w:val="21"/>
                      <w:highlight w:val="none"/>
                      <w:lang w:val="en-US" w:eastAsia="zh-CN" w:bidi="ar-SA"/>
                    </w:rPr>
                    <w:t>集后回用于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工序；废反渗透膜，暂存于一般固废暂存区，由纯水机厂家检修时回收处置；</w:t>
                  </w:r>
                  <w:r>
                    <w:rPr>
                      <w:rFonts w:hint="default" w:ascii="Times New Roman" w:hAnsi="Times New Roman" w:eastAsia="宋体" w:cs="Times New Roman"/>
                      <w:snapToGrid w:val="0"/>
                      <w:color w:val="auto"/>
                      <w:kern w:val="2"/>
                      <w:sz w:val="21"/>
                      <w:szCs w:val="21"/>
                      <w:highlight w:val="none"/>
                      <w:lang w:val="en-US" w:eastAsia="zh-CN" w:bidi="ar-SA"/>
                    </w:rPr>
                    <w:t>废漆渣</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收集暂存于一般固废暂存区，定期外售于物资回收公司</w:t>
                  </w:r>
                  <w:r>
                    <w:rPr>
                      <w:rFonts w:hint="eastAsia" w:cs="Times New Roman"/>
                      <w:snapToGrid w:val="0"/>
                      <w:color w:val="auto"/>
                      <w:kern w:val="2"/>
                      <w:sz w:val="21"/>
                      <w:szCs w:val="21"/>
                      <w:highlight w:val="none"/>
                      <w:lang w:val="en-US" w:eastAsia="zh-CN" w:bidi="ar-SA"/>
                    </w:rPr>
                    <w:t>；</w:t>
                  </w:r>
                  <w:r>
                    <w:rPr>
                      <w:rFonts w:hint="eastAsia" w:ascii="Times New Roman" w:hAnsi="Times New Roman" w:eastAsia="宋体" w:cs="Times New Roman"/>
                      <w:color w:val="auto"/>
                      <w:highlight w:val="none"/>
                      <w:lang w:val="en-US" w:eastAsia="zh-CN"/>
                    </w:rPr>
                    <w:t>废机油及废油桶、废活性炭、废超滤芯、废油槽渣、废陶化槽渣以及废电泳</w:t>
                  </w:r>
                  <w:r>
                    <w:rPr>
                      <w:rFonts w:hint="default" w:ascii="Times New Roman" w:hAnsi="Times New Roman" w:eastAsia="宋体" w:cs="Times New Roman"/>
                      <w:color w:val="auto"/>
                      <w:highlight w:val="none"/>
                      <w:lang w:val="en-US" w:eastAsia="zh-CN"/>
                    </w:rPr>
                    <w:t>漆渣收集后妥善暂存于危险废物贮存间，交由陕西绿林环保科技有限公司进行处理。</w:t>
                  </w:r>
                </w:p>
              </w:tc>
              <w:tc>
                <w:tcPr>
                  <w:tcW w:w="509" w:type="pct"/>
                  <w:tcBorders>
                    <w:tl2br w:val="nil"/>
                    <w:tr2bl w:val="nil"/>
                  </w:tcBorders>
                  <w:noWrap/>
                  <w:vAlign w:val="center"/>
                </w:tcPr>
                <w:p w14:paraId="008D1212">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符合</w:t>
                  </w:r>
                </w:p>
              </w:tc>
            </w:tr>
            <w:tr w14:paraId="407224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058" w:type="pct"/>
                  <w:vMerge w:val="restart"/>
                  <w:tcBorders>
                    <w:tl2br w:val="nil"/>
                    <w:tr2bl w:val="nil"/>
                  </w:tcBorders>
                  <w:noWrap/>
                  <w:vAlign w:val="center"/>
                </w:tcPr>
                <w:p w14:paraId="1EF07629">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《陕西省</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十四五</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生态环境保护规划》（陕政办发[2021]25号）</w:t>
                  </w:r>
                </w:p>
              </w:tc>
              <w:tc>
                <w:tcPr>
                  <w:tcW w:w="2132" w:type="pct"/>
                  <w:tcBorders>
                    <w:tl2br w:val="nil"/>
                    <w:tr2bl w:val="nil"/>
                  </w:tcBorders>
                  <w:noWrap/>
                  <w:vAlign w:val="center"/>
                </w:tcPr>
                <w:p w14:paraId="2B2CF489">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建立健全生态环境分区管控体系。立足资源环境承载能力，发挥各地比较优势，优化重大基础设施、重大生产力和公共资源布局，建立以</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三线一单</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为核心的全省生态环境分区管控体系。各市（区）按照关中地区发展先进制造业和现代服务业、陕北地区能源化工转型升级、陕南地区做强做大绿色生态产业的战略定位，做好</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三线一单</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成果优化完善工作，进一步细化生态环境分区管控要求和准入清单，在生态环境准入清单中深化</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两高</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项目环境准入及管控要求。</w:t>
                  </w:r>
                </w:p>
              </w:tc>
              <w:tc>
                <w:tcPr>
                  <w:tcW w:w="1299" w:type="pct"/>
                  <w:tcBorders>
                    <w:tl2br w:val="nil"/>
                    <w:tr2bl w:val="nil"/>
                  </w:tcBorders>
                  <w:noWrap/>
                  <w:vAlign w:val="center"/>
                </w:tcPr>
                <w:p w14:paraId="15D15EEB">
                  <w:pPr>
                    <w:adjustRightInd w:val="0"/>
                    <w:spacing w:line="240" w:lineRule="exact"/>
                    <w:jc w:val="both"/>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本项目位于陕西省西咸新区沣西新城大王街办大王西村西宝十字口南路西7号厂房内，项目建设区域位于《西安市“三线一单”生态环境分区管控方案》中重点管控单元范围内。项目工艺简单，不涉及化学反应，不属于“两高”项目。</w:t>
                  </w:r>
                </w:p>
              </w:tc>
              <w:tc>
                <w:tcPr>
                  <w:tcW w:w="509" w:type="pct"/>
                  <w:tcBorders>
                    <w:tl2br w:val="nil"/>
                    <w:tr2bl w:val="nil"/>
                  </w:tcBorders>
                  <w:noWrap/>
                  <w:vAlign w:val="center"/>
                </w:tcPr>
                <w:p w14:paraId="3ADD2F84">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符合</w:t>
                  </w:r>
                </w:p>
              </w:tc>
            </w:tr>
            <w:tr w14:paraId="174BF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058" w:type="pct"/>
                  <w:vMerge w:val="continue"/>
                  <w:tcBorders>
                    <w:tl2br w:val="nil"/>
                    <w:tr2bl w:val="nil"/>
                  </w:tcBorders>
                  <w:noWrap/>
                  <w:vAlign w:val="center"/>
                </w:tcPr>
                <w:p w14:paraId="5EC1A385">
                  <w:pPr>
                    <w:widowControl/>
                    <w:jc w:val="center"/>
                    <w:rPr>
                      <w:rFonts w:eastAsiaTheme="minorEastAsia"/>
                      <w:color w:val="000000" w:themeColor="text1"/>
                      <w:szCs w:val="21"/>
                      <w14:textFill>
                        <w14:solidFill>
                          <w14:schemeClr w14:val="tx1"/>
                        </w14:solidFill>
                      </w14:textFill>
                    </w:rPr>
                  </w:pPr>
                </w:p>
              </w:tc>
              <w:tc>
                <w:tcPr>
                  <w:tcW w:w="2132" w:type="pct"/>
                  <w:tcBorders>
                    <w:tl2br w:val="nil"/>
                    <w:tr2bl w:val="nil"/>
                  </w:tcBorders>
                  <w:noWrap/>
                  <w:vAlign w:val="center"/>
                </w:tcPr>
                <w:p w14:paraId="387C1AE2">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强化协同控制，改善汾渭平原大气环境。坚持源头防治、综合施策，稳步推进大气污染防治攻坚行动，强化区域协同治理和重污染天气应对，持续改善全省大气环境质量。</w:t>
                  </w:r>
                </w:p>
              </w:tc>
              <w:tc>
                <w:tcPr>
                  <w:tcW w:w="1299" w:type="pct"/>
                  <w:vMerge w:val="restart"/>
                  <w:tcBorders>
                    <w:tl2br w:val="nil"/>
                    <w:tr2bl w:val="nil"/>
                  </w:tcBorders>
                  <w:noWrap/>
                  <w:vAlign w:val="center"/>
                </w:tcPr>
                <w:p w14:paraId="7FB6FC7B">
                  <w:pPr>
                    <w:widowControl/>
                    <w:rPr>
                      <w:rFonts w:hint="eastAsia" w:ascii="Times New Roman" w:hAnsi="Times New Roman" w:eastAsia="宋体" w:cs="Times New Roman"/>
                      <w:snapToGrid w:val="0"/>
                      <w:szCs w:val="21"/>
                      <w:lang w:val="en-US" w:eastAsia="zh-CN"/>
                    </w:rPr>
                  </w:pPr>
                  <w:r>
                    <w:rPr>
                      <w:rFonts w:hint="eastAsia" w:eastAsiaTheme="minorEastAsia"/>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snapToGrid w:val="0"/>
                      <w:szCs w:val="21"/>
                      <w:lang w:val="en-US" w:eastAsia="zh-CN"/>
                    </w:rPr>
                    <w:t>在混料机进料口上方设置集气罩</w:t>
                  </w:r>
                  <w:r>
                    <w:rPr>
                      <w:rFonts w:hint="eastAsia" w:cs="Times New Roman"/>
                      <w:snapToGrid w:val="0"/>
                      <w:szCs w:val="21"/>
                      <w:lang w:val="en-US" w:eastAsia="zh-CN"/>
                    </w:rPr>
                    <w:t>及</w:t>
                  </w:r>
                  <w:r>
                    <w:rPr>
                      <w:rFonts w:hint="eastAsia" w:ascii="Times New Roman" w:hAnsi="Times New Roman" w:eastAsia="宋体" w:cs="Times New Roman"/>
                      <w:snapToGrid w:val="0"/>
                      <w:szCs w:val="21"/>
                      <w:lang w:val="en-US" w:eastAsia="zh-CN"/>
                    </w:rPr>
                    <w:t>研磨超细的粉粒则是进入旋风分离器后</w:t>
                  </w:r>
                  <w:r>
                    <w:rPr>
                      <w:rFonts w:hint="default" w:ascii="Times New Roman" w:hAnsi="Times New Roman" w:eastAsia="宋体" w:cs="Times New Roman"/>
                      <w:snapToGrid w:val="0"/>
                      <w:szCs w:val="21"/>
                      <w:lang w:val="en-US" w:eastAsia="zh-CN"/>
                    </w:rPr>
                    <w:t>，进入</w:t>
                  </w:r>
                  <w:r>
                    <w:rPr>
                      <w:rFonts w:hint="eastAsia" w:ascii="Times New Roman" w:hAnsi="Times New Roman" w:eastAsia="宋体" w:cs="Times New Roman"/>
                      <w:snapToGrid w:val="0"/>
                      <w:szCs w:val="21"/>
                      <w:lang w:val="en-US" w:eastAsia="zh-CN"/>
                    </w:rPr>
                    <w:t>同一套滤筒</w:t>
                  </w:r>
                  <w:r>
                    <w:rPr>
                      <w:rFonts w:hint="default" w:ascii="Times New Roman" w:hAnsi="Times New Roman" w:eastAsia="宋体" w:cs="Times New Roman"/>
                      <w:snapToGrid w:val="0"/>
                      <w:szCs w:val="21"/>
                      <w:lang w:val="en-US" w:eastAsia="zh-CN"/>
                    </w:rPr>
                    <w:t>除尘系统</w:t>
                  </w:r>
                  <w:r>
                    <w:rPr>
                      <w:rFonts w:hint="eastAsia" w:ascii="Times New Roman" w:hAnsi="Times New Roman" w:eastAsia="宋体" w:cs="Times New Roman"/>
                      <w:snapToGrid w:val="0"/>
                      <w:szCs w:val="21"/>
                      <w:lang w:val="en-US" w:eastAsia="zh-CN"/>
                    </w:rPr>
                    <w:t>处理</w:t>
                  </w:r>
                  <w:r>
                    <w:rPr>
                      <w:rFonts w:hint="default" w:ascii="Times New Roman" w:hAnsi="Times New Roman" w:eastAsia="宋体" w:cs="Times New Roman"/>
                      <w:snapToGrid w:val="0"/>
                      <w:szCs w:val="21"/>
                      <w:lang w:val="en-US" w:eastAsia="zh-CN"/>
                    </w:rPr>
                    <w:t>，处理后经15m高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P1有组织达标排放</w:t>
                  </w:r>
                  <w:r>
                    <w:rPr>
                      <w:rFonts w:hint="eastAsia" w:ascii="Times New Roman" w:hAnsi="Times New Roman" w:eastAsia="宋体" w:cs="Times New Roman"/>
                      <w:snapToGrid w:val="0"/>
                      <w:szCs w:val="21"/>
                      <w:lang w:val="en-US" w:eastAsia="zh-CN"/>
                    </w:rPr>
                    <w:t>；在各挤出机物料出口上方安装集气罩收集后引至二级活性炭吸附装置处理，通过15m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有组织达标排放</w:t>
                  </w:r>
                  <w:r>
                    <w:rPr>
                      <w:rFonts w:hint="eastAsia" w:eastAsiaTheme="minorEastAsia"/>
                      <w:color w:val="000000" w:themeColor="text1"/>
                      <w:szCs w:val="21"/>
                      <w:lang w:eastAsia="zh-CN"/>
                      <w14:textFill>
                        <w14:solidFill>
                          <w14:schemeClr w14:val="tx1"/>
                        </w14:solidFill>
                      </w14:textFill>
                    </w:rPr>
                    <w:t>；</w:t>
                  </w:r>
                  <w:r>
                    <w:rPr>
                      <w:rFonts w:hint="eastAsia" w:ascii="Times New Roman" w:hAnsi="Times New Roman" w:eastAsia="宋体" w:cs="Times New Roman"/>
                      <w:snapToGrid w:val="0"/>
                      <w:szCs w:val="21"/>
                      <w:lang w:val="en-US" w:eastAsia="zh-CN"/>
                    </w:rPr>
                    <w:t>电泳有机废气</w:t>
                  </w:r>
                  <w:r>
                    <w:rPr>
                      <w:rFonts w:hint="eastAsia"/>
                      <w:color w:val="000000" w:themeColor="text1"/>
                      <w:lang w:val="en-US" w:eastAsia="zh-CN"/>
                      <w14:textFill>
                        <w14:solidFill>
                          <w14:schemeClr w14:val="tx1"/>
                        </w14:solidFill>
                      </w14:textFill>
                    </w:rPr>
                    <w:t>经</w:t>
                  </w:r>
                  <w:r>
                    <w:rPr>
                      <w:color w:val="000000" w:themeColor="text1"/>
                      <w14:textFill>
                        <w14:solidFill>
                          <w14:schemeClr w14:val="tx1"/>
                        </w14:solidFill>
                      </w14:textFill>
                    </w:rPr>
                    <w:t>电泳槽</w:t>
                  </w:r>
                  <w:r>
                    <w:rPr>
                      <w:rFonts w:hint="eastAsia"/>
                      <w:color w:val="000000" w:themeColor="text1"/>
                      <w:lang w:eastAsia="zh-CN"/>
                      <w14:textFill>
                        <w14:solidFill>
                          <w14:schemeClr w14:val="tx1"/>
                        </w14:solidFill>
                      </w14:textFill>
                    </w:rPr>
                    <w:t>上部设置包围型集气罩</w:t>
                  </w:r>
                  <w:r>
                    <w:rPr>
                      <w:rFonts w:hint="eastAsia"/>
                      <w:color w:val="000000" w:themeColor="text1"/>
                      <w:lang w:val="en-US" w:eastAsia="zh-CN"/>
                      <w14:textFill>
                        <w14:solidFill>
                          <w14:schemeClr w14:val="tx1"/>
                        </w14:solidFill>
                      </w14:textFill>
                    </w:rPr>
                    <w:t>收集</w:t>
                  </w:r>
                  <w:r>
                    <w:rPr>
                      <w:rFonts w:hint="eastAsia" w:ascii="Times New Roman" w:hAnsi="Times New Roman" w:eastAsia="宋体" w:cs="Times New Roman"/>
                      <w:snapToGrid w:val="0"/>
                      <w:szCs w:val="21"/>
                      <w:lang w:val="en-US" w:eastAsia="zh-CN"/>
                    </w:rPr>
                    <w:t>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排放</w:t>
                  </w:r>
                  <w:r>
                    <w:rPr>
                      <w:rFonts w:hint="eastAsia" w:ascii="Times New Roman" w:hAnsi="Times New Roman" w:eastAsia="宋体" w:cs="Times New Roman"/>
                      <w:snapToGrid w:val="0"/>
                      <w:szCs w:val="21"/>
                      <w:lang w:val="en-US" w:eastAsia="zh-CN"/>
                    </w:rPr>
                    <w:t>；</w:t>
                  </w:r>
                  <w:r>
                    <w:rPr>
                      <w:rFonts w:hint="default" w:ascii="Times New Roman" w:hAnsi="Times New Roman" w:eastAsia="宋体" w:cs="Times New Roman"/>
                      <w:snapToGrid w:val="0"/>
                      <w:szCs w:val="21"/>
                      <w:lang w:val="en-US" w:eastAsia="zh-CN"/>
                    </w:rPr>
                    <w:t>喷粉作业在单独的密闭喷粉室内进行，塑粉经过喷枪充电后喷出，没有附着工件的粉末由喷粉室配备的</w:t>
                  </w:r>
                  <w:r>
                    <w:rPr>
                      <w:rFonts w:hint="eastAsia" w:ascii="Times New Roman" w:hAnsi="Times New Roman" w:eastAsia="宋体" w:cs="Times New Roman"/>
                      <w:snapToGrid w:val="0"/>
                      <w:szCs w:val="21"/>
                      <w:lang w:val="en-US" w:eastAsia="zh-CN"/>
                    </w:rPr>
                    <w:t>旋风+布袋除尘</w:t>
                  </w:r>
                  <w:r>
                    <w:rPr>
                      <w:rFonts w:hint="default" w:ascii="Times New Roman" w:hAnsi="Times New Roman" w:eastAsia="宋体" w:cs="Times New Roman"/>
                      <w:snapToGrid w:val="0"/>
                      <w:szCs w:val="21"/>
                      <w:lang w:val="en-US" w:eastAsia="zh-CN"/>
                    </w:rPr>
                    <w:t>装置收集处理，处理后的废气经15m排气筒P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；固化废气在烘道出入口设置集气罩+软帘收集，收集后的废气由管道进入二级活性炭吸附装置，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；热风炉产生的废气直接进入固化烘道，烘道出入口设置集气罩+软帘收集，收集后的废气由管道进入旋风除尘器+布袋除尘器+二级活性炭吸附装置，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。可从源头控制污染物排放。</w:t>
                  </w:r>
                </w:p>
              </w:tc>
              <w:tc>
                <w:tcPr>
                  <w:tcW w:w="509" w:type="pct"/>
                  <w:vMerge w:val="restart"/>
                  <w:tcBorders>
                    <w:tl2br w:val="nil"/>
                    <w:tr2bl w:val="nil"/>
                  </w:tcBorders>
                  <w:noWrap/>
                  <w:vAlign w:val="center"/>
                </w:tcPr>
                <w:p w14:paraId="6C4885A8">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符合</w:t>
                  </w:r>
                </w:p>
              </w:tc>
            </w:tr>
            <w:tr w14:paraId="1EE4E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058" w:type="pct"/>
                  <w:vMerge w:val="continue"/>
                  <w:tcBorders>
                    <w:tl2br w:val="nil"/>
                    <w:tr2bl w:val="nil"/>
                  </w:tcBorders>
                  <w:noWrap/>
                  <w:vAlign w:val="center"/>
                </w:tcPr>
                <w:p w14:paraId="2A2D1718">
                  <w:pPr>
                    <w:widowControl/>
                    <w:jc w:val="center"/>
                    <w:rPr>
                      <w:rFonts w:eastAsiaTheme="minorEastAsia"/>
                      <w:color w:val="000000" w:themeColor="text1"/>
                      <w:szCs w:val="21"/>
                      <w14:textFill>
                        <w14:solidFill>
                          <w14:schemeClr w14:val="tx1"/>
                        </w14:solidFill>
                      </w14:textFill>
                    </w:rPr>
                  </w:pPr>
                </w:p>
              </w:tc>
              <w:tc>
                <w:tcPr>
                  <w:tcW w:w="2132" w:type="pct"/>
                  <w:tcBorders>
                    <w:tl2br w:val="nil"/>
                    <w:tr2bl w:val="nil"/>
                  </w:tcBorders>
                  <w:noWrap/>
                  <w:vAlign w:val="center"/>
                </w:tcPr>
                <w:p w14:paraId="3AC2EC1C">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在工业园区、企业集群推广建设涉挥发性有机物</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绿岛</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项目。在工业涂装和包装印刷等行业全面推进源头替代，严格落实国家和地方产品挥发性有机物含量限值质量标准。将全面使用符合国家要求的低挥发性有机物原辅材料的企业纳入正面清单和政府绿色采购清单。全面落实《挥发性有机物无组织排放控制标准（GB37822-2019</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》要求，持续开展无组织排放排查整治工作，加强含挥发性有机物物料全方位、全链条、全环节密闭管理。</w:t>
                  </w:r>
                </w:p>
              </w:tc>
              <w:tc>
                <w:tcPr>
                  <w:tcW w:w="1299" w:type="pct"/>
                  <w:vMerge w:val="continue"/>
                  <w:tcBorders>
                    <w:tl2br w:val="nil"/>
                    <w:tr2bl w:val="nil"/>
                  </w:tcBorders>
                  <w:noWrap/>
                  <w:vAlign w:val="center"/>
                </w:tcPr>
                <w:p w14:paraId="4B491FC0">
                  <w:pPr>
                    <w:widowControl/>
                    <w:jc w:val="center"/>
                    <w:rPr>
                      <w:rFonts w:eastAsiaTheme="minorEastAsia"/>
                      <w:color w:val="FF0000"/>
                      <w:szCs w:val="21"/>
                    </w:rPr>
                  </w:pPr>
                </w:p>
              </w:tc>
              <w:tc>
                <w:tcPr>
                  <w:tcW w:w="509" w:type="pct"/>
                  <w:vMerge w:val="continue"/>
                  <w:tcBorders>
                    <w:tl2br w:val="nil"/>
                    <w:tr2bl w:val="nil"/>
                  </w:tcBorders>
                  <w:noWrap/>
                  <w:vAlign w:val="center"/>
                </w:tcPr>
                <w:p w14:paraId="6C5F7617">
                  <w:pPr>
                    <w:spacing w:line="320" w:lineRule="exact"/>
                    <w:jc w:val="center"/>
                    <w:rPr>
                      <w:rFonts w:eastAsiaTheme="minorEastAsia"/>
                      <w:color w:val="000000" w:themeColor="text1"/>
                      <w:szCs w:val="21"/>
                      <w14:textFill>
                        <w14:solidFill>
                          <w14:schemeClr w14:val="tx1"/>
                        </w14:solidFill>
                      </w14:textFill>
                    </w:rPr>
                  </w:pPr>
                </w:p>
              </w:tc>
            </w:tr>
            <w:tr w14:paraId="3EBF4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058" w:type="pct"/>
                  <w:tcBorders>
                    <w:tl2br w:val="nil"/>
                    <w:tr2bl w:val="nil"/>
                  </w:tcBorders>
                  <w:noWrap/>
                  <w:vAlign w:val="center"/>
                </w:tcPr>
                <w:p w14:paraId="6428B181">
                  <w:pPr>
                    <w:widowControl/>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《陕西省印发2020年挥发性有机物治理攻坚方案》</w:t>
                  </w:r>
                </w:p>
              </w:tc>
              <w:tc>
                <w:tcPr>
                  <w:tcW w:w="2132" w:type="pct"/>
                  <w:tcBorders>
                    <w:tl2br w:val="nil"/>
                    <w:tr2bl w:val="nil"/>
                  </w:tcBorders>
                  <w:noWrap/>
                  <w:vAlign w:val="center"/>
                </w:tcPr>
                <w:p w14:paraId="1363E3B4">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按照</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应收尽收</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的原则提升废气收集率，对达不到要求的VOCs收集、治理设施进行更换或升级改造，确保实现达标排放。按照与生产设备</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同启同停</w:t>
                  </w:r>
                  <w:r>
                    <w:rPr>
                      <w:rFonts w:hint="eastAsia" w:eastAsiaTheme="minorEastAsia"/>
                      <w:color w:val="000000" w:themeColor="text1"/>
                      <w:szCs w:val="21"/>
                      <w:lang w:eastAsia="zh-CN"/>
                      <w14:textFill>
                        <w14:solidFill>
                          <w14:schemeClr w14:val="tx1"/>
                        </w14:solidFill>
                      </w14:textFill>
                    </w:rPr>
                    <w:t>”</w:t>
                  </w:r>
                  <w:r>
                    <w:rPr>
                      <w:rFonts w:eastAsiaTheme="minorEastAsia"/>
                      <w:color w:val="000000" w:themeColor="text1"/>
                      <w:szCs w:val="21"/>
                      <w14:textFill>
                        <w14:solidFill>
                          <w14:schemeClr w14:val="tx1"/>
                        </w14:solidFill>
                      </w14:textFill>
                    </w:rPr>
                    <w:t>的原则提升治理设施运行率。根据处理工艺要求，在处理设施达到正常运行条件后方可启动生产设备，在生产设备停止、残留VOCs废气收集处理完毕后，方可停运处理设施。</w:t>
                  </w:r>
                </w:p>
              </w:tc>
              <w:tc>
                <w:tcPr>
                  <w:tcW w:w="1299" w:type="pct"/>
                  <w:tcBorders>
                    <w:tl2br w:val="nil"/>
                    <w:tr2bl w:val="nil"/>
                  </w:tcBorders>
                  <w:noWrap/>
                  <w:vAlign w:val="center"/>
                </w:tcPr>
                <w:p w14:paraId="7C6CA4A8">
                  <w:pPr>
                    <w:widowControl/>
                    <w:rPr>
                      <w:rFonts w:eastAsiaTheme="minorEastAsia"/>
                      <w:color w:val="000000" w:themeColor="text1"/>
                      <w:szCs w:val="21"/>
                      <w14:textFill>
                        <w14:solidFill>
                          <w14:schemeClr w14:val="tx1"/>
                        </w14:solidFill>
                      </w14:textFill>
                    </w:rPr>
                  </w:pPr>
                  <w:r>
                    <w:rPr>
                      <w:rFonts w:eastAsiaTheme="minorEastAsia"/>
                      <w:color w:val="auto"/>
                      <w:szCs w:val="21"/>
                    </w:rPr>
                    <w:t>本项目产生的挥发性有机废气经集气罩+</w:t>
                  </w:r>
                  <w:r>
                    <w:rPr>
                      <w:rFonts w:hint="eastAsia" w:eastAsiaTheme="minorEastAsia"/>
                      <w:color w:val="auto"/>
                      <w:szCs w:val="21"/>
                    </w:rPr>
                    <w:t>二级</w:t>
                  </w:r>
                  <w:r>
                    <w:rPr>
                      <w:rFonts w:eastAsiaTheme="minorEastAsia"/>
                      <w:color w:val="auto"/>
                      <w:szCs w:val="21"/>
                    </w:rPr>
                    <w:t>活性炭吸附箱处理后经1</w:t>
                  </w:r>
                  <w:r>
                    <w:rPr>
                      <w:rFonts w:hint="eastAsia" w:eastAsiaTheme="minorEastAsia"/>
                      <w:color w:val="auto"/>
                      <w:szCs w:val="21"/>
                    </w:rPr>
                    <w:t>5</w:t>
                  </w:r>
                  <w:r>
                    <w:rPr>
                      <w:rFonts w:eastAsiaTheme="minorEastAsia"/>
                      <w:color w:val="auto"/>
                      <w:szCs w:val="21"/>
                    </w:rPr>
                    <w:t>m高排气筒高空排放。评价要求加强VOCs收集处理设施的管理，提高运行效率，先启动废气收集风机，再启动生产设备；先停运生产设备，再停运风机。</w:t>
                  </w:r>
                </w:p>
              </w:tc>
              <w:tc>
                <w:tcPr>
                  <w:tcW w:w="509" w:type="pct"/>
                  <w:tcBorders>
                    <w:tl2br w:val="nil"/>
                    <w:tr2bl w:val="nil"/>
                  </w:tcBorders>
                  <w:noWrap/>
                  <w:vAlign w:val="center"/>
                </w:tcPr>
                <w:p w14:paraId="23386053">
                  <w:pPr>
                    <w:spacing w:line="320" w:lineRule="exact"/>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符合</w:t>
                  </w:r>
                </w:p>
              </w:tc>
            </w:tr>
            <w:tr w14:paraId="425A3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058" w:type="pct"/>
                  <w:vMerge w:val="restart"/>
                  <w:tcBorders>
                    <w:tl2br w:val="nil"/>
                    <w:tr2bl w:val="nil"/>
                  </w:tcBorders>
                  <w:noWrap/>
                  <w:vAlign w:val="center"/>
                </w:tcPr>
                <w:p w14:paraId="120E6633">
                  <w:pPr>
                    <w:autoSpaceDE w:val="0"/>
                    <w:autoSpaceDN w:val="0"/>
                    <w:adjustRightInd w:val="0"/>
                    <w:jc w:val="center"/>
                    <w:rPr>
                      <w:rFonts w:eastAsiaTheme="minorEastAsia"/>
                      <w:szCs w:val="21"/>
                    </w:rPr>
                  </w:pPr>
                  <w:r>
                    <w:rPr>
                      <w:rFonts w:eastAsiaTheme="minorEastAsia"/>
                      <w:szCs w:val="21"/>
                    </w:rPr>
                    <w:t>《陕西省大气污染治理专项行动方案（2023-2027）》</w:t>
                  </w:r>
                </w:p>
              </w:tc>
              <w:tc>
                <w:tcPr>
                  <w:tcW w:w="2132" w:type="pct"/>
                  <w:tcBorders>
                    <w:tl2br w:val="nil"/>
                    <w:tr2bl w:val="nil"/>
                  </w:tcBorders>
                  <w:noWrap/>
                  <w:vAlign w:val="center"/>
                </w:tcPr>
                <w:p w14:paraId="31483683">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3.产业结构调整。关中地区严禁新增钢铁、焦化、水泥熟料、平板玻璃、电解铝、氧化铝、煤化工产能，合理控制煤油气产能规模，严控新增炼油产能。</w:t>
                  </w:r>
                </w:p>
                <w:p w14:paraId="3DAD28BF">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关中地区市辖区及开发区范围内新、改、扩建涉气重点行业企业应达到环保绩效A级、绩效引领性水平，西安市、咸阳市、渭南市的其他区域应达到环保绩效B级及以上水平。</w:t>
                  </w:r>
                </w:p>
                <w:p w14:paraId="30BDB375">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动态更新挥发性有机物治理设施台账，开展简易低效挥发性有机物治理设施清理整治、涉活性炭挥发性有机物处理工艺专项整治行动，强化挥发性有机物无组织排放整治，确保达到相关标准要求。新建挥发性有机物治理设施不再采用低温等离子、光氧化、光催化等治理技术，非水溶性挥发性有机物废气不再采用喷淋吸收方式处理。西安市、咸阳市、渭南市2023年完成使用溶剂型涂料、油墨、胶粘剂、清洗剂以及涉及有机化工生产企业的简易低效污染治理设施升级改造。</w:t>
                  </w:r>
                </w:p>
              </w:tc>
              <w:tc>
                <w:tcPr>
                  <w:tcW w:w="1299" w:type="pct"/>
                  <w:tcBorders>
                    <w:tl2br w:val="nil"/>
                    <w:tr2bl w:val="nil"/>
                  </w:tcBorders>
                  <w:noWrap/>
                  <w:vAlign w:val="center"/>
                </w:tcPr>
                <w:p w14:paraId="067DE76B">
                  <w:pPr>
                    <w:widowControl/>
                    <w:rPr>
                      <w:rFonts w:eastAsiaTheme="minorEastAsia"/>
                      <w:szCs w:val="21"/>
                    </w:rPr>
                  </w:pPr>
                  <w:r>
                    <w:rPr>
                      <w:rFonts w:hint="eastAsia" w:eastAsiaTheme="minorEastAsia"/>
                      <w:color w:val="000000" w:themeColor="text1"/>
                      <w:szCs w:val="21"/>
                      <w14:textFill>
                        <w14:solidFill>
                          <w14:schemeClr w14:val="tx1"/>
                        </w14:solidFill>
                      </w14:textFill>
                    </w:rPr>
                    <w:t>本项目属于关中地区新建涉气重点行业企业，不属于禁限产业，本次环评要求企业应达到环保绩效A级、绩效引领性水平。</w:t>
                  </w:r>
                  <w:r>
                    <w:rPr>
                      <w:rFonts w:hint="eastAsia" w:eastAsiaTheme="minorEastAsia"/>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snapToGrid w:val="0"/>
                      <w:szCs w:val="21"/>
                      <w:lang w:val="en-US" w:eastAsia="zh-CN"/>
                    </w:rPr>
                    <w:t>在混料机进料口上方设置集气罩</w:t>
                  </w:r>
                  <w:r>
                    <w:rPr>
                      <w:rFonts w:hint="eastAsia" w:cs="Times New Roman"/>
                      <w:snapToGrid w:val="0"/>
                      <w:szCs w:val="21"/>
                      <w:lang w:val="en-US" w:eastAsia="zh-CN"/>
                    </w:rPr>
                    <w:t>及</w:t>
                  </w:r>
                  <w:r>
                    <w:rPr>
                      <w:rFonts w:hint="eastAsia" w:ascii="Times New Roman" w:hAnsi="Times New Roman" w:eastAsia="宋体" w:cs="Times New Roman"/>
                      <w:snapToGrid w:val="0"/>
                      <w:szCs w:val="21"/>
                      <w:lang w:val="en-US" w:eastAsia="zh-CN"/>
                    </w:rPr>
                    <w:t>研磨超细的粉粒则是进入旋风分离器后</w:t>
                  </w:r>
                  <w:r>
                    <w:rPr>
                      <w:rFonts w:hint="default" w:ascii="Times New Roman" w:hAnsi="Times New Roman" w:eastAsia="宋体" w:cs="Times New Roman"/>
                      <w:snapToGrid w:val="0"/>
                      <w:szCs w:val="21"/>
                      <w:lang w:val="en-US" w:eastAsia="zh-CN"/>
                    </w:rPr>
                    <w:t>，进入</w:t>
                  </w:r>
                  <w:r>
                    <w:rPr>
                      <w:rFonts w:hint="eastAsia" w:ascii="Times New Roman" w:hAnsi="Times New Roman" w:eastAsia="宋体" w:cs="Times New Roman"/>
                      <w:snapToGrid w:val="0"/>
                      <w:szCs w:val="21"/>
                      <w:lang w:val="en-US" w:eastAsia="zh-CN"/>
                    </w:rPr>
                    <w:t>同一套滤筒</w:t>
                  </w:r>
                  <w:r>
                    <w:rPr>
                      <w:rFonts w:hint="default" w:ascii="Times New Roman" w:hAnsi="Times New Roman" w:eastAsia="宋体" w:cs="Times New Roman"/>
                      <w:snapToGrid w:val="0"/>
                      <w:szCs w:val="21"/>
                      <w:lang w:val="en-US" w:eastAsia="zh-CN"/>
                    </w:rPr>
                    <w:t>除尘系统</w:t>
                  </w:r>
                  <w:r>
                    <w:rPr>
                      <w:rFonts w:hint="eastAsia" w:ascii="Times New Roman" w:hAnsi="Times New Roman" w:eastAsia="宋体" w:cs="Times New Roman"/>
                      <w:snapToGrid w:val="0"/>
                      <w:szCs w:val="21"/>
                      <w:lang w:val="en-US" w:eastAsia="zh-CN"/>
                    </w:rPr>
                    <w:t>处理</w:t>
                  </w:r>
                  <w:r>
                    <w:rPr>
                      <w:rFonts w:hint="default" w:ascii="Times New Roman" w:hAnsi="Times New Roman" w:eastAsia="宋体" w:cs="Times New Roman"/>
                      <w:snapToGrid w:val="0"/>
                      <w:szCs w:val="21"/>
                      <w:lang w:val="en-US" w:eastAsia="zh-CN"/>
                    </w:rPr>
                    <w:t>，处理后经15m高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P1有组织达标排放</w:t>
                  </w:r>
                  <w:r>
                    <w:rPr>
                      <w:rFonts w:hint="eastAsia" w:ascii="Times New Roman" w:hAnsi="Times New Roman" w:eastAsia="宋体" w:cs="Times New Roman"/>
                      <w:snapToGrid w:val="0"/>
                      <w:szCs w:val="21"/>
                      <w:lang w:val="en-US" w:eastAsia="zh-CN"/>
                    </w:rPr>
                    <w:t>；在各挤出机物料出口上方安装集气罩收集后引至二级活性炭吸附装置处理，通过15m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有组织达标排放</w:t>
                  </w:r>
                  <w:r>
                    <w:rPr>
                      <w:rFonts w:hint="eastAsia" w:eastAsiaTheme="minorEastAsia"/>
                      <w:color w:val="000000" w:themeColor="text1"/>
                      <w:szCs w:val="21"/>
                      <w:lang w:eastAsia="zh-CN"/>
                      <w14:textFill>
                        <w14:solidFill>
                          <w14:schemeClr w14:val="tx1"/>
                        </w14:solidFill>
                      </w14:textFill>
                    </w:rPr>
                    <w:t>；</w:t>
                  </w:r>
                  <w:r>
                    <w:rPr>
                      <w:rFonts w:hint="eastAsia" w:ascii="Times New Roman" w:hAnsi="Times New Roman" w:eastAsia="宋体" w:cs="Times New Roman"/>
                      <w:snapToGrid w:val="0"/>
                      <w:szCs w:val="21"/>
                      <w:lang w:val="en-US" w:eastAsia="zh-CN"/>
                    </w:rPr>
                    <w:t>电泳有机废气</w:t>
                  </w:r>
                  <w:r>
                    <w:rPr>
                      <w:rFonts w:hint="eastAsia"/>
                      <w:color w:val="000000" w:themeColor="text1"/>
                      <w:lang w:val="en-US" w:eastAsia="zh-CN"/>
                      <w14:textFill>
                        <w14:solidFill>
                          <w14:schemeClr w14:val="tx1"/>
                        </w14:solidFill>
                      </w14:textFill>
                    </w:rPr>
                    <w:t>经</w:t>
                  </w:r>
                  <w:r>
                    <w:rPr>
                      <w:color w:val="000000" w:themeColor="text1"/>
                      <w14:textFill>
                        <w14:solidFill>
                          <w14:schemeClr w14:val="tx1"/>
                        </w14:solidFill>
                      </w14:textFill>
                    </w:rPr>
                    <w:t>电泳槽</w:t>
                  </w:r>
                  <w:r>
                    <w:rPr>
                      <w:rFonts w:hint="eastAsia"/>
                      <w:color w:val="000000" w:themeColor="text1"/>
                      <w:lang w:eastAsia="zh-CN"/>
                      <w14:textFill>
                        <w14:solidFill>
                          <w14:schemeClr w14:val="tx1"/>
                        </w14:solidFill>
                      </w14:textFill>
                    </w:rPr>
                    <w:t>上部设置包围型集气罩</w:t>
                  </w:r>
                  <w:r>
                    <w:rPr>
                      <w:rFonts w:hint="eastAsia"/>
                      <w:color w:val="000000" w:themeColor="text1"/>
                      <w:lang w:val="en-US" w:eastAsia="zh-CN"/>
                      <w14:textFill>
                        <w14:solidFill>
                          <w14:schemeClr w14:val="tx1"/>
                        </w14:solidFill>
                      </w14:textFill>
                    </w:rPr>
                    <w:t>收集</w:t>
                  </w:r>
                  <w:r>
                    <w:rPr>
                      <w:rFonts w:hint="eastAsia" w:ascii="Times New Roman" w:hAnsi="Times New Roman" w:eastAsia="宋体" w:cs="Times New Roman"/>
                      <w:snapToGrid w:val="0"/>
                      <w:szCs w:val="21"/>
                      <w:lang w:val="en-US" w:eastAsia="zh-CN"/>
                    </w:rPr>
                    <w:t>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排放</w:t>
                  </w:r>
                  <w:r>
                    <w:rPr>
                      <w:rFonts w:hint="eastAsia" w:ascii="Times New Roman" w:hAnsi="Times New Roman" w:eastAsia="宋体" w:cs="Times New Roman"/>
                      <w:snapToGrid w:val="0"/>
                      <w:szCs w:val="21"/>
                      <w:lang w:val="en-US" w:eastAsia="zh-CN"/>
                    </w:rPr>
                    <w:t>；</w:t>
                  </w:r>
                  <w:r>
                    <w:rPr>
                      <w:rFonts w:hint="default" w:ascii="Times New Roman" w:hAnsi="Times New Roman" w:eastAsia="宋体" w:cs="Times New Roman"/>
                      <w:snapToGrid w:val="0"/>
                      <w:szCs w:val="21"/>
                      <w:lang w:val="en-US" w:eastAsia="zh-CN"/>
                    </w:rPr>
                    <w:t>喷粉作业在单独的密闭喷粉室内进行，塑粉经过喷枪充电后喷出，没有附着工件的粉末由喷粉室配备的</w:t>
                  </w:r>
                  <w:r>
                    <w:rPr>
                      <w:rFonts w:hint="eastAsia" w:ascii="Times New Roman" w:hAnsi="Times New Roman" w:eastAsia="宋体" w:cs="Times New Roman"/>
                      <w:snapToGrid w:val="0"/>
                      <w:szCs w:val="21"/>
                      <w:lang w:val="en-US" w:eastAsia="zh-CN"/>
                    </w:rPr>
                    <w:t>旋风+布袋除尘</w:t>
                  </w:r>
                  <w:r>
                    <w:rPr>
                      <w:rFonts w:hint="default" w:ascii="Times New Roman" w:hAnsi="Times New Roman" w:eastAsia="宋体" w:cs="Times New Roman"/>
                      <w:snapToGrid w:val="0"/>
                      <w:szCs w:val="21"/>
                      <w:lang w:val="en-US" w:eastAsia="zh-CN"/>
                    </w:rPr>
                    <w:t>装置收集处理，处理后的废气经15m排气筒P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；固化废气在烘道出入口设置集气罩+软帘收集，收集后的废气由管道进入二级活性炭吸附装置，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；热风炉产生的废气直接进入固化烘道，烘道出入口设置集气罩+软帘收集，收集后的废气由管道进入旋风除尘器+布袋除尘器+二级活性炭吸附装置，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cs="Times New Roman"/>
                      <w:snapToGrid w:val="0"/>
                      <w:szCs w:val="21"/>
                      <w:lang w:val="en-US" w:eastAsia="zh-CN"/>
                    </w:rPr>
                    <w:t>，</w:t>
                  </w:r>
                  <w:r>
                    <w:rPr>
                      <w:rFonts w:hint="eastAsia" w:ascii="Times New Roman" w:hAnsi="Times New Roman" w:eastAsia="宋体" w:cs="Times New Roman"/>
                      <w:snapToGrid w:val="0"/>
                      <w:szCs w:val="21"/>
                      <w:lang w:val="en-US" w:eastAsia="zh-CN"/>
                    </w:rPr>
                    <w:t>可从源头控制污染物排放。</w:t>
                  </w:r>
                </w:p>
              </w:tc>
              <w:tc>
                <w:tcPr>
                  <w:tcW w:w="509" w:type="pct"/>
                  <w:tcBorders>
                    <w:tl2br w:val="nil"/>
                    <w:tr2bl w:val="nil"/>
                  </w:tcBorders>
                  <w:noWrap/>
                  <w:vAlign w:val="center"/>
                </w:tcPr>
                <w:p w14:paraId="4AD0310B">
                  <w:pPr>
                    <w:jc w:val="center"/>
                    <w:rPr>
                      <w:rFonts w:eastAsiaTheme="minorEastAsia"/>
                      <w:szCs w:val="21"/>
                    </w:rPr>
                  </w:pPr>
                  <w:r>
                    <w:rPr>
                      <w:rFonts w:eastAsiaTheme="minorEastAsia"/>
                      <w:szCs w:val="21"/>
                    </w:rPr>
                    <w:t>符合</w:t>
                  </w:r>
                </w:p>
              </w:tc>
            </w:tr>
            <w:tr w14:paraId="1C4D0E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0" w:hRule="atLeast"/>
                <w:jc w:val="center"/>
              </w:trPr>
              <w:tc>
                <w:tcPr>
                  <w:tcW w:w="1058" w:type="pct"/>
                  <w:vMerge w:val="continue"/>
                  <w:tcBorders>
                    <w:tl2br w:val="nil"/>
                    <w:tr2bl w:val="nil"/>
                  </w:tcBorders>
                  <w:noWrap/>
                  <w:vAlign w:val="center"/>
                </w:tcPr>
                <w:p w14:paraId="7FAF931D">
                  <w:pPr>
                    <w:autoSpaceDE w:val="0"/>
                    <w:autoSpaceDN w:val="0"/>
                    <w:adjustRightInd w:val="0"/>
                    <w:jc w:val="center"/>
                    <w:rPr>
                      <w:rFonts w:eastAsiaTheme="minorEastAsia"/>
                      <w:szCs w:val="21"/>
                    </w:rPr>
                  </w:pPr>
                </w:p>
              </w:tc>
              <w:tc>
                <w:tcPr>
                  <w:tcW w:w="2132" w:type="pct"/>
                  <w:tcBorders>
                    <w:tl2br w:val="nil"/>
                    <w:tr2bl w:val="nil"/>
                  </w:tcBorders>
                  <w:noWrap/>
                  <w:vAlign w:val="center"/>
                </w:tcPr>
                <w:p w14:paraId="24099909">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开展含挥发性有机物原辅材料达标情况联合检查。严格执行涂料、油墨、胶粘剂、清洗剂挥发性有机物含量限制标准，建立多部门联合执法机制，加强对相关产品生产、销售、使用环节挥发性有机物含量限值执行情况的监督检查，臭氧高发季节加大检测频次，曝光不合格产品并追溯其生产、销售、进口、使用企业，依法追究责任。</w:t>
                  </w:r>
                </w:p>
              </w:tc>
              <w:tc>
                <w:tcPr>
                  <w:tcW w:w="1299" w:type="pct"/>
                  <w:tcBorders>
                    <w:tl2br w:val="nil"/>
                    <w:tr2bl w:val="nil"/>
                  </w:tcBorders>
                  <w:noWrap/>
                  <w:vAlign w:val="center"/>
                </w:tcPr>
                <w:p w14:paraId="614393C2">
                  <w:pPr>
                    <w:rPr>
                      <w:rFonts w:eastAsiaTheme="minorEastAsia"/>
                      <w:color w:val="000000" w:themeColor="text1"/>
                      <w:szCs w:val="21"/>
                      <w14:textFill>
                        <w14:solidFill>
                          <w14:schemeClr w14:val="tx1"/>
                        </w14:solidFill>
                      </w14:textFill>
                    </w:rPr>
                  </w:pPr>
                  <w:r>
                    <w:rPr>
                      <w:rFonts w:eastAsiaTheme="minorEastAsia"/>
                      <w:color w:val="auto"/>
                      <w:szCs w:val="21"/>
                    </w:rPr>
                    <w:t>本项目</w:t>
                  </w:r>
                  <w:r>
                    <w:rPr>
                      <w:rFonts w:hint="eastAsia" w:eastAsiaTheme="minorEastAsia"/>
                      <w:color w:val="auto"/>
                      <w:szCs w:val="21"/>
                    </w:rPr>
                    <w:t>产品为热固性粉末涂料，属于环保型、低VOC涂料，产品挥发性有机物含量符合限值标准。</w:t>
                  </w:r>
                </w:p>
              </w:tc>
              <w:tc>
                <w:tcPr>
                  <w:tcW w:w="509" w:type="pct"/>
                  <w:tcBorders>
                    <w:tl2br w:val="nil"/>
                    <w:tr2bl w:val="nil"/>
                  </w:tcBorders>
                  <w:noWrap/>
                  <w:vAlign w:val="center"/>
                </w:tcPr>
                <w:p w14:paraId="44DAA6CA">
                  <w:pPr>
                    <w:jc w:val="center"/>
                    <w:rPr>
                      <w:rFonts w:eastAsiaTheme="minorEastAsia"/>
                      <w:szCs w:val="21"/>
                    </w:rPr>
                  </w:pPr>
                  <w:r>
                    <w:rPr>
                      <w:rFonts w:eastAsiaTheme="minorEastAsia"/>
                      <w:szCs w:val="21"/>
                    </w:rPr>
                    <w:t>符合</w:t>
                  </w:r>
                </w:p>
              </w:tc>
            </w:tr>
            <w:tr w14:paraId="5E075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1058" w:type="pct"/>
                  <w:tcBorders>
                    <w:tl2br w:val="nil"/>
                    <w:tr2bl w:val="nil"/>
                  </w:tcBorders>
                  <w:noWrap/>
                  <w:vAlign w:val="center"/>
                </w:tcPr>
                <w:p w14:paraId="16CE152D">
                  <w:pPr>
                    <w:autoSpaceDE w:val="0"/>
                    <w:autoSpaceDN w:val="0"/>
                    <w:adjustRightInd w:val="0"/>
                    <w:jc w:val="center"/>
                    <w:rPr>
                      <w:rFonts w:eastAsiaTheme="minorEastAsia"/>
                      <w:szCs w:val="21"/>
                    </w:rPr>
                  </w:pPr>
                  <w:r>
                    <w:rPr>
                      <w:rFonts w:eastAsiaTheme="minorEastAsia"/>
                      <w:szCs w:val="21"/>
                    </w:rPr>
                    <w:t>《</w:t>
                  </w:r>
                  <w:r>
                    <w:rPr>
                      <w:rFonts w:hint="eastAsia" w:eastAsiaTheme="minorEastAsia"/>
                      <w:szCs w:val="21"/>
                    </w:rPr>
                    <w:t>沣西</w:t>
                  </w:r>
                  <w:r>
                    <w:rPr>
                      <w:rFonts w:eastAsiaTheme="minorEastAsia"/>
                      <w:szCs w:val="21"/>
                    </w:rPr>
                    <w:t>新城大气污染治理专项行动方案》（2023-2027年）</w:t>
                  </w:r>
                </w:p>
              </w:tc>
              <w:tc>
                <w:tcPr>
                  <w:tcW w:w="2132" w:type="pct"/>
                  <w:tcBorders>
                    <w:tl2br w:val="nil"/>
                    <w:tr2bl w:val="nil"/>
                  </w:tcBorders>
                  <w:noWrap/>
                  <w:vAlign w:val="center"/>
                </w:tcPr>
                <w:p w14:paraId="5B48E0E0">
                  <w:pPr>
                    <w:widowControl/>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要抓好源头治理，严格管控核心区施工机械、露天切割打磨、涉土作业、散煤复燃、露天焚烧等污染源头，强化各类天气应对及精准防控等措施，确保空气质量持续改善。要尽快成立新城大气污染治理专项行动领导小组，强化工作力量，统筹抓总开展工作。各部门、各单位要强化责任意识，紧密协作，合力攻坚。对发现的问题要及时交办，建立台账，限时整改，闭环管理，对照大气污染治理任务清单和整改台账，坚持问题导向，强化督促检查和执纪问责，特别是对工作问题突出的单位要及时通报、约谈，确保大气污染治理工作顺利开展。</w:t>
                  </w:r>
                </w:p>
              </w:tc>
              <w:tc>
                <w:tcPr>
                  <w:tcW w:w="1299" w:type="pct"/>
                  <w:vMerge w:val="restart"/>
                  <w:tcBorders>
                    <w:tl2br w:val="nil"/>
                    <w:tr2bl w:val="nil"/>
                  </w:tcBorders>
                  <w:noWrap/>
                  <w:vAlign w:val="center"/>
                </w:tcPr>
                <w:p w14:paraId="01F0FE07">
                  <w:pPr>
                    <w:widowControl/>
                    <w:rPr>
                      <w:rFonts w:eastAsiaTheme="minorEastAsia"/>
                      <w:szCs w:val="21"/>
                    </w:rPr>
                  </w:pPr>
                  <w:r>
                    <w:rPr>
                      <w:rFonts w:hint="eastAsia" w:eastAsiaTheme="minorEastAsia"/>
                      <w:color w:val="000000" w:themeColor="text1"/>
                      <w:szCs w:val="21"/>
                      <w:lang w:val="en-US" w:eastAsia="zh-CN"/>
                      <w14:textFill>
                        <w14:solidFill>
                          <w14:schemeClr w14:val="tx1"/>
                        </w14:solidFill>
                      </w14:textFill>
                    </w:rPr>
                    <w:t>本项目</w:t>
                  </w:r>
                  <w:r>
                    <w:rPr>
                      <w:rFonts w:hint="eastAsia" w:ascii="Times New Roman" w:hAnsi="Times New Roman" w:eastAsia="宋体" w:cs="Times New Roman"/>
                      <w:snapToGrid w:val="0"/>
                      <w:szCs w:val="21"/>
                      <w:lang w:val="en-US" w:eastAsia="zh-CN"/>
                    </w:rPr>
                    <w:t>在混料机进料口上方设置集气罩</w:t>
                  </w:r>
                  <w:r>
                    <w:rPr>
                      <w:rFonts w:hint="eastAsia" w:cs="Times New Roman"/>
                      <w:snapToGrid w:val="0"/>
                      <w:szCs w:val="21"/>
                      <w:lang w:val="en-US" w:eastAsia="zh-CN"/>
                    </w:rPr>
                    <w:t>及</w:t>
                  </w:r>
                  <w:r>
                    <w:rPr>
                      <w:rFonts w:hint="eastAsia" w:ascii="Times New Roman" w:hAnsi="Times New Roman" w:eastAsia="宋体" w:cs="Times New Roman"/>
                      <w:snapToGrid w:val="0"/>
                      <w:szCs w:val="21"/>
                      <w:lang w:val="en-US" w:eastAsia="zh-CN"/>
                    </w:rPr>
                    <w:t>研磨超细的粉粒则是进入旋风分离器后</w:t>
                  </w:r>
                  <w:r>
                    <w:rPr>
                      <w:rFonts w:hint="default" w:ascii="Times New Roman" w:hAnsi="Times New Roman" w:eastAsia="宋体" w:cs="Times New Roman"/>
                      <w:snapToGrid w:val="0"/>
                      <w:szCs w:val="21"/>
                      <w:lang w:val="en-US" w:eastAsia="zh-CN"/>
                    </w:rPr>
                    <w:t>，进入</w:t>
                  </w:r>
                  <w:r>
                    <w:rPr>
                      <w:rFonts w:hint="eastAsia" w:ascii="Times New Roman" w:hAnsi="Times New Roman" w:eastAsia="宋体" w:cs="Times New Roman"/>
                      <w:snapToGrid w:val="0"/>
                      <w:szCs w:val="21"/>
                      <w:lang w:val="en-US" w:eastAsia="zh-CN"/>
                    </w:rPr>
                    <w:t>同一套滤筒</w:t>
                  </w:r>
                  <w:r>
                    <w:rPr>
                      <w:rFonts w:hint="default" w:ascii="Times New Roman" w:hAnsi="Times New Roman" w:eastAsia="宋体" w:cs="Times New Roman"/>
                      <w:snapToGrid w:val="0"/>
                      <w:szCs w:val="21"/>
                      <w:lang w:val="en-US" w:eastAsia="zh-CN"/>
                    </w:rPr>
                    <w:t>除尘系统</w:t>
                  </w:r>
                  <w:r>
                    <w:rPr>
                      <w:rFonts w:hint="eastAsia" w:ascii="Times New Roman" w:hAnsi="Times New Roman" w:eastAsia="宋体" w:cs="Times New Roman"/>
                      <w:snapToGrid w:val="0"/>
                      <w:szCs w:val="21"/>
                      <w:lang w:val="en-US" w:eastAsia="zh-CN"/>
                    </w:rPr>
                    <w:t>处理</w:t>
                  </w:r>
                  <w:r>
                    <w:rPr>
                      <w:rFonts w:hint="default" w:ascii="Times New Roman" w:hAnsi="Times New Roman" w:eastAsia="宋体" w:cs="Times New Roman"/>
                      <w:snapToGrid w:val="0"/>
                      <w:szCs w:val="21"/>
                      <w:lang w:val="en-US" w:eastAsia="zh-CN"/>
                    </w:rPr>
                    <w:t>，处理后经15m高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P1有组织达标排放</w:t>
                  </w:r>
                  <w:r>
                    <w:rPr>
                      <w:rFonts w:hint="eastAsia" w:ascii="Times New Roman" w:hAnsi="Times New Roman" w:eastAsia="宋体" w:cs="Times New Roman"/>
                      <w:snapToGrid w:val="0"/>
                      <w:szCs w:val="21"/>
                      <w:lang w:val="en-US" w:eastAsia="zh-CN"/>
                    </w:rPr>
                    <w:t>；在各挤出机物料出口上方安装集气罩收集后引至二级活性炭吸附装置处理，通过15m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有组织达标排放</w:t>
                  </w:r>
                  <w:r>
                    <w:rPr>
                      <w:rFonts w:hint="eastAsia" w:eastAsiaTheme="minorEastAsia"/>
                      <w:color w:val="000000" w:themeColor="text1"/>
                      <w:szCs w:val="21"/>
                      <w:lang w:eastAsia="zh-CN"/>
                      <w14:textFill>
                        <w14:solidFill>
                          <w14:schemeClr w14:val="tx1"/>
                        </w14:solidFill>
                      </w14:textFill>
                    </w:rPr>
                    <w:t>；</w:t>
                  </w:r>
                  <w:r>
                    <w:rPr>
                      <w:rFonts w:hint="eastAsia" w:ascii="Times New Roman" w:hAnsi="Times New Roman" w:eastAsia="宋体" w:cs="Times New Roman"/>
                      <w:snapToGrid w:val="0"/>
                      <w:szCs w:val="21"/>
                      <w:lang w:val="en-US" w:eastAsia="zh-CN"/>
                    </w:rPr>
                    <w:t>电泳有机废气</w:t>
                  </w:r>
                  <w:r>
                    <w:rPr>
                      <w:rFonts w:hint="eastAsia"/>
                      <w:color w:val="000000" w:themeColor="text1"/>
                      <w:lang w:val="en-US" w:eastAsia="zh-CN"/>
                      <w14:textFill>
                        <w14:solidFill>
                          <w14:schemeClr w14:val="tx1"/>
                        </w14:solidFill>
                      </w14:textFill>
                    </w:rPr>
                    <w:t>经</w:t>
                  </w:r>
                  <w:r>
                    <w:rPr>
                      <w:color w:val="000000" w:themeColor="text1"/>
                      <w14:textFill>
                        <w14:solidFill>
                          <w14:schemeClr w14:val="tx1"/>
                        </w14:solidFill>
                      </w14:textFill>
                    </w:rPr>
                    <w:t>电泳槽</w:t>
                  </w:r>
                  <w:r>
                    <w:rPr>
                      <w:rFonts w:hint="eastAsia"/>
                      <w:color w:val="000000" w:themeColor="text1"/>
                      <w:lang w:eastAsia="zh-CN"/>
                      <w14:textFill>
                        <w14:solidFill>
                          <w14:schemeClr w14:val="tx1"/>
                        </w14:solidFill>
                      </w14:textFill>
                    </w:rPr>
                    <w:t>上部设置包围型集气罩</w:t>
                  </w:r>
                  <w:r>
                    <w:rPr>
                      <w:rFonts w:hint="eastAsia"/>
                      <w:color w:val="000000" w:themeColor="text1"/>
                      <w:lang w:val="en-US" w:eastAsia="zh-CN"/>
                      <w14:textFill>
                        <w14:solidFill>
                          <w14:schemeClr w14:val="tx1"/>
                        </w14:solidFill>
                      </w14:textFill>
                    </w:rPr>
                    <w:t>收集</w:t>
                  </w:r>
                  <w:r>
                    <w:rPr>
                      <w:rFonts w:hint="eastAsia" w:ascii="Times New Roman" w:hAnsi="Times New Roman" w:eastAsia="宋体" w:cs="Times New Roman"/>
                      <w:snapToGrid w:val="0"/>
                      <w:szCs w:val="21"/>
                      <w:lang w:val="en-US" w:eastAsia="zh-CN"/>
                    </w:rPr>
                    <w:t>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排放</w:t>
                  </w:r>
                  <w:r>
                    <w:rPr>
                      <w:rFonts w:hint="eastAsia" w:ascii="Times New Roman" w:hAnsi="Times New Roman" w:eastAsia="宋体" w:cs="Times New Roman"/>
                      <w:snapToGrid w:val="0"/>
                      <w:szCs w:val="21"/>
                      <w:lang w:val="en-US" w:eastAsia="zh-CN"/>
                    </w:rPr>
                    <w:t>；</w:t>
                  </w:r>
                  <w:r>
                    <w:rPr>
                      <w:rFonts w:hint="default" w:ascii="Times New Roman" w:hAnsi="Times New Roman" w:eastAsia="宋体" w:cs="Times New Roman"/>
                      <w:snapToGrid w:val="0"/>
                      <w:szCs w:val="21"/>
                      <w:lang w:val="en-US" w:eastAsia="zh-CN"/>
                    </w:rPr>
                    <w:t>喷粉作业在单独的密闭喷粉室内进行，塑粉经过喷枪充电后喷出，没有附着工件的粉末由喷粉室配备的</w:t>
                  </w:r>
                  <w:r>
                    <w:rPr>
                      <w:rFonts w:hint="eastAsia" w:ascii="Times New Roman" w:hAnsi="Times New Roman" w:eastAsia="宋体" w:cs="Times New Roman"/>
                      <w:snapToGrid w:val="0"/>
                      <w:szCs w:val="21"/>
                      <w:lang w:val="en-US" w:eastAsia="zh-CN"/>
                    </w:rPr>
                    <w:t>旋风+布袋除尘</w:t>
                  </w:r>
                  <w:r>
                    <w:rPr>
                      <w:rFonts w:hint="default" w:ascii="Times New Roman" w:hAnsi="Times New Roman" w:eastAsia="宋体" w:cs="Times New Roman"/>
                      <w:snapToGrid w:val="0"/>
                      <w:szCs w:val="21"/>
                      <w:lang w:val="en-US" w:eastAsia="zh-CN"/>
                    </w:rPr>
                    <w:t>装置收集处理，处理后的废气经15m排气筒P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；固化废气在烘道出入口设置集气罩+软帘收集，收集后的废气由管道进入二级活性炭吸附装置，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；热风炉产生的废气直接进入固化烘道，烘道出入口设置集气罩+软帘收集，收集后的废气由管道进入旋风除尘器+布袋除尘器+二级活性炭吸附装置，</w:t>
                  </w:r>
                  <w:r>
                    <w:rPr>
                      <w:rFonts w:hint="default" w:ascii="Times New Roman" w:hAnsi="Times New Roman" w:eastAsia="宋体" w:cs="Times New Roman"/>
                      <w:snapToGrid w:val="0"/>
                      <w:szCs w:val="21"/>
                      <w:lang w:val="en-US" w:eastAsia="zh-CN"/>
                    </w:rPr>
                    <w:t>处理后的废气经15m排气筒</w:t>
                  </w:r>
                  <w:r>
                    <w:rPr>
                      <w:rFonts w:hint="eastAsia" w:cs="Times New Roman"/>
                      <w:snapToGrid w:val="0"/>
                      <w:szCs w:val="21"/>
                      <w:lang w:val="en-US" w:eastAsia="zh-CN"/>
                    </w:rPr>
                    <w:t>P3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，可从源头控制污染物排放。</w:t>
                  </w:r>
                </w:p>
              </w:tc>
              <w:tc>
                <w:tcPr>
                  <w:tcW w:w="509" w:type="pct"/>
                  <w:tcBorders>
                    <w:tl2br w:val="nil"/>
                    <w:tr2bl w:val="nil"/>
                  </w:tcBorders>
                  <w:noWrap/>
                  <w:vAlign w:val="center"/>
                </w:tcPr>
                <w:p w14:paraId="76E13301">
                  <w:pPr>
                    <w:jc w:val="center"/>
                    <w:rPr>
                      <w:rFonts w:eastAsiaTheme="minorEastAsia"/>
                      <w:szCs w:val="21"/>
                    </w:rPr>
                  </w:pPr>
                  <w:r>
                    <w:rPr>
                      <w:rFonts w:eastAsiaTheme="minorEastAsia"/>
                      <w:szCs w:val="21"/>
                    </w:rPr>
                    <w:t>符合</w:t>
                  </w:r>
                </w:p>
              </w:tc>
            </w:tr>
            <w:tr w14:paraId="3C52C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1058" w:type="pct"/>
                  <w:vMerge w:val="restart"/>
                  <w:tcBorders>
                    <w:tl2br w:val="nil"/>
                    <w:tr2bl w:val="nil"/>
                  </w:tcBorders>
                  <w:noWrap/>
                  <w:vAlign w:val="center"/>
                </w:tcPr>
                <w:p w14:paraId="72A40E2B">
                  <w:pPr>
                    <w:autoSpaceDE w:val="0"/>
                    <w:autoSpaceDN w:val="0"/>
                    <w:adjustRightInd w:val="0"/>
                    <w:jc w:val="center"/>
                    <w:rPr>
                      <w:rFonts w:eastAsiaTheme="minorEastAsia"/>
                      <w:snapToGrid w:val="0"/>
                      <w:color w:val="0000FF"/>
                      <w:szCs w:val="21"/>
                    </w:rPr>
                  </w:pPr>
                  <w:r>
                    <w:rPr>
                      <w:rFonts w:eastAsiaTheme="minorEastAsia"/>
                      <w:snapToGrid w:val="0"/>
                      <w:color w:val="000000" w:themeColor="text1"/>
                      <w:szCs w:val="21"/>
                      <w14:textFill>
                        <w14:solidFill>
                          <w14:schemeClr w14:val="tx1"/>
                        </w14:solidFill>
                      </w14:textFill>
                    </w:rPr>
                    <w:t>《西安市大气污染防治条例》</w:t>
                  </w:r>
                </w:p>
              </w:tc>
              <w:tc>
                <w:tcPr>
                  <w:tcW w:w="2132" w:type="pct"/>
                  <w:tcBorders>
                    <w:tl2br w:val="nil"/>
                    <w:tr2bl w:val="nil"/>
                  </w:tcBorders>
                  <w:noWrap/>
                  <w:vAlign w:val="center"/>
                </w:tcPr>
                <w:p w14:paraId="025CBFCF">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鼓励生产、销售、使用低挥发性有机物含量的原料和产品。政府采购应当优先采购低挥发性有机物含量的产品。医院、幼儿园和学校等场所内禁止使用高挥发性有机物含量的产品。</w:t>
                  </w:r>
                </w:p>
                <w:p w14:paraId="062284E6">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在化工、包装印刷、工业涂装等挥发性有机物控制重点行业之外，市人民政府还应当根据产业结构特征和挥发性有机物排放来源，确定本市挥发性有机物控制的其他重点行业。挥发性有机物控制重点行业应当开展挥发性有机物污染治理，达到本市执行的排放控制标准。</w:t>
                  </w:r>
                </w:p>
              </w:tc>
              <w:tc>
                <w:tcPr>
                  <w:tcW w:w="1299" w:type="pct"/>
                  <w:vMerge w:val="continue"/>
                  <w:tcBorders>
                    <w:tl2br w:val="nil"/>
                    <w:tr2bl w:val="nil"/>
                  </w:tcBorders>
                  <w:noWrap/>
                  <w:vAlign w:val="center"/>
                </w:tcPr>
                <w:p w14:paraId="3195B9A1">
                  <w:pPr>
                    <w:widowControl/>
                    <w:rPr>
                      <w:rFonts w:eastAsiaTheme="minorEastAsia"/>
                      <w:szCs w:val="21"/>
                    </w:rPr>
                  </w:pPr>
                </w:p>
              </w:tc>
              <w:tc>
                <w:tcPr>
                  <w:tcW w:w="509" w:type="pct"/>
                  <w:tcBorders>
                    <w:tl2br w:val="nil"/>
                    <w:tr2bl w:val="nil"/>
                  </w:tcBorders>
                  <w:noWrap/>
                  <w:vAlign w:val="center"/>
                </w:tcPr>
                <w:p w14:paraId="60F1AC1A">
                  <w:pPr>
                    <w:widowControl/>
                    <w:jc w:val="center"/>
                    <w:rPr>
                      <w:rFonts w:eastAsiaTheme="minorEastAsia"/>
                      <w:szCs w:val="21"/>
                    </w:rPr>
                  </w:pPr>
                  <w:r>
                    <w:rPr>
                      <w:rFonts w:eastAsiaTheme="minorEastAsia"/>
                      <w:szCs w:val="21"/>
                    </w:rPr>
                    <w:t>符合</w:t>
                  </w:r>
                </w:p>
              </w:tc>
            </w:tr>
            <w:tr w14:paraId="036078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058" w:type="pct"/>
                  <w:vMerge w:val="continue"/>
                  <w:tcBorders>
                    <w:tl2br w:val="nil"/>
                    <w:tr2bl w:val="nil"/>
                  </w:tcBorders>
                  <w:noWrap/>
                  <w:vAlign w:val="center"/>
                </w:tcPr>
                <w:p w14:paraId="39BECA4F">
                  <w:pPr>
                    <w:autoSpaceDE w:val="0"/>
                    <w:autoSpaceDN w:val="0"/>
                    <w:adjustRightInd w:val="0"/>
                    <w:jc w:val="center"/>
                    <w:rPr>
                      <w:rFonts w:eastAsiaTheme="minorEastAsia"/>
                      <w:color w:val="000000" w:themeColor="text1"/>
                      <w:szCs w:val="21"/>
                      <w14:textFill>
                        <w14:solidFill>
                          <w14:schemeClr w14:val="tx1"/>
                        </w14:solidFill>
                      </w14:textFill>
                    </w:rPr>
                  </w:pPr>
                </w:p>
              </w:tc>
              <w:tc>
                <w:tcPr>
                  <w:tcW w:w="2132" w:type="pct"/>
                  <w:tcBorders>
                    <w:tl2br w:val="nil"/>
                    <w:tr2bl w:val="nil"/>
                  </w:tcBorders>
                  <w:noWrap/>
                  <w:vAlign w:val="center"/>
                </w:tcPr>
                <w:p w14:paraId="2D02F033">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产生含挥发性有机物废气的生产和服务活动，应当在密闭空间或者设备中进行，并按照规定安装、使用污染防治设施；无法密闭的，应当采取有效措施减少废气排放。</w:t>
                  </w:r>
                </w:p>
              </w:tc>
              <w:tc>
                <w:tcPr>
                  <w:tcW w:w="1299" w:type="pct"/>
                  <w:vMerge w:val="continue"/>
                  <w:tcBorders>
                    <w:tl2br w:val="nil"/>
                    <w:tr2bl w:val="nil"/>
                  </w:tcBorders>
                  <w:noWrap/>
                  <w:vAlign w:val="center"/>
                </w:tcPr>
                <w:p w14:paraId="312BB9AD">
                  <w:pPr>
                    <w:widowControl/>
                    <w:rPr>
                      <w:rFonts w:eastAsiaTheme="minorEastAsia"/>
                      <w:color w:val="000000" w:themeColor="text1"/>
                      <w:szCs w:val="21"/>
                      <w14:textFill>
                        <w14:solidFill>
                          <w14:schemeClr w14:val="tx1"/>
                        </w14:solidFill>
                      </w14:textFill>
                    </w:rPr>
                  </w:pPr>
                </w:p>
              </w:tc>
              <w:tc>
                <w:tcPr>
                  <w:tcW w:w="509" w:type="pct"/>
                  <w:tcBorders>
                    <w:tl2br w:val="nil"/>
                    <w:tr2bl w:val="nil"/>
                  </w:tcBorders>
                  <w:noWrap/>
                  <w:vAlign w:val="center"/>
                </w:tcPr>
                <w:p w14:paraId="0CC2D1FC">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符合</w:t>
                  </w:r>
                </w:p>
              </w:tc>
            </w:tr>
            <w:tr w14:paraId="36D92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58" w:type="pct"/>
                  <w:tcBorders>
                    <w:tl2br w:val="nil"/>
                    <w:tr2bl w:val="nil"/>
                  </w:tcBorders>
                  <w:noWrap/>
                  <w:vAlign w:val="center"/>
                </w:tcPr>
                <w:p w14:paraId="62AC5DFE">
                  <w:pPr>
                    <w:autoSpaceDE w:val="0"/>
                    <w:autoSpaceDN w:val="0"/>
                    <w:adjustRightInd w:val="0"/>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《挥发性有机物（VOCs）污染防治技术政策》（原环境保护部公告2013年第31号）</w:t>
                  </w:r>
                </w:p>
              </w:tc>
              <w:tc>
                <w:tcPr>
                  <w:tcW w:w="2132" w:type="pct"/>
                  <w:tcBorders>
                    <w:tl2br w:val="nil"/>
                    <w:tr2bl w:val="nil"/>
                  </w:tcBorders>
                  <w:noWrap/>
                  <w:vAlign w:val="center"/>
                </w:tcPr>
                <w:p w14:paraId="37DF7D85">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在涂装、印刷、粘合、工业清洗等含VOCs产品的使用过程中的VOCs污染防治技术措施包括：</w:t>
                  </w:r>
                </w:p>
                <w:p w14:paraId="6C414CB9">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1.鼓励使用通过环境标志产品认证的环保型涂料、油墨、胶粘剂和清洗剂；</w:t>
                  </w:r>
                </w:p>
                <w:p w14:paraId="680E801B">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1299" w:type="pct"/>
                  <w:vMerge w:val="continue"/>
                  <w:tcBorders>
                    <w:tl2br w:val="nil"/>
                    <w:tr2bl w:val="nil"/>
                  </w:tcBorders>
                  <w:noWrap/>
                  <w:vAlign w:val="center"/>
                </w:tcPr>
                <w:p w14:paraId="078E14AC">
                  <w:pPr>
                    <w:widowControl/>
                    <w:rPr>
                      <w:rFonts w:eastAsiaTheme="minorEastAsia"/>
                      <w:color w:val="000000" w:themeColor="text1"/>
                      <w:szCs w:val="21"/>
                      <w14:textFill>
                        <w14:solidFill>
                          <w14:schemeClr w14:val="tx1"/>
                        </w14:solidFill>
                      </w14:textFill>
                    </w:rPr>
                  </w:pPr>
                </w:p>
              </w:tc>
              <w:tc>
                <w:tcPr>
                  <w:tcW w:w="509" w:type="pct"/>
                  <w:tcBorders>
                    <w:tl2br w:val="nil"/>
                    <w:tr2bl w:val="nil"/>
                  </w:tcBorders>
                  <w:noWrap/>
                  <w:vAlign w:val="center"/>
                </w:tcPr>
                <w:p w14:paraId="597A1A59">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符合</w:t>
                  </w:r>
                </w:p>
              </w:tc>
            </w:tr>
            <w:tr w14:paraId="555B1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058" w:type="pct"/>
                  <w:tcBorders>
                    <w:tl2br w:val="nil"/>
                    <w:tr2bl w:val="nil"/>
                  </w:tcBorders>
                  <w:noWrap/>
                  <w:vAlign w:val="center"/>
                </w:tcPr>
                <w:p w14:paraId="5AB19FE0">
                  <w:pPr>
                    <w:autoSpaceDE w:val="0"/>
                    <w:autoSpaceDN w:val="0"/>
                    <w:adjustRightInd w:val="0"/>
                    <w:jc w:val="center"/>
                    <w:rPr>
                      <w:rFonts w:eastAsiaTheme="minorEastAsia"/>
                      <w:snapToGrid w:val="0"/>
                      <w:color w:val="000000" w:themeColor="text1"/>
                      <w:szCs w:val="21"/>
                      <w14:textFill>
                        <w14:solidFill>
                          <w14:schemeClr w14:val="tx1"/>
                        </w14:solidFill>
                      </w14:textFill>
                    </w:rPr>
                  </w:pPr>
                  <w:r>
                    <w:rPr>
                      <w:rFonts w:eastAsiaTheme="minorEastAsia"/>
                      <w:snapToGrid w:val="0"/>
                      <w:color w:val="000000" w:themeColor="text1"/>
                      <w:szCs w:val="21"/>
                      <w14:textFill>
                        <w14:solidFill>
                          <w14:schemeClr w14:val="tx1"/>
                        </w14:solidFill>
                      </w14:textFill>
                    </w:rPr>
                    <w:t>《</w:t>
                  </w:r>
                  <w:r>
                    <w:rPr>
                      <w:rFonts w:hint="eastAsia" w:eastAsiaTheme="minorEastAsia"/>
                      <w:snapToGrid w:val="0"/>
                      <w:color w:val="000000" w:themeColor="text1"/>
                      <w:szCs w:val="21"/>
                      <w:lang w:eastAsia="zh-CN"/>
                      <w14:textFill>
                        <w14:solidFill>
                          <w14:schemeClr w14:val="tx1"/>
                        </w14:solidFill>
                      </w14:textFill>
                    </w:rPr>
                    <w:t>“</w:t>
                  </w:r>
                  <w:r>
                    <w:rPr>
                      <w:rFonts w:eastAsiaTheme="minorEastAsia"/>
                      <w:snapToGrid w:val="0"/>
                      <w:color w:val="000000" w:themeColor="text1"/>
                      <w:szCs w:val="21"/>
                      <w14:textFill>
                        <w14:solidFill>
                          <w14:schemeClr w14:val="tx1"/>
                        </w14:solidFill>
                      </w14:textFill>
                    </w:rPr>
                    <w:t>十四五</w:t>
                  </w:r>
                  <w:r>
                    <w:rPr>
                      <w:rFonts w:hint="eastAsia" w:eastAsiaTheme="minorEastAsia"/>
                      <w:snapToGrid w:val="0"/>
                      <w:color w:val="000000" w:themeColor="text1"/>
                      <w:szCs w:val="21"/>
                      <w:lang w:eastAsia="zh-CN"/>
                      <w14:textFill>
                        <w14:solidFill>
                          <w14:schemeClr w14:val="tx1"/>
                        </w14:solidFill>
                      </w14:textFill>
                    </w:rPr>
                    <w:t>”</w:t>
                  </w:r>
                  <w:r>
                    <w:rPr>
                      <w:rFonts w:eastAsiaTheme="minorEastAsia"/>
                      <w:snapToGrid w:val="0"/>
                      <w:color w:val="000000" w:themeColor="text1"/>
                      <w:szCs w:val="21"/>
                      <w14:textFill>
                        <w14:solidFill>
                          <w14:schemeClr w14:val="tx1"/>
                        </w14:solidFill>
                      </w14:textFill>
                    </w:rPr>
                    <w:t>节能减排综合工作方案》（国气[2021]33号）</w:t>
                  </w:r>
                </w:p>
              </w:tc>
              <w:tc>
                <w:tcPr>
                  <w:tcW w:w="2132" w:type="pct"/>
                  <w:tcBorders>
                    <w:tl2br w:val="nil"/>
                    <w:tr2bl w:val="nil"/>
                  </w:tcBorders>
                  <w:noWrap/>
                  <w:vAlign w:val="center"/>
                </w:tcPr>
                <w:p w14:paraId="636087D6">
                  <w:pPr>
                    <w:widowControl/>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加强油船和原油、成品油码头油气回收治理。到2025年，溶剂型工业涂料、油墨使用比例分别降低20个百分点、10个百分点，溶剂型胶粘剂使用量降低20%。</w:t>
                  </w:r>
                </w:p>
              </w:tc>
              <w:tc>
                <w:tcPr>
                  <w:tcW w:w="1299" w:type="pct"/>
                  <w:vMerge w:val="continue"/>
                  <w:tcBorders>
                    <w:tl2br w:val="nil"/>
                    <w:tr2bl w:val="nil"/>
                  </w:tcBorders>
                  <w:noWrap/>
                  <w:vAlign w:val="center"/>
                </w:tcPr>
                <w:p w14:paraId="46726CA4">
                  <w:pPr>
                    <w:widowControl/>
                    <w:ind w:firstLine="420" w:firstLineChars="200"/>
                    <w:jc w:val="center"/>
                    <w:rPr>
                      <w:rFonts w:eastAsiaTheme="minorEastAsia"/>
                      <w:color w:val="000000" w:themeColor="text1"/>
                      <w:szCs w:val="21"/>
                      <w14:textFill>
                        <w14:solidFill>
                          <w14:schemeClr w14:val="tx1"/>
                        </w14:solidFill>
                      </w14:textFill>
                    </w:rPr>
                  </w:pPr>
                </w:p>
              </w:tc>
              <w:tc>
                <w:tcPr>
                  <w:tcW w:w="509" w:type="pct"/>
                  <w:tcBorders>
                    <w:tl2br w:val="nil"/>
                    <w:tr2bl w:val="nil"/>
                  </w:tcBorders>
                  <w:noWrap/>
                  <w:vAlign w:val="center"/>
                </w:tcPr>
                <w:p w14:paraId="4FF9CEDA">
                  <w:pPr>
                    <w:widowControl/>
                    <w:jc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符合</w:t>
                  </w:r>
                </w:p>
              </w:tc>
            </w:tr>
          </w:tbl>
          <w:p w14:paraId="070AC700">
            <w:pPr>
              <w:widowControl/>
              <w:spacing w:line="360" w:lineRule="auto"/>
              <w:ind w:firstLine="480" w:firstLineChars="200"/>
              <w:jc w:val="left"/>
              <w:rPr>
                <w:rFonts w:eastAsiaTheme="minorEastAsia"/>
              </w:rPr>
            </w:pPr>
            <w:r>
              <w:rPr>
                <w:rFonts w:eastAsiaTheme="minorEastAsia"/>
                <w:color w:val="000000"/>
                <w:kern w:val="0"/>
                <w:sz w:val="24"/>
                <w:lang w:bidi="ar"/>
              </w:rPr>
              <w:t>综上所述，本项目符合法律法规和环境管理政策要求。</w:t>
            </w:r>
          </w:p>
          <w:p w14:paraId="708E6BC7">
            <w:pPr>
              <w:widowControl/>
              <w:spacing w:line="360" w:lineRule="auto"/>
              <w:jc w:val="left"/>
              <w:rPr>
                <w:rFonts w:eastAsiaTheme="minorEastAsia"/>
                <w:b/>
                <w:bCs/>
                <w:color w:val="000000"/>
                <w:kern w:val="0"/>
                <w:sz w:val="24"/>
                <w:lang w:bidi="ar"/>
              </w:rPr>
            </w:pPr>
            <w:r>
              <w:rPr>
                <w:rFonts w:hint="eastAsia" w:eastAsiaTheme="minorEastAsia"/>
                <w:b/>
                <w:bCs/>
                <w:color w:val="000000"/>
                <w:kern w:val="0"/>
                <w:sz w:val="24"/>
                <w:lang w:val="en-US" w:eastAsia="zh-CN" w:bidi="ar"/>
              </w:rPr>
              <w:t>4</w:t>
            </w:r>
            <w:r>
              <w:rPr>
                <w:rFonts w:hint="eastAsia" w:eastAsiaTheme="minorEastAsia"/>
                <w:b/>
                <w:bCs/>
                <w:color w:val="000000"/>
                <w:kern w:val="0"/>
                <w:sz w:val="24"/>
                <w:lang w:eastAsia="zh-CN" w:bidi="ar"/>
              </w:rPr>
              <w:t>.</w:t>
            </w:r>
            <w:r>
              <w:rPr>
                <w:rFonts w:eastAsiaTheme="minorEastAsia"/>
                <w:b/>
                <w:bCs/>
                <w:color w:val="000000"/>
                <w:kern w:val="0"/>
                <w:sz w:val="24"/>
                <w:lang w:bidi="ar"/>
              </w:rPr>
              <w:t>项目选址合理性分析</w:t>
            </w:r>
          </w:p>
          <w:p w14:paraId="586B9E8B">
            <w:pPr>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（1）用地符合性分析</w:t>
            </w:r>
          </w:p>
          <w:p w14:paraId="664756D3">
            <w:pPr>
              <w:widowControl/>
              <w:spacing w:line="360" w:lineRule="auto"/>
              <w:ind w:firstLine="480" w:firstLineChars="200"/>
              <w:jc w:val="left"/>
              <w:rPr>
                <w:rFonts w:hint="eastAsia" w:ascii="Times New Roman" w:hAnsi="Times New Roman" w:cs="Times New Roman" w:eastAsiaTheme="minorEastAsia"/>
                <w:color w:val="auto"/>
                <w:kern w:val="0"/>
                <w:sz w:val="24"/>
                <w:lang w:val="en-US" w:eastAsia="zh-CN" w:bidi="ar"/>
              </w:rPr>
            </w:pPr>
            <w:r>
              <w:rPr>
                <w:rFonts w:hint="eastAsia" w:ascii="Times New Roman" w:hAnsi="Times New Roman" w:cs="Times New Roman" w:eastAsiaTheme="minorEastAsia"/>
                <w:color w:val="auto"/>
                <w:kern w:val="0"/>
                <w:sz w:val="24"/>
                <w:lang w:bidi="ar"/>
              </w:rPr>
              <w:t>本项目位于陕西省西咸新区沣西新城大王</w:t>
            </w:r>
            <w:r>
              <w:rPr>
                <w:rFonts w:hint="eastAsia" w:ascii="Times New Roman" w:hAnsi="Times New Roman" w:cs="Times New Roman" w:eastAsiaTheme="minorEastAsia"/>
                <w:color w:val="auto"/>
                <w:kern w:val="0"/>
                <w:sz w:val="24"/>
                <w:lang w:val="en-US" w:eastAsia="zh-CN" w:bidi="ar"/>
              </w:rPr>
              <w:t>街办</w:t>
            </w:r>
            <w:r>
              <w:rPr>
                <w:rFonts w:hint="eastAsia" w:ascii="Times New Roman" w:hAnsi="Times New Roman" w:cs="Times New Roman" w:eastAsiaTheme="minorEastAsia"/>
                <w:color w:val="auto"/>
                <w:kern w:val="0"/>
                <w:sz w:val="24"/>
                <w:lang w:bidi="ar"/>
              </w:rPr>
              <w:t>大王西村西宝十字口南路西7号，</w:t>
            </w:r>
            <w:r>
              <w:rPr>
                <w:rFonts w:ascii="Times New Roman" w:hAnsi="Times New Roman" w:cs="Times New Roman" w:eastAsiaTheme="minorEastAsia"/>
                <w:color w:val="auto"/>
                <w:kern w:val="0"/>
                <w:sz w:val="24"/>
                <w:lang w:bidi="ar"/>
              </w:rPr>
              <w:t>项目周边地势平坦，地质条件好，建设项目四周环境良好，</w:t>
            </w:r>
            <w:r>
              <w:rPr>
                <w:rFonts w:hint="eastAsia" w:ascii="Times New Roman" w:hAnsi="Times New Roman" w:cs="Times New Roman" w:eastAsiaTheme="minorEastAsia"/>
                <w:color w:val="auto"/>
                <w:kern w:val="0"/>
                <w:sz w:val="24"/>
                <w:lang w:bidi="ar"/>
              </w:rPr>
              <w:t>项目</w:t>
            </w:r>
            <w:r>
              <w:rPr>
                <w:rFonts w:ascii="Times New Roman" w:hAnsi="Times New Roman" w:cs="Times New Roman" w:eastAsiaTheme="minorEastAsia"/>
                <w:color w:val="auto"/>
                <w:kern w:val="0"/>
                <w:sz w:val="24"/>
                <w:lang w:bidi="ar"/>
              </w:rPr>
              <w:t>东</w:t>
            </w:r>
            <w:r>
              <w:rPr>
                <w:rFonts w:hint="eastAsia" w:ascii="Times New Roman" w:hAnsi="Times New Roman" w:cs="Times New Roman" w:eastAsiaTheme="minorEastAsia"/>
                <w:color w:val="auto"/>
                <w:kern w:val="0"/>
                <w:sz w:val="24"/>
                <w:lang w:bidi="ar"/>
              </w:rPr>
              <w:t>、西</w:t>
            </w:r>
            <w:r>
              <w:rPr>
                <w:rFonts w:ascii="Times New Roman" w:hAnsi="Times New Roman" w:cs="Times New Roman" w:eastAsiaTheme="minorEastAsia"/>
                <w:color w:val="auto"/>
                <w:kern w:val="0"/>
                <w:sz w:val="24"/>
                <w:lang w:bidi="ar"/>
              </w:rPr>
              <w:t>侧为</w:t>
            </w:r>
            <w:r>
              <w:rPr>
                <w:rFonts w:hint="eastAsia" w:ascii="Times New Roman" w:hAnsi="Times New Roman" w:cs="Times New Roman" w:eastAsiaTheme="minorEastAsia"/>
                <w:color w:val="auto"/>
                <w:kern w:val="0"/>
                <w:sz w:val="24"/>
                <w:lang w:bidi="ar"/>
              </w:rPr>
              <w:t>空地</w:t>
            </w:r>
            <w:r>
              <w:rPr>
                <w:rFonts w:ascii="Times New Roman" w:hAnsi="Times New Roman" w:cs="Times New Roman" w:eastAsiaTheme="minorEastAsia"/>
                <w:color w:val="auto"/>
                <w:kern w:val="0"/>
                <w:sz w:val="24"/>
                <w:lang w:bidi="ar"/>
              </w:rPr>
              <w:t>，南侧为</w:t>
            </w:r>
            <w:r>
              <w:rPr>
                <w:rFonts w:hint="eastAsia" w:ascii="Times New Roman" w:hAnsi="Times New Roman" w:cs="Times New Roman" w:eastAsiaTheme="minorEastAsia"/>
                <w:color w:val="auto"/>
                <w:kern w:val="0"/>
                <w:sz w:val="24"/>
                <w:lang w:val="en-US" w:eastAsia="zh-CN" w:bidi="ar"/>
              </w:rPr>
              <w:t>陕西金丰家易平建材有限公司</w:t>
            </w:r>
          </w:p>
          <w:p w14:paraId="5FD78C8C">
            <w:pPr>
              <w:widowControl/>
              <w:spacing w:line="360" w:lineRule="auto"/>
              <w:jc w:val="left"/>
              <w:rPr>
                <w:rFonts w:hint="eastAsia" w:ascii="Times New Roman" w:hAnsi="Times New Roman" w:cs="Times New Roman" w:eastAsiaTheme="minorEastAsia"/>
                <w:color w:val="auto"/>
                <w:kern w:val="0"/>
                <w:sz w:val="24"/>
                <w:lang w:eastAsia="zh-CN" w:bidi="ar"/>
              </w:rPr>
            </w:pPr>
            <w:r>
              <w:rPr>
                <w:rFonts w:ascii="Times New Roman" w:hAnsi="Times New Roman" w:cs="Times New Roman" w:eastAsiaTheme="minorEastAsia"/>
                <w:color w:val="auto"/>
                <w:kern w:val="0"/>
                <w:sz w:val="24"/>
                <w:lang w:bidi="ar"/>
              </w:rPr>
              <w:t>，北侧为</w:t>
            </w:r>
            <w:r>
              <w:rPr>
                <w:rFonts w:hint="eastAsia" w:ascii="Times New Roman" w:hAnsi="Times New Roman" w:cs="Times New Roman" w:eastAsiaTheme="minorEastAsia"/>
                <w:color w:val="auto"/>
                <w:kern w:val="0"/>
                <w:sz w:val="24"/>
                <w:lang w:bidi="ar"/>
              </w:rPr>
              <w:t>双顺热镀锌钢管大棚厂</w:t>
            </w:r>
            <w:r>
              <w:rPr>
                <w:rFonts w:hint="eastAsia" w:ascii="Times New Roman" w:hAnsi="Times New Roman" w:cs="Times New Roman" w:eastAsiaTheme="minorEastAsia"/>
                <w:color w:val="auto"/>
                <w:kern w:val="0"/>
                <w:sz w:val="24"/>
                <w:lang w:eastAsia="zh-CN" w:bidi="ar"/>
              </w:rPr>
              <w:t>。</w:t>
            </w:r>
          </w:p>
          <w:p w14:paraId="41399A77">
            <w:pPr>
              <w:widowControl/>
              <w:spacing w:line="360" w:lineRule="auto"/>
              <w:ind w:firstLine="480" w:firstLineChars="200"/>
              <w:jc w:val="left"/>
              <w:rPr>
                <w:rFonts w:ascii="Times New Roman" w:hAnsi="Times New Roman" w:cs="Times New Roman" w:eastAsiaTheme="minorEastAsia"/>
                <w:color w:val="auto"/>
                <w:kern w:val="0"/>
                <w:sz w:val="24"/>
                <w:lang w:bidi="ar"/>
              </w:rPr>
            </w:pPr>
            <w:r>
              <w:rPr>
                <w:rFonts w:hint="eastAsia" w:ascii="Times New Roman" w:hAnsi="Times New Roman" w:cs="Times New Roman" w:eastAsiaTheme="minorEastAsia"/>
                <w:color w:val="auto"/>
                <w:kern w:val="0"/>
                <w:sz w:val="24"/>
                <w:lang w:bidi="ar"/>
              </w:rPr>
              <w:t>根据西咸新区沣西新城大王片区控制性详细规划土地利用规划图可知本项目用地属于二类工业用地（见附图四）</w:t>
            </w:r>
            <w:r>
              <w:rPr>
                <w:rFonts w:ascii="Times New Roman" w:hAnsi="Times New Roman" w:cs="Times New Roman" w:eastAsiaTheme="minorEastAsia"/>
                <w:color w:val="auto"/>
                <w:kern w:val="0"/>
                <w:sz w:val="24"/>
                <w:lang w:bidi="ar"/>
              </w:rPr>
              <w:t>。</w:t>
            </w:r>
          </w:p>
          <w:p w14:paraId="16318396">
            <w:pPr>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（2）环境相容性分析</w:t>
            </w:r>
          </w:p>
          <w:p w14:paraId="51428A76">
            <w:pPr>
              <w:widowControl/>
              <w:spacing w:line="360" w:lineRule="auto"/>
              <w:ind w:firstLine="480" w:firstLineChars="200"/>
              <w:jc w:val="left"/>
              <w:rPr>
                <w:rFonts w:ascii="Times New Roman" w:hAnsi="Times New Roman" w:cs="Times New Roman" w:eastAsiaTheme="minorEastAsia"/>
                <w:color w:val="auto"/>
                <w:kern w:val="0"/>
                <w:sz w:val="24"/>
                <w:lang w:bidi="ar"/>
              </w:rPr>
            </w:pPr>
            <w:r>
              <w:rPr>
                <w:rFonts w:ascii="Times New Roman" w:hAnsi="Times New Roman" w:cs="Times New Roman" w:eastAsiaTheme="minorEastAsia"/>
                <w:color w:val="auto"/>
                <w:kern w:val="0"/>
                <w:sz w:val="24"/>
                <w:lang w:bidi="ar"/>
              </w:rPr>
              <w:t>项目选址不在当地自然保护区、风景名胜区、世界文化和自然遗产地、饮用水水源保护区范围内</w:t>
            </w:r>
            <w:r>
              <w:rPr>
                <w:rFonts w:hint="eastAsia" w:ascii="Times New Roman" w:hAnsi="Times New Roman" w:cs="Times New Roman" w:eastAsiaTheme="minorEastAsia"/>
                <w:color w:val="auto"/>
                <w:kern w:val="0"/>
                <w:sz w:val="24"/>
                <w:lang w:bidi="ar"/>
              </w:rPr>
              <w:t>，</w:t>
            </w:r>
            <w:r>
              <w:rPr>
                <w:rFonts w:ascii="Times New Roman" w:hAnsi="Times New Roman" w:cs="Times New Roman" w:eastAsiaTheme="minorEastAsia"/>
                <w:color w:val="auto"/>
                <w:kern w:val="0"/>
                <w:sz w:val="24"/>
                <w:lang w:bidi="ar"/>
              </w:rPr>
              <w:t>项目选址地区交通运输条件良好，外部供电、供水、供气、通讯等基础设施的条件较好。项目的建设与周围环境不存在相互制约关系。</w:t>
            </w:r>
          </w:p>
          <w:p w14:paraId="6FCB3614">
            <w:pPr>
              <w:widowControl/>
              <w:spacing w:line="360" w:lineRule="auto"/>
              <w:ind w:firstLine="480" w:firstLineChars="200"/>
              <w:jc w:val="both"/>
              <w:rPr>
                <w:rFonts w:hint="eastAsia" w:cs="Times New Roman" w:eastAsiaTheme="minorEastAsia"/>
                <w:color w:val="auto"/>
                <w:kern w:val="0"/>
                <w:sz w:val="24"/>
                <w:lang w:val="en-US" w:eastAsia="zh-CN" w:bidi="ar"/>
              </w:rPr>
            </w:pPr>
            <w:r>
              <w:rPr>
                <w:rFonts w:hint="default" w:ascii="Times New Roman" w:hAnsi="Times New Roman" w:cs="Times New Roman" w:eastAsiaTheme="minorEastAsia"/>
                <w:color w:val="auto"/>
                <w:kern w:val="0"/>
                <w:sz w:val="24"/>
                <w:lang w:val="en-US" w:eastAsia="zh-CN" w:bidi="ar"/>
              </w:rPr>
              <w:t>本项目</w:t>
            </w:r>
            <w:r>
              <w:rPr>
                <w:rFonts w:hint="eastAsia" w:ascii="Times New Roman" w:hAnsi="Times New Roman" w:cs="Times New Roman" w:eastAsiaTheme="minorEastAsia"/>
                <w:color w:val="auto"/>
                <w:kern w:val="0"/>
                <w:sz w:val="24"/>
                <w:lang w:val="en-US" w:eastAsia="zh-CN" w:bidi="ar"/>
              </w:rPr>
              <w:t>属于涂料制造、金属表面处理及热处理加工</w:t>
            </w:r>
            <w:r>
              <w:rPr>
                <w:rFonts w:hint="default" w:ascii="Times New Roman" w:hAnsi="Times New Roman" w:cs="Times New Roman" w:eastAsiaTheme="minorEastAsia"/>
                <w:color w:val="auto"/>
                <w:kern w:val="0"/>
                <w:sz w:val="24"/>
                <w:lang w:val="en-US" w:eastAsia="zh-CN" w:bidi="ar"/>
              </w:rPr>
              <w:t>（主要产污工序为投料</w:t>
            </w:r>
            <w:r>
              <w:rPr>
                <w:rFonts w:hint="eastAsia" w:ascii="Times New Roman" w:hAnsi="Times New Roman" w:cs="Times New Roman" w:eastAsiaTheme="minorEastAsia"/>
                <w:color w:val="auto"/>
                <w:kern w:val="0"/>
                <w:sz w:val="24"/>
                <w:lang w:val="en-US" w:eastAsia="zh-CN" w:bidi="ar"/>
              </w:rPr>
              <w:t>、研磨、熔融挤出/压片、电泳</w:t>
            </w:r>
            <w:r>
              <w:rPr>
                <w:rFonts w:hint="default" w:ascii="Times New Roman" w:hAnsi="Times New Roman" w:cs="Times New Roman" w:eastAsiaTheme="minorEastAsia"/>
                <w:color w:val="auto"/>
                <w:kern w:val="0"/>
                <w:sz w:val="24"/>
                <w:lang w:val="en-US" w:eastAsia="zh-CN" w:bidi="ar"/>
              </w:rPr>
              <w:t>喷粉</w:t>
            </w:r>
            <w:r>
              <w:rPr>
                <w:rFonts w:hint="eastAsia" w:ascii="Times New Roman" w:hAnsi="Times New Roman" w:cs="Times New Roman" w:eastAsiaTheme="minorEastAsia"/>
                <w:color w:val="auto"/>
                <w:kern w:val="0"/>
                <w:sz w:val="24"/>
                <w:lang w:val="en-US" w:eastAsia="zh-CN" w:bidi="ar"/>
              </w:rPr>
              <w:t>、固化及</w:t>
            </w:r>
            <w:r>
              <w:rPr>
                <w:rFonts w:hint="default" w:ascii="Times New Roman" w:hAnsi="Times New Roman" w:cs="Times New Roman" w:eastAsiaTheme="minorEastAsia"/>
                <w:color w:val="auto"/>
                <w:kern w:val="0"/>
                <w:sz w:val="24"/>
                <w:lang w:val="en-US" w:eastAsia="zh-CN" w:bidi="ar"/>
              </w:rPr>
              <w:t>热风炉燃烧）</w:t>
            </w:r>
            <w:r>
              <w:rPr>
                <w:rFonts w:hint="eastAsia" w:ascii="Times New Roman" w:hAnsi="Times New Roman" w:cs="Times New Roman" w:eastAsiaTheme="minorEastAsia"/>
                <w:color w:val="auto"/>
                <w:kern w:val="0"/>
                <w:sz w:val="24"/>
                <w:lang w:val="en-US" w:eastAsia="zh-CN" w:bidi="ar"/>
              </w:rPr>
              <w:t>。本项目在混料机进料口上方设置集气罩及研磨超细的粉粒则是进入旋风分离器后</w:t>
            </w:r>
            <w:r>
              <w:rPr>
                <w:rFonts w:hint="default" w:ascii="Times New Roman" w:hAnsi="Times New Roman" w:cs="Times New Roman" w:eastAsiaTheme="minorEastAsia"/>
                <w:color w:val="auto"/>
                <w:kern w:val="0"/>
                <w:sz w:val="24"/>
                <w:lang w:val="en-US" w:eastAsia="zh-CN" w:bidi="ar"/>
              </w:rPr>
              <w:t>，进入</w:t>
            </w:r>
            <w:r>
              <w:rPr>
                <w:rFonts w:hint="eastAsia" w:ascii="Times New Roman" w:hAnsi="Times New Roman" w:cs="Times New Roman" w:eastAsiaTheme="minorEastAsia"/>
                <w:color w:val="auto"/>
                <w:kern w:val="0"/>
                <w:sz w:val="24"/>
                <w:lang w:val="en-US" w:eastAsia="zh-CN" w:bidi="ar"/>
              </w:rPr>
              <w:t>同一套滤筒</w:t>
            </w:r>
            <w:r>
              <w:rPr>
                <w:rFonts w:hint="default" w:ascii="Times New Roman" w:hAnsi="Times New Roman" w:cs="Times New Roman" w:eastAsiaTheme="minorEastAsia"/>
                <w:color w:val="auto"/>
                <w:kern w:val="0"/>
                <w:sz w:val="24"/>
                <w:lang w:val="en-US" w:eastAsia="zh-CN" w:bidi="ar"/>
              </w:rPr>
              <w:t>除尘系统</w:t>
            </w:r>
            <w:r>
              <w:rPr>
                <w:rFonts w:hint="eastAsia" w:ascii="Times New Roman" w:hAnsi="Times New Roman" w:cs="Times New Roman" w:eastAsiaTheme="minorEastAsia"/>
                <w:color w:val="auto"/>
                <w:kern w:val="0"/>
                <w:sz w:val="24"/>
                <w:lang w:val="en-US" w:eastAsia="zh-CN" w:bidi="ar"/>
              </w:rPr>
              <w:t>处理</w:t>
            </w:r>
            <w:r>
              <w:rPr>
                <w:rFonts w:hint="default" w:ascii="Times New Roman" w:hAnsi="Times New Roman" w:cs="Times New Roman" w:eastAsiaTheme="minorEastAsia"/>
                <w:color w:val="auto"/>
                <w:kern w:val="0"/>
                <w:sz w:val="24"/>
                <w:lang w:val="en-US" w:eastAsia="zh-CN" w:bidi="ar"/>
              </w:rPr>
              <w:t>，处理后经15m高</w:t>
            </w:r>
            <w:r>
              <w:rPr>
                <w:rFonts w:hint="eastAsia" w:ascii="Times New Roman" w:hAnsi="Times New Roman" w:cs="Times New Roman" w:eastAsiaTheme="minorEastAsia"/>
                <w:color w:val="auto"/>
                <w:kern w:val="0"/>
                <w:sz w:val="24"/>
                <w:lang w:val="en-US" w:eastAsia="zh-CN" w:bidi="ar"/>
              </w:rPr>
              <w:t>排气筒</w:t>
            </w:r>
            <w:r>
              <w:rPr>
                <w:rFonts w:hint="default" w:ascii="Times New Roman" w:hAnsi="Times New Roman" w:cs="Times New Roman" w:eastAsiaTheme="minorEastAsia"/>
                <w:color w:val="auto"/>
                <w:kern w:val="0"/>
                <w:sz w:val="24"/>
                <w:lang w:val="en-US" w:eastAsia="zh-CN" w:bidi="ar"/>
              </w:rPr>
              <w:t>P1有组织达标排放</w:t>
            </w:r>
            <w:r>
              <w:rPr>
                <w:rFonts w:hint="eastAsia" w:ascii="Times New Roman" w:hAnsi="Times New Roman" w:cs="Times New Roman" w:eastAsiaTheme="minorEastAsia"/>
                <w:color w:val="auto"/>
                <w:kern w:val="0"/>
                <w:sz w:val="24"/>
                <w:lang w:val="en-US" w:eastAsia="zh-CN" w:bidi="ar"/>
              </w:rPr>
              <w:t>；在各挤出机物料出口上方安装集气罩收集后引至二级活性炭吸附装置处理，通过15m</w:t>
            </w:r>
            <w:r>
              <w:rPr>
                <w:rFonts w:hint="default" w:ascii="Times New Roman" w:hAnsi="Times New Roman" w:cs="Times New Roman" w:eastAsiaTheme="minorEastAsia"/>
                <w:color w:val="auto"/>
                <w:kern w:val="0"/>
                <w:sz w:val="24"/>
                <w:lang w:val="en-US" w:eastAsia="zh-CN" w:bidi="ar"/>
              </w:rPr>
              <w:t>高</w:t>
            </w:r>
            <w:r>
              <w:rPr>
                <w:rFonts w:hint="eastAsia" w:ascii="Times New Roman" w:hAnsi="Times New Roman" w:cs="Times New Roman" w:eastAsiaTheme="minorEastAsia"/>
                <w:color w:val="auto"/>
                <w:kern w:val="0"/>
                <w:sz w:val="24"/>
                <w:lang w:val="en-US" w:eastAsia="zh-CN" w:bidi="ar"/>
              </w:rPr>
              <w:t>排气筒</w:t>
            </w:r>
            <w:r>
              <w:rPr>
                <w:rFonts w:hint="default" w:ascii="Times New Roman" w:hAnsi="Times New Roman" w:cs="Times New Roman" w:eastAsiaTheme="minorEastAsia"/>
                <w:color w:val="auto"/>
                <w:kern w:val="0"/>
                <w:sz w:val="24"/>
                <w:lang w:val="en-US" w:eastAsia="zh-CN" w:bidi="ar"/>
              </w:rPr>
              <w:t>P</w:t>
            </w:r>
            <w:r>
              <w:rPr>
                <w:rFonts w:hint="eastAsia" w:ascii="Times New Roman" w:hAnsi="Times New Roman" w:cs="Times New Roman" w:eastAsiaTheme="minorEastAsia"/>
                <w:color w:val="auto"/>
                <w:kern w:val="0"/>
                <w:sz w:val="24"/>
                <w:lang w:val="en-US" w:eastAsia="zh-CN" w:bidi="ar"/>
              </w:rPr>
              <w:t>2</w:t>
            </w:r>
            <w:r>
              <w:rPr>
                <w:rFonts w:hint="default" w:ascii="Times New Roman" w:hAnsi="Times New Roman" w:cs="Times New Roman" w:eastAsiaTheme="minorEastAsia"/>
                <w:color w:val="auto"/>
                <w:kern w:val="0"/>
                <w:sz w:val="24"/>
                <w:lang w:val="en-US" w:eastAsia="zh-CN" w:bidi="ar"/>
              </w:rPr>
              <w:t>有组织达标排放</w:t>
            </w:r>
            <w:r>
              <w:rPr>
                <w:rFonts w:hint="eastAsia" w:ascii="Times New Roman" w:hAnsi="Times New Roman" w:cs="Times New Roman" w:eastAsiaTheme="minorEastAsia"/>
                <w:color w:val="auto"/>
                <w:kern w:val="0"/>
                <w:sz w:val="24"/>
                <w:lang w:val="en-US" w:eastAsia="zh-CN" w:bidi="ar"/>
              </w:rPr>
              <w:t>；电泳有机废气经电泳槽上部设置包围型集气罩收集后引至二级活性炭吸附装置处理，通过15m</w:t>
            </w:r>
            <w:r>
              <w:rPr>
                <w:rFonts w:hint="default" w:ascii="Times New Roman" w:hAnsi="Times New Roman" w:cs="Times New Roman" w:eastAsiaTheme="minorEastAsia"/>
                <w:color w:val="auto"/>
                <w:kern w:val="0"/>
                <w:sz w:val="24"/>
                <w:lang w:val="en-US" w:eastAsia="zh-CN" w:bidi="ar"/>
              </w:rPr>
              <w:t>高</w:t>
            </w:r>
            <w:r>
              <w:rPr>
                <w:rFonts w:hint="eastAsia" w:ascii="Times New Roman" w:hAnsi="Times New Roman" w:cs="Times New Roman" w:eastAsiaTheme="minorEastAsia"/>
                <w:color w:val="auto"/>
                <w:kern w:val="0"/>
                <w:sz w:val="24"/>
                <w:lang w:val="en-US" w:eastAsia="zh-CN" w:bidi="ar"/>
              </w:rPr>
              <w:t>排气筒</w:t>
            </w:r>
            <w:r>
              <w:rPr>
                <w:rFonts w:hint="default" w:ascii="Times New Roman" w:hAnsi="Times New Roman" w:cs="Times New Roman" w:eastAsiaTheme="minorEastAsia"/>
                <w:color w:val="auto"/>
                <w:kern w:val="0"/>
                <w:sz w:val="24"/>
                <w:lang w:val="en-US" w:eastAsia="zh-CN" w:bidi="ar"/>
              </w:rPr>
              <w:t>P</w:t>
            </w:r>
            <w:r>
              <w:rPr>
                <w:rFonts w:hint="eastAsia" w:ascii="Times New Roman" w:hAnsi="Times New Roman" w:cs="Times New Roman" w:eastAsiaTheme="minorEastAsia"/>
                <w:color w:val="auto"/>
                <w:kern w:val="0"/>
                <w:sz w:val="24"/>
                <w:lang w:val="en-US" w:eastAsia="zh-CN" w:bidi="ar"/>
              </w:rPr>
              <w:t>2</w:t>
            </w:r>
            <w:r>
              <w:rPr>
                <w:rFonts w:hint="default" w:ascii="Times New Roman" w:hAnsi="Times New Roman" w:cs="Times New Roman" w:eastAsiaTheme="minorEastAsia"/>
                <w:color w:val="auto"/>
                <w:kern w:val="0"/>
                <w:sz w:val="24"/>
                <w:lang w:val="en-US" w:eastAsia="zh-CN" w:bidi="ar"/>
              </w:rPr>
              <w:t>排放</w:t>
            </w:r>
            <w:r>
              <w:rPr>
                <w:rFonts w:hint="eastAsia" w:ascii="Times New Roman" w:hAnsi="Times New Roman" w:cs="Times New Roman" w:eastAsiaTheme="minorEastAsia"/>
                <w:color w:val="auto"/>
                <w:kern w:val="0"/>
                <w:sz w:val="24"/>
                <w:lang w:val="en-US" w:eastAsia="zh-CN" w:bidi="ar"/>
              </w:rPr>
              <w:t>；</w:t>
            </w:r>
            <w:r>
              <w:rPr>
                <w:rFonts w:hint="default" w:ascii="Times New Roman" w:hAnsi="Times New Roman" w:cs="Times New Roman" w:eastAsiaTheme="minorEastAsia"/>
                <w:color w:val="auto"/>
                <w:kern w:val="0"/>
                <w:sz w:val="24"/>
                <w:lang w:val="en-US" w:eastAsia="zh-CN" w:bidi="ar"/>
              </w:rPr>
              <w:t>喷粉作业在单独的密闭喷粉室内进行，塑粉经过喷枪充电后喷出，没有附着工件的粉末由喷粉室配备的</w:t>
            </w:r>
            <w:r>
              <w:rPr>
                <w:rFonts w:hint="eastAsia" w:ascii="Times New Roman" w:hAnsi="Times New Roman" w:cs="Times New Roman" w:eastAsiaTheme="minorEastAsia"/>
                <w:color w:val="auto"/>
                <w:kern w:val="0"/>
                <w:sz w:val="24"/>
                <w:lang w:val="en-US" w:eastAsia="zh-CN" w:bidi="ar"/>
              </w:rPr>
              <w:t>旋风+布袋除尘</w:t>
            </w:r>
            <w:r>
              <w:rPr>
                <w:rFonts w:hint="default" w:ascii="Times New Roman" w:hAnsi="Times New Roman" w:cs="Times New Roman" w:eastAsiaTheme="minorEastAsia"/>
                <w:color w:val="auto"/>
                <w:kern w:val="0"/>
                <w:sz w:val="24"/>
                <w:lang w:val="en-US" w:eastAsia="zh-CN" w:bidi="ar"/>
              </w:rPr>
              <w:t>装置收集处理，处理后的废气经15m排气筒P</w:t>
            </w:r>
            <w:r>
              <w:rPr>
                <w:rFonts w:hint="eastAsia" w:ascii="Times New Roman" w:hAnsi="Times New Roman" w:cs="Times New Roman" w:eastAsiaTheme="minorEastAsia"/>
                <w:color w:val="auto"/>
                <w:kern w:val="0"/>
                <w:sz w:val="24"/>
                <w:lang w:val="en-US" w:eastAsia="zh-CN" w:bidi="ar"/>
              </w:rPr>
              <w:t>3</w:t>
            </w:r>
            <w:r>
              <w:rPr>
                <w:rFonts w:hint="default" w:ascii="Times New Roman" w:hAnsi="Times New Roman" w:cs="Times New Roman" w:eastAsiaTheme="minorEastAsia"/>
                <w:color w:val="auto"/>
                <w:kern w:val="0"/>
                <w:sz w:val="24"/>
                <w:lang w:val="en-US" w:eastAsia="zh-CN" w:bidi="ar"/>
              </w:rPr>
              <w:t>有组织达标排放</w:t>
            </w:r>
            <w:r>
              <w:rPr>
                <w:rFonts w:hint="eastAsia" w:ascii="Times New Roman" w:hAnsi="Times New Roman" w:cs="Times New Roman" w:eastAsiaTheme="minorEastAsia"/>
                <w:color w:val="auto"/>
                <w:kern w:val="0"/>
                <w:sz w:val="24"/>
                <w:lang w:val="en-US" w:eastAsia="zh-CN" w:bidi="ar"/>
              </w:rPr>
              <w:t>；固化废气在烘道出入口设置集气罩+软帘收集，收集后的废气由管道进入二级活性炭吸附装置，</w:t>
            </w:r>
            <w:r>
              <w:rPr>
                <w:rFonts w:hint="default" w:ascii="Times New Roman" w:hAnsi="Times New Roman" w:cs="Times New Roman" w:eastAsiaTheme="minorEastAsia"/>
                <w:color w:val="auto"/>
                <w:kern w:val="0"/>
                <w:sz w:val="24"/>
                <w:lang w:val="en-US" w:eastAsia="zh-CN" w:bidi="ar"/>
              </w:rPr>
              <w:t>处理后的废气经15m排气筒P</w:t>
            </w:r>
            <w:r>
              <w:rPr>
                <w:rFonts w:hint="eastAsia" w:ascii="Times New Roman" w:hAnsi="Times New Roman" w:cs="Times New Roman" w:eastAsiaTheme="minorEastAsia"/>
                <w:color w:val="auto"/>
                <w:kern w:val="0"/>
                <w:sz w:val="24"/>
                <w:lang w:val="en-US" w:eastAsia="zh-CN" w:bidi="ar"/>
              </w:rPr>
              <w:t>3</w:t>
            </w:r>
            <w:r>
              <w:rPr>
                <w:rFonts w:hint="default" w:ascii="Times New Roman" w:hAnsi="Times New Roman" w:cs="Times New Roman" w:eastAsiaTheme="minorEastAsia"/>
                <w:color w:val="auto"/>
                <w:kern w:val="0"/>
                <w:sz w:val="24"/>
                <w:lang w:val="en-US" w:eastAsia="zh-CN" w:bidi="ar"/>
              </w:rPr>
              <w:t>有组织达标排放</w:t>
            </w:r>
            <w:r>
              <w:rPr>
                <w:rFonts w:hint="eastAsia" w:ascii="Times New Roman" w:hAnsi="Times New Roman" w:cs="Times New Roman" w:eastAsiaTheme="minorEastAsia"/>
                <w:color w:val="auto"/>
                <w:kern w:val="0"/>
                <w:sz w:val="24"/>
                <w:lang w:val="en-US" w:eastAsia="zh-CN" w:bidi="ar"/>
              </w:rPr>
              <w:t>；热风炉产生的废气直接进入固化烘道，烘道出入口设置集气罩+软帘收集，收集后的废气由管道进入旋风除尘器+布袋除尘器+二级活性炭吸附装置，</w:t>
            </w:r>
            <w:r>
              <w:rPr>
                <w:rFonts w:hint="default" w:ascii="Times New Roman" w:hAnsi="Times New Roman" w:cs="Times New Roman" w:eastAsiaTheme="minorEastAsia"/>
                <w:color w:val="auto"/>
                <w:kern w:val="0"/>
                <w:sz w:val="24"/>
                <w:lang w:val="en-US" w:eastAsia="zh-CN" w:bidi="ar"/>
              </w:rPr>
              <w:t>处理后的废气经15m排气筒P</w:t>
            </w:r>
            <w:r>
              <w:rPr>
                <w:rFonts w:hint="eastAsia" w:ascii="Times New Roman" w:hAnsi="Times New Roman" w:cs="Times New Roman" w:eastAsiaTheme="minorEastAsia"/>
                <w:color w:val="auto"/>
                <w:kern w:val="0"/>
                <w:sz w:val="24"/>
                <w:lang w:val="en-US" w:eastAsia="zh-CN" w:bidi="ar"/>
              </w:rPr>
              <w:t>3</w:t>
            </w:r>
            <w:r>
              <w:rPr>
                <w:rFonts w:hint="default" w:ascii="Times New Roman" w:hAnsi="Times New Roman" w:cs="Times New Roman" w:eastAsiaTheme="minorEastAsia"/>
                <w:color w:val="auto"/>
                <w:kern w:val="0"/>
                <w:sz w:val="24"/>
                <w:lang w:val="en-US" w:eastAsia="zh-CN" w:bidi="ar"/>
              </w:rPr>
              <w:t>有组织达标排放</w:t>
            </w:r>
            <w:r>
              <w:rPr>
                <w:rFonts w:hint="eastAsia" w:ascii="Times New Roman" w:hAnsi="Times New Roman" w:cs="Times New Roman" w:eastAsiaTheme="minorEastAsia"/>
                <w:color w:val="auto"/>
                <w:kern w:val="0"/>
                <w:sz w:val="24"/>
                <w:lang w:val="en-US" w:eastAsia="zh-CN" w:bidi="ar"/>
              </w:rPr>
              <w:t>。项目生活污水及纯水制备系统废水进入化粪池沉淀处理后排入沣西新城大王污水处理厂，经处理达标后排入新河；</w:t>
            </w:r>
            <w:r>
              <w:rPr>
                <w:rFonts w:hint="default" w:ascii="Times New Roman" w:hAnsi="Times New Roman" w:cs="Times New Roman" w:eastAsiaTheme="minorEastAsia"/>
                <w:color w:val="auto"/>
                <w:kern w:val="0"/>
                <w:sz w:val="24"/>
                <w:lang w:val="en-US" w:eastAsia="zh-CN" w:bidi="ar"/>
              </w:rPr>
              <w:t>废包装材料收集暂存于一般固废暂存区</w:t>
            </w:r>
            <w:r>
              <w:rPr>
                <w:rFonts w:hint="eastAsia" w:ascii="Times New Roman" w:hAnsi="Times New Roman" w:cs="Times New Roman" w:eastAsiaTheme="minorEastAsia"/>
                <w:color w:val="auto"/>
                <w:kern w:val="0"/>
                <w:sz w:val="24"/>
                <w:lang w:val="en-US" w:eastAsia="zh-CN" w:bidi="ar"/>
              </w:rPr>
              <w:t>，</w:t>
            </w:r>
            <w:r>
              <w:rPr>
                <w:rFonts w:hint="default" w:ascii="Times New Roman" w:hAnsi="Times New Roman" w:cs="Times New Roman" w:eastAsiaTheme="minorEastAsia"/>
                <w:color w:val="auto"/>
                <w:kern w:val="0"/>
                <w:sz w:val="24"/>
                <w:lang w:val="en-US" w:eastAsia="zh-CN" w:bidi="ar"/>
              </w:rPr>
              <w:t>定期外售于物资回收公司</w:t>
            </w:r>
            <w:r>
              <w:rPr>
                <w:rFonts w:hint="eastAsia" w:ascii="Times New Roman" w:hAnsi="Times New Roman" w:cs="Times New Roman" w:eastAsiaTheme="minorEastAsia"/>
                <w:color w:val="auto"/>
                <w:kern w:val="0"/>
                <w:sz w:val="24"/>
                <w:lang w:val="en-US" w:eastAsia="zh-CN" w:bidi="ar"/>
              </w:rPr>
              <w:t>；</w:t>
            </w:r>
            <w:r>
              <w:rPr>
                <w:rFonts w:hint="default" w:ascii="Times New Roman" w:hAnsi="Times New Roman" w:cs="Times New Roman" w:eastAsiaTheme="minorEastAsia"/>
                <w:color w:val="auto"/>
                <w:kern w:val="0"/>
                <w:sz w:val="24"/>
                <w:lang w:val="en-US" w:eastAsia="zh-CN" w:bidi="ar"/>
              </w:rPr>
              <w:t>收尘灰</w:t>
            </w:r>
            <w:r>
              <w:rPr>
                <w:rFonts w:hint="eastAsia" w:ascii="Times New Roman" w:hAnsi="Times New Roman" w:cs="Times New Roman" w:eastAsiaTheme="minorEastAsia"/>
                <w:color w:val="auto"/>
                <w:kern w:val="0"/>
                <w:sz w:val="24"/>
                <w:lang w:val="en-US" w:eastAsia="zh-CN" w:bidi="ar"/>
              </w:rPr>
              <w:t>回用于</w:t>
            </w:r>
            <w:r>
              <w:rPr>
                <w:rFonts w:hint="default" w:ascii="Times New Roman" w:hAnsi="Times New Roman" w:cs="Times New Roman" w:eastAsiaTheme="minorEastAsia"/>
                <w:color w:val="auto"/>
                <w:kern w:val="0"/>
                <w:sz w:val="24"/>
                <w:lang w:val="en-US" w:eastAsia="zh-CN" w:bidi="ar"/>
              </w:rPr>
              <w:t>生产</w:t>
            </w:r>
            <w:r>
              <w:rPr>
                <w:rFonts w:hint="eastAsia" w:ascii="Times New Roman" w:hAnsi="Times New Roman" w:cs="Times New Roman" w:eastAsiaTheme="minorEastAsia"/>
                <w:color w:val="auto"/>
                <w:kern w:val="0"/>
                <w:sz w:val="24"/>
                <w:lang w:val="en-US" w:eastAsia="zh-CN" w:bidi="ar"/>
              </w:rPr>
              <w:t>工序；粉末</w:t>
            </w:r>
            <w:r>
              <w:rPr>
                <w:rFonts w:hint="default" w:ascii="Times New Roman" w:hAnsi="Times New Roman" w:cs="Times New Roman" w:eastAsiaTheme="minorEastAsia"/>
                <w:color w:val="auto"/>
                <w:kern w:val="0"/>
                <w:sz w:val="24"/>
                <w:lang w:val="en-US" w:eastAsia="zh-CN" w:bidi="ar"/>
              </w:rPr>
              <w:t>不合格品收集暂存于一般固废暂存区</w:t>
            </w:r>
            <w:r>
              <w:rPr>
                <w:rFonts w:hint="eastAsia" w:ascii="Times New Roman" w:hAnsi="Times New Roman" w:cs="Times New Roman" w:eastAsiaTheme="minorEastAsia"/>
                <w:color w:val="auto"/>
                <w:kern w:val="0"/>
                <w:sz w:val="24"/>
                <w:lang w:val="en-US" w:eastAsia="zh-CN" w:bidi="ar"/>
              </w:rPr>
              <w:t>，收集后回用于</w:t>
            </w:r>
            <w:r>
              <w:rPr>
                <w:rFonts w:hint="default" w:ascii="Times New Roman" w:hAnsi="Times New Roman" w:cs="Times New Roman" w:eastAsiaTheme="minorEastAsia"/>
                <w:color w:val="auto"/>
                <w:kern w:val="0"/>
                <w:sz w:val="24"/>
                <w:lang w:val="en-US" w:eastAsia="zh-CN" w:bidi="ar"/>
              </w:rPr>
              <w:t>生产</w:t>
            </w:r>
            <w:r>
              <w:rPr>
                <w:rFonts w:hint="eastAsia" w:ascii="Times New Roman" w:hAnsi="Times New Roman" w:cs="Times New Roman" w:eastAsiaTheme="minorEastAsia"/>
                <w:color w:val="auto"/>
                <w:kern w:val="0"/>
                <w:sz w:val="24"/>
                <w:lang w:val="en-US" w:eastAsia="zh-CN" w:bidi="ar"/>
              </w:rPr>
              <w:t>工序；废反渗透膜，暂存于一般固废暂存区，由纯水机厂家检修时回收处置；</w:t>
            </w:r>
            <w:r>
              <w:rPr>
                <w:rFonts w:hint="default" w:ascii="Times New Roman" w:hAnsi="Times New Roman" w:cs="Times New Roman" w:eastAsiaTheme="minorEastAsia"/>
                <w:color w:val="auto"/>
                <w:kern w:val="0"/>
                <w:sz w:val="24"/>
                <w:lang w:val="en-US" w:eastAsia="zh-CN" w:bidi="ar"/>
              </w:rPr>
              <w:t>废漆渣</w:t>
            </w:r>
            <w:r>
              <w:rPr>
                <w:rFonts w:hint="eastAsia" w:ascii="Times New Roman" w:hAnsi="Times New Roman" w:cs="Times New Roman" w:eastAsiaTheme="minorEastAsia"/>
                <w:color w:val="auto"/>
                <w:kern w:val="0"/>
                <w:sz w:val="24"/>
                <w:lang w:val="en-US" w:eastAsia="zh-CN" w:bidi="ar"/>
              </w:rPr>
              <w:t>，</w:t>
            </w:r>
            <w:r>
              <w:rPr>
                <w:rFonts w:hint="default" w:ascii="Times New Roman" w:hAnsi="Times New Roman" w:cs="Times New Roman" w:eastAsiaTheme="minorEastAsia"/>
                <w:color w:val="auto"/>
                <w:kern w:val="0"/>
                <w:sz w:val="24"/>
                <w:lang w:val="en-US" w:eastAsia="zh-CN" w:bidi="ar"/>
              </w:rPr>
              <w:t>收集暂存于一般固废暂存区，定期外售于物资回收公司</w:t>
            </w:r>
            <w:r>
              <w:rPr>
                <w:rFonts w:hint="eastAsia" w:ascii="Times New Roman" w:hAnsi="Times New Roman" w:cs="Times New Roman" w:eastAsiaTheme="minorEastAsia"/>
                <w:color w:val="auto"/>
                <w:kern w:val="0"/>
                <w:sz w:val="24"/>
                <w:lang w:val="en-US" w:eastAsia="zh-CN" w:bidi="ar"/>
              </w:rPr>
              <w:t>；废机油及废油桶、废活性炭、废超滤芯、废油槽渣、废陶化槽渣以及废电泳</w:t>
            </w:r>
            <w:r>
              <w:rPr>
                <w:rFonts w:hint="default" w:ascii="Times New Roman" w:hAnsi="Times New Roman" w:cs="Times New Roman" w:eastAsiaTheme="minorEastAsia"/>
                <w:color w:val="auto"/>
                <w:kern w:val="0"/>
                <w:sz w:val="24"/>
                <w:lang w:val="en-US" w:eastAsia="zh-CN" w:bidi="ar"/>
              </w:rPr>
              <w:t>漆渣收集后妥善暂存于危险废物贮存间，交由陕西绿林环保科技有限公司进行处理。</w:t>
            </w:r>
          </w:p>
          <w:p w14:paraId="3452FD8A">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因此在严格落实本报告提出的环保措施后，项目的建设和运行不会对外环境产生较大影响，项目选址可行</w:t>
            </w:r>
            <w:r>
              <w:rPr>
                <w:rFonts w:hint="default" w:ascii="Times New Roman" w:hAnsi="Times New Roman" w:eastAsia="宋体" w:cs="Times New Roman"/>
                <w:color w:val="auto"/>
                <w:sz w:val="24"/>
                <w:highlight w:val="none"/>
                <w:lang w:eastAsia="zh-CN"/>
              </w:rPr>
              <w:t>。</w:t>
            </w:r>
          </w:p>
          <w:p w14:paraId="26607A5A">
            <w:pPr>
              <w:spacing w:line="360" w:lineRule="auto"/>
              <w:ind w:firstLine="480" w:firstLineChars="200"/>
              <w:rPr>
                <w:rFonts w:hint="default" w:ascii="Times New Roman" w:hAnsi="Times New Roman" w:eastAsia="宋体" w:cs="Times New Roman"/>
                <w:color w:val="auto"/>
                <w:sz w:val="24"/>
                <w:highlight w:val="none"/>
                <w:lang w:eastAsia="zh-CN"/>
              </w:rPr>
            </w:pPr>
          </w:p>
          <w:p w14:paraId="61B4BC17">
            <w:pPr>
              <w:wordWrap w:val="0"/>
              <w:spacing w:line="360" w:lineRule="auto"/>
              <w:ind w:firstLine="480" w:firstLineChars="200"/>
              <w:rPr>
                <w:sz w:val="24"/>
              </w:rPr>
            </w:pPr>
          </w:p>
          <w:p w14:paraId="142F7D49">
            <w:pPr>
              <w:wordWrap w:val="0"/>
              <w:spacing w:line="360" w:lineRule="auto"/>
              <w:ind w:firstLine="480" w:firstLineChars="200"/>
              <w:rPr>
                <w:sz w:val="24"/>
              </w:rPr>
            </w:pPr>
          </w:p>
          <w:p w14:paraId="4C537564">
            <w:pPr>
              <w:wordWrap w:val="0"/>
              <w:spacing w:line="360" w:lineRule="auto"/>
              <w:ind w:firstLine="480" w:firstLineChars="200"/>
              <w:rPr>
                <w:sz w:val="24"/>
              </w:rPr>
            </w:pPr>
          </w:p>
          <w:p w14:paraId="3F049763">
            <w:pPr>
              <w:wordWrap w:val="0"/>
              <w:spacing w:line="360" w:lineRule="auto"/>
              <w:ind w:firstLine="480" w:firstLineChars="200"/>
              <w:rPr>
                <w:sz w:val="24"/>
              </w:rPr>
            </w:pPr>
          </w:p>
          <w:p w14:paraId="7A421599">
            <w:pPr>
              <w:wordWrap w:val="0"/>
              <w:spacing w:line="360" w:lineRule="auto"/>
              <w:ind w:firstLine="480" w:firstLineChars="200"/>
              <w:rPr>
                <w:sz w:val="24"/>
              </w:rPr>
            </w:pPr>
          </w:p>
          <w:p w14:paraId="29CD5987">
            <w:pPr>
              <w:wordWrap w:val="0"/>
              <w:spacing w:line="360" w:lineRule="auto"/>
              <w:ind w:firstLine="480" w:firstLineChars="200"/>
              <w:rPr>
                <w:sz w:val="24"/>
              </w:rPr>
            </w:pPr>
          </w:p>
          <w:p w14:paraId="0371E072">
            <w:pPr>
              <w:wordWrap w:val="0"/>
              <w:spacing w:line="360" w:lineRule="auto"/>
              <w:ind w:firstLine="480" w:firstLineChars="200"/>
              <w:rPr>
                <w:sz w:val="24"/>
              </w:rPr>
            </w:pPr>
          </w:p>
          <w:p w14:paraId="0BF0F439">
            <w:pPr>
              <w:wordWrap w:val="0"/>
              <w:spacing w:line="360" w:lineRule="auto"/>
              <w:ind w:firstLine="480" w:firstLineChars="200"/>
              <w:rPr>
                <w:sz w:val="24"/>
              </w:rPr>
            </w:pPr>
          </w:p>
          <w:p w14:paraId="45B2E62F">
            <w:pPr>
              <w:wordWrap w:val="0"/>
              <w:spacing w:line="360" w:lineRule="auto"/>
              <w:ind w:firstLine="480" w:firstLineChars="200"/>
              <w:rPr>
                <w:sz w:val="24"/>
              </w:rPr>
            </w:pPr>
          </w:p>
          <w:p w14:paraId="53EEF1EE">
            <w:pPr>
              <w:wordWrap w:val="0"/>
              <w:spacing w:line="360" w:lineRule="auto"/>
              <w:ind w:firstLine="480" w:firstLineChars="200"/>
              <w:rPr>
                <w:sz w:val="24"/>
              </w:rPr>
            </w:pPr>
          </w:p>
          <w:p w14:paraId="2EF76096">
            <w:pPr>
              <w:wordWrap w:val="0"/>
              <w:spacing w:line="360" w:lineRule="auto"/>
              <w:ind w:firstLine="480" w:firstLineChars="200"/>
              <w:rPr>
                <w:sz w:val="24"/>
              </w:rPr>
            </w:pPr>
          </w:p>
          <w:p w14:paraId="1581BDCB">
            <w:pPr>
              <w:wordWrap w:val="0"/>
              <w:spacing w:line="360" w:lineRule="auto"/>
              <w:ind w:firstLine="480" w:firstLineChars="200"/>
              <w:rPr>
                <w:sz w:val="24"/>
              </w:rPr>
            </w:pPr>
          </w:p>
          <w:p w14:paraId="35DE3F91">
            <w:pPr>
              <w:wordWrap w:val="0"/>
              <w:spacing w:line="360" w:lineRule="auto"/>
              <w:ind w:firstLine="480" w:firstLineChars="200"/>
              <w:rPr>
                <w:sz w:val="24"/>
              </w:rPr>
            </w:pPr>
          </w:p>
          <w:p w14:paraId="61DBBB7E">
            <w:pPr>
              <w:wordWrap w:val="0"/>
              <w:spacing w:line="360" w:lineRule="auto"/>
              <w:ind w:firstLine="480" w:firstLineChars="200"/>
              <w:rPr>
                <w:sz w:val="24"/>
              </w:rPr>
            </w:pPr>
          </w:p>
          <w:p w14:paraId="77B3E380">
            <w:pPr>
              <w:wordWrap w:val="0"/>
              <w:spacing w:line="360" w:lineRule="auto"/>
              <w:ind w:firstLine="480" w:firstLineChars="200"/>
              <w:rPr>
                <w:sz w:val="24"/>
              </w:rPr>
            </w:pPr>
          </w:p>
          <w:p w14:paraId="60FAC0A6">
            <w:pPr>
              <w:wordWrap w:val="0"/>
              <w:spacing w:line="360" w:lineRule="auto"/>
              <w:rPr>
                <w:sz w:val="24"/>
              </w:rPr>
            </w:pPr>
          </w:p>
        </w:tc>
      </w:tr>
    </w:tbl>
    <w:p w14:paraId="7017F95B">
      <w:pPr>
        <w:rPr>
          <w:b/>
          <w:bCs/>
          <w:lang w:val="zh-CN"/>
        </w:rPr>
        <w:sectPr>
          <w:pgSz w:w="11906" w:h="16838"/>
          <w:pgMar w:top="1440" w:right="1800" w:bottom="1440" w:left="1800" w:header="851" w:footer="992" w:gutter="0"/>
          <w:cols w:space="425" w:num="1"/>
          <w:docGrid w:type="lines" w:linePitch="312" w:charSpace="0"/>
        </w:sectPr>
      </w:pPr>
    </w:p>
    <w:p w14:paraId="59BE141E">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cs="Times New Roman" w:eastAsiaTheme="minorEastAsia"/>
          <w:b/>
          <w:bCs/>
          <w:snapToGrid w:val="0"/>
          <w:sz w:val="30"/>
          <w:szCs w:val="30"/>
        </w:rPr>
      </w:pPr>
      <w:bookmarkStart w:id="1" w:name="_Toc14869"/>
      <w:bookmarkStart w:id="2" w:name="_Toc15728"/>
      <w:r>
        <w:rPr>
          <w:rFonts w:ascii="Times New Roman" w:hAnsi="Times New Roman" w:cs="Times New Roman" w:eastAsiaTheme="minorEastAsia"/>
          <w:b/>
          <w:bCs/>
          <w:snapToGrid w:val="0"/>
          <w:sz w:val="30"/>
          <w:szCs w:val="30"/>
        </w:rPr>
        <w:t>二、建设项目工程分析</w:t>
      </w:r>
      <w:bookmarkEnd w:id="1"/>
      <w:bookmarkEnd w:id="2"/>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2"/>
        <w:gridCol w:w="8157"/>
      </w:tblGrid>
      <w:tr w14:paraId="17228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90" w:hRule="atLeast"/>
          <w:jc w:val="center"/>
        </w:trPr>
        <w:tc>
          <w:tcPr>
            <w:tcW w:w="822" w:type="dxa"/>
            <w:tcBorders>
              <w:tl2br w:val="nil"/>
              <w:tr2bl w:val="nil"/>
            </w:tcBorders>
            <w:noWrap/>
            <w:vAlign w:val="center"/>
          </w:tcPr>
          <w:p w14:paraId="0C852A5A">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Cs w:val="24"/>
              </w:rPr>
              <w:t>建设内容</w:t>
            </w:r>
          </w:p>
        </w:tc>
        <w:tc>
          <w:tcPr>
            <w:tcW w:w="8157" w:type="dxa"/>
            <w:tcBorders>
              <w:tl2br w:val="nil"/>
              <w:tr2bl w:val="nil"/>
            </w:tcBorders>
            <w:noWrap/>
          </w:tcPr>
          <w:p w14:paraId="3430DFDE">
            <w:pPr>
              <w:spacing w:line="360" w:lineRule="auto"/>
              <w:rPr>
                <w:rFonts w:eastAsiaTheme="minorEastAsia"/>
                <w:b/>
                <w:bCs/>
                <w:color w:val="000000" w:themeColor="text1"/>
                <w:sz w:val="24"/>
                <w14:textFill>
                  <w14:solidFill>
                    <w14:schemeClr w14:val="tx1"/>
                  </w14:solidFill>
                </w14:textFill>
              </w:rPr>
            </w:pPr>
            <w:r>
              <w:rPr>
                <w:rFonts w:hint="eastAsia" w:eastAsiaTheme="minorEastAsia"/>
                <w:b/>
                <w:bCs/>
                <w:color w:val="000000" w:themeColor="text1"/>
                <w:sz w:val="24"/>
                <w:lang w:val="en-US" w:eastAsia="zh-CN"/>
                <w14:textFill>
                  <w14:solidFill>
                    <w14:schemeClr w14:val="tx1"/>
                  </w14:solidFill>
                </w14:textFill>
              </w:rPr>
              <w:t>1.</w:t>
            </w:r>
            <w:r>
              <w:rPr>
                <w:rFonts w:eastAsiaTheme="minorEastAsia"/>
                <w:b/>
                <w:bCs/>
                <w:color w:val="000000" w:themeColor="text1"/>
                <w:sz w:val="24"/>
                <w14:textFill>
                  <w14:solidFill>
                    <w14:schemeClr w14:val="tx1"/>
                  </w14:solidFill>
                </w14:textFill>
              </w:rPr>
              <w:t>项目由来</w:t>
            </w:r>
          </w:p>
          <w:p w14:paraId="5D16931E">
            <w:pPr>
              <w:spacing w:line="360" w:lineRule="auto"/>
              <w:ind w:firstLine="480" w:firstLineChars="200"/>
              <w:rPr>
                <w:rFonts w:eastAsiaTheme="minorEastAsia"/>
                <w:color w:val="000000" w:themeColor="text1"/>
                <w:kern w:val="0"/>
                <w:sz w:val="24"/>
                <w14:textFill>
                  <w14:solidFill>
                    <w14:schemeClr w14:val="tx1"/>
                  </w14:solidFill>
                </w14:textFill>
              </w:rPr>
            </w:pPr>
            <w:r>
              <w:rPr>
                <w:rFonts w:hint="eastAsia" w:eastAsiaTheme="minorEastAsia"/>
                <w:color w:val="000000" w:themeColor="text1"/>
                <w:kern w:val="0"/>
                <w:sz w:val="24"/>
                <w14:textFill>
                  <w14:solidFill>
                    <w14:schemeClr w14:val="tx1"/>
                  </w14:solidFill>
                </w14:textFill>
              </w:rPr>
              <w:t>沣西新城鑫邦博新型材料厂</w:t>
            </w:r>
            <w:r>
              <w:rPr>
                <w:rFonts w:eastAsiaTheme="minorEastAsia"/>
                <w:color w:val="000000" w:themeColor="text1"/>
                <w:kern w:val="0"/>
                <w:sz w:val="24"/>
                <w14:textFill>
                  <w14:solidFill>
                    <w14:schemeClr w14:val="tx1"/>
                  </w14:solidFill>
                </w14:textFill>
              </w:rPr>
              <w:t>成立于20</w:t>
            </w:r>
            <w:r>
              <w:rPr>
                <w:rFonts w:hint="eastAsia" w:eastAsiaTheme="minorEastAsia"/>
                <w:color w:val="000000" w:themeColor="text1"/>
                <w:kern w:val="0"/>
                <w:sz w:val="24"/>
                <w14:textFill>
                  <w14:solidFill>
                    <w14:schemeClr w14:val="tx1"/>
                  </w14:solidFill>
                </w14:textFill>
              </w:rPr>
              <w:t>23</w:t>
            </w:r>
            <w:r>
              <w:rPr>
                <w:rFonts w:eastAsiaTheme="minorEastAsia"/>
                <w:color w:val="000000" w:themeColor="text1"/>
                <w:kern w:val="0"/>
                <w:sz w:val="24"/>
                <w14:textFill>
                  <w14:solidFill>
                    <w14:schemeClr w14:val="tx1"/>
                  </w14:solidFill>
                </w14:textFill>
              </w:rPr>
              <w:t>年</w:t>
            </w:r>
            <w:r>
              <w:rPr>
                <w:rFonts w:hint="eastAsia" w:eastAsiaTheme="minorEastAsia"/>
                <w:color w:val="000000" w:themeColor="text1"/>
                <w:kern w:val="0"/>
                <w:sz w:val="24"/>
                <w14:textFill>
                  <w14:solidFill>
                    <w14:schemeClr w14:val="tx1"/>
                  </w14:solidFill>
                </w14:textFill>
              </w:rPr>
              <w:t>7</w:t>
            </w:r>
            <w:r>
              <w:rPr>
                <w:rFonts w:eastAsiaTheme="minorEastAsia"/>
                <w:color w:val="000000" w:themeColor="text1"/>
                <w:kern w:val="0"/>
                <w:sz w:val="24"/>
                <w14:textFill>
                  <w14:solidFill>
                    <w14:schemeClr w14:val="tx1"/>
                  </w14:solidFill>
                </w14:textFill>
              </w:rPr>
              <w:t>月1</w:t>
            </w:r>
            <w:r>
              <w:rPr>
                <w:rFonts w:hint="eastAsia" w:eastAsiaTheme="minorEastAsia"/>
                <w:color w:val="000000" w:themeColor="text1"/>
                <w:kern w:val="0"/>
                <w:sz w:val="24"/>
                <w14:textFill>
                  <w14:solidFill>
                    <w14:schemeClr w14:val="tx1"/>
                  </w14:solidFill>
                </w14:textFill>
              </w:rPr>
              <w:t>3</w:t>
            </w:r>
            <w:r>
              <w:rPr>
                <w:rFonts w:eastAsiaTheme="minorEastAsia"/>
                <w:color w:val="000000" w:themeColor="text1"/>
                <w:kern w:val="0"/>
                <w:sz w:val="24"/>
                <w14:textFill>
                  <w14:solidFill>
                    <w14:schemeClr w14:val="tx1"/>
                  </w14:solidFill>
                </w14:textFill>
              </w:rPr>
              <w:t>日，位于</w:t>
            </w:r>
            <w:r>
              <w:rPr>
                <w:rFonts w:hint="eastAsia" w:eastAsiaTheme="minorEastAsia"/>
                <w:color w:val="000000" w:themeColor="text1"/>
                <w:kern w:val="0"/>
                <w:sz w:val="24"/>
                <w14:textFill>
                  <w14:solidFill>
                    <w14:schemeClr w14:val="tx1"/>
                  </w14:solidFill>
                </w14:textFill>
              </w:rPr>
              <w:t>陕西省西咸新区沣西新城</w:t>
            </w:r>
            <w:r>
              <w:rPr>
                <w:rFonts w:hint="eastAsia" w:eastAsiaTheme="minorEastAsia"/>
                <w:color w:val="000000" w:themeColor="text1"/>
                <w:kern w:val="0"/>
                <w:sz w:val="24"/>
                <w:lang w:eastAsia="zh-CN"/>
                <w14:textFill>
                  <w14:solidFill>
                    <w14:schemeClr w14:val="tx1"/>
                  </w14:solidFill>
                </w14:textFill>
              </w:rPr>
              <w:t>大王街办</w:t>
            </w:r>
            <w:r>
              <w:rPr>
                <w:rFonts w:hint="eastAsia" w:eastAsiaTheme="minorEastAsia"/>
                <w:color w:val="000000" w:themeColor="text1"/>
                <w:kern w:val="0"/>
                <w:sz w:val="24"/>
                <w14:textFill>
                  <w14:solidFill>
                    <w14:schemeClr w14:val="tx1"/>
                  </w14:solidFill>
                </w14:textFill>
              </w:rPr>
              <w:t>大王西村西宝十字口南路西7号</w:t>
            </w:r>
            <w:r>
              <w:rPr>
                <w:rFonts w:eastAsiaTheme="minorEastAsia"/>
                <w:color w:val="000000" w:themeColor="text1"/>
                <w:kern w:val="0"/>
                <w:sz w:val="24"/>
                <w14:textFill>
                  <w14:solidFill>
                    <w14:schemeClr w14:val="tx1"/>
                  </w14:solidFill>
                </w14:textFill>
              </w:rPr>
              <w:t>，建设单位</w:t>
            </w:r>
            <w:r>
              <w:rPr>
                <w:rFonts w:hint="eastAsia" w:eastAsiaTheme="minorEastAsia"/>
                <w:color w:val="000000" w:themeColor="text1"/>
                <w:kern w:val="0"/>
                <w:sz w:val="24"/>
                <w14:textFill>
                  <w14:solidFill>
                    <w14:schemeClr w14:val="tx1"/>
                  </w14:solidFill>
                </w14:textFill>
              </w:rPr>
              <w:t>租赁</w:t>
            </w:r>
            <w:r>
              <w:rPr>
                <w:rFonts w:hint="eastAsia" w:eastAsiaTheme="minorEastAsia"/>
                <w:color w:val="000000" w:themeColor="text1"/>
                <w:kern w:val="0"/>
                <w:sz w:val="24"/>
                <w:lang w:val="en-US" w:eastAsia="zh-CN"/>
                <w14:textFill>
                  <w14:solidFill>
                    <w14:schemeClr w14:val="tx1"/>
                  </w14:solidFill>
                </w14:textFill>
              </w:rPr>
              <w:t>标准化</w:t>
            </w:r>
            <w:r>
              <w:rPr>
                <w:rFonts w:hint="eastAsia" w:eastAsiaTheme="minorEastAsia"/>
                <w:color w:val="000000" w:themeColor="text1"/>
                <w:kern w:val="0"/>
                <w:sz w:val="24"/>
                <w14:textFill>
                  <w14:solidFill>
                    <w14:schemeClr w14:val="tx1"/>
                  </w14:solidFill>
                </w14:textFill>
              </w:rPr>
              <w:t>厂房建设</w:t>
            </w:r>
            <w:r>
              <w:rPr>
                <w:rFonts w:hint="eastAsia" w:eastAsiaTheme="minorEastAsia"/>
                <w:color w:val="000000" w:themeColor="text1"/>
                <w:kern w:val="0"/>
                <w:sz w:val="24"/>
                <w:lang w:eastAsia="zh-CN"/>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粉末涂料生产加工项目</w:t>
            </w:r>
            <w:r>
              <w:rPr>
                <w:rFonts w:hint="eastAsia" w:eastAsiaTheme="minorEastAsia"/>
                <w:color w:val="000000" w:themeColor="text1"/>
                <w:kern w:val="0"/>
                <w:sz w:val="24"/>
                <w:lang w:eastAsia="zh-CN"/>
                <w14:textFill>
                  <w14:solidFill>
                    <w14:schemeClr w14:val="tx1"/>
                  </w14:solidFill>
                </w14:textFill>
              </w:rPr>
              <w:t>”</w:t>
            </w:r>
            <w:r>
              <w:rPr>
                <w:rFonts w:eastAsiaTheme="minorEastAsia"/>
                <w:color w:val="000000" w:themeColor="text1"/>
                <w:kern w:val="0"/>
                <w:sz w:val="24"/>
                <w14:textFill>
                  <w14:solidFill>
                    <w14:schemeClr w14:val="tx1"/>
                  </w14:solidFill>
                </w14:textFill>
              </w:rPr>
              <w:t>。</w:t>
            </w:r>
          </w:p>
          <w:p w14:paraId="792CA89C">
            <w:pPr>
              <w:pStyle w:val="15"/>
              <w:adjustRightInd w:val="0"/>
              <w:snapToGrid w:val="0"/>
              <w:spacing w:line="360" w:lineRule="auto"/>
              <w:ind w:left="0" w:leftChars="0"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根据《中华人民共和国环境影响评价法》《建设项目环境保护管理条例》及《建设项目环境影响评价分类管理名录》（2021年版）等规定，本项目应进行环境影响评价工作。根据《建设项目环境影响评价分类管理名录》（2021年版）规定，项目属于</w:t>
            </w:r>
            <w:r>
              <w:rPr>
                <w:rFonts w:hint="eastAsia" w:eastAsiaTheme="minorEastAsia"/>
                <w:color w:val="000000" w:themeColor="text1"/>
                <w:sz w:val="24"/>
                <w:lang w:eastAsia="zh-CN"/>
                <w14:textFill>
                  <w14:solidFill>
                    <w14:schemeClr w14:val="tx1"/>
                  </w14:solidFill>
                </w14:textFill>
              </w:rPr>
              <w:t>“</w:t>
            </w:r>
            <w:r>
              <w:rPr>
                <w:rFonts w:hint="eastAsia" w:eastAsiaTheme="minorEastAsia"/>
                <w:sz w:val="24"/>
              </w:rPr>
              <w:t>二十三</w:t>
            </w:r>
            <w:r>
              <w:rPr>
                <w:rFonts w:eastAsiaTheme="minorEastAsia"/>
                <w:sz w:val="24"/>
              </w:rPr>
              <w:t>、化学原料和化学制品制造业-</w:t>
            </w:r>
            <w:r>
              <w:rPr>
                <w:rFonts w:hint="eastAsia" w:eastAsiaTheme="minorEastAsia"/>
                <w:sz w:val="24"/>
              </w:rPr>
              <w:t>44</w:t>
            </w:r>
            <w:r>
              <w:rPr>
                <w:rFonts w:eastAsiaTheme="minorEastAsia"/>
                <w:sz w:val="24"/>
              </w:rPr>
              <w:t>、</w:t>
            </w:r>
            <w:r>
              <w:rPr>
                <w:rFonts w:hint="eastAsia" w:eastAsiaTheme="minorEastAsia"/>
                <w:sz w:val="24"/>
              </w:rPr>
              <w:t>基础化学原料制造261；农药制造263；涂料、油墨、颜料及类似产品制造264；合成材料制造265；专用化学产品制造266；炸药、火工及焰火产品制造267</w:t>
            </w:r>
            <w:r>
              <w:rPr>
                <w:rFonts w:eastAsiaTheme="minorEastAsia"/>
                <w:sz w:val="24"/>
              </w:rPr>
              <w:t>-单纯</w:t>
            </w:r>
            <w:r>
              <w:rPr>
                <w:rFonts w:hint="eastAsia" w:eastAsiaTheme="minorEastAsia"/>
                <w:sz w:val="24"/>
              </w:rPr>
              <w:t>物理分离、物理提纯、混合、分装的</w:t>
            </w:r>
            <w:r>
              <w:rPr>
                <w:rFonts w:hint="eastAsia" w:eastAsiaTheme="minorEastAsia"/>
                <w:sz w:val="24"/>
                <w:lang w:eastAsia="zh-CN"/>
              </w:rPr>
              <w:t>；</w:t>
            </w:r>
            <w:r>
              <w:rPr>
                <w:rFonts w:hint="eastAsia" w:eastAsiaTheme="minorEastAsia"/>
                <w:sz w:val="24"/>
                <w:lang w:val="en-US" w:eastAsia="zh-CN"/>
              </w:rPr>
              <w:t>三十、金属制品业-67金属表面处理及热处理加工”</w:t>
            </w:r>
            <w:r>
              <w:rPr>
                <w:rFonts w:eastAsiaTheme="minorEastAsia"/>
                <w:color w:val="000000" w:themeColor="text1"/>
                <w:sz w:val="24"/>
                <w14:textFill>
                  <w14:solidFill>
                    <w14:schemeClr w14:val="tx1"/>
                  </w14:solidFill>
                </w14:textFill>
              </w:rPr>
              <w:t>类别，需要编制环境影响报告表。</w:t>
            </w:r>
          </w:p>
          <w:p w14:paraId="595F8508">
            <w:pPr>
              <w:autoSpaceDE w:val="0"/>
              <w:autoSpaceDN w:val="0"/>
              <w:spacing w:line="360" w:lineRule="auto"/>
              <w:ind w:firstLine="480" w:firstLineChars="200"/>
              <w:rPr>
                <w:rFonts w:eastAsiaTheme="minorEastAsia"/>
                <w:b/>
                <w:bCs/>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t>202</w:t>
            </w:r>
            <w:r>
              <w:rPr>
                <w:rFonts w:hint="eastAsia" w:eastAsiaTheme="minorEastAsia"/>
                <w:color w:val="000000" w:themeColor="text1"/>
                <w:sz w:val="24"/>
                <w:lang w:val="en-US" w:eastAsia="zh-CN"/>
                <w14:textFill>
                  <w14:solidFill>
                    <w14:schemeClr w14:val="tx1"/>
                  </w14:solidFill>
                </w14:textFill>
              </w:rPr>
              <w:t>3</w:t>
            </w:r>
            <w:r>
              <w:rPr>
                <w:rFonts w:eastAsiaTheme="minorEastAsia"/>
                <w:color w:val="000000" w:themeColor="text1"/>
                <w:sz w:val="24"/>
                <w14:textFill>
                  <w14:solidFill>
                    <w14:schemeClr w14:val="tx1"/>
                  </w14:solidFill>
                </w14:textFill>
              </w:rPr>
              <w:t>年</w:t>
            </w:r>
            <w:r>
              <w:rPr>
                <w:rFonts w:hint="eastAsia" w:eastAsiaTheme="minorEastAsia"/>
                <w:color w:val="000000" w:themeColor="text1"/>
                <w:sz w:val="24"/>
                <w:lang w:val="en-US" w:eastAsia="zh-CN"/>
                <w14:textFill>
                  <w14:solidFill>
                    <w14:schemeClr w14:val="tx1"/>
                  </w14:solidFill>
                </w14:textFill>
              </w:rPr>
              <w:t>9</w:t>
            </w:r>
            <w:r>
              <w:rPr>
                <w:rFonts w:eastAsiaTheme="minorEastAsia"/>
                <w:color w:val="000000" w:themeColor="text1"/>
                <w:sz w:val="24"/>
                <w14:textFill>
                  <w14:solidFill>
                    <w14:schemeClr w14:val="tx1"/>
                  </w14:solidFill>
                </w14:textFill>
              </w:rPr>
              <w:t>月，受</w:t>
            </w:r>
            <w:r>
              <w:rPr>
                <w:rFonts w:hint="eastAsia" w:eastAsiaTheme="minorEastAsia"/>
                <w:color w:val="000000" w:themeColor="text1"/>
                <w:kern w:val="0"/>
                <w:sz w:val="24"/>
                <w14:textFill>
                  <w14:solidFill>
                    <w14:schemeClr w14:val="tx1"/>
                  </w14:solidFill>
                </w14:textFill>
              </w:rPr>
              <w:t>沣西新城鑫邦博新型材料厂</w:t>
            </w:r>
            <w:r>
              <w:rPr>
                <w:rFonts w:eastAsiaTheme="minorEastAsia"/>
                <w:color w:val="000000" w:themeColor="text1"/>
                <w:sz w:val="24"/>
                <w14:textFill>
                  <w14:solidFill>
                    <w14:schemeClr w14:val="tx1"/>
                  </w14:solidFill>
                </w14:textFill>
              </w:rPr>
              <w:t>委托，我公司组织工程技术人员进行了现场调查，研读了有关政策与技术文件，在收集现有资料的基础上，通过综合整理和认真分析研究，编制完成了该项目环境影响报告表。为项目环保设计、业主环保设施运行管理、当地生态环境行政管理部门进行环境管理提供科学依据。</w:t>
            </w:r>
          </w:p>
          <w:p w14:paraId="758E053D">
            <w:pPr>
              <w:adjustRightInd w:val="0"/>
              <w:snapToGrid w:val="0"/>
              <w:spacing w:line="360" w:lineRule="auto"/>
              <w:rPr>
                <w:rFonts w:eastAsiaTheme="minorEastAsia"/>
                <w:b/>
                <w:bCs/>
                <w:sz w:val="24"/>
              </w:rPr>
            </w:pPr>
            <w:r>
              <w:rPr>
                <w:rFonts w:hint="eastAsia" w:eastAsiaTheme="minorEastAsia"/>
                <w:b/>
                <w:bCs/>
                <w:sz w:val="24"/>
                <w:lang w:val="en-US" w:eastAsia="zh-CN"/>
              </w:rPr>
              <w:t>2.</w:t>
            </w:r>
            <w:r>
              <w:rPr>
                <w:rFonts w:eastAsiaTheme="minorEastAsia"/>
                <w:b/>
                <w:bCs/>
                <w:sz w:val="24"/>
              </w:rPr>
              <w:t>项目基本情况</w:t>
            </w:r>
          </w:p>
          <w:p w14:paraId="3647BEC2">
            <w:pPr>
              <w:adjustRightInd w:val="0"/>
              <w:snapToGrid w:val="0"/>
              <w:spacing w:line="360" w:lineRule="auto"/>
              <w:ind w:firstLine="240" w:firstLineChars="100"/>
              <w:rPr>
                <w:rFonts w:eastAsiaTheme="minorEastAsia"/>
                <w:sz w:val="24"/>
              </w:rPr>
            </w:pPr>
            <w:r>
              <w:rPr>
                <w:rFonts w:eastAsiaTheme="minorEastAsia"/>
                <w:sz w:val="24"/>
              </w:rPr>
              <w:t>（1）项目名称：</w:t>
            </w:r>
            <w:r>
              <w:rPr>
                <w:rFonts w:hint="eastAsia" w:eastAsiaTheme="minorEastAsia"/>
                <w:color w:val="000000" w:themeColor="text1"/>
                <w:kern w:val="0"/>
                <w:sz w:val="24"/>
                <w14:textFill>
                  <w14:solidFill>
                    <w14:schemeClr w14:val="tx1"/>
                  </w14:solidFill>
                </w14:textFill>
              </w:rPr>
              <w:t>粉末涂料生产加工</w:t>
            </w:r>
            <w:r>
              <w:rPr>
                <w:rFonts w:eastAsiaTheme="minorEastAsia"/>
                <w:sz w:val="24"/>
              </w:rPr>
              <w:t>项目</w:t>
            </w:r>
          </w:p>
          <w:p w14:paraId="0C7176DB">
            <w:pPr>
              <w:adjustRightInd w:val="0"/>
              <w:snapToGrid w:val="0"/>
              <w:spacing w:line="360" w:lineRule="auto"/>
              <w:ind w:firstLine="240" w:firstLineChars="100"/>
              <w:rPr>
                <w:rFonts w:eastAsiaTheme="minorEastAsia"/>
                <w:color w:val="000000" w:themeColor="text1"/>
                <w:kern w:val="0"/>
                <w:sz w:val="24"/>
                <w14:textFill>
                  <w14:solidFill>
                    <w14:schemeClr w14:val="tx1"/>
                  </w14:solidFill>
                </w14:textFill>
              </w:rPr>
            </w:pPr>
            <w:r>
              <w:rPr>
                <w:rFonts w:eastAsiaTheme="minorEastAsia"/>
                <w:sz w:val="24"/>
              </w:rPr>
              <w:t>（2）建设单位：</w:t>
            </w:r>
            <w:r>
              <w:rPr>
                <w:rFonts w:hint="eastAsia" w:eastAsiaTheme="minorEastAsia"/>
                <w:color w:val="000000" w:themeColor="text1"/>
                <w:kern w:val="0"/>
                <w:sz w:val="24"/>
                <w14:textFill>
                  <w14:solidFill>
                    <w14:schemeClr w14:val="tx1"/>
                  </w14:solidFill>
                </w14:textFill>
              </w:rPr>
              <w:t>沣西新城鑫邦博新型材料厂</w:t>
            </w:r>
          </w:p>
          <w:p w14:paraId="4D5EA8D4">
            <w:pPr>
              <w:adjustRightInd w:val="0"/>
              <w:snapToGrid w:val="0"/>
              <w:spacing w:line="360" w:lineRule="auto"/>
              <w:ind w:firstLine="240" w:firstLineChars="100"/>
              <w:rPr>
                <w:rFonts w:eastAsiaTheme="minorEastAsia"/>
                <w:sz w:val="24"/>
              </w:rPr>
            </w:pPr>
            <w:r>
              <w:rPr>
                <w:rFonts w:eastAsiaTheme="minorEastAsia"/>
                <w:sz w:val="24"/>
              </w:rPr>
              <w:t>（3）建设性质：新建</w:t>
            </w:r>
          </w:p>
          <w:p w14:paraId="7BA356D0">
            <w:pPr>
              <w:adjustRightInd w:val="0"/>
              <w:snapToGrid w:val="0"/>
              <w:spacing w:line="360" w:lineRule="auto"/>
              <w:ind w:firstLine="240" w:firstLineChars="100"/>
              <w:rPr>
                <w:rFonts w:eastAsiaTheme="minorEastAsia"/>
                <w:sz w:val="24"/>
              </w:rPr>
            </w:pPr>
            <w:r>
              <w:rPr>
                <w:rFonts w:eastAsiaTheme="minorEastAsia"/>
                <w:sz w:val="24"/>
              </w:rPr>
              <w:t>（4）建设地点：</w:t>
            </w:r>
            <w:r>
              <w:rPr>
                <w:rFonts w:hint="eastAsia" w:eastAsiaTheme="minorEastAsia"/>
                <w:color w:val="000000" w:themeColor="text1"/>
                <w:kern w:val="0"/>
                <w:sz w:val="24"/>
                <w14:textFill>
                  <w14:solidFill>
                    <w14:schemeClr w14:val="tx1"/>
                  </w14:solidFill>
                </w14:textFill>
              </w:rPr>
              <w:t>陕西省西咸新区沣西新城大王</w:t>
            </w:r>
            <w:r>
              <w:rPr>
                <w:rFonts w:hint="eastAsia" w:eastAsiaTheme="minorEastAsia"/>
                <w:color w:val="000000" w:themeColor="text1"/>
                <w:kern w:val="0"/>
                <w:sz w:val="24"/>
                <w:lang w:val="en-US" w:eastAsia="zh-CN"/>
                <w14:textFill>
                  <w14:solidFill>
                    <w14:schemeClr w14:val="tx1"/>
                  </w14:solidFill>
                </w14:textFill>
              </w:rPr>
              <w:t>街办</w:t>
            </w:r>
            <w:r>
              <w:rPr>
                <w:rFonts w:hint="eastAsia" w:eastAsiaTheme="minorEastAsia"/>
                <w:color w:val="000000" w:themeColor="text1"/>
                <w:kern w:val="0"/>
                <w:sz w:val="24"/>
                <w14:textFill>
                  <w14:solidFill>
                    <w14:schemeClr w14:val="tx1"/>
                  </w14:solidFill>
                </w14:textFill>
              </w:rPr>
              <w:t>大王西村西宝十字口南路西7号</w:t>
            </w:r>
            <w:r>
              <w:rPr>
                <w:rFonts w:eastAsiaTheme="minorEastAsia"/>
                <w:sz w:val="24"/>
              </w:rPr>
              <w:t>，项目地中心坐标经度108°</w:t>
            </w:r>
            <w:r>
              <w:rPr>
                <w:rFonts w:hint="eastAsia" w:eastAsiaTheme="minorEastAsia"/>
                <w:sz w:val="24"/>
              </w:rPr>
              <w:t>38</w:t>
            </w:r>
            <w:r>
              <w:rPr>
                <w:rFonts w:eastAsiaTheme="minorEastAsia"/>
                <w:sz w:val="24"/>
              </w:rPr>
              <w:t>′</w:t>
            </w:r>
            <w:r>
              <w:rPr>
                <w:rFonts w:hint="eastAsia" w:eastAsiaTheme="minorEastAsia"/>
                <w:sz w:val="24"/>
              </w:rPr>
              <w:t>19.01</w:t>
            </w:r>
            <w:r>
              <w:rPr>
                <w:rFonts w:eastAsiaTheme="minorEastAsia"/>
                <w:sz w:val="24"/>
              </w:rPr>
              <w:t>″</w:t>
            </w:r>
            <w:r>
              <w:rPr>
                <w:rFonts w:eastAsiaTheme="minorEastAsia"/>
                <w:color w:val="000000"/>
                <w:sz w:val="24"/>
              </w:rPr>
              <w:t>，纬度：</w:t>
            </w:r>
            <w:r>
              <w:rPr>
                <w:rFonts w:eastAsiaTheme="minorEastAsia"/>
                <w:sz w:val="24"/>
              </w:rPr>
              <w:t>34°</w:t>
            </w:r>
            <w:r>
              <w:rPr>
                <w:rFonts w:hint="eastAsia" w:eastAsiaTheme="minorEastAsia"/>
                <w:sz w:val="24"/>
              </w:rPr>
              <w:t>11</w:t>
            </w:r>
            <w:r>
              <w:rPr>
                <w:rFonts w:eastAsiaTheme="minorEastAsia"/>
                <w:sz w:val="24"/>
              </w:rPr>
              <w:t>′3</w:t>
            </w:r>
            <w:r>
              <w:rPr>
                <w:rFonts w:hint="eastAsia" w:eastAsiaTheme="minorEastAsia"/>
                <w:sz w:val="24"/>
              </w:rPr>
              <w:t>5</w:t>
            </w:r>
            <w:r>
              <w:rPr>
                <w:rFonts w:eastAsiaTheme="minorEastAsia"/>
                <w:sz w:val="24"/>
              </w:rPr>
              <w:t>.</w:t>
            </w:r>
            <w:r>
              <w:rPr>
                <w:rFonts w:hint="eastAsia" w:eastAsiaTheme="minorEastAsia"/>
                <w:sz w:val="24"/>
              </w:rPr>
              <w:t>75</w:t>
            </w:r>
            <w:r>
              <w:rPr>
                <w:rFonts w:eastAsiaTheme="minorEastAsia"/>
                <w:sz w:val="24"/>
              </w:rPr>
              <w:t>″</w:t>
            </w:r>
            <w:r>
              <w:rPr>
                <w:rFonts w:eastAsiaTheme="minorEastAsia"/>
                <w:color w:val="000000"/>
                <w:sz w:val="24"/>
              </w:rPr>
              <w:t>，建设项目</w:t>
            </w:r>
            <w:r>
              <w:rPr>
                <w:rFonts w:eastAsiaTheme="minorEastAsia"/>
                <w:color w:val="000000"/>
                <w:sz w:val="24"/>
                <w:shd w:val="clear" w:color="auto" w:fill="FFFFFF"/>
              </w:rPr>
              <w:t>地理位</w:t>
            </w:r>
            <w:r>
              <w:rPr>
                <w:rFonts w:eastAsiaTheme="minorEastAsia"/>
                <w:sz w:val="24"/>
                <w:shd w:val="clear" w:color="auto" w:fill="FFFFFF"/>
              </w:rPr>
              <w:t>置详</w:t>
            </w:r>
            <w:r>
              <w:rPr>
                <w:rFonts w:eastAsiaTheme="minorEastAsia"/>
                <w:color w:val="000000" w:themeColor="text1"/>
                <w:sz w:val="24"/>
                <w:shd w:val="clear" w:color="auto" w:fill="FFFFFF"/>
                <w14:textFill>
                  <w14:solidFill>
                    <w14:schemeClr w14:val="tx1"/>
                  </w14:solidFill>
                </w14:textFill>
              </w:rPr>
              <w:t>见附图一。</w:t>
            </w:r>
          </w:p>
          <w:p w14:paraId="751C1613">
            <w:pPr>
              <w:adjustRightInd w:val="0"/>
              <w:snapToGrid w:val="0"/>
              <w:spacing w:line="360" w:lineRule="auto"/>
              <w:ind w:firstLine="240" w:firstLineChars="100"/>
              <w:rPr>
                <w:rFonts w:eastAsiaTheme="minorEastAsia"/>
                <w:sz w:val="24"/>
              </w:rPr>
            </w:pPr>
            <w:r>
              <w:rPr>
                <w:rFonts w:eastAsiaTheme="minorEastAsia"/>
                <w:sz w:val="24"/>
              </w:rPr>
              <w:t>（5）总投资</w:t>
            </w:r>
            <w:r>
              <w:rPr>
                <w:rFonts w:hint="eastAsia" w:eastAsiaTheme="minorEastAsia"/>
                <w:sz w:val="24"/>
                <w:lang w:eastAsia="zh-CN"/>
              </w:rPr>
              <w:t>：</w:t>
            </w:r>
            <w:r>
              <w:rPr>
                <w:rFonts w:hint="eastAsia" w:eastAsiaTheme="minorEastAsia"/>
                <w:sz w:val="24"/>
              </w:rPr>
              <w:t>50</w:t>
            </w:r>
            <w:r>
              <w:rPr>
                <w:rFonts w:eastAsiaTheme="minorEastAsia"/>
                <w:sz w:val="24"/>
              </w:rPr>
              <w:t>万元</w:t>
            </w:r>
          </w:p>
          <w:p w14:paraId="58079E68">
            <w:pPr>
              <w:adjustRightInd w:val="0"/>
              <w:snapToGrid w:val="0"/>
              <w:spacing w:line="360" w:lineRule="auto"/>
              <w:rPr>
                <w:rFonts w:eastAsiaTheme="minorEastAsia"/>
                <w:b/>
                <w:bCs/>
                <w:sz w:val="24"/>
              </w:rPr>
            </w:pPr>
            <w:r>
              <w:rPr>
                <w:rFonts w:hint="eastAsia" w:eastAsiaTheme="minorEastAsia"/>
                <w:b/>
                <w:bCs/>
                <w:sz w:val="24"/>
                <w:lang w:val="en-US" w:eastAsia="zh-CN"/>
              </w:rPr>
              <w:t>3.</w:t>
            </w:r>
            <w:r>
              <w:rPr>
                <w:rFonts w:eastAsiaTheme="minorEastAsia"/>
                <w:b/>
                <w:bCs/>
                <w:sz w:val="24"/>
              </w:rPr>
              <w:t>项目建设内容与规模</w:t>
            </w:r>
          </w:p>
          <w:p w14:paraId="62963545">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本项目</w:t>
            </w:r>
            <w:r>
              <w:rPr>
                <w:sz w:val="24"/>
                <w:lang w:val="en-GB"/>
              </w:rPr>
              <w:t>租赁厂房</w:t>
            </w:r>
            <w:r>
              <w:rPr>
                <w:rFonts w:eastAsiaTheme="minorEastAsia"/>
                <w:color w:val="000000" w:themeColor="text1"/>
                <w:sz w:val="24"/>
                <w:shd w:val="clear" w:color="auto" w:fill="FFFFFF"/>
                <w14:textFill>
                  <w14:solidFill>
                    <w14:schemeClr w14:val="tx1"/>
                  </w14:solidFill>
                </w14:textFill>
              </w:rPr>
              <w:t>。</w:t>
            </w:r>
            <w:r>
              <w:rPr>
                <w:rFonts w:hint="eastAsia" w:ascii="宋体" w:hAnsi="宋体" w:eastAsia="宋体" w:cs="宋体"/>
                <w:color w:val="000000"/>
                <w:kern w:val="0"/>
                <w:sz w:val="24"/>
                <w:szCs w:val="24"/>
                <w:lang w:val="en-US" w:eastAsia="zh-CN" w:bidi="ar"/>
              </w:rPr>
              <w:t>项目工程组成及内容详见下表：</w:t>
            </w:r>
          </w:p>
          <w:p w14:paraId="3FDC04AA">
            <w:pPr>
              <w:jc w:val="center"/>
              <w:rPr>
                <w:rFonts w:eastAsiaTheme="minorEastAsia"/>
                <w:b/>
                <w:bCs/>
                <w:szCs w:val="21"/>
              </w:rPr>
            </w:pPr>
            <w:r>
              <w:rPr>
                <w:rFonts w:eastAsiaTheme="minorEastAsia"/>
                <w:b/>
                <w:bCs/>
                <w:szCs w:val="21"/>
              </w:rPr>
              <w:t>表2-</w:t>
            </w:r>
            <w:r>
              <w:rPr>
                <w:rFonts w:hint="eastAsia" w:eastAsiaTheme="minorEastAsia"/>
                <w:b/>
                <w:bCs/>
                <w:szCs w:val="21"/>
                <w:lang w:val="en-US" w:eastAsia="zh-CN"/>
              </w:rPr>
              <w:t>1</w:t>
            </w:r>
            <w:r>
              <w:rPr>
                <w:rFonts w:eastAsiaTheme="minorEastAsia"/>
                <w:b/>
                <w:bCs/>
                <w:szCs w:val="21"/>
              </w:rPr>
              <w:t xml:space="preserve"> </w:t>
            </w:r>
            <w:r>
              <w:rPr>
                <w:rFonts w:hint="eastAsia" w:eastAsiaTheme="minorEastAsia"/>
                <w:b/>
                <w:bCs/>
                <w:szCs w:val="21"/>
              </w:rPr>
              <w:t xml:space="preserve"> </w:t>
            </w:r>
            <w:r>
              <w:rPr>
                <w:rFonts w:eastAsiaTheme="minorEastAsia"/>
                <w:b/>
                <w:bCs/>
                <w:szCs w:val="21"/>
              </w:rPr>
              <w:t>项目组成一览表</w:t>
            </w:r>
          </w:p>
          <w:tbl>
            <w:tblPr>
              <w:tblStyle w:val="20"/>
              <w:tblW w:w="807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8"/>
              <w:gridCol w:w="354"/>
              <w:gridCol w:w="949"/>
              <w:gridCol w:w="4930"/>
              <w:gridCol w:w="1263"/>
            </w:tblGrid>
            <w:tr w14:paraId="2F8AD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881" w:type="dxa"/>
                  <w:gridSpan w:val="3"/>
                  <w:tcBorders>
                    <w:tl2br w:val="nil"/>
                    <w:tr2bl w:val="nil"/>
                  </w:tcBorders>
                  <w:vAlign w:val="center"/>
                </w:tcPr>
                <w:p w14:paraId="19EFEA1B">
                  <w:pPr>
                    <w:spacing w:line="240" w:lineRule="exact"/>
                    <w:jc w:val="center"/>
                    <w:rPr>
                      <w:b/>
                      <w:szCs w:val="21"/>
                    </w:rPr>
                  </w:pPr>
                  <w:r>
                    <w:rPr>
                      <w:b/>
                      <w:spacing w:val="-16"/>
                      <w:szCs w:val="21"/>
                    </w:rPr>
                    <w:t>项目组成</w:t>
                  </w:r>
                </w:p>
              </w:tc>
              <w:tc>
                <w:tcPr>
                  <w:tcW w:w="4930" w:type="dxa"/>
                  <w:tcBorders>
                    <w:tl2br w:val="nil"/>
                    <w:tr2bl w:val="nil"/>
                  </w:tcBorders>
                  <w:vAlign w:val="center"/>
                </w:tcPr>
                <w:p w14:paraId="6A667488">
                  <w:pPr>
                    <w:pStyle w:val="28"/>
                    <w:widowControl w:val="0"/>
                    <w:spacing w:before="0" w:beforeAutospacing="0" w:after="0" w:afterAutospacing="0" w:line="240" w:lineRule="exact"/>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工程内容</w:t>
                  </w:r>
                </w:p>
              </w:tc>
              <w:tc>
                <w:tcPr>
                  <w:tcW w:w="1263" w:type="dxa"/>
                  <w:tcBorders>
                    <w:tl2br w:val="nil"/>
                    <w:tr2bl w:val="nil"/>
                  </w:tcBorders>
                  <w:vAlign w:val="center"/>
                </w:tcPr>
                <w:p w14:paraId="5FC62D53">
                  <w:pPr>
                    <w:pStyle w:val="28"/>
                    <w:widowControl w:val="0"/>
                    <w:spacing w:before="0" w:beforeAutospacing="0" w:after="0" w:afterAutospacing="0" w:line="240" w:lineRule="exact"/>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备注</w:t>
                  </w:r>
                </w:p>
              </w:tc>
            </w:tr>
            <w:tr w14:paraId="7DC90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78" w:type="dxa"/>
                  <w:vMerge w:val="restart"/>
                  <w:tcBorders>
                    <w:tl2br w:val="nil"/>
                    <w:tr2bl w:val="nil"/>
                  </w:tcBorders>
                  <w:vAlign w:val="center"/>
                </w:tcPr>
                <w:p w14:paraId="0807FC94">
                  <w:pPr>
                    <w:spacing w:line="240" w:lineRule="exact"/>
                    <w:jc w:val="center"/>
                    <w:rPr>
                      <w:spacing w:val="-16"/>
                      <w:szCs w:val="21"/>
                    </w:rPr>
                  </w:pPr>
                  <w:r>
                    <w:rPr>
                      <w:spacing w:val="-16"/>
                      <w:szCs w:val="21"/>
                    </w:rPr>
                    <w:t>主体</w:t>
                  </w:r>
                </w:p>
                <w:p w14:paraId="0D151C24">
                  <w:pPr>
                    <w:spacing w:line="240" w:lineRule="exact"/>
                    <w:jc w:val="center"/>
                    <w:rPr>
                      <w:spacing w:val="-16"/>
                      <w:szCs w:val="21"/>
                    </w:rPr>
                  </w:pPr>
                  <w:r>
                    <w:rPr>
                      <w:spacing w:val="-16"/>
                      <w:szCs w:val="21"/>
                    </w:rPr>
                    <w:t>工程</w:t>
                  </w:r>
                </w:p>
              </w:tc>
              <w:tc>
                <w:tcPr>
                  <w:tcW w:w="1303" w:type="dxa"/>
                  <w:gridSpan w:val="2"/>
                  <w:tcBorders>
                    <w:tl2br w:val="nil"/>
                    <w:tr2bl w:val="nil"/>
                  </w:tcBorders>
                  <w:vAlign w:val="center"/>
                </w:tcPr>
                <w:p w14:paraId="69603C40">
                  <w:pPr>
                    <w:adjustRightInd w:val="0"/>
                    <w:spacing w:line="240" w:lineRule="exact"/>
                    <w:ind w:left="210" w:hanging="210" w:hangingChars="100"/>
                    <w:jc w:val="center"/>
                    <w:rPr>
                      <w:rFonts w:hint="default" w:eastAsia="宋体"/>
                      <w:snapToGrid w:val="0"/>
                      <w:szCs w:val="21"/>
                      <w:lang w:val="en-US" w:eastAsia="zh-CN"/>
                    </w:rPr>
                  </w:pPr>
                  <w:r>
                    <w:rPr>
                      <w:rFonts w:hint="eastAsia"/>
                      <w:snapToGrid w:val="0"/>
                      <w:szCs w:val="21"/>
                      <w:lang w:val="en-US" w:eastAsia="zh-CN"/>
                    </w:rPr>
                    <w:t>1#涂料生产车间</w:t>
                  </w:r>
                </w:p>
              </w:tc>
              <w:tc>
                <w:tcPr>
                  <w:tcW w:w="4930" w:type="dxa"/>
                  <w:tcBorders>
                    <w:tl2br w:val="nil"/>
                    <w:tr2bl w:val="nil"/>
                  </w:tcBorders>
                  <w:vAlign w:val="center"/>
                </w:tcPr>
                <w:p w14:paraId="30B6CE53">
                  <w:pPr>
                    <w:adjustRightInd w:val="0"/>
                    <w:spacing w:line="240" w:lineRule="exact"/>
                    <w:jc w:val="center"/>
                    <w:rPr>
                      <w:snapToGrid w:val="0"/>
                      <w:szCs w:val="21"/>
                    </w:rPr>
                  </w:pPr>
                  <w:r>
                    <w:rPr>
                      <w:rFonts w:hint="eastAsia" w:ascii="Times New Roman" w:hAnsi="Times New Roman" w:eastAsia="宋体" w:cs="Times New Roman"/>
                      <w:color w:val="auto"/>
                      <w:sz w:val="21"/>
                      <w:szCs w:val="21"/>
                      <w:highlight w:val="none"/>
                      <w:lang w:val="en-US" w:eastAsia="zh-CN"/>
                    </w:rPr>
                    <w:t>布设于生产厂房内</w:t>
                  </w:r>
                  <w:r>
                    <w:rPr>
                      <w:rFonts w:hint="eastAsia" w:cs="Times New Roman"/>
                      <w:color w:val="auto"/>
                      <w:sz w:val="21"/>
                      <w:szCs w:val="21"/>
                      <w:highlight w:val="none"/>
                      <w:lang w:val="en-US" w:eastAsia="zh-CN"/>
                    </w:rPr>
                    <w:t>东</w:t>
                  </w:r>
                  <w:r>
                    <w:rPr>
                      <w:rFonts w:hint="eastAsia" w:ascii="Times New Roman" w:hAnsi="Times New Roman" w:eastAsia="宋体" w:cs="Times New Roman"/>
                      <w:color w:val="auto"/>
                      <w:sz w:val="21"/>
                      <w:szCs w:val="21"/>
                      <w:highlight w:val="none"/>
                      <w:lang w:val="en-US" w:eastAsia="zh-CN"/>
                    </w:rPr>
                    <w:t>北侧，主要用于生产热固性粉末涂料作业。</w:t>
                  </w:r>
                </w:p>
              </w:tc>
              <w:tc>
                <w:tcPr>
                  <w:tcW w:w="1263" w:type="dxa"/>
                  <w:vMerge w:val="restart"/>
                  <w:tcBorders>
                    <w:tl2br w:val="nil"/>
                    <w:tr2bl w:val="nil"/>
                  </w:tcBorders>
                  <w:vAlign w:val="center"/>
                </w:tcPr>
                <w:p w14:paraId="1A39CC82">
                  <w:pPr>
                    <w:adjustRightInd w:val="0"/>
                    <w:spacing w:line="240" w:lineRule="exact"/>
                    <w:jc w:val="center"/>
                    <w:rPr>
                      <w:snapToGrid w:val="0"/>
                      <w:szCs w:val="21"/>
                    </w:rPr>
                  </w:pPr>
                  <w:r>
                    <w:rPr>
                      <w:rFonts w:hint="default" w:ascii="Times New Roman" w:hAnsi="Times New Roman" w:cs="Times New Roman"/>
                      <w:color w:val="000000" w:themeColor="text1"/>
                      <w:sz w:val="21"/>
                      <w:szCs w:val="21"/>
                      <w14:textFill>
                        <w14:solidFill>
                          <w14:schemeClr w14:val="tx1"/>
                        </w14:solidFill>
                      </w14:textFill>
                    </w:rPr>
                    <w:t>租赁已建成生产车间</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新上生产设备</w:t>
                  </w:r>
                </w:p>
              </w:tc>
            </w:tr>
            <w:tr w14:paraId="0B3F9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78" w:type="dxa"/>
                  <w:vMerge w:val="continue"/>
                  <w:tcBorders>
                    <w:tl2br w:val="nil"/>
                    <w:tr2bl w:val="nil"/>
                  </w:tcBorders>
                  <w:vAlign w:val="center"/>
                </w:tcPr>
                <w:p w14:paraId="2E341F51">
                  <w:pPr>
                    <w:adjustRightInd w:val="0"/>
                    <w:spacing w:line="240" w:lineRule="exact"/>
                    <w:jc w:val="center"/>
                  </w:pPr>
                </w:p>
              </w:tc>
              <w:tc>
                <w:tcPr>
                  <w:tcW w:w="1303" w:type="dxa"/>
                  <w:gridSpan w:val="2"/>
                  <w:tcBorders>
                    <w:tl2br w:val="nil"/>
                    <w:tr2bl w:val="nil"/>
                  </w:tcBorders>
                  <w:shd w:val="clear" w:color="auto" w:fill="auto"/>
                  <w:vAlign w:val="center"/>
                </w:tcPr>
                <w:p w14:paraId="5CB01384">
                  <w:pPr>
                    <w:adjustRightInd w:val="0"/>
                    <w:spacing w:line="2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2#喷涂车间</w:t>
                  </w:r>
                </w:p>
              </w:tc>
              <w:tc>
                <w:tcPr>
                  <w:tcW w:w="4930" w:type="dxa"/>
                  <w:tcBorders>
                    <w:tl2br w:val="nil"/>
                    <w:tr2bl w:val="nil"/>
                  </w:tcBorders>
                  <w:shd w:val="clear" w:color="auto" w:fill="auto"/>
                  <w:vAlign w:val="center"/>
                </w:tcPr>
                <w:p w14:paraId="1A2D93F0">
                  <w:pPr>
                    <w:adjustRightInd w:val="0"/>
                    <w:spacing w:line="240" w:lineRule="exact"/>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color w:val="auto"/>
                      <w:sz w:val="21"/>
                      <w:szCs w:val="21"/>
                      <w:highlight w:val="none"/>
                      <w:lang w:val="en-US" w:eastAsia="zh-CN"/>
                    </w:rPr>
                    <w:t>布设于生产厂房内</w:t>
                  </w:r>
                  <w:r>
                    <w:rPr>
                      <w:rFonts w:hint="eastAsia" w:eastAsia="宋体" w:cs="Times New Roman"/>
                      <w:color w:val="auto"/>
                      <w:sz w:val="21"/>
                      <w:szCs w:val="21"/>
                      <w:highlight w:val="none"/>
                      <w:lang w:val="en-US" w:eastAsia="zh-CN"/>
                    </w:rPr>
                    <w:t>西侧</w:t>
                  </w:r>
                  <w:r>
                    <w:rPr>
                      <w:rFonts w:hint="eastAsia" w:ascii="Times New Roman" w:hAnsi="Times New Roman" w:eastAsia="宋体" w:cs="Times New Roman"/>
                      <w:color w:val="auto"/>
                      <w:sz w:val="21"/>
                      <w:szCs w:val="21"/>
                      <w:highlight w:val="none"/>
                      <w:lang w:val="en-US" w:eastAsia="zh-CN"/>
                    </w:rPr>
                    <w:t>，主要用于</w:t>
                  </w:r>
                  <w:r>
                    <w:rPr>
                      <w:rFonts w:hint="eastAsia" w:eastAsia="宋体" w:cs="Times New Roman"/>
                      <w:color w:val="auto"/>
                      <w:sz w:val="21"/>
                      <w:szCs w:val="21"/>
                      <w:highlight w:val="none"/>
                      <w:lang w:val="en-US" w:eastAsia="zh-CN"/>
                    </w:rPr>
                    <w:t>汽车零部件</w:t>
                  </w:r>
                  <w:r>
                    <w:rPr>
                      <w:rFonts w:hint="eastAsia" w:ascii="Times New Roman" w:hAnsi="Times New Roman" w:eastAsia="宋体" w:cs="Times New Roman"/>
                      <w:color w:val="auto"/>
                      <w:sz w:val="21"/>
                      <w:szCs w:val="21"/>
                      <w:highlight w:val="none"/>
                      <w:lang w:val="en-US" w:eastAsia="zh-CN"/>
                    </w:rPr>
                    <w:t>的</w:t>
                  </w:r>
                  <w:r>
                    <w:rPr>
                      <w:rFonts w:hint="eastAsia" w:eastAsia="宋体" w:cs="Times New Roman"/>
                      <w:color w:val="auto"/>
                      <w:sz w:val="21"/>
                      <w:szCs w:val="21"/>
                      <w:highlight w:val="none"/>
                      <w:lang w:val="en-US" w:eastAsia="zh-CN"/>
                    </w:rPr>
                    <w:t>喷粉</w:t>
                  </w:r>
                  <w:r>
                    <w:rPr>
                      <w:rFonts w:hint="eastAsia" w:ascii="Times New Roman" w:hAnsi="Times New Roman" w:eastAsia="宋体" w:cs="Times New Roman"/>
                      <w:color w:val="auto"/>
                      <w:sz w:val="21"/>
                      <w:szCs w:val="21"/>
                      <w:highlight w:val="none"/>
                      <w:lang w:val="en-US" w:eastAsia="zh-CN"/>
                    </w:rPr>
                    <w:t>作业。</w:t>
                  </w:r>
                </w:p>
              </w:tc>
              <w:tc>
                <w:tcPr>
                  <w:tcW w:w="1263" w:type="dxa"/>
                  <w:vMerge w:val="continue"/>
                  <w:tcBorders>
                    <w:tl2br w:val="nil"/>
                    <w:tr2bl w:val="nil"/>
                  </w:tcBorders>
                  <w:vAlign w:val="center"/>
                </w:tcPr>
                <w:p w14:paraId="559D03E2">
                  <w:pPr>
                    <w:adjustRightInd w:val="0"/>
                    <w:spacing w:line="240" w:lineRule="exact"/>
                    <w:jc w:val="center"/>
                    <w:rPr>
                      <w:szCs w:val="21"/>
                    </w:rPr>
                  </w:pPr>
                </w:p>
              </w:tc>
            </w:tr>
            <w:tr w14:paraId="038E5A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tcBorders>
                    <w:tl2br w:val="nil"/>
                    <w:tr2bl w:val="nil"/>
                  </w:tcBorders>
                  <w:vAlign w:val="center"/>
                </w:tcPr>
                <w:p w14:paraId="03E4B732">
                  <w:pPr>
                    <w:adjustRightInd w:val="0"/>
                    <w:spacing w:line="240" w:lineRule="exact"/>
                    <w:jc w:val="center"/>
                  </w:pPr>
                </w:p>
              </w:tc>
              <w:tc>
                <w:tcPr>
                  <w:tcW w:w="1303" w:type="dxa"/>
                  <w:gridSpan w:val="2"/>
                  <w:tcBorders>
                    <w:tl2br w:val="nil"/>
                    <w:tr2bl w:val="nil"/>
                  </w:tcBorders>
                  <w:vAlign w:val="center"/>
                </w:tcPr>
                <w:p w14:paraId="6547ACDE">
                  <w:pPr>
                    <w:adjustRightInd w:val="0"/>
                    <w:spacing w:line="240" w:lineRule="exact"/>
                    <w:jc w:val="center"/>
                    <w:rPr>
                      <w:rFonts w:hint="default" w:eastAsia="宋体"/>
                      <w:szCs w:val="21"/>
                      <w:lang w:val="en-US" w:eastAsia="zh-CN"/>
                    </w:rPr>
                  </w:pPr>
                  <w:r>
                    <w:rPr>
                      <w:rFonts w:hint="eastAsia"/>
                      <w:szCs w:val="21"/>
                      <w:lang w:val="en-US" w:eastAsia="zh-CN"/>
                    </w:rPr>
                    <w:t>3#电泳车间</w:t>
                  </w:r>
                </w:p>
              </w:tc>
              <w:tc>
                <w:tcPr>
                  <w:tcW w:w="4930" w:type="dxa"/>
                  <w:tcBorders>
                    <w:tl2br w:val="nil"/>
                    <w:tr2bl w:val="nil"/>
                  </w:tcBorders>
                  <w:vAlign w:val="center"/>
                </w:tcPr>
                <w:p w14:paraId="01E143E3">
                  <w:pPr>
                    <w:keepNext w:val="0"/>
                    <w:keepLines w:val="0"/>
                    <w:widowControl/>
                    <w:suppressLineNumbers w:val="0"/>
                    <w:jc w:val="center"/>
                    <w:rPr>
                      <w:szCs w:val="21"/>
                    </w:rPr>
                  </w:pPr>
                  <w:r>
                    <w:rPr>
                      <w:rFonts w:hint="eastAsia" w:ascii="Times New Roman" w:hAnsi="Times New Roman" w:eastAsia="宋体" w:cs="Times New Roman"/>
                      <w:color w:val="auto"/>
                      <w:sz w:val="21"/>
                      <w:szCs w:val="21"/>
                      <w:highlight w:val="none"/>
                      <w:lang w:val="en-US" w:eastAsia="zh-CN"/>
                    </w:rPr>
                    <w:t>布设于生产厂房内西侧，主要用于汽车零部件的用于电泳加工作业。</w:t>
                  </w:r>
                </w:p>
              </w:tc>
              <w:tc>
                <w:tcPr>
                  <w:tcW w:w="1263" w:type="dxa"/>
                  <w:vMerge w:val="continue"/>
                  <w:tcBorders>
                    <w:tl2br w:val="nil"/>
                    <w:tr2bl w:val="nil"/>
                  </w:tcBorders>
                  <w:vAlign w:val="center"/>
                </w:tcPr>
                <w:p w14:paraId="73248587">
                  <w:pPr>
                    <w:adjustRightInd w:val="0"/>
                    <w:spacing w:line="240" w:lineRule="exact"/>
                    <w:jc w:val="center"/>
                    <w:rPr>
                      <w:szCs w:val="21"/>
                    </w:rPr>
                  </w:pPr>
                </w:p>
              </w:tc>
            </w:tr>
            <w:tr w14:paraId="2D866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tcBorders>
                    <w:tl2br w:val="nil"/>
                    <w:tr2bl w:val="nil"/>
                  </w:tcBorders>
                  <w:vAlign w:val="center"/>
                </w:tcPr>
                <w:p w14:paraId="264EAABB">
                  <w:pPr>
                    <w:spacing w:line="240" w:lineRule="exact"/>
                    <w:jc w:val="center"/>
                    <w:rPr>
                      <w:spacing w:val="-16"/>
                      <w:szCs w:val="21"/>
                    </w:rPr>
                  </w:pPr>
                  <w:r>
                    <w:rPr>
                      <w:spacing w:val="-16"/>
                      <w:szCs w:val="21"/>
                    </w:rPr>
                    <w:t>辅助</w:t>
                  </w:r>
                </w:p>
                <w:p w14:paraId="17D028A0">
                  <w:pPr>
                    <w:spacing w:line="240" w:lineRule="exact"/>
                    <w:jc w:val="center"/>
                    <w:rPr>
                      <w:spacing w:val="-16"/>
                      <w:szCs w:val="21"/>
                    </w:rPr>
                  </w:pPr>
                  <w:r>
                    <w:rPr>
                      <w:spacing w:val="-16"/>
                      <w:szCs w:val="21"/>
                    </w:rPr>
                    <w:t>工程</w:t>
                  </w:r>
                </w:p>
              </w:tc>
              <w:tc>
                <w:tcPr>
                  <w:tcW w:w="1303" w:type="dxa"/>
                  <w:gridSpan w:val="2"/>
                  <w:tcBorders>
                    <w:tl2br w:val="nil"/>
                    <w:tr2bl w:val="nil"/>
                  </w:tcBorders>
                  <w:vAlign w:val="center"/>
                </w:tcPr>
                <w:p w14:paraId="24BBC0D8">
                  <w:pPr>
                    <w:adjustRightInd w:val="0"/>
                    <w:spacing w:line="240" w:lineRule="exact"/>
                    <w:jc w:val="center"/>
                    <w:rPr>
                      <w:szCs w:val="21"/>
                    </w:rPr>
                  </w:pPr>
                  <w:r>
                    <w:rPr>
                      <w:szCs w:val="21"/>
                    </w:rPr>
                    <w:t>办公</w:t>
                  </w:r>
                  <w:r>
                    <w:rPr>
                      <w:rFonts w:hint="eastAsia"/>
                      <w:szCs w:val="21"/>
                    </w:rPr>
                    <w:t>区</w:t>
                  </w:r>
                </w:p>
              </w:tc>
              <w:tc>
                <w:tcPr>
                  <w:tcW w:w="4930" w:type="dxa"/>
                  <w:tcBorders>
                    <w:tl2br w:val="nil"/>
                    <w:tr2bl w:val="nil"/>
                  </w:tcBorders>
                  <w:vAlign w:val="center"/>
                </w:tcPr>
                <w:p w14:paraId="39DFA8FB">
                  <w:pPr>
                    <w:adjustRightInd w:val="0"/>
                    <w:spacing w:line="240" w:lineRule="exact"/>
                    <w:jc w:val="center"/>
                    <w:rPr>
                      <w:rFonts w:hint="eastAsia" w:eastAsia="宋体"/>
                      <w:snapToGrid w:val="0"/>
                      <w:szCs w:val="21"/>
                      <w:lang w:eastAsia="zh-CN"/>
                    </w:rPr>
                  </w:pPr>
                  <w:r>
                    <w:rPr>
                      <w:rFonts w:hint="eastAsia"/>
                    </w:rPr>
                    <w:t>位于厂房</w:t>
                  </w:r>
                  <w:r>
                    <w:rPr>
                      <w:rFonts w:hint="eastAsia"/>
                      <w:lang w:val="en-US" w:eastAsia="zh-CN"/>
                    </w:rPr>
                    <w:t>东</w:t>
                  </w:r>
                  <w:r>
                    <w:rPr>
                      <w:rFonts w:hint="eastAsia"/>
                    </w:rPr>
                    <w:t>南侧，</w:t>
                  </w:r>
                  <w:r>
                    <w:t>用于</w:t>
                  </w:r>
                  <w:r>
                    <w:rPr>
                      <w:rFonts w:hint="eastAsia"/>
                      <w:lang w:val="en-US" w:eastAsia="zh-CN"/>
                    </w:rPr>
                    <w:t>职工日常</w:t>
                  </w:r>
                  <w:r>
                    <w:t>办公</w:t>
                  </w:r>
                  <w:r>
                    <w:rPr>
                      <w:rFonts w:hint="eastAsia"/>
                      <w:lang w:eastAsia="zh-CN"/>
                    </w:rPr>
                    <w:t>。</w:t>
                  </w:r>
                </w:p>
              </w:tc>
              <w:tc>
                <w:tcPr>
                  <w:tcW w:w="1263" w:type="dxa"/>
                  <w:tcBorders>
                    <w:tl2br w:val="nil"/>
                    <w:tr2bl w:val="nil"/>
                  </w:tcBorders>
                  <w:vAlign w:val="center"/>
                </w:tcPr>
                <w:p w14:paraId="0F7FF28B">
                  <w:pPr>
                    <w:adjustRightInd w:val="0"/>
                    <w:spacing w:line="240" w:lineRule="exact"/>
                    <w:jc w:val="center"/>
                    <w:rPr>
                      <w:rFonts w:hint="eastAsia" w:eastAsia="宋体"/>
                      <w:lang w:eastAsia="zh-CN"/>
                    </w:rPr>
                  </w:pPr>
                  <w:r>
                    <w:t>依托</w:t>
                  </w:r>
                  <w:r>
                    <w:rPr>
                      <w:rFonts w:hint="eastAsia"/>
                      <w:lang w:val="en-US" w:eastAsia="zh-CN"/>
                    </w:rPr>
                    <w:t>原有</w:t>
                  </w:r>
                </w:p>
              </w:tc>
            </w:tr>
            <w:tr w14:paraId="30B819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578" w:type="dxa"/>
                  <w:vMerge w:val="restart"/>
                  <w:tcBorders>
                    <w:tl2br w:val="nil"/>
                    <w:tr2bl w:val="nil"/>
                  </w:tcBorders>
                  <w:vAlign w:val="center"/>
                </w:tcPr>
                <w:p w14:paraId="21D3674B">
                  <w:pPr>
                    <w:spacing w:line="240" w:lineRule="exact"/>
                    <w:jc w:val="center"/>
                    <w:rPr>
                      <w:rFonts w:hint="eastAsia"/>
                      <w:spacing w:val="-16"/>
                      <w:szCs w:val="21"/>
                      <w:lang w:val="en-US" w:eastAsia="zh-CN"/>
                    </w:rPr>
                  </w:pPr>
                  <w:r>
                    <w:rPr>
                      <w:rFonts w:hint="eastAsia"/>
                      <w:spacing w:val="-16"/>
                      <w:szCs w:val="21"/>
                      <w:lang w:val="en-US" w:eastAsia="zh-CN"/>
                    </w:rPr>
                    <w:t>储运</w:t>
                  </w:r>
                </w:p>
                <w:p w14:paraId="299AAE59">
                  <w:pPr>
                    <w:spacing w:line="240" w:lineRule="exact"/>
                    <w:jc w:val="center"/>
                    <w:rPr>
                      <w:spacing w:val="-16"/>
                      <w:szCs w:val="21"/>
                    </w:rPr>
                  </w:pPr>
                  <w:r>
                    <w:rPr>
                      <w:spacing w:val="-16"/>
                      <w:szCs w:val="21"/>
                    </w:rPr>
                    <w:t>工程</w:t>
                  </w:r>
                </w:p>
              </w:tc>
              <w:tc>
                <w:tcPr>
                  <w:tcW w:w="1303" w:type="dxa"/>
                  <w:gridSpan w:val="2"/>
                  <w:tcBorders>
                    <w:tl2br w:val="nil"/>
                    <w:tr2bl w:val="nil"/>
                  </w:tcBorders>
                  <w:shd w:val="clear" w:color="auto" w:fill="auto"/>
                  <w:vAlign w:val="center"/>
                </w:tcPr>
                <w:p w14:paraId="34FE43EC">
                  <w:pPr>
                    <w:keepNext w:val="0"/>
                    <w:keepLines w:val="0"/>
                    <w:pageBreakBefore w:val="0"/>
                    <w:widowControl w:val="0"/>
                    <w:kinsoku/>
                    <w:wordWrap w:val="0"/>
                    <w:overflowPunct/>
                    <w:topLinePunct/>
                    <w:autoSpaceDE/>
                    <w:autoSpaceDN/>
                    <w:bidi w:val="0"/>
                    <w:adjustRightInd/>
                    <w:snapToGri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原料区</w:t>
                  </w:r>
                </w:p>
              </w:tc>
              <w:tc>
                <w:tcPr>
                  <w:tcW w:w="4930" w:type="dxa"/>
                  <w:tcBorders>
                    <w:tl2br w:val="nil"/>
                    <w:tr2bl w:val="nil"/>
                  </w:tcBorders>
                  <w:vAlign w:val="center"/>
                </w:tcPr>
                <w:p w14:paraId="1864AC09">
                  <w:pPr>
                    <w:jc w:val="center"/>
                    <w:rPr>
                      <w:snapToGrid w:val="0"/>
                      <w:szCs w:val="21"/>
                    </w:rPr>
                  </w:pPr>
                  <w:r>
                    <w:rPr>
                      <w:rFonts w:hint="eastAsia" w:ascii="Times New Roman" w:hAnsi="Times New Roman" w:cs="Times New Roman"/>
                      <w:color w:val="auto"/>
                      <w:sz w:val="21"/>
                      <w:szCs w:val="21"/>
                      <w:lang w:val="en-US" w:eastAsia="zh-CN"/>
                    </w:rPr>
                    <w:t>原料区设置在生产厂房内</w:t>
                  </w:r>
                  <w:r>
                    <w:rPr>
                      <w:rFonts w:hint="eastAsia" w:cs="Times New Roman"/>
                      <w:color w:val="auto"/>
                      <w:sz w:val="21"/>
                      <w:szCs w:val="21"/>
                      <w:lang w:val="en-US" w:eastAsia="zh-CN"/>
                    </w:rPr>
                    <w:t>东</w:t>
                  </w:r>
                  <w:r>
                    <w:rPr>
                      <w:rFonts w:hint="eastAsia" w:ascii="Times New Roman" w:hAnsi="Times New Roman" w:cs="Times New Roman"/>
                      <w:color w:val="auto"/>
                      <w:sz w:val="21"/>
                      <w:szCs w:val="21"/>
                      <w:lang w:val="en-US" w:eastAsia="zh-CN"/>
                    </w:rPr>
                    <w:t>南</w:t>
                  </w:r>
                  <w:r>
                    <w:rPr>
                      <w:rFonts w:hint="eastAsia" w:eastAsia="宋体" w:cs="Times New Roman"/>
                      <w:color w:val="auto"/>
                      <w:sz w:val="21"/>
                      <w:szCs w:val="21"/>
                      <w:highlight w:val="none"/>
                      <w:lang w:val="en-US" w:eastAsia="zh-CN"/>
                    </w:rPr>
                    <w:t>侧</w:t>
                  </w:r>
                  <w:r>
                    <w:rPr>
                      <w:rFonts w:hint="eastAsia" w:ascii="Times New Roman" w:hAnsi="Times New Roman" w:eastAsia="宋体" w:cs="Times New Roman"/>
                      <w:color w:val="auto"/>
                      <w:sz w:val="21"/>
                      <w:szCs w:val="21"/>
                      <w:highlight w:val="none"/>
                      <w:lang w:val="en-US" w:eastAsia="zh-CN"/>
                    </w:rPr>
                    <w:t>，主要用于</w:t>
                  </w:r>
                  <w:r>
                    <w:rPr>
                      <w:szCs w:val="21"/>
                    </w:rPr>
                    <w:t>环氧树脂、</w:t>
                  </w:r>
                  <w:r>
                    <w:t>聚酯树脂</w:t>
                  </w:r>
                  <w:r>
                    <w:rPr>
                      <w:snapToGrid w:val="0"/>
                      <w:szCs w:val="21"/>
                    </w:rPr>
                    <w:t>、</w:t>
                  </w:r>
                  <w:r>
                    <w:rPr>
                      <w:szCs w:val="21"/>
                    </w:rPr>
                    <w:t>钛白粉、高光钡</w:t>
                  </w:r>
                  <w:r>
                    <w:rPr>
                      <w:rFonts w:hint="eastAsia" w:ascii="Times New Roman" w:hAnsi="Times New Roman" w:eastAsia="宋体" w:cs="Times New Roman"/>
                      <w:color w:val="auto"/>
                      <w:sz w:val="21"/>
                      <w:szCs w:val="21"/>
                      <w:highlight w:val="none"/>
                      <w:lang w:val="en-US" w:eastAsia="zh-CN"/>
                    </w:rPr>
                    <w:t>、汽车零部件毛坯件等的暂存。</w:t>
                  </w:r>
                </w:p>
              </w:tc>
              <w:tc>
                <w:tcPr>
                  <w:tcW w:w="1263" w:type="dxa"/>
                  <w:tcBorders>
                    <w:tl2br w:val="nil"/>
                    <w:tr2bl w:val="nil"/>
                  </w:tcBorders>
                  <w:vAlign w:val="center"/>
                </w:tcPr>
                <w:p w14:paraId="1ECF4222">
                  <w:pPr>
                    <w:adjustRightInd w:val="0"/>
                    <w:spacing w:line="240" w:lineRule="exact"/>
                    <w:jc w:val="center"/>
                  </w:pPr>
                  <w:r>
                    <w:rPr>
                      <w:rFonts w:hint="eastAsia" w:ascii="Times New Roman" w:hAnsi="Times New Roman" w:cs="Times New Roman"/>
                      <w:color w:val="000000" w:themeColor="text1"/>
                      <w:sz w:val="21"/>
                      <w:szCs w:val="21"/>
                      <w:lang w:val="en-US" w:eastAsia="zh-CN"/>
                      <w14:textFill>
                        <w14:solidFill>
                          <w14:schemeClr w14:val="tx1"/>
                        </w14:solidFill>
                      </w14:textFill>
                    </w:rPr>
                    <w:t>生产厂房内</w:t>
                  </w:r>
                </w:p>
              </w:tc>
            </w:tr>
            <w:tr w14:paraId="6F6B8C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tcBorders>
                    <w:tl2br w:val="nil"/>
                    <w:tr2bl w:val="nil"/>
                  </w:tcBorders>
                  <w:vAlign w:val="center"/>
                </w:tcPr>
                <w:p w14:paraId="0BA6BEB7">
                  <w:pPr>
                    <w:spacing w:line="240" w:lineRule="exact"/>
                    <w:jc w:val="center"/>
                    <w:rPr>
                      <w:spacing w:val="-16"/>
                      <w:szCs w:val="21"/>
                    </w:rPr>
                  </w:pPr>
                </w:p>
              </w:tc>
              <w:tc>
                <w:tcPr>
                  <w:tcW w:w="1303" w:type="dxa"/>
                  <w:gridSpan w:val="2"/>
                  <w:tcBorders>
                    <w:tl2br w:val="nil"/>
                    <w:tr2bl w:val="nil"/>
                  </w:tcBorders>
                  <w:shd w:val="clear" w:color="auto" w:fill="auto"/>
                  <w:vAlign w:val="center"/>
                </w:tcPr>
                <w:p w14:paraId="1FEC633D">
                  <w:pPr>
                    <w:keepNext w:val="0"/>
                    <w:keepLines w:val="0"/>
                    <w:pageBreakBefore w:val="0"/>
                    <w:widowControl w:val="0"/>
                    <w:kinsoku/>
                    <w:wordWrap w:val="0"/>
                    <w:overflowPunct/>
                    <w:topLinePunct/>
                    <w:autoSpaceDE/>
                    <w:autoSpaceDN/>
                    <w:bidi w:val="0"/>
                    <w:adjustRightInd/>
                    <w:snapToGrid/>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成品区</w:t>
                  </w:r>
                </w:p>
              </w:tc>
              <w:tc>
                <w:tcPr>
                  <w:tcW w:w="4930" w:type="dxa"/>
                  <w:tcBorders>
                    <w:tl2br w:val="nil"/>
                    <w:tr2bl w:val="nil"/>
                  </w:tcBorders>
                  <w:vAlign w:val="center"/>
                </w:tcPr>
                <w:p w14:paraId="3FD40519">
                  <w:pPr>
                    <w:jc w:val="center"/>
                    <w:rPr>
                      <w:snapToGrid w:val="0"/>
                      <w:szCs w:val="21"/>
                    </w:rPr>
                  </w:pPr>
                  <w:r>
                    <w:rPr>
                      <w:rFonts w:hint="eastAsia" w:ascii="Times New Roman" w:hAnsi="Times New Roman" w:eastAsia="宋体" w:cs="Times New Roman"/>
                      <w:color w:val="auto"/>
                      <w:szCs w:val="21"/>
                      <w:highlight w:val="none"/>
                      <w:lang w:val="en-US" w:eastAsia="zh-CN"/>
                    </w:rPr>
                    <w:t>成品区堆放区设置在</w:t>
                  </w:r>
                  <w:r>
                    <w:rPr>
                      <w:rFonts w:hint="eastAsia" w:ascii="Times New Roman" w:hAnsi="Times New Roman" w:eastAsia="宋体" w:cs="Times New Roman"/>
                      <w:bCs/>
                      <w:color w:val="auto"/>
                      <w:szCs w:val="21"/>
                      <w:highlight w:val="none"/>
                      <w:lang w:val="en-US" w:eastAsia="zh-CN"/>
                    </w:rPr>
                    <w:t>生产厂房内</w:t>
                  </w:r>
                  <w:r>
                    <w:rPr>
                      <w:rFonts w:hint="eastAsia" w:ascii="Times New Roman" w:hAnsi="Times New Roman" w:cs="Times New Roman"/>
                      <w:color w:val="auto"/>
                      <w:sz w:val="21"/>
                      <w:szCs w:val="21"/>
                      <w:lang w:val="en-US" w:eastAsia="zh-CN"/>
                    </w:rPr>
                    <w:t>南</w:t>
                  </w:r>
                  <w:r>
                    <w:rPr>
                      <w:rFonts w:hint="eastAsia" w:eastAsia="宋体" w:cs="Times New Roman"/>
                      <w:color w:val="auto"/>
                      <w:sz w:val="21"/>
                      <w:szCs w:val="21"/>
                      <w:highlight w:val="none"/>
                      <w:lang w:val="en-US" w:eastAsia="zh-CN"/>
                    </w:rPr>
                    <w:t>侧</w:t>
                  </w:r>
                  <w:r>
                    <w:rPr>
                      <w:rFonts w:hint="eastAsia" w:ascii="Times New Roman" w:hAnsi="Times New Roman" w:eastAsia="宋体" w:cs="Times New Roman"/>
                      <w:color w:val="auto"/>
                      <w:sz w:val="21"/>
                      <w:szCs w:val="21"/>
                      <w:highlight w:val="none"/>
                      <w:lang w:val="en-US" w:eastAsia="zh-CN"/>
                    </w:rPr>
                    <w:t>，主要用于成品热固性粉末涂料、汽车零部件</w:t>
                  </w:r>
                  <w:r>
                    <w:rPr>
                      <w:rFonts w:hint="eastAsia" w:cs="Times New Roman"/>
                      <w:color w:val="auto"/>
                      <w:sz w:val="21"/>
                      <w:szCs w:val="21"/>
                      <w:highlight w:val="none"/>
                      <w:lang w:val="en-US" w:eastAsia="zh-CN"/>
                    </w:rPr>
                    <w:t>成品</w:t>
                  </w:r>
                  <w:r>
                    <w:rPr>
                      <w:rFonts w:hint="eastAsia" w:ascii="Times New Roman" w:hAnsi="Times New Roman" w:eastAsia="宋体" w:cs="Times New Roman"/>
                      <w:color w:val="auto"/>
                      <w:sz w:val="21"/>
                      <w:szCs w:val="21"/>
                      <w:highlight w:val="none"/>
                      <w:lang w:val="en-US" w:eastAsia="zh-CN"/>
                    </w:rPr>
                    <w:t>的暂存</w:t>
                  </w:r>
                </w:p>
              </w:tc>
              <w:tc>
                <w:tcPr>
                  <w:tcW w:w="1263" w:type="dxa"/>
                  <w:tcBorders>
                    <w:tl2br w:val="nil"/>
                    <w:tr2bl w:val="nil"/>
                  </w:tcBorders>
                  <w:vAlign w:val="center"/>
                </w:tcPr>
                <w:p w14:paraId="3E2C5864">
                  <w:pPr>
                    <w:adjustRightInd w:val="0"/>
                    <w:spacing w:line="240" w:lineRule="exact"/>
                    <w:jc w:val="center"/>
                  </w:pPr>
                  <w:r>
                    <w:rPr>
                      <w:rFonts w:hint="eastAsia" w:ascii="Times New Roman" w:hAnsi="Times New Roman" w:cs="Times New Roman"/>
                      <w:color w:val="000000" w:themeColor="text1"/>
                      <w:sz w:val="21"/>
                      <w:szCs w:val="21"/>
                      <w:lang w:val="en-US" w:eastAsia="zh-CN"/>
                      <w14:textFill>
                        <w14:solidFill>
                          <w14:schemeClr w14:val="tx1"/>
                        </w14:solidFill>
                      </w14:textFill>
                    </w:rPr>
                    <w:t>生产厂房内</w:t>
                  </w:r>
                </w:p>
              </w:tc>
            </w:tr>
            <w:tr w14:paraId="25A8F8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restart"/>
                  <w:tcBorders>
                    <w:tl2br w:val="nil"/>
                    <w:tr2bl w:val="nil"/>
                  </w:tcBorders>
                  <w:vAlign w:val="center"/>
                </w:tcPr>
                <w:p w14:paraId="79D58226">
                  <w:pPr>
                    <w:spacing w:line="240" w:lineRule="exact"/>
                    <w:jc w:val="center"/>
                    <w:rPr>
                      <w:spacing w:val="-16"/>
                      <w:szCs w:val="21"/>
                    </w:rPr>
                  </w:pPr>
                  <w:r>
                    <w:rPr>
                      <w:spacing w:val="-16"/>
                      <w:szCs w:val="21"/>
                    </w:rPr>
                    <w:t>公用</w:t>
                  </w:r>
                </w:p>
                <w:p w14:paraId="442EC267">
                  <w:pPr>
                    <w:spacing w:line="240" w:lineRule="exact"/>
                    <w:jc w:val="center"/>
                    <w:rPr>
                      <w:spacing w:val="-16"/>
                      <w:szCs w:val="21"/>
                    </w:rPr>
                  </w:pPr>
                  <w:r>
                    <w:rPr>
                      <w:spacing w:val="-16"/>
                      <w:szCs w:val="21"/>
                    </w:rPr>
                    <w:t>工程</w:t>
                  </w:r>
                </w:p>
              </w:tc>
              <w:tc>
                <w:tcPr>
                  <w:tcW w:w="1303" w:type="dxa"/>
                  <w:gridSpan w:val="2"/>
                  <w:tcBorders>
                    <w:tl2br w:val="nil"/>
                    <w:tr2bl w:val="nil"/>
                  </w:tcBorders>
                  <w:vAlign w:val="center"/>
                </w:tcPr>
                <w:p w14:paraId="2FBF54AB">
                  <w:pPr>
                    <w:spacing w:line="240" w:lineRule="exact"/>
                    <w:jc w:val="center"/>
                    <w:rPr>
                      <w:szCs w:val="21"/>
                    </w:rPr>
                  </w:pPr>
                  <w:r>
                    <w:rPr>
                      <w:szCs w:val="21"/>
                    </w:rPr>
                    <w:t>给水</w:t>
                  </w:r>
                </w:p>
              </w:tc>
              <w:tc>
                <w:tcPr>
                  <w:tcW w:w="4930" w:type="dxa"/>
                  <w:tcBorders>
                    <w:tl2br w:val="nil"/>
                    <w:tr2bl w:val="nil"/>
                  </w:tcBorders>
                  <w:vAlign w:val="center"/>
                </w:tcPr>
                <w:p w14:paraId="52D1E54C">
                  <w:pPr>
                    <w:adjustRightInd w:val="0"/>
                    <w:spacing w:line="240" w:lineRule="exact"/>
                    <w:jc w:val="center"/>
                    <w:rPr>
                      <w:snapToGrid w:val="0"/>
                      <w:szCs w:val="21"/>
                    </w:rPr>
                  </w:pPr>
                  <w:r>
                    <w:rPr>
                      <w:snapToGrid w:val="0"/>
                      <w:szCs w:val="21"/>
                    </w:rPr>
                    <w:t>市政供水管网供给</w:t>
                  </w:r>
                </w:p>
              </w:tc>
              <w:tc>
                <w:tcPr>
                  <w:tcW w:w="1263" w:type="dxa"/>
                  <w:tcBorders>
                    <w:tl2br w:val="nil"/>
                    <w:tr2bl w:val="nil"/>
                  </w:tcBorders>
                  <w:vAlign w:val="center"/>
                </w:tcPr>
                <w:p w14:paraId="7A31614A">
                  <w:pPr>
                    <w:adjustRightInd w:val="0"/>
                    <w:spacing w:line="240" w:lineRule="exact"/>
                    <w:jc w:val="center"/>
                    <w:rPr>
                      <w:snapToGrid w:val="0"/>
                      <w:szCs w:val="21"/>
                    </w:rPr>
                  </w:pPr>
                  <w:r>
                    <w:t>依托</w:t>
                  </w:r>
                  <w:r>
                    <w:rPr>
                      <w:rFonts w:hint="eastAsia"/>
                      <w:lang w:val="en-US" w:eastAsia="zh-CN"/>
                    </w:rPr>
                    <w:t>原有</w:t>
                  </w:r>
                </w:p>
              </w:tc>
            </w:tr>
            <w:tr w14:paraId="343EF5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tcBorders>
                    <w:tl2br w:val="nil"/>
                    <w:tr2bl w:val="nil"/>
                  </w:tcBorders>
                  <w:vAlign w:val="center"/>
                </w:tcPr>
                <w:p w14:paraId="68337AFA">
                  <w:pPr>
                    <w:spacing w:line="240" w:lineRule="exact"/>
                    <w:jc w:val="center"/>
                    <w:rPr>
                      <w:color w:val="FF0000"/>
                      <w:spacing w:val="-16"/>
                      <w:szCs w:val="21"/>
                    </w:rPr>
                  </w:pPr>
                </w:p>
              </w:tc>
              <w:tc>
                <w:tcPr>
                  <w:tcW w:w="1303" w:type="dxa"/>
                  <w:gridSpan w:val="2"/>
                  <w:tcBorders>
                    <w:tl2br w:val="nil"/>
                    <w:tr2bl w:val="nil"/>
                  </w:tcBorders>
                  <w:vAlign w:val="center"/>
                </w:tcPr>
                <w:p w14:paraId="73984904">
                  <w:pPr>
                    <w:spacing w:line="240" w:lineRule="exact"/>
                    <w:jc w:val="center"/>
                    <w:rPr>
                      <w:szCs w:val="21"/>
                    </w:rPr>
                  </w:pPr>
                  <w:r>
                    <w:rPr>
                      <w:szCs w:val="21"/>
                    </w:rPr>
                    <w:t>供电</w:t>
                  </w:r>
                </w:p>
              </w:tc>
              <w:tc>
                <w:tcPr>
                  <w:tcW w:w="4930" w:type="dxa"/>
                  <w:tcBorders>
                    <w:tl2br w:val="nil"/>
                    <w:tr2bl w:val="nil"/>
                  </w:tcBorders>
                  <w:vAlign w:val="center"/>
                </w:tcPr>
                <w:p w14:paraId="079DA5B9">
                  <w:pPr>
                    <w:adjustRightInd w:val="0"/>
                    <w:spacing w:line="240" w:lineRule="exact"/>
                    <w:jc w:val="center"/>
                    <w:rPr>
                      <w:snapToGrid w:val="0"/>
                      <w:szCs w:val="21"/>
                    </w:rPr>
                  </w:pPr>
                  <w:r>
                    <w:rPr>
                      <w:snapToGrid w:val="0"/>
                      <w:szCs w:val="21"/>
                    </w:rPr>
                    <w:t>引自市政配电室</w:t>
                  </w:r>
                </w:p>
              </w:tc>
              <w:tc>
                <w:tcPr>
                  <w:tcW w:w="1263" w:type="dxa"/>
                  <w:tcBorders>
                    <w:tl2br w:val="nil"/>
                    <w:tr2bl w:val="nil"/>
                  </w:tcBorders>
                  <w:vAlign w:val="center"/>
                </w:tcPr>
                <w:p w14:paraId="3953C831">
                  <w:pPr>
                    <w:adjustRightInd w:val="0"/>
                    <w:spacing w:line="240" w:lineRule="exact"/>
                    <w:jc w:val="center"/>
                    <w:rPr>
                      <w:snapToGrid w:val="0"/>
                      <w:szCs w:val="21"/>
                    </w:rPr>
                  </w:pPr>
                  <w:r>
                    <w:t>依托</w:t>
                  </w:r>
                  <w:r>
                    <w:rPr>
                      <w:rFonts w:hint="eastAsia"/>
                      <w:lang w:val="en-US" w:eastAsia="zh-CN"/>
                    </w:rPr>
                    <w:t>原有</w:t>
                  </w:r>
                </w:p>
              </w:tc>
            </w:tr>
            <w:tr w14:paraId="481BE0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tcBorders>
                    <w:tl2br w:val="nil"/>
                    <w:tr2bl w:val="nil"/>
                  </w:tcBorders>
                  <w:vAlign w:val="center"/>
                </w:tcPr>
                <w:p w14:paraId="50906713">
                  <w:pPr>
                    <w:spacing w:line="240" w:lineRule="exact"/>
                    <w:jc w:val="center"/>
                    <w:rPr>
                      <w:spacing w:val="-16"/>
                      <w:szCs w:val="21"/>
                    </w:rPr>
                  </w:pPr>
                </w:p>
              </w:tc>
              <w:tc>
                <w:tcPr>
                  <w:tcW w:w="1303" w:type="dxa"/>
                  <w:gridSpan w:val="2"/>
                  <w:tcBorders>
                    <w:tl2br w:val="nil"/>
                    <w:tr2bl w:val="nil"/>
                  </w:tcBorders>
                  <w:vAlign w:val="center"/>
                </w:tcPr>
                <w:p w14:paraId="3C23D03C">
                  <w:pPr>
                    <w:spacing w:line="240" w:lineRule="exact"/>
                    <w:jc w:val="center"/>
                    <w:rPr>
                      <w:szCs w:val="21"/>
                    </w:rPr>
                  </w:pPr>
                  <w:r>
                    <w:rPr>
                      <w:szCs w:val="21"/>
                    </w:rPr>
                    <w:t>供暖</w:t>
                  </w:r>
                </w:p>
              </w:tc>
              <w:tc>
                <w:tcPr>
                  <w:tcW w:w="4930" w:type="dxa"/>
                  <w:tcBorders>
                    <w:tl2br w:val="nil"/>
                    <w:tr2bl w:val="nil"/>
                  </w:tcBorders>
                  <w:vAlign w:val="center"/>
                </w:tcPr>
                <w:p w14:paraId="276DA6AD">
                  <w:pPr>
                    <w:adjustRightInd w:val="0"/>
                    <w:spacing w:line="240" w:lineRule="exact"/>
                    <w:jc w:val="center"/>
                    <w:rPr>
                      <w:rFonts w:hint="default" w:ascii="Times New Roman" w:hAnsi="Times New Roman" w:eastAsia="宋体" w:cs="Times New Roman"/>
                      <w:snapToGrid w:val="0"/>
                      <w:color w:val="auto"/>
                      <w:szCs w:val="21"/>
                      <w:highlight w:val="none"/>
                      <w:lang w:val="en-US" w:eastAsia="zh-CN"/>
                    </w:rPr>
                  </w:pPr>
                  <w:r>
                    <w:rPr>
                      <w:rFonts w:hint="default" w:ascii="Times New Roman" w:hAnsi="Times New Roman" w:eastAsia="宋体" w:cs="Times New Roman"/>
                      <w:snapToGrid w:val="0"/>
                      <w:color w:val="auto"/>
                      <w:szCs w:val="21"/>
                      <w:highlight w:val="none"/>
                      <w:lang w:val="en-US" w:eastAsia="zh-CN"/>
                    </w:rPr>
                    <w:t>办公供暖采用空调，生产车间无供暖措施</w:t>
                  </w:r>
                </w:p>
              </w:tc>
              <w:tc>
                <w:tcPr>
                  <w:tcW w:w="1263" w:type="dxa"/>
                  <w:tcBorders>
                    <w:tl2br w:val="nil"/>
                    <w:tr2bl w:val="nil"/>
                  </w:tcBorders>
                  <w:vAlign w:val="center"/>
                </w:tcPr>
                <w:p w14:paraId="61255E36">
                  <w:pPr>
                    <w:adjustRightInd w:val="0"/>
                    <w:spacing w:line="240" w:lineRule="exact"/>
                    <w:jc w:val="center"/>
                    <w:rPr>
                      <w:bCs/>
                    </w:rPr>
                  </w:pPr>
                  <w:r>
                    <w:t>依托</w:t>
                  </w:r>
                  <w:r>
                    <w:rPr>
                      <w:rFonts w:hint="eastAsia"/>
                      <w:lang w:val="en-US" w:eastAsia="zh-CN"/>
                    </w:rPr>
                    <w:t>原有</w:t>
                  </w:r>
                </w:p>
              </w:tc>
            </w:tr>
            <w:tr w14:paraId="72847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578" w:type="dxa"/>
                  <w:vMerge w:val="restart"/>
                  <w:tcBorders>
                    <w:tl2br w:val="nil"/>
                    <w:tr2bl w:val="nil"/>
                  </w:tcBorders>
                  <w:vAlign w:val="center"/>
                </w:tcPr>
                <w:p w14:paraId="6565AFD2">
                  <w:pPr>
                    <w:spacing w:line="240" w:lineRule="exact"/>
                    <w:jc w:val="center"/>
                    <w:rPr>
                      <w:spacing w:val="-16"/>
                      <w:szCs w:val="21"/>
                    </w:rPr>
                  </w:pPr>
                  <w:r>
                    <w:rPr>
                      <w:spacing w:val="-16"/>
                      <w:szCs w:val="21"/>
                    </w:rPr>
                    <w:t>环保</w:t>
                  </w:r>
                </w:p>
                <w:p w14:paraId="0117A858">
                  <w:pPr>
                    <w:spacing w:line="240" w:lineRule="exact"/>
                    <w:jc w:val="center"/>
                    <w:rPr>
                      <w:spacing w:val="-16"/>
                      <w:szCs w:val="21"/>
                    </w:rPr>
                  </w:pPr>
                  <w:r>
                    <w:rPr>
                      <w:spacing w:val="-16"/>
                      <w:szCs w:val="21"/>
                    </w:rPr>
                    <w:t>工程</w:t>
                  </w:r>
                </w:p>
              </w:tc>
              <w:tc>
                <w:tcPr>
                  <w:tcW w:w="354" w:type="dxa"/>
                  <w:vMerge w:val="restart"/>
                  <w:tcBorders>
                    <w:tl2br w:val="nil"/>
                    <w:tr2bl w:val="nil"/>
                  </w:tcBorders>
                  <w:vAlign w:val="center"/>
                </w:tcPr>
                <w:p w14:paraId="481ADC4F">
                  <w:pPr>
                    <w:spacing w:line="24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w:t>
                  </w:r>
                </w:p>
                <w:p w14:paraId="648786F7">
                  <w:pPr>
                    <w:spacing w:line="24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气</w:t>
                  </w:r>
                </w:p>
              </w:tc>
              <w:tc>
                <w:tcPr>
                  <w:tcW w:w="949" w:type="dxa"/>
                  <w:tcBorders>
                    <w:tl2br w:val="nil"/>
                    <w:tr2bl w:val="nil"/>
                  </w:tcBorders>
                  <w:vAlign w:val="center"/>
                </w:tcPr>
                <w:p w14:paraId="569D613F">
                  <w:pPr>
                    <w:adjustRightInd w:val="0"/>
                    <w:spacing w:line="240" w:lineRule="exact"/>
                    <w:jc w:val="center"/>
                    <w:rPr>
                      <w:rFonts w:hint="default" w:ascii="Times New Roman" w:hAnsi="Times New Roman" w:eastAsia="宋体" w:cs="Times New Roman"/>
                      <w:snapToGrid w:val="0"/>
                      <w:szCs w:val="21"/>
                      <w:lang w:val="en-US" w:eastAsia="zh-CN"/>
                    </w:rPr>
                  </w:pPr>
                  <w:r>
                    <w:rPr>
                      <w:rFonts w:hint="default" w:ascii="Times New Roman" w:hAnsi="Times New Roman" w:eastAsia="宋体" w:cs="Times New Roman"/>
                      <w:snapToGrid w:val="0"/>
                      <w:szCs w:val="21"/>
                      <w:lang w:val="en-US" w:eastAsia="zh-CN"/>
                    </w:rPr>
                    <w:t>投料</w:t>
                  </w:r>
                </w:p>
                <w:p w14:paraId="1CB6785C">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研磨</w:t>
                  </w:r>
                </w:p>
                <w:p w14:paraId="2CC434A0">
                  <w:pPr>
                    <w:adjustRightInd w:val="0"/>
                    <w:spacing w:line="240" w:lineRule="exact"/>
                    <w:jc w:val="center"/>
                    <w:rPr>
                      <w:rFonts w:hint="default"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废气</w:t>
                  </w:r>
                </w:p>
              </w:tc>
              <w:tc>
                <w:tcPr>
                  <w:tcW w:w="4930" w:type="dxa"/>
                  <w:tcBorders>
                    <w:tl2br w:val="nil"/>
                    <w:tr2bl w:val="nil"/>
                  </w:tcBorders>
                  <w:vAlign w:val="center"/>
                </w:tcPr>
                <w:p w14:paraId="6B5DB41F">
                  <w:pPr>
                    <w:adjustRightInd w:val="0"/>
                    <w:spacing w:line="240" w:lineRule="exact"/>
                    <w:jc w:val="center"/>
                    <w:rPr>
                      <w:rFonts w:hint="default"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在混料机进料口上方设置集气罩</w:t>
                  </w:r>
                  <w:r>
                    <w:rPr>
                      <w:rFonts w:hint="eastAsia" w:cs="Times New Roman"/>
                      <w:snapToGrid w:val="0"/>
                      <w:szCs w:val="21"/>
                      <w:lang w:val="en-US" w:eastAsia="zh-CN"/>
                    </w:rPr>
                    <w:t>/</w:t>
                  </w:r>
                  <w:r>
                    <w:rPr>
                      <w:rFonts w:hint="eastAsia" w:ascii="Times New Roman" w:hAnsi="Times New Roman" w:eastAsia="宋体" w:cs="Times New Roman"/>
                      <w:snapToGrid w:val="0"/>
                      <w:szCs w:val="21"/>
                      <w:lang w:val="en-US" w:eastAsia="zh-CN"/>
                    </w:rPr>
                    <w:t>研磨超细的粉粒则是进入旋风分离器</w:t>
                  </w:r>
                  <w:r>
                    <w:rPr>
                      <w:rFonts w:hint="default" w:ascii="Times New Roman" w:hAnsi="Times New Roman" w:eastAsia="宋体" w:cs="Times New Roman"/>
                      <w:snapToGrid w:val="0"/>
                      <w:szCs w:val="21"/>
                      <w:lang w:val="en-US" w:eastAsia="zh-CN"/>
                    </w:rPr>
                    <w:t>后，进入</w:t>
                  </w:r>
                  <w:r>
                    <w:rPr>
                      <w:rFonts w:hint="eastAsia" w:ascii="Times New Roman" w:hAnsi="Times New Roman" w:eastAsia="宋体" w:cs="Times New Roman"/>
                      <w:snapToGrid w:val="0"/>
                      <w:szCs w:val="21"/>
                      <w:lang w:val="en-US" w:eastAsia="zh-CN"/>
                    </w:rPr>
                    <w:t>同一套滤筒</w:t>
                  </w:r>
                  <w:r>
                    <w:rPr>
                      <w:rFonts w:hint="default" w:ascii="Times New Roman" w:hAnsi="Times New Roman" w:eastAsia="宋体" w:cs="Times New Roman"/>
                      <w:snapToGrid w:val="0"/>
                      <w:szCs w:val="21"/>
                      <w:lang w:val="en-US" w:eastAsia="zh-CN"/>
                    </w:rPr>
                    <w:t>除尘系统</w:t>
                  </w:r>
                  <w:r>
                    <w:rPr>
                      <w:rFonts w:hint="eastAsia" w:ascii="Times New Roman" w:hAnsi="Times New Roman" w:eastAsia="宋体" w:cs="Times New Roman"/>
                      <w:snapToGrid w:val="0"/>
                      <w:szCs w:val="21"/>
                      <w:lang w:val="en-US" w:eastAsia="zh-CN"/>
                    </w:rPr>
                    <w:t>处理</w:t>
                  </w:r>
                  <w:r>
                    <w:rPr>
                      <w:rFonts w:hint="default" w:ascii="Times New Roman" w:hAnsi="Times New Roman" w:eastAsia="宋体" w:cs="Times New Roman"/>
                      <w:snapToGrid w:val="0"/>
                      <w:szCs w:val="21"/>
                      <w:lang w:val="en-US" w:eastAsia="zh-CN"/>
                    </w:rPr>
                    <w:t>，处理后经15m高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P1有组织达标排放</w:t>
                  </w:r>
                  <w:r>
                    <w:rPr>
                      <w:rFonts w:hint="eastAsia" w:ascii="Times New Roman" w:hAnsi="Times New Roman" w:eastAsia="宋体" w:cs="Times New Roman"/>
                      <w:snapToGrid w:val="0"/>
                      <w:szCs w:val="21"/>
                      <w:lang w:val="en-US" w:eastAsia="zh-CN"/>
                    </w:rPr>
                    <w:t>。</w:t>
                  </w:r>
                </w:p>
              </w:tc>
              <w:tc>
                <w:tcPr>
                  <w:tcW w:w="1263" w:type="dxa"/>
                  <w:vMerge w:val="restart"/>
                  <w:tcBorders>
                    <w:tl2br w:val="nil"/>
                    <w:tr2bl w:val="nil"/>
                  </w:tcBorders>
                  <w:vAlign w:val="center"/>
                </w:tcPr>
                <w:p w14:paraId="34AA0B4E">
                  <w:pPr>
                    <w:adjustRightInd w:val="0"/>
                    <w:spacing w:line="240" w:lineRule="exact"/>
                    <w:jc w:val="center"/>
                    <w:rPr>
                      <w:rFonts w:hint="eastAsia"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新建</w:t>
                  </w:r>
                </w:p>
              </w:tc>
            </w:tr>
            <w:tr w14:paraId="75171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578" w:type="dxa"/>
                  <w:vMerge w:val="continue"/>
                  <w:tcBorders>
                    <w:tl2br w:val="nil"/>
                    <w:tr2bl w:val="nil"/>
                  </w:tcBorders>
                  <w:vAlign w:val="center"/>
                </w:tcPr>
                <w:p w14:paraId="69208E88">
                  <w:pPr>
                    <w:spacing w:line="240" w:lineRule="exact"/>
                    <w:jc w:val="center"/>
                  </w:pPr>
                </w:p>
              </w:tc>
              <w:tc>
                <w:tcPr>
                  <w:tcW w:w="354" w:type="dxa"/>
                  <w:vMerge w:val="continue"/>
                  <w:tcBorders>
                    <w:tl2br w:val="nil"/>
                    <w:tr2bl w:val="nil"/>
                  </w:tcBorders>
                  <w:vAlign w:val="center"/>
                </w:tcPr>
                <w:p w14:paraId="4A6BB7E9">
                  <w:pPr>
                    <w:spacing w:line="240" w:lineRule="exact"/>
                    <w:jc w:val="center"/>
                  </w:pPr>
                </w:p>
              </w:tc>
              <w:tc>
                <w:tcPr>
                  <w:tcW w:w="949" w:type="dxa"/>
                  <w:tcBorders>
                    <w:tl2br w:val="nil"/>
                    <w:tr2bl w:val="nil"/>
                  </w:tcBorders>
                  <w:vAlign w:val="center"/>
                </w:tcPr>
                <w:p w14:paraId="687931F1">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熔融挤出、压片废气</w:t>
                  </w:r>
                </w:p>
              </w:tc>
              <w:tc>
                <w:tcPr>
                  <w:tcW w:w="4930" w:type="dxa"/>
                  <w:tcBorders>
                    <w:tl2br w:val="nil"/>
                    <w:tr2bl w:val="nil"/>
                  </w:tcBorders>
                  <w:vAlign w:val="center"/>
                </w:tcPr>
                <w:p w14:paraId="613BA969">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在各挤出机物料出口上方安装集气罩收集后引至二级活性炭吸附装置处理，通过15m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有组织达标排放</w:t>
                  </w:r>
                </w:p>
              </w:tc>
              <w:tc>
                <w:tcPr>
                  <w:tcW w:w="1263" w:type="dxa"/>
                  <w:vMerge w:val="continue"/>
                  <w:tcBorders>
                    <w:tl2br w:val="nil"/>
                    <w:tr2bl w:val="nil"/>
                  </w:tcBorders>
                  <w:vAlign w:val="center"/>
                </w:tcPr>
                <w:p w14:paraId="33603E03">
                  <w:pPr>
                    <w:spacing w:line="240" w:lineRule="exact"/>
                    <w:jc w:val="center"/>
                    <w:rPr>
                      <w:rFonts w:hint="eastAsia"/>
                      <w:szCs w:val="21"/>
                      <w:lang w:val="en-US" w:eastAsia="zh-CN"/>
                    </w:rPr>
                  </w:pPr>
                </w:p>
              </w:tc>
            </w:tr>
            <w:tr w14:paraId="1C5C6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578" w:type="dxa"/>
                  <w:vMerge w:val="continue"/>
                  <w:tcBorders>
                    <w:tl2br w:val="nil"/>
                    <w:tr2bl w:val="nil"/>
                  </w:tcBorders>
                  <w:vAlign w:val="center"/>
                </w:tcPr>
                <w:p w14:paraId="3AB4E32A">
                  <w:pPr>
                    <w:spacing w:line="240" w:lineRule="exact"/>
                    <w:jc w:val="center"/>
                    <w:rPr>
                      <w:rFonts w:hint="eastAsia"/>
                      <w:szCs w:val="21"/>
                      <w:lang w:val="en-US" w:eastAsia="zh-CN"/>
                    </w:rPr>
                  </w:pPr>
                </w:p>
              </w:tc>
              <w:tc>
                <w:tcPr>
                  <w:tcW w:w="354" w:type="dxa"/>
                  <w:vMerge w:val="continue"/>
                  <w:tcBorders>
                    <w:tl2br w:val="nil"/>
                    <w:tr2bl w:val="nil"/>
                  </w:tcBorders>
                  <w:vAlign w:val="center"/>
                </w:tcPr>
                <w:p w14:paraId="00F5C283">
                  <w:pPr>
                    <w:spacing w:line="240" w:lineRule="exact"/>
                    <w:jc w:val="center"/>
                    <w:rPr>
                      <w:rFonts w:hint="eastAsia"/>
                      <w:szCs w:val="21"/>
                      <w:lang w:val="en-US" w:eastAsia="zh-CN"/>
                    </w:rPr>
                  </w:pPr>
                </w:p>
              </w:tc>
              <w:tc>
                <w:tcPr>
                  <w:tcW w:w="949" w:type="dxa"/>
                  <w:tcBorders>
                    <w:tl2br w:val="nil"/>
                    <w:tr2bl w:val="nil"/>
                  </w:tcBorders>
                  <w:vAlign w:val="center"/>
                </w:tcPr>
                <w:p w14:paraId="33CB226D">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检验喷塑粉尘</w:t>
                  </w:r>
                </w:p>
              </w:tc>
              <w:tc>
                <w:tcPr>
                  <w:tcW w:w="4930" w:type="dxa"/>
                  <w:tcBorders>
                    <w:tl2br w:val="nil"/>
                    <w:tr2bl w:val="nil"/>
                  </w:tcBorders>
                  <w:vAlign w:val="center"/>
                </w:tcPr>
                <w:p w14:paraId="63C1F927">
                  <w:pPr>
                    <w:adjustRightInd w:val="0"/>
                    <w:spacing w:line="240" w:lineRule="exact"/>
                    <w:jc w:val="center"/>
                    <w:rPr>
                      <w:rFonts w:hint="default"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在密闭车间无组织达标排放</w:t>
                  </w:r>
                </w:p>
              </w:tc>
              <w:tc>
                <w:tcPr>
                  <w:tcW w:w="1263" w:type="dxa"/>
                  <w:vMerge w:val="continue"/>
                  <w:tcBorders>
                    <w:tl2br w:val="nil"/>
                    <w:tr2bl w:val="nil"/>
                  </w:tcBorders>
                  <w:vAlign w:val="center"/>
                </w:tcPr>
                <w:p w14:paraId="748B8433">
                  <w:pPr>
                    <w:spacing w:line="240" w:lineRule="exact"/>
                    <w:jc w:val="center"/>
                    <w:rPr>
                      <w:rFonts w:hint="eastAsia"/>
                      <w:szCs w:val="21"/>
                      <w:lang w:val="en-US" w:eastAsia="zh-CN"/>
                    </w:rPr>
                  </w:pPr>
                </w:p>
              </w:tc>
            </w:tr>
            <w:tr w14:paraId="3EC9C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8" w:type="dxa"/>
                  <w:vMerge w:val="continue"/>
                  <w:tcBorders>
                    <w:tl2br w:val="nil"/>
                    <w:tr2bl w:val="nil"/>
                  </w:tcBorders>
                  <w:vAlign w:val="center"/>
                </w:tcPr>
                <w:p w14:paraId="14E454D8">
                  <w:pPr>
                    <w:spacing w:line="240" w:lineRule="exact"/>
                    <w:jc w:val="center"/>
                    <w:rPr>
                      <w:rFonts w:hint="eastAsia"/>
                      <w:szCs w:val="21"/>
                      <w:lang w:val="en-US" w:eastAsia="zh-CN"/>
                    </w:rPr>
                  </w:pPr>
                </w:p>
              </w:tc>
              <w:tc>
                <w:tcPr>
                  <w:tcW w:w="354" w:type="dxa"/>
                  <w:vMerge w:val="continue"/>
                  <w:tcBorders>
                    <w:tl2br w:val="nil"/>
                    <w:tr2bl w:val="nil"/>
                  </w:tcBorders>
                  <w:vAlign w:val="center"/>
                </w:tcPr>
                <w:p w14:paraId="5E961202">
                  <w:pPr>
                    <w:spacing w:line="240" w:lineRule="exact"/>
                    <w:jc w:val="center"/>
                    <w:rPr>
                      <w:rFonts w:hint="eastAsia"/>
                      <w:szCs w:val="21"/>
                      <w:lang w:val="en-US" w:eastAsia="zh-CN"/>
                    </w:rPr>
                  </w:pPr>
                </w:p>
              </w:tc>
              <w:tc>
                <w:tcPr>
                  <w:tcW w:w="949" w:type="dxa"/>
                  <w:tcBorders>
                    <w:tl2br w:val="nil"/>
                    <w:tr2bl w:val="nil"/>
                  </w:tcBorders>
                  <w:vAlign w:val="center"/>
                </w:tcPr>
                <w:p w14:paraId="042AA15F">
                  <w:pPr>
                    <w:adjustRightInd w:val="0"/>
                    <w:spacing w:line="240" w:lineRule="exact"/>
                    <w:jc w:val="center"/>
                    <w:rPr>
                      <w:rFonts w:hint="default" w:ascii="Times New Roman" w:hAnsi="Times New Roman" w:eastAsia="宋体" w:cs="Times New Roman"/>
                      <w:snapToGrid w:val="0"/>
                      <w:szCs w:val="21"/>
                      <w:lang w:val="en-US" w:eastAsia="zh-CN"/>
                    </w:rPr>
                  </w:pPr>
                  <w:r>
                    <w:rPr>
                      <w:rFonts w:hint="default" w:ascii="Times New Roman" w:hAnsi="Times New Roman" w:eastAsia="宋体" w:cs="Times New Roman"/>
                      <w:snapToGrid w:val="0"/>
                      <w:szCs w:val="21"/>
                      <w:lang w:val="en-US" w:eastAsia="zh-CN"/>
                    </w:rPr>
                    <w:t>喷粉</w:t>
                  </w:r>
                </w:p>
                <w:p w14:paraId="2C21ED76">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粉尘</w:t>
                  </w:r>
                </w:p>
                <w:p w14:paraId="3F936CED">
                  <w:pPr>
                    <w:adjustRightInd w:val="0"/>
                    <w:spacing w:line="240" w:lineRule="exact"/>
                    <w:jc w:val="center"/>
                    <w:rPr>
                      <w:rFonts w:hint="eastAsia" w:ascii="Times New Roman" w:hAnsi="Times New Roman" w:eastAsia="宋体" w:cs="Times New Roman"/>
                      <w:snapToGrid w:val="0"/>
                      <w:szCs w:val="21"/>
                      <w:lang w:val="en-US" w:eastAsia="zh-CN"/>
                    </w:rPr>
                  </w:pPr>
                </w:p>
              </w:tc>
              <w:tc>
                <w:tcPr>
                  <w:tcW w:w="4930" w:type="dxa"/>
                  <w:tcBorders>
                    <w:tl2br w:val="nil"/>
                    <w:tr2bl w:val="nil"/>
                  </w:tcBorders>
                  <w:vAlign w:val="center"/>
                </w:tcPr>
                <w:p w14:paraId="3140C0CE">
                  <w:pPr>
                    <w:adjustRightInd w:val="0"/>
                    <w:spacing w:line="240" w:lineRule="exact"/>
                    <w:jc w:val="center"/>
                    <w:rPr>
                      <w:rFonts w:hint="eastAsia" w:ascii="Times New Roman" w:hAnsi="Times New Roman" w:eastAsia="宋体" w:cs="Times New Roman"/>
                      <w:snapToGrid w:val="0"/>
                      <w:szCs w:val="21"/>
                      <w:lang w:val="en-US" w:eastAsia="zh-CN"/>
                    </w:rPr>
                  </w:pPr>
                  <w:r>
                    <w:rPr>
                      <w:rFonts w:hint="default" w:ascii="Times New Roman" w:hAnsi="Times New Roman" w:eastAsia="宋体" w:cs="Times New Roman"/>
                      <w:snapToGrid w:val="0"/>
                      <w:szCs w:val="21"/>
                      <w:lang w:val="en-US" w:eastAsia="zh-CN"/>
                    </w:rPr>
                    <w:t>喷粉作业在单独的密闭喷粉室内进行，塑粉经过喷枪充电后喷出，没有附着工件的粉末由喷粉室配备的</w:t>
                  </w:r>
                  <w:r>
                    <w:rPr>
                      <w:rFonts w:hint="eastAsia" w:ascii="Times New Roman" w:hAnsi="Times New Roman" w:eastAsia="宋体" w:cs="Times New Roman"/>
                      <w:snapToGrid w:val="0"/>
                      <w:szCs w:val="21"/>
                      <w:lang w:val="en-US" w:eastAsia="zh-CN"/>
                    </w:rPr>
                    <w:t>旋风+布袋除尘</w:t>
                  </w:r>
                  <w:r>
                    <w:rPr>
                      <w:rFonts w:hint="default" w:ascii="Times New Roman" w:hAnsi="Times New Roman" w:eastAsia="宋体" w:cs="Times New Roman"/>
                      <w:snapToGrid w:val="0"/>
                      <w:szCs w:val="21"/>
                      <w:lang w:val="en-US" w:eastAsia="zh-CN"/>
                    </w:rPr>
                    <w:t>装置收集处理，处理后的废气经15m排气筒P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r>
                    <w:rPr>
                      <w:rFonts w:hint="eastAsia" w:ascii="Times New Roman" w:hAnsi="Times New Roman" w:eastAsia="宋体" w:cs="Times New Roman"/>
                      <w:snapToGrid w:val="0"/>
                      <w:szCs w:val="21"/>
                      <w:lang w:val="en-US" w:eastAsia="zh-CN"/>
                    </w:rPr>
                    <w:t>。</w:t>
                  </w:r>
                </w:p>
              </w:tc>
              <w:tc>
                <w:tcPr>
                  <w:tcW w:w="1263" w:type="dxa"/>
                  <w:vMerge w:val="continue"/>
                  <w:tcBorders>
                    <w:tl2br w:val="nil"/>
                    <w:tr2bl w:val="nil"/>
                  </w:tcBorders>
                  <w:vAlign w:val="center"/>
                </w:tcPr>
                <w:p w14:paraId="37DA072F">
                  <w:pPr>
                    <w:spacing w:line="240" w:lineRule="exact"/>
                    <w:jc w:val="center"/>
                    <w:rPr>
                      <w:rFonts w:hint="eastAsia"/>
                      <w:szCs w:val="21"/>
                      <w:lang w:val="en-US" w:eastAsia="zh-CN"/>
                    </w:rPr>
                  </w:pPr>
                </w:p>
              </w:tc>
            </w:tr>
            <w:tr w14:paraId="526F9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578" w:type="dxa"/>
                  <w:vMerge w:val="continue"/>
                  <w:tcBorders>
                    <w:tl2br w:val="nil"/>
                    <w:tr2bl w:val="nil"/>
                  </w:tcBorders>
                  <w:vAlign w:val="center"/>
                </w:tcPr>
                <w:p w14:paraId="31ED8F67">
                  <w:pPr>
                    <w:spacing w:line="240" w:lineRule="exact"/>
                    <w:jc w:val="center"/>
                    <w:rPr>
                      <w:rFonts w:hint="eastAsia"/>
                      <w:szCs w:val="21"/>
                      <w:lang w:val="en-US" w:eastAsia="zh-CN"/>
                    </w:rPr>
                  </w:pPr>
                </w:p>
              </w:tc>
              <w:tc>
                <w:tcPr>
                  <w:tcW w:w="354" w:type="dxa"/>
                  <w:vMerge w:val="continue"/>
                  <w:tcBorders>
                    <w:tl2br w:val="nil"/>
                    <w:tr2bl w:val="nil"/>
                  </w:tcBorders>
                  <w:vAlign w:val="center"/>
                </w:tcPr>
                <w:p w14:paraId="5C20CAEF">
                  <w:pPr>
                    <w:spacing w:line="240" w:lineRule="exact"/>
                    <w:jc w:val="center"/>
                    <w:rPr>
                      <w:rFonts w:hint="eastAsia"/>
                      <w:szCs w:val="21"/>
                      <w:lang w:val="en-US" w:eastAsia="zh-CN"/>
                    </w:rPr>
                  </w:pPr>
                </w:p>
              </w:tc>
              <w:tc>
                <w:tcPr>
                  <w:tcW w:w="949" w:type="dxa"/>
                  <w:tcBorders>
                    <w:tl2br w:val="nil"/>
                    <w:tr2bl w:val="nil"/>
                  </w:tcBorders>
                  <w:shd w:val="clear" w:color="auto" w:fill="auto"/>
                  <w:vAlign w:val="center"/>
                </w:tcPr>
                <w:p w14:paraId="412D048B">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电泳有机废气</w:t>
                  </w:r>
                </w:p>
              </w:tc>
              <w:tc>
                <w:tcPr>
                  <w:tcW w:w="4930" w:type="dxa"/>
                  <w:tcBorders>
                    <w:tl2br w:val="nil"/>
                    <w:tr2bl w:val="nil"/>
                  </w:tcBorders>
                  <w:shd w:val="clear" w:color="auto" w:fill="auto"/>
                  <w:vAlign w:val="center"/>
                </w:tcPr>
                <w:p w14:paraId="52424E0D">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废气经电泳槽上部设置包围型集气罩收集后引至二级活性炭吸附装置处理，通过15m</w:t>
                  </w:r>
                  <w:r>
                    <w:rPr>
                      <w:rFonts w:hint="default" w:ascii="Times New Roman" w:hAnsi="Times New Roman" w:eastAsia="宋体" w:cs="Times New Roman"/>
                      <w:snapToGrid w:val="0"/>
                      <w:szCs w:val="21"/>
                      <w:lang w:val="en-US" w:eastAsia="zh-CN"/>
                    </w:rPr>
                    <w:t>高</w:t>
                  </w:r>
                  <w:r>
                    <w:rPr>
                      <w:rFonts w:hint="eastAsia" w:ascii="Times New Roman" w:hAnsi="Times New Roman" w:eastAsia="宋体" w:cs="Times New Roman"/>
                      <w:snapToGrid w:val="0"/>
                      <w:szCs w:val="21"/>
                      <w:lang w:val="en-US" w:eastAsia="zh-CN"/>
                    </w:rPr>
                    <w:t>排气筒</w:t>
                  </w:r>
                  <w:r>
                    <w:rPr>
                      <w:rFonts w:hint="default" w:ascii="Times New Roman" w:hAnsi="Times New Roman" w:eastAsia="宋体" w:cs="Times New Roman"/>
                      <w:snapToGrid w:val="0"/>
                      <w:szCs w:val="21"/>
                      <w:lang w:val="en-US" w:eastAsia="zh-CN"/>
                    </w:rPr>
                    <w:t>P</w:t>
                  </w:r>
                  <w:r>
                    <w:rPr>
                      <w:rFonts w:hint="eastAsia" w:ascii="Times New Roman" w:hAnsi="Times New Roman" w:eastAsia="宋体" w:cs="Times New Roman"/>
                      <w:snapToGrid w:val="0"/>
                      <w:szCs w:val="21"/>
                      <w:lang w:val="en-US" w:eastAsia="zh-CN"/>
                    </w:rPr>
                    <w:t>2</w:t>
                  </w:r>
                  <w:r>
                    <w:rPr>
                      <w:rFonts w:hint="default" w:ascii="Times New Roman" w:hAnsi="Times New Roman" w:eastAsia="宋体" w:cs="Times New Roman"/>
                      <w:snapToGrid w:val="0"/>
                      <w:szCs w:val="21"/>
                      <w:lang w:val="en-US" w:eastAsia="zh-CN"/>
                    </w:rPr>
                    <w:t>排放</w:t>
                  </w:r>
                </w:p>
              </w:tc>
              <w:tc>
                <w:tcPr>
                  <w:tcW w:w="1263" w:type="dxa"/>
                  <w:vMerge w:val="continue"/>
                  <w:tcBorders>
                    <w:tl2br w:val="nil"/>
                    <w:tr2bl w:val="nil"/>
                  </w:tcBorders>
                  <w:vAlign w:val="center"/>
                </w:tcPr>
                <w:p w14:paraId="4A3BB312">
                  <w:pPr>
                    <w:spacing w:line="240" w:lineRule="exact"/>
                    <w:jc w:val="center"/>
                    <w:rPr>
                      <w:rFonts w:hint="eastAsia"/>
                      <w:szCs w:val="21"/>
                      <w:lang w:val="en-US" w:eastAsia="zh-CN"/>
                    </w:rPr>
                  </w:pPr>
                </w:p>
              </w:tc>
            </w:tr>
            <w:tr w14:paraId="616A5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578" w:type="dxa"/>
                  <w:vMerge w:val="continue"/>
                  <w:tcBorders>
                    <w:tl2br w:val="nil"/>
                    <w:tr2bl w:val="nil"/>
                  </w:tcBorders>
                  <w:vAlign w:val="center"/>
                </w:tcPr>
                <w:p w14:paraId="60CD1759">
                  <w:pPr>
                    <w:spacing w:line="240" w:lineRule="exact"/>
                    <w:jc w:val="center"/>
                    <w:rPr>
                      <w:rFonts w:hint="eastAsia"/>
                      <w:szCs w:val="21"/>
                      <w:lang w:val="en-US" w:eastAsia="zh-CN"/>
                    </w:rPr>
                  </w:pPr>
                </w:p>
              </w:tc>
              <w:tc>
                <w:tcPr>
                  <w:tcW w:w="354" w:type="dxa"/>
                  <w:vMerge w:val="continue"/>
                  <w:tcBorders>
                    <w:tl2br w:val="nil"/>
                    <w:tr2bl w:val="nil"/>
                  </w:tcBorders>
                  <w:vAlign w:val="center"/>
                </w:tcPr>
                <w:p w14:paraId="3639A6E7">
                  <w:pPr>
                    <w:spacing w:line="240" w:lineRule="exact"/>
                    <w:jc w:val="center"/>
                    <w:rPr>
                      <w:rFonts w:hint="eastAsia"/>
                      <w:szCs w:val="21"/>
                      <w:lang w:val="en-US" w:eastAsia="zh-CN"/>
                    </w:rPr>
                  </w:pPr>
                </w:p>
              </w:tc>
              <w:tc>
                <w:tcPr>
                  <w:tcW w:w="949" w:type="dxa"/>
                  <w:tcBorders>
                    <w:tl2br w:val="nil"/>
                    <w:tr2bl w:val="nil"/>
                  </w:tcBorders>
                  <w:vAlign w:val="center"/>
                </w:tcPr>
                <w:p w14:paraId="0480BD2A">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固化</w:t>
                  </w:r>
                </w:p>
                <w:p w14:paraId="632E9F60">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废气</w:t>
                  </w:r>
                </w:p>
              </w:tc>
              <w:tc>
                <w:tcPr>
                  <w:tcW w:w="4930" w:type="dxa"/>
                  <w:tcBorders>
                    <w:tl2br w:val="nil"/>
                    <w:tr2bl w:val="nil"/>
                  </w:tcBorders>
                  <w:vAlign w:val="center"/>
                </w:tcPr>
                <w:p w14:paraId="3834D70F">
                  <w:pPr>
                    <w:adjustRightInd w:val="0"/>
                    <w:spacing w:line="240" w:lineRule="exact"/>
                    <w:jc w:val="center"/>
                    <w:rPr>
                      <w:rFonts w:hint="default"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固化废气在烘道出入口设置集气罩+软帘收集，收集后的废气由管道进入二级活性炭吸附装置，</w:t>
                  </w:r>
                  <w:r>
                    <w:rPr>
                      <w:rFonts w:hint="default" w:ascii="Times New Roman" w:hAnsi="Times New Roman" w:eastAsia="宋体" w:cs="Times New Roman"/>
                      <w:snapToGrid w:val="0"/>
                      <w:szCs w:val="21"/>
                      <w:lang w:val="en-US" w:eastAsia="zh-CN"/>
                    </w:rPr>
                    <w:t>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p>
              </w:tc>
              <w:tc>
                <w:tcPr>
                  <w:tcW w:w="1263" w:type="dxa"/>
                  <w:vMerge w:val="continue"/>
                  <w:tcBorders>
                    <w:tl2br w:val="nil"/>
                    <w:tr2bl w:val="nil"/>
                  </w:tcBorders>
                  <w:vAlign w:val="center"/>
                </w:tcPr>
                <w:p w14:paraId="1C370C5D">
                  <w:pPr>
                    <w:spacing w:line="240" w:lineRule="exact"/>
                    <w:jc w:val="center"/>
                    <w:rPr>
                      <w:rFonts w:hint="eastAsia"/>
                      <w:szCs w:val="21"/>
                      <w:lang w:val="en-US" w:eastAsia="zh-CN"/>
                    </w:rPr>
                  </w:pPr>
                </w:p>
              </w:tc>
            </w:tr>
            <w:tr w14:paraId="0E603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578" w:type="dxa"/>
                  <w:vMerge w:val="continue"/>
                  <w:tcBorders>
                    <w:tl2br w:val="nil"/>
                    <w:tr2bl w:val="nil"/>
                  </w:tcBorders>
                  <w:vAlign w:val="center"/>
                </w:tcPr>
                <w:p w14:paraId="10906171">
                  <w:pPr>
                    <w:spacing w:line="240" w:lineRule="exact"/>
                    <w:jc w:val="center"/>
                    <w:rPr>
                      <w:rFonts w:hint="eastAsia"/>
                      <w:szCs w:val="21"/>
                      <w:lang w:val="en-US" w:eastAsia="zh-CN"/>
                    </w:rPr>
                  </w:pPr>
                </w:p>
              </w:tc>
              <w:tc>
                <w:tcPr>
                  <w:tcW w:w="354" w:type="dxa"/>
                  <w:vMerge w:val="continue"/>
                  <w:tcBorders>
                    <w:tl2br w:val="nil"/>
                    <w:tr2bl w:val="nil"/>
                  </w:tcBorders>
                  <w:vAlign w:val="center"/>
                </w:tcPr>
                <w:p w14:paraId="532D2B65">
                  <w:pPr>
                    <w:spacing w:line="240" w:lineRule="exact"/>
                    <w:jc w:val="center"/>
                    <w:rPr>
                      <w:rFonts w:hint="eastAsia"/>
                      <w:szCs w:val="21"/>
                      <w:lang w:val="en-US" w:eastAsia="zh-CN"/>
                    </w:rPr>
                  </w:pPr>
                </w:p>
              </w:tc>
              <w:tc>
                <w:tcPr>
                  <w:tcW w:w="949" w:type="dxa"/>
                  <w:tcBorders>
                    <w:tl2br w:val="nil"/>
                    <w:tr2bl w:val="nil"/>
                  </w:tcBorders>
                  <w:vAlign w:val="center"/>
                </w:tcPr>
                <w:p w14:paraId="2D61E5F9">
                  <w:pPr>
                    <w:adjustRightInd w:val="0"/>
                    <w:spacing w:line="240" w:lineRule="exact"/>
                    <w:jc w:val="center"/>
                    <w:rPr>
                      <w:rFonts w:hint="eastAsia" w:ascii="Times New Roman" w:hAnsi="Times New Roman" w:eastAsia="宋体" w:cs="Times New Roman"/>
                      <w:snapToGrid w:val="0"/>
                      <w:szCs w:val="21"/>
                      <w:lang w:val="en-US" w:eastAsia="zh-CN"/>
                    </w:rPr>
                  </w:pPr>
                  <w:r>
                    <w:rPr>
                      <w:rFonts w:hint="default" w:ascii="Times New Roman" w:hAnsi="Times New Roman" w:eastAsia="宋体" w:cs="Times New Roman"/>
                      <w:snapToGrid w:val="0"/>
                      <w:szCs w:val="21"/>
                      <w:lang w:val="en-US" w:eastAsia="zh-CN"/>
                    </w:rPr>
                    <w:t>热风炉废气</w:t>
                  </w:r>
                </w:p>
              </w:tc>
              <w:tc>
                <w:tcPr>
                  <w:tcW w:w="4930" w:type="dxa"/>
                  <w:tcBorders>
                    <w:tl2br w:val="nil"/>
                    <w:tr2bl w:val="nil"/>
                  </w:tcBorders>
                  <w:vAlign w:val="center"/>
                </w:tcPr>
                <w:p w14:paraId="19428ACC">
                  <w:pPr>
                    <w:adjustRightInd w:val="0"/>
                    <w:spacing w:line="240" w:lineRule="exact"/>
                    <w:jc w:val="center"/>
                    <w:rPr>
                      <w:rFonts w:hint="default"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热风炉产生的废气直接进入固化烘道，烘道出入口设置集气罩+软帘收集，收集后的废气由管道进入旋风除尘器+布袋除尘器+二级活性炭吸附装置，</w:t>
                  </w:r>
                  <w:r>
                    <w:rPr>
                      <w:rFonts w:hint="default" w:ascii="Times New Roman" w:hAnsi="Times New Roman" w:eastAsia="宋体" w:cs="Times New Roman"/>
                      <w:snapToGrid w:val="0"/>
                      <w:szCs w:val="21"/>
                      <w:lang w:val="en-US" w:eastAsia="zh-CN"/>
                    </w:rPr>
                    <w:t>处理后的废气经15m排气筒P</w:t>
                  </w:r>
                  <w:r>
                    <w:rPr>
                      <w:rFonts w:hint="eastAsia" w:ascii="Times New Roman" w:hAnsi="Times New Roman" w:eastAsia="宋体" w:cs="Times New Roman"/>
                      <w:snapToGrid w:val="0"/>
                      <w:szCs w:val="21"/>
                      <w:lang w:val="en-US" w:eastAsia="zh-CN"/>
                    </w:rPr>
                    <w:t>3</w:t>
                  </w:r>
                  <w:r>
                    <w:rPr>
                      <w:rFonts w:hint="default" w:ascii="Times New Roman" w:hAnsi="Times New Roman" w:eastAsia="宋体" w:cs="Times New Roman"/>
                      <w:snapToGrid w:val="0"/>
                      <w:szCs w:val="21"/>
                      <w:lang w:val="en-US" w:eastAsia="zh-CN"/>
                    </w:rPr>
                    <w:t>有组织达标排放</w:t>
                  </w:r>
                </w:p>
              </w:tc>
              <w:tc>
                <w:tcPr>
                  <w:tcW w:w="1263" w:type="dxa"/>
                  <w:vMerge w:val="continue"/>
                  <w:tcBorders>
                    <w:tl2br w:val="nil"/>
                    <w:tr2bl w:val="nil"/>
                  </w:tcBorders>
                  <w:vAlign w:val="center"/>
                </w:tcPr>
                <w:p w14:paraId="2B6DF5F2">
                  <w:pPr>
                    <w:spacing w:line="240" w:lineRule="exact"/>
                    <w:jc w:val="center"/>
                    <w:rPr>
                      <w:rFonts w:hint="eastAsia"/>
                      <w:szCs w:val="21"/>
                      <w:lang w:val="en-US" w:eastAsia="zh-CN"/>
                    </w:rPr>
                  </w:pPr>
                </w:p>
              </w:tc>
            </w:tr>
            <w:tr w14:paraId="6CB14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tcBorders>
                    <w:tl2br w:val="nil"/>
                    <w:tr2bl w:val="nil"/>
                  </w:tcBorders>
                  <w:vAlign w:val="center"/>
                </w:tcPr>
                <w:p w14:paraId="2C874797">
                  <w:pPr>
                    <w:spacing w:line="240" w:lineRule="exact"/>
                    <w:jc w:val="center"/>
                    <w:rPr>
                      <w:spacing w:val="-16"/>
                      <w:szCs w:val="21"/>
                    </w:rPr>
                  </w:pPr>
                </w:p>
              </w:tc>
              <w:tc>
                <w:tcPr>
                  <w:tcW w:w="354" w:type="dxa"/>
                  <w:vMerge w:val="restart"/>
                  <w:tcBorders>
                    <w:tl2br w:val="nil"/>
                    <w:tr2bl w:val="nil"/>
                  </w:tcBorders>
                  <w:vAlign w:val="center"/>
                </w:tcPr>
                <w:p w14:paraId="7EFBB3A0">
                  <w:pPr>
                    <w:spacing w:line="240" w:lineRule="exact"/>
                    <w:jc w:val="both"/>
                    <w:rPr>
                      <w:szCs w:val="21"/>
                    </w:rPr>
                  </w:pPr>
                  <w:r>
                    <w:rPr>
                      <w:rFonts w:hint="eastAsia"/>
                      <w:szCs w:val="21"/>
                      <w:lang w:val="en-US" w:eastAsia="zh-CN"/>
                    </w:rPr>
                    <w:t>废水</w:t>
                  </w:r>
                </w:p>
              </w:tc>
              <w:tc>
                <w:tcPr>
                  <w:tcW w:w="949" w:type="dxa"/>
                  <w:tcBorders>
                    <w:tl2br w:val="nil"/>
                    <w:tr2bl w:val="nil"/>
                  </w:tcBorders>
                  <w:vAlign w:val="center"/>
                </w:tcPr>
                <w:p w14:paraId="5013856F">
                  <w:pPr>
                    <w:adjustRightInd w:val="0"/>
                    <w:spacing w:line="240" w:lineRule="exact"/>
                    <w:jc w:val="center"/>
                    <w:rPr>
                      <w:rFonts w:hint="eastAsia"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生活</w:t>
                  </w:r>
                </w:p>
                <w:p w14:paraId="7ED566AA">
                  <w:pPr>
                    <w:adjustRightInd w:val="0"/>
                    <w:spacing w:line="240" w:lineRule="exact"/>
                    <w:jc w:val="center"/>
                    <w:rPr>
                      <w:rFonts w:hint="default"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废水</w:t>
                  </w:r>
                </w:p>
              </w:tc>
              <w:tc>
                <w:tcPr>
                  <w:tcW w:w="4930" w:type="dxa"/>
                  <w:tcBorders>
                    <w:tl2br w:val="nil"/>
                    <w:tr2bl w:val="nil"/>
                  </w:tcBorders>
                  <w:vAlign w:val="center"/>
                </w:tcPr>
                <w:p w14:paraId="71F288A7">
                  <w:pPr>
                    <w:adjustRightInd w:val="0"/>
                    <w:spacing w:line="240" w:lineRule="exact"/>
                    <w:jc w:val="center"/>
                    <w:rPr>
                      <w:rFonts w:hint="default" w:ascii="Times New Roman" w:hAnsi="Times New Roman" w:eastAsia="宋体" w:cs="Times New Roman"/>
                      <w:snapToGrid w:val="0"/>
                      <w:szCs w:val="21"/>
                      <w:lang w:val="en-US" w:eastAsia="zh-CN"/>
                    </w:rPr>
                  </w:pPr>
                  <w:r>
                    <w:rPr>
                      <w:rFonts w:hint="eastAsia" w:ascii="Times New Roman" w:hAnsi="Times New Roman" w:eastAsia="宋体" w:cs="Times New Roman"/>
                      <w:snapToGrid w:val="0"/>
                      <w:szCs w:val="21"/>
                      <w:lang w:val="en-US" w:eastAsia="zh-CN"/>
                    </w:rPr>
                    <w:t>项目生活污水进入化粪池沉淀处理后排入沣西新城大王污水处理厂，经处理达标后排入新河。</w:t>
                  </w:r>
                </w:p>
              </w:tc>
              <w:tc>
                <w:tcPr>
                  <w:tcW w:w="1263" w:type="dxa"/>
                  <w:tcBorders>
                    <w:tl2br w:val="nil"/>
                    <w:tr2bl w:val="nil"/>
                  </w:tcBorders>
                  <w:vAlign w:val="center"/>
                </w:tcPr>
                <w:p w14:paraId="675851BD">
                  <w:pPr>
                    <w:adjustRightInd w:val="0"/>
                    <w:spacing w:line="240" w:lineRule="exact"/>
                    <w:jc w:val="center"/>
                    <w:rPr>
                      <w:snapToGrid w:val="0"/>
                      <w:szCs w:val="21"/>
                    </w:rPr>
                  </w:pPr>
                  <w:r>
                    <w:t>依托</w:t>
                  </w:r>
                  <w:r>
                    <w:rPr>
                      <w:rFonts w:hint="eastAsia"/>
                      <w:lang w:val="en-US" w:eastAsia="zh-CN"/>
                    </w:rPr>
                    <w:t>原有</w:t>
                  </w:r>
                </w:p>
              </w:tc>
            </w:tr>
            <w:tr w14:paraId="71DE33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8" w:type="dxa"/>
                  <w:vMerge w:val="continue"/>
                  <w:tcBorders>
                    <w:tl2br w:val="nil"/>
                    <w:tr2bl w:val="nil"/>
                  </w:tcBorders>
                  <w:vAlign w:val="center"/>
                </w:tcPr>
                <w:p w14:paraId="51A8B3D6">
                  <w:pPr>
                    <w:spacing w:line="240" w:lineRule="exact"/>
                    <w:jc w:val="center"/>
                    <w:rPr>
                      <w:szCs w:val="21"/>
                    </w:rPr>
                  </w:pPr>
                </w:p>
              </w:tc>
              <w:tc>
                <w:tcPr>
                  <w:tcW w:w="354" w:type="dxa"/>
                  <w:vMerge w:val="continue"/>
                  <w:tcBorders>
                    <w:tl2br w:val="nil"/>
                    <w:tr2bl w:val="nil"/>
                  </w:tcBorders>
                  <w:vAlign w:val="center"/>
                </w:tcPr>
                <w:p w14:paraId="67D3B5D5">
                  <w:pPr>
                    <w:spacing w:line="240" w:lineRule="exact"/>
                    <w:jc w:val="center"/>
                    <w:rPr>
                      <w:szCs w:val="21"/>
                    </w:rPr>
                  </w:pPr>
                </w:p>
              </w:tc>
              <w:tc>
                <w:tcPr>
                  <w:tcW w:w="949" w:type="dxa"/>
                  <w:tcBorders>
                    <w:tl2br w:val="nil"/>
                    <w:tr2bl w:val="nil"/>
                  </w:tcBorders>
                  <w:vAlign w:val="center"/>
                </w:tcPr>
                <w:p w14:paraId="34EA78BE">
                  <w:pPr>
                    <w:keepNext w:val="0"/>
                    <w:keepLines w:val="0"/>
                    <w:pageBreakBefore w:val="0"/>
                    <w:widowControl w:val="0"/>
                    <w:kinsoku/>
                    <w:wordWrap w:val="0"/>
                    <w:overflowPunct/>
                    <w:topLinePunct/>
                    <w:autoSpaceDE/>
                    <w:autoSpaceDN/>
                    <w:bidi w:val="0"/>
                    <w:adjustRightInd/>
                    <w:snapToGrid/>
                    <w:spacing w:line="240" w:lineRule="auto"/>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生产</w:t>
                  </w:r>
                </w:p>
                <w:p w14:paraId="48631B6B">
                  <w:pPr>
                    <w:keepNext w:val="0"/>
                    <w:keepLines w:val="0"/>
                    <w:pageBreakBefore w:val="0"/>
                    <w:widowControl w:val="0"/>
                    <w:kinsoku/>
                    <w:wordWrap w:val="0"/>
                    <w:overflowPunct/>
                    <w:topLinePunct/>
                    <w:autoSpaceDE/>
                    <w:autoSpaceDN/>
                    <w:bidi w:val="0"/>
                    <w:adjustRightInd/>
                    <w:snapToGrid/>
                    <w:spacing w:line="240" w:lineRule="auto"/>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废水</w:t>
                  </w:r>
                </w:p>
              </w:tc>
              <w:tc>
                <w:tcPr>
                  <w:tcW w:w="4930" w:type="dxa"/>
                  <w:tcBorders>
                    <w:tl2br w:val="nil"/>
                    <w:tr2bl w:val="nil"/>
                  </w:tcBorders>
                  <w:vAlign w:val="center"/>
                </w:tcPr>
                <w:p w14:paraId="0EEBA0C8">
                  <w:pPr>
                    <w:adjustRightInd w:val="0"/>
                    <w:spacing w:line="240" w:lineRule="exact"/>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cs="Times New Roman" w:eastAsiaTheme="minorEastAsia"/>
                      <w:sz w:val="21"/>
                      <w:szCs w:val="21"/>
                      <w:lang w:val="en-US" w:eastAsia="zh-CN"/>
                    </w:rPr>
                    <w:t>纯水制备系统废水</w:t>
                  </w:r>
                  <w:r>
                    <w:rPr>
                      <w:rFonts w:ascii="Times New Roman" w:hAnsi="Times New Roman" w:cs="Times New Roman" w:eastAsiaTheme="minorEastAsia"/>
                      <w:sz w:val="21"/>
                      <w:szCs w:val="21"/>
                      <w:lang w:val="en-US"/>
                    </w:rPr>
                    <w:t>进入化粪池沉淀处理后排入</w:t>
                  </w:r>
                  <w:r>
                    <w:rPr>
                      <w:rFonts w:hint="eastAsia" w:ascii="Times New Roman" w:hAnsi="Times New Roman" w:cs="Times New Roman" w:eastAsiaTheme="minorEastAsia"/>
                      <w:sz w:val="21"/>
                      <w:szCs w:val="21"/>
                      <w:lang w:val="en-US"/>
                    </w:rPr>
                    <w:t>沣西新城大王</w:t>
                  </w:r>
                  <w:r>
                    <w:rPr>
                      <w:rFonts w:ascii="Times New Roman" w:hAnsi="Times New Roman" w:cs="Times New Roman" w:eastAsiaTheme="minorEastAsia"/>
                      <w:sz w:val="21"/>
                      <w:szCs w:val="21"/>
                      <w:lang w:val="en-US"/>
                    </w:rPr>
                    <w:t>污水处理厂</w:t>
                  </w:r>
                </w:p>
              </w:tc>
              <w:tc>
                <w:tcPr>
                  <w:tcW w:w="1263" w:type="dxa"/>
                  <w:tcBorders>
                    <w:tl2br w:val="nil"/>
                    <w:tr2bl w:val="nil"/>
                  </w:tcBorders>
                  <w:vAlign w:val="center"/>
                </w:tcPr>
                <w:p w14:paraId="4D3A6942">
                  <w:pPr>
                    <w:adjustRightInd w:val="0"/>
                    <w:spacing w:line="240" w:lineRule="exact"/>
                    <w:jc w:val="center"/>
                    <w:rPr>
                      <w:snapToGrid w:val="0"/>
                      <w:color w:val="auto"/>
                      <w:szCs w:val="21"/>
                    </w:rPr>
                  </w:pPr>
                  <w:r>
                    <w:rPr>
                      <w:rFonts w:hint="eastAsia" w:ascii="Times New Roman" w:hAnsi="Times New Roman" w:eastAsia="宋体" w:cs="Times New Roman"/>
                      <w:snapToGrid w:val="0"/>
                      <w:color w:val="auto"/>
                      <w:szCs w:val="21"/>
                      <w:highlight w:val="none"/>
                      <w:lang w:val="en-US" w:eastAsia="zh-CN"/>
                    </w:rPr>
                    <w:t>新建</w:t>
                  </w:r>
                </w:p>
              </w:tc>
            </w:tr>
            <w:tr w14:paraId="23F23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78" w:type="dxa"/>
                  <w:vMerge w:val="continue"/>
                  <w:tcBorders>
                    <w:tl2br w:val="nil"/>
                    <w:tr2bl w:val="nil"/>
                  </w:tcBorders>
                  <w:vAlign w:val="center"/>
                </w:tcPr>
                <w:p w14:paraId="3C27841F">
                  <w:pPr>
                    <w:spacing w:line="240" w:lineRule="exact"/>
                    <w:jc w:val="center"/>
                    <w:rPr>
                      <w:color w:val="FF0000"/>
                      <w:szCs w:val="21"/>
                    </w:rPr>
                  </w:pPr>
                </w:p>
              </w:tc>
              <w:tc>
                <w:tcPr>
                  <w:tcW w:w="354" w:type="dxa"/>
                  <w:vMerge w:val="restart"/>
                  <w:tcBorders>
                    <w:tl2br w:val="nil"/>
                    <w:tr2bl w:val="nil"/>
                  </w:tcBorders>
                  <w:shd w:val="clear" w:color="auto" w:fill="auto"/>
                  <w:vAlign w:val="center"/>
                </w:tcPr>
                <w:p w14:paraId="3C407CE4">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固废</w:t>
                  </w:r>
                </w:p>
              </w:tc>
              <w:tc>
                <w:tcPr>
                  <w:tcW w:w="949" w:type="dxa"/>
                  <w:tcBorders>
                    <w:tl2br w:val="nil"/>
                    <w:tr2bl w:val="nil"/>
                  </w:tcBorders>
                  <w:shd w:val="clear" w:color="auto" w:fill="auto"/>
                  <w:vAlign w:val="center"/>
                </w:tcPr>
                <w:p w14:paraId="3EE4FA63">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生活</w:t>
                  </w:r>
                </w:p>
                <w:p w14:paraId="7412B244">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垃圾</w:t>
                  </w:r>
                </w:p>
              </w:tc>
              <w:tc>
                <w:tcPr>
                  <w:tcW w:w="4930" w:type="dxa"/>
                  <w:tcBorders>
                    <w:tl2br w:val="nil"/>
                    <w:tr2bl w:val="nil"/>
                  </w:tcBorders>
                  <w:vAlign w:val="center"/>
                </w:tcPr>
                <w:p w14:paraId="5E7E11B3">
                  <w:pPr>
                    <w:adjustRightInd w:val="0"/>
                    <w:spacing w:line="240" w:lineRule="exact"/>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员工日常生活产生的生活垃圾，</w:t>
                  </w:r>
                  <w:r>
                    <w:rPr>
                      <w:rFonts w:hint="default" w:ascii="Times New Roman" w:hAnsi="Times New Roman" w:eastAsia="宋体" w:cs="Times New Roman"/>
                      <w:snapToGrid w:val="0"/>
                      <w:color w:val="auto"/>
                      <w:szCs w:val="21"/>
                      <w:highlight w:val="none"/>
                      <w:lang w:val="en-US" w:eastAsia="zh-CN"/>
                    </w:rPr>
                    <w:t>厂区设置垃圾桶，生活垃圾集中收集后，交由环卫部门统一处理</w:t>
                  </w:r>
                </w:p>
              </w:tc>
              <w:tc>
                <w:tcPr>
                  <w:tcW w:w="1263" w:type="dxa"/>
                  <w:vMerge w:val="restart"/>
                  <w:tcBorders>
                    <w:tl2br w:val="nil"/>
                    <w:tr2bl w:val="nil"/>
                  </w:tcBorders>
                  <w:vAlign w:val="center"/>
                </w:tcPr>
                <w:p w14:paraId="480EB727">
                  <w:pPr>
                    <w:adjustRightInd w:val="0"/>
                    <w:spacing w:line="240" w:lineRule="exact"/>
                    <w:jc w:val="center"/>
                    <w:rPr>
                      <w:rFonts w:hint="eastAsia"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新建</w:t>
                  </w:r>
                </w:p>
              </w:tc>
            </w:tr>
            <w:tr w14:paraId="65A872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578" w:type="dxa"/>
                  <w:vMerge w:val="continue"/>
                  <w:tcBorders>
                    <w:tl2br w:val="nil"/>
                    <w:tr2bl w:val="nil"/>
                  </w:tcBorders>
                  <w:vAlign w:val="center"/>
                </w:tcPr>
                <w:p w14:paraId="352ED844">
                  <w:pPr>
                    <w:spacing w:line="240" w:lineRule="exact"/>
                    <w:jc w:val="center"/>
                  </w:pPr>
                </w:p>
              </w:tc>
              <w:tc>
                <w:tcPr>
                  <w:tcW w:w="354" w:type="dxa"/>
                  <w:vMerge w:val="continue"/>
                  <w:tcBorders>
                    <w:tl2br w:val="nil"/>
                    <w:tr2bl w:val="nil"/>
                  </w:tcBorders>
                  <w:vAlign w:val="center"/>
                </w:tcPr>
                <w:p w14:paraId="142591D9">
                  <w:pPr>
                    <w:spacing w:line="240" w:lineRule="exact"/>
                    <w:jc w:val="center"/>
                  </w:pPr>
                </w:p>
              </w:tc>
              <w:tc>
                <w:tcPr>
                  <w:tcW w:w="949" w:type="dxa"/>
                  <w:tcBorders>
                    <w:tl2br w:val="nil"/>
                    <w:tr2bl w:val="nil"/>
                  </w:tcBorders>
                  <w:shd w:val="clear" w:color="auto" w:fill="auto"/>
                  <w:vAlign w:val="center"/>
                </w:tcPr>
                <w:p w14:paraId="6A45D1D5">
                  <w:pPr>
                    <w:adjustRightInd w:val="0"/>
                    <w:spacing w:line="240" w:lineRule="exact"/>
                    <w:jc w:val="center"/>
                    <w:rPr>
                      <w:rFonts w:hint="eastAsia"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一般</w:t>
                  </w:r>
                </w:p>
                <w:p w14:paraId="2274EC49">
                  <w:pPr>
                    <w:adjustRightInd w:val="0"/>
                    <w:spacing w:line="240" w:lineRule="exact"/>
                    <w:jc w:val="center"/>
                    <w:rPr>
                      <w:rFonts w:hint="default" w:ascii="Times New Roman" w:hAnsi="Times New Roman" w:eastAsia="宋体" w:cs="Times New Roman"/>
                      <w:color w:val="FF0000"/>
                      <w:kern w:val="2"/>
                      <w:sz w:val="21"/>
                      <w:szCs w:val="21"/>
                      <w:highlight w:val="none"/>
                      <w:lang w:val="en-US" w:eastAsia="zh-CN" w:bidi="ar-SA"/>
                    </w:rPr>
                  </w:pPr>
                  <w:r>
                    <w:rPr>
                      <w:rFonts w:hint="eastAsia" w:ascii="Times New Roman" w:hAnsi="Times New Roman" w:eastAsia="宋体" w:cs="Times New Roman"/>
                      <w:snapToGrid w:val="0"/>
                      <w:color w:val="auto"/>
                      <w:szCs w:val="21"/>
                      <w:highlight w:val="none"/>
                      <w:lang w:val="en-US" w:eastAsia="zh-CN"/>
                    </w:rPr>
                    <w:t>固废</w:t>
                  </w:r>
                </w:p>
              </w:tc>
              <w:tc>
                <w:tcPr>
                  <w:tcW w:w="4930" w:type="dxa"/>
                  <w:tcBorders>
                    <w:tl2br w:val="nil"/>
                    <w:tr2bl w:val="nil"/>
                  </w:tcBorders>
                  <w:vAlign w:val="center"/>
                </w:tcPr>
                <w:p w14:paraId="2E851705">
                  <w:pPr>
                    <w:pStyle w:val="27"/>
                    <w:numPr>
                      <w:ilvl w:val="0"/>
                      <w:numId w:val="0"/>
                    </w:numPr>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废包装材料收集暂存于一般固废暂存区</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定期外售于物资回收公司</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收尘灰</w:t>
                  </w:r>
                  <w:r>
                    <w:rPr>
                      <w:rFonts w:hint="eastAsia" w:ascii="Times New Roman" w:hAnsi="Times New Roman" w:eastAsia="宋体" w:cs="Times New Roman"/>
                      <w:snapToGrid w:val="0"/>
                      <w:color w:val="auto"/>
                      <w:kern w:val="2"/>
                      <w:sz w:val="21"/>
                      <w:szCs w:val="21"/>
                      <w:highlight w:val="none"/>
                      <w:lang w:val="en-US" w:eastAsia="zh-CN" w:bidi="ar-SA"/>
                    </w:rPr>
                    <w:t>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工序；粉末</w:t>
                  </w:r>
                  <w:r>
                    <w:rPr>
                      <w:rFonts w:hint="default" w:ascii="Times New Roman" w:hAnsi="Times New Roman" w:eastAsia="宋体" w:cs="Times New Roman"/>
                      <w:snapToGrid w:val="0"/>
                      <w:color w:val="auto"/>
                      <w:kern w:val="2"/>
                      <w:sz w:val="21"/>
                      <w:szCs w:val="21"/>
                      <w:highlight w:val="none"/>
                      <w:lang w:val="en-US" w:eastAsia="zh-CN" w:bidi="ar-SA"/>
                    </w:rPr>
                    <w:t>不合格品收集暂存于一般固废暂存区</w:t>
                  </w:r>
                  <w:r>
                    <w:rPr>
                      <w:rFonts w:hint="eastAsia" w:ascii="Times New Roman" w:hAnsi="Times New Roman" w:cs="Times New Roman"/>
                      <w:snapToGrid w:val="0"/>
                      <w:color w:val="auto"/>
                      <w:kern w:val="2"/>
                      <w:sz w:val="21"/>
                      <w:szCs w:val="21"/>
                      <w:highlight w:val="none"/>
                      <w:lang w:val="en-US" w:eastAsia="zh-CN" w:bidi="ar-SA"/>
                    </w:rPr>
                    <w:t>，收</w:t>
                  </w:r>
                  <w:r>
                    <w:rPr>
                      <w:rFonts w:hint="eastAsia" w:ascii="Times New Roman" w:hAnsi="Times New Roman" w:eastAsia="宋体" w:cs="Times New Roman"/>
                      <w:snapToGrid w:val="0"/>
                      <w:color w:val="auto"/>
                      <w:kern w:val="2"/>
                      <w:sz w:val="21"/>
                      <w:szCs w:val="21"/>
                      <w:highlight w:val="none"/>
                      <w:lang w:val="en-US" w:eastAsia="zh-CN" w:bidi="ar-SA"/>
                    </w:rPr>
                    <w:t>集后回用于</w:t>
                  </w:r>
                  <w:r>
                    <w:rPr>
                      <w:rFonts w:hint="default" w:ascii="Times New Roman" w:hAnsi="Times New Roman" w:eastAsia="宋体" w:cs="Times New Roman"/>
                      <w:snapToGrid w:val="0"/>
                      <w:color w:val="auto"/>
                      <w:kern w:val="2"/>
                      <w:sz w:val="21"/>
                      <w:szCs w:val="21"/>
                      <w:highlight w:val="none"/>
                      <w:lang w:val="en-US" w:eastAsia="zh-CN" w:bidi="ar-SA"/>
                    </w:rPr>
                    <w:t>生产</w:t>
                  </w:r>
                  <w:r>
                    <w:rPr>
                      <w:rFonts w:hint="eastAsia" w:ascii="Times New Roman" w:hAnsi="Times New Roman" w:eastAsia="宋体" w:cs="Times New Roman"/>
                      <w:snapToGrid w:val="0"/>
                      <w:color w:val="auto"/>
                      <w:kern w:val="2"/>
                      <w:sz w:val="21"/>
                      <w:szCs w:val="21"/>
                      <w:highlight w:val="none"/>
                      <w:lang w:val="en-US" w:eastAsia="zh-CN" w:bidi="ar-SA"/>
                    </w:rPr>
                    <w:t>工序；废反渗透膜，暂存于一般固废暂存区，由纯水机厂家检修时回收处置；</w:t>
                  </w:r>
                  <w:r>
                    <w:rPr>
                      <w:rFonts w:hint="default" w:ascii="Times New Roman" w:hAnsi="Times New Roman" w:eastAsia="宋体" w:cs="Times New Roman"/>
                      <w:snapToGrid w:val="0"/>
                      <w:color w:val="auto"/>
                      <w:kern w:val="2"/>
                      <w:sz w:val="21"/>
                      <w:szCs w:val="21"/>
                      <w:highlight w:val="none"/>
                      <w:lang w:val="en-US" w:eastAsia="zh-CN" w:bidi="ar-SA"/>
                    </w:rPr>
                    <w:t>废漆渣</w:t>
                  </w:r>
                  <w:r>
                    <w:rPr>
                      <w:rFonts w:hint="eastAsia" w:ascii="Times New Roman" w:hAnsi="Times New Roman" w:eastAsia="宋体" w:cs="Times New Roman"/>
                      <w:snapToGrid w:val="0"/>
                      <w:color w:val="auto"/>
                      <w:kern w:val="2"/>
                      <w:sz w:val="21"/>
                      <w:szCs w:val="21"/>
                      <w:highlight w:val="none"/>
                      <w:lang w:val="en-US" w:eastAsia="zh-CN" w:bidi="ar-SA"/>
                    </w:rPr>
                    <w:t>，</w:t>
                  </w:r>
                  <w:r>
                    <w:rPr>
                      <w:rFonts w:hint="default" w:ascii="Times New Roman" w:hAnsi="Times New Roman" w:eastAsia="宋体" w:cs="Times New Roman"/>
                      <w:snapToGrid w:val="0"/>
                      <w:color w:val="auto"/>
                      <w:kern w:val="2"/>
                      <w:sz w:val="21"/>
                      <w:szCs w:val="21"/>
                      <w:highlight w:val="none"/>
                      <w:lang w:val="en-US" w:eastAsia="zh-CN" w:bidi="ar-SA"/>
                    </w:rPr>
                    <w:t>收集暂存于一般固废暂存区，定期外售于物资回收公司。</w:t>
                  </w:r>
                </w:p>
              </w:tc>
              <w:tc>
                <w:tcPr>
                  <w:tcW w:w="1263" w:type="dxa"/>
                  <w:vMerge w:val="continue"/>
                  <w:tcBorders>
                    <w:tl2br w:val="nil"/>
                    <w:tr2bl w:val="nil"/>
                  </w:tcBorders>
                  <w:vAlign w:val="center"/>
                </w:tcPr>
                <w:p w14:paraId="2A9FD2FF">
                  <w:pPr>
                    <w:spacing w:line="240" w:lineRule="exact"/>
                    <w:jc w:val="center"/>
                    <w:rPr>
                      <w:szCs w:val="21"/>
                    </w:rPr>
                  </w:pPr>
                </w:p>
              </w:tc>
            </w:tr>
            <w:tr w14:paraId="59FF1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78" w:type="dxa"/>
                  <w:vMerge w:val="continue"/>
                  <w:tcBorders>
                    <w:tl2br w:val="nil"/>
                    <w:tr2bl w:val="nil"/>
                  </w:tcBorders>
                  <w:vAlign w:val="center"/>
                </w:tcPr>
                <w:p w14:paraId="038D7F08">
                  <w:pPr>
                    <w:spacing w:line="240" w:lineRule="exact"/>
                    <w:jc w:val="center"/>
                    <w:rPr>
                      <w:szCs w:val="21"/>
                    </w:rPr>
                  </w:pPr>
                </w:p>
              </w:tc>
              <w:tc>
                <w:tcPr>
                  <w:tcW w:w="354" w:type="dxa"/>
                  <w:vMerge w:val="continue"/>
                  <w:tcBorders>
                    <w:tl2br w:val="nil"/>
                    <w:tr2bl w:val="nil"/>
                  </w:tcBorders>
                  <w:vAlign w:val="center"/>
                </w:tcPr>
                <w:p w14:paraId="0BFDA1BC">
                  <w:pPr>
                    <w:spacing w:line="240" w:lineRule="exact"/>
                    <w:jc w:val="center"/>
                    <w:rPr>
                      <w:szCs w:val="21"/>
                    </w:rPr>
                  </w:pPr>
                </w:p>
              </w:tc>
              <w:tc>
                <w:tcPr>
                  <w:tcW w:w="949" w:type="dxa"/>
                  <w:tcBorders>
                    <w:tl2br w:val="nil"/>
                    <w:tr2bl w:val="nil"/>
                  </w:tcBorders>
                  <w:shd w:val="clear" w:color="auto" w:fill="auto"/>
                  <w:vAlign w:val="center"/>
                </w:tcPr>
                <w:p w14:paraId="55355FE2">
                  <w:pPr>
                    <w:tabs>
                      <w:tab w:val="left" w:pos="3000"/>
                    </w:tabs>
                    <w:adjustRightInd w:val="0"/>
                    <w:snapToGrid w:val="0"/>
                    <w:spacing w:line="240" w:lineRule="auto"/>
                    <w:jc w:val="center"/>
                    <w:rPr>
                      <w:rFonts w:hint="eastAsia"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危险</w:t>
                  </w:r>
                </w:p>
                <w:p w14:paraId="6AC78DBE">
                  <w:pPr>
                    <w:tabs>
                      <w:tab w:val="left" w:pos="3000"/>
                    </w:tabs>
                    <w:adjustRightInd w:val="0"/>
                    <w:snapToGrid w:val="0"/>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snapToGrid w:val="0"/>
                      <w:color w:val="auto"/>
                      <w:kern w:val="2"/>
                      <w:sz w:val="21"/>
                      <w:szCs w:val="21"/>
                      <w:highlight w:val="none"/>
                      <w:lang w:val="en-US" w:eastAsia="zh-CN" w:bidi="ar-SA"/>
                    </w:rPr>
                    <w:t>废物</w:t>
                  </w:r>
                </w:p>
              </w:tc>
              <w:tc>
                <w:tcPr>
                  <w:tcW w:w="4930" w:type="dxa"/>
                  <w:tcBorders>
                    <w:tl2br w:val="nil"/>
                    <w:tr2bl w:val="nil"/>
                  </w:tcBorders>
                  <w:vAlign w:val="center"/>
                </w:tcPr>
                <w:p w14:paraId="4F0D89A5">
                  <w:pPr>
                    <w:snapToGrid/>
                    <w:spacing w:line="240" w:lineRule="auto"/>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废机油及废油桶、废活性炭、废超滤芯、废油槽渣、废陶化槽渣以及废电泳</w:t>
                  </w:r>
                  <w:r>
                    <w:rPr>
                      <w:rFonts w:hint="default" w:ascii="Times New Roman" w:hAnsi="Times New Roman" w:eastAsia="宋体" w:cs="Times New Roman"/>
                      <w:color w:val="auto"/>
                      <w:highlight w:val="none"/>
                      <w:lang w:val="en-US" w:eastAsia="zh-CN"/>
                    </w:rPr>
                    <w:t>漆渣收集后妥善暂存于危险废物贮存间，交由陕西绿林环保科技有限公司进行处理。</w:t>
                  </w:r>
                </w:p>
              </w:tc>
              <w:tc>
                <w:tcPr>
                  <w:tcW w:w="1263" w:type="dxa"/>
                  <w:vMerge w:val="continue"/>
                  <w:tcBorders>
                    <w:tl2br w:val="nil"/>
                    <w:tr2bl w:val="nil"/>
                  </w:tcBorders>
                  <w:vAlign w:val="center"/>
                </w:tcPr>
                <w:p w14:paraId="3F417A19">
                  <w:pPr>
                    <w:spacing w:line="240" w:lineRule="exact"/>
                    <w:jc w:val="center"/>
                    <w:rPr>
                      <w:szCs w:val="21"/>
                    </w:rPr>
                  </w:pPr>
                </w:p>
              </w:tc>
            </w:tr>
            <w:tr w14:paraId="7A3AA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578" w:type="dxa"/>
                  <w:vMerge w:val="continue"/>
                  <w:tcBorders>
                    <w:tl2br w:val="nil"/>
                    <w:tr2bl w:val="nil"/>
                  </w:tcBorders>
                  <w:vAlign w:val="center"/>
                </w:tcPr>
                <w:p w14:paraId="6C670041">
                  <w:pPr>
                    <w:spacing w:line="240" w:lineRule="exact"/>
                    <w:jc w:val="center"/>
                    <w:rPr>
                      <w:szCs w:val="21"/>
                    </w:rPr>
                  </w:pPr>
                </w:p>
              </w:tc>
              <w:tc>
                <w:tcPr>
                  <w:tcW w:w="1303" w:type="dxa"/>
                  <w:gridSpan w:val="2"/>
                  <w:tcBorders>
                    <w:tl2br w:val="nil"/>
                    <w:tr2bl w:val="nil"/>
                  </w:tcBorders>
                  <w:vAlign w:val="center"/>
                </w:tcPr>
                <w:p w14:paraId="360E09A0">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噪声</w:t>
                  </w:r>
                </w:p>
              </w:tc>
              <w:tc>
                <w:tcPr>
                  <w:tcW w:w="4930" w:type="dxa"/>
                  <w:tcBorders>
                    <w:tl2br w:val="nil"/>
                    <w:tr2bl w:val="nil"/>
                  </w:tcBorders>
                  <w:vAlign w:val="center"/>
                </w:tcPr>
                <w:p w14:paraId="2CFCAB1E">
                  <w:pPr>
                    <w:adjustRightInd w:val="0"/>
                    <w:spacing w:line="240" w:lineRule="exact"/>
                    <w:jc w:val="center"/>
                    <w:rPr>
                      <w:rFonts w:hint="default" w:ascii="Times New Roman" w:hAnsi="Times New Roman" w:eastAsia="宋体" w:cs="Times New Roman"/>
                      <w:snapToGrid w:val="0"/>
                      <w:color w:val="auto"/>
                      <w:szCs w:val="21"/>
                      <w:highlight w:val="none"/>
                      <w:lang w:val="en-US" w:eastAsia="zh-CN"/>
                    </w:rPr>
                  </w:pPr>
                  <w:r>
                    <w:rPr>
                      <w:rFonts w:hint="eastAsia" w:ascii="Times New Roman" w:hAnsi="Times New Roman" w:eastAsia="宋体" w:cs="Times New Roman"/>
                      <w:snapToGrid w:val="0"/>
                      <w:color w:val="auto"/>
                      <w:szCs w:val="21"/>
                      <w:highlight w:val="none"/>
                      <w:lang w:val="en-US" w:eastAsia="zh-CN"/>
                    </w:rPr>
                    <w:t>主要设备位于厂房内，采用隔声、基础减振降噪、设备定期维护</w:t>
                  </w:r>
                </w:p>
              </w:tc>
              <w:tc>
                <w:tcPr>
                  <w:tcW w:w="1263" w:type="dxa"/>
                  <w:tcBorders>
                    <w:tl2br w:val="nil"/>
                    <w:tr2bl w:val="nil"/>
                  </w:tcBorders>
                  <w:vAlign w:val="center"/>
                </w:tcPr>
                <w:p w14:paraId="0969587A">
                  <w:pPr>
                    <w:adjustRightInd w:val="0"/>
                    <w:spacing w:line="240" w:lineRule="exact"/>
                    <w:jc w:val="center"/>
                    <w:rPr>
                      <w:szCs w:val="21"/>
                    </w:rPr>
                  </w:pPr>
                  <w:r>
                    <w:rPr>
                      <w:rFonts w:hint="eastAsia" w:ascii="Times New Roman" w:hAnsi="Times New Roman" w:eastAsia="宋体" w:cs="Times New Roman"/>
                      <w:snapToGrid w:val="0"/>
                      <w:color w:val="auto"/>
                      <w:szCs w:val="21"/>
                      <w:highlight w:val="none"/>
                      <w:lang w:val="en-US" w:eastAsia="zh-CN"/>
                    </w:rPr>
                    <w:t>新建</w:t>
                  </w:r>
                </w:p>
              </w:tc>
            </w:tr>
          </w:tbl>
          <w:p w14:paraId="73379DC7">
            <w:pPr>
              <w:keepNext w:val="0"/>
              <w:keepLines w:val="0"/>
              <w:widowControl/>
              <w:suppressLineNumbers w:val="0"/>
              <w:jc w:val="left"/>
            </w:pPr>
            <w:r>
              <w:rPr>
                <w:rFonts w:hint="eastAsia" w:ascii="宋体" w:hAnsi="宋体" w:cs="宋体"/>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主要设备</w:t>
            </w:r>
          </w:p>
          <w:p w14:paraId="065F8AE7">
            <w:pPr>
              <w:jc w:val="center"/>
              <w:rPr>
                <w:rFonts w:eastAsiaTheme="minorEastAsia"/>
                <w:b/>
                <w:bCs/>
                <w:szCs w:val="21"/>
              </w:rPr>
            </w:pPr>
            <w:r>
              <w:rPr>
                <w:rFonts w:eastAsiaTheme="minorEastAsia"/>
                <w:b/>
                <w:bCs/>
                <w:szCs w:val="21"/>
              </w:rPr>
              <w:t>表2-</w:t>
            </w:r>
            <w:r>
              <w:rPr>
                <w:rFonts w:hint="eastAsia" w:eastAsiaTheme="minorEastAsia"/>
                <w:b/>
                <w:bCs/>
                <w:szCs w:val="21"/>
                <w:lang w:val="en-US" w:eastAsia="zh-CN"/>
              </w:rPr>
              <w:t>2</w:t>
            </w:r>
            <w:r>
              <w:rPr>
                <w:rFonts w:eastAsiaTheme="minorEastAsia"/>
                <w:b/>
                <w:bCs/>
                <w:szCs w:val="21"/>
              </w:rPr>
              <w:t xml:space="preserve">  主要生产设备一览表</w:t>
            </w:r>
          </w:p>
          <w:tbl>
            <w:tblPr>
              <w:tblStyle w:val="20"/>
              <w:tblW w:w="80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6"/>
              <w:gridCol w:w="81"/>
              <w:gridCol w:w="2115"/>
              <w:gridCol w:w="1410"/>
              <w:gridCol w:w="1091"/>
              <w:gridCol w:w="2498"/>
            </w:tblGrid>
            <w:tr w14:paraId="5D810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58289D72">
                  <w:pPr>
                    <w:widowControl/>
                    <w:jc w:val="center"/>
                    <w:rPr>
                      <w:b/>
                      <w:kern w:val="0"/>
                      <w:szCs w:val="21"/>
                    </w:rPr>
                  </w:pPr>
                  <w:r>
                    <w:rPr>
                      <w:b/>
                      <w:kern w:val="0"/>
                      <w:szCs w:val="21"/>
                    </w:rPr>
                    <w:t>序号</w:t>
                  </w:r>
                </w:p>
              </w:tc>
              <w:tc>
                <w:tcPr>
                  <w:tcW w:w="2115" w:type="dxa"/>
                  <w:tcBorders>
                    <w:tl2br w:val="nil"/>
                    <w:tr2bl w:val="nil"/>
                  </w:tcBorders>
                  <w:vAlign w:val="center"/>
                </w:tcPr>
                <w:p w14:paraId="4FE39271">
                  <w:pPr>
                    <w:widowControl/>
                    <w:jc w:val="center"/>
                    <w:rPr>
                      <w:b/>
                      <w:kern w:val="0"/>
                      <w:szCs w:val="21"/>
                    </w:rPr>
                  </w:pPr>
                  <w:r>
                    <w:rPr>
                      <w:b/>
                      <w:kern w:val="0"/>
                      <w:szCs w:val="21"/>
                    </w:rPr>
                    <w:t>设备名称</w:t>
                  </w:r>
                </w:p>
              </w:tc>
              <w:tc>
                <w:tcPr>
                  <w:tcW w:w="1410" w:type="dxa"/>
                  <w:tcBorders>
                    <w:tl2br w:val="nil"/>
                    <w:tr2bl w:val="nil"/>
                  </w:tcBorders>
                  <w:vAlign w:val="center"/>
                </w:tcPr>
                <w:p w14:paraId="2129D673">
                  <w:pPr>
                    <w:widowControl/>
                    <w:jc w:val="center"/>
                    <w:rPr>
                      <w:b/>
                      <w:kern w:val="0"/>
                      <w:szCs w:val="21"/>
                    </w:rPr>
                  </w:pPr>
                  <w:r>
                    <w:rPr>
                      <w:b/>
                      <w:kern w:val="0"/>
                      <w:szCs w:val="21"/>
                    </w:rPr>
                    <w:t>数量</w:t>
                  </w:r>
                </w:p>
              </w:tc>
              <w:tc>
                <w:tcPr>
                  <w:tcW w:w="1091" w:type="dxa"/>
                  <w:tcBorders>
                    <w:tl2br w:val="nil"/>
                    <w:tr2bl w:val="nil"/>
                  </w:tcBorders>
                  <w:vAlign w:val="center"/>
                </w:tcPr>
                <w:p w14:paraId="260D64CC">
                  <w:pPr>
                    <w:widowControl/>
                    <w:jc w:val="center"/>
                    <w:rPr>
                      <w:b/>
                      <w:kern w:val="0"/>
                      <w:szCs w:val="21"/>
                    </w:rPr>
                  </w:pPr>
                  <w:r>
                    <w:rPr>
                      <w:b/>
                      <w:kern w:val="0"/>
                      <w:szCs w:val="21"/>
                    </w:rPr>
                    <w:t>型号</w:t>
                  </w:r>
                </w:p>
              </w:tc>
              <w:tc>
                <w:tcPr>
                  <w:tcW w:w="2498" w:type="dxa"/>
                  <w:tcBorders>
                    <w:tl2br w:val="nil"/>
                    <w:tr2bl w:val="nil"/>
                  </w:tcBorders>
                  <w:vAlign w:val="center"/>
                </w:tcPr>
                <w:p w14:paraId="459EF74A">
                  <w:pPr>
                    <w:widowControl/>
                    <w:jc w:val="center"/>
                    <w:rPr>
                      <w:b/>
                      <w:kern w:val="0"/>
                      <w:szCs w:val="21"/>
                    </w:rPr>
                  </w:pPr>
                  <w:r>
                    <w:rPr>
                      <w:b/>
                      <w:kern w:val="0"/>
                      <w:szCs w:val="21"/>
                    </w:rPr>
                    <w:t>使用工序</w:t>
                  </w:r>
                </w:p>
              </w:tc>
            </w:tr>
            <w:tr w14:paraId="6F02F1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011" w:type="dxa"/>
                  <w:gridSpan w:val="6"/>
                  <w:tcBorders>
                    <w:tl2br w:val="nil"/>
                    <w:tr2bl w:val="nil"/>
                  </w:tcBorders>
                  <w:vAlign w:val="center"/>
                </w:tcPr>
                <w:p w14:paraId="3FB9EC4E">
                  <w:pPr>
                    <w:widowControl/>
                    <w:jc w:val="center"/>
                    <w:rPr>
                      <w:rFonts w:hint="default"/>
                      <w:kern w:val="0"/>
                      <w:szCs w:val="21"/>
                      <w:lang w:val="en-US"/>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涂料生产线</w:t>
                  </w:r>
                </w:p>
              </w:tc>
            </w:tr>
            <w:tr w14:paraId="45EC24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4605F56E">
                  <w:pPr>
                    <w:widowControl/>
                    <w:jc w:val="center"/>
                    <w:rPr>
                      <w:kern w:val="0"/>
                      <w:szCs w:val="21"/>
                    </w:rPr>
                  </w:pPr>
                  <w:r>
                    <w:rPr>
                      <w:kern w:val="0"/>
                      <w:szCs w:val="21"/>
                    </w:rPr>
                    <w:t>1</w:t>
                  </w:r>
                </w:p>
              </w:tc>
              <w:tc>
                <w:tcPr>
                  <w:tcW w:w="2115" w:type="dxa"/>
                  <w:tcBorders>
                    <w:tl2br w:val="nil"/>
                    <w:tr2bl w:val="nil"/>
                  </w:tcBorders>
                  <w:vAlign w:val="center"/>
                </w:tcPr>
                <w:p w14:paraId="03DAA61A">
                  <w:pPr>
                    <w:widowControl/>
                    <w:jc w:val="center"/>
                    <w:rPr>
                      <w:kern w:val="0"/>
                      <w:szCs w:val="21"/>
                    </w:rPr>
                  </w:pPr>
                  <w:r>
                    <w:rPr>
                      <w:kern w:val="0"/>
                      <w:szCs w:val="21"/>
                    </w:rPr>
                    <w:t>空气离心混合机</w:t>
                  </w:r>
                </w:p>
              </w:tc>
              <w:tc>
                <w:tcPr>
                  <w:tcW w:w="1410" w:type="dxa"/>
                  <w:tcBorders>
                    <w:tl2br w:val="nil"/>
                    <w:tr2bl w:val="nil"/>
                  </w:tcBorders>
                  <w:vAlign w:val="center"/>
                </w:tcPr>
                <w:p w14:paraId="13CCE07C">
                  <w:pPr>
                    <w:widowControl/>
                    <w:jc w:val="center"/>
                    <w:rPr>
                      <w:kern w:val="0"/>
                      <w:szCs w:val="21"/>
                    </w:rPr>
                  </w:pPr>
                  <w:r>
                    <w:rPr>
                      <w:rFonts w:hint="eastAsia"/>
                      <w:kern w:val="0"/>
                      <w:szCs w:val="21"/>
                      <w:lang w:val="en-US" w:eastAsia="zh-CN"/>
                    </w:rPr>
                    <w:t>6</w:t>
                  </w:r>
                  <w:r>
                    <w:rPr>
                      <w:kern w:val="0"/>
                      <w:szCs w:val="21"/>
                    </w:rPr>
                    <w:t>台</w:t>
                  </w:r>
                </w:p>
              </w:tc>
              <w:tc>
                <w:tcPr>
                  <w:tcW w:w="1091" w:type="dxa"/>
                  <w:tcBorders>
                    <w:tl2br w:val="nil"/>
                    <w:tr2bl w:val="nil"/>
                  </w:tcBorders>
                  <w:vAlign w:val="center"/>
                </w:tcPr>
                <w:p w14:paraId="1065B091">
                  <w:pPr>
                    <w:widowControl/>
                    <w:jc w:val="center"/>
                    <w:rPr>
                      <w:kern w:val="0"/>
                      <w:szCs w:val="21"/>
                    </w:rPr>
                  </w:pPr>
                  <w:r>
                    <w:rPr>
                      <w:kern w:val="0"/>
                      <w:szCs w:val="21"/>
                    </w:rPr>
                    <w:t>600</w:t>
                  </w:r>
                </w:p>
              </w:tc>
              <w:tc>
                <w:tcPr>
                  <w:tcW w:w="2498" w:type="dxa"/>
                  <w:tcBorders>
                    <w:tl2br w:val="nil"/>
                    <w:tr2bl w:val="nil"/>
                  </w:tcBorders>
                  <w:vAlign w:val="center"/>
                </w:tcPr>
                <w:p w14:paraId="772796E7">
                  <w:pPr>
                    <w:widowControl/>
                    <w:jc w:val="center"/>
                    <w:rPr>
                      <w:kern w:val="0"/>
                      <w:szCs w:val="21"/>
                    </w:rPr>
                  </w:pPr>
                  <w:r>
                    <w:rPr>
                      <w:kern w:val="0"/>
                      <w:szCs w:val="21"/>
                    </w:rPr>
                    <w:t>混合</w:t>
                  </w:r>
                </w:p>
              </w:tc>
            </w:tr>
            <w:tr w14:paraId="26278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3B293A35">
                  <w:pPr>
                    <w:widowControl/>
                    <w:jc w:val="center"/>
                    <w:rPr>
                      <w:kern w:val="0"/>
                      <w:szCs w:val="21"/>
                    </w:rPr>
                  </w:pPr>
                  <w:r>
                    <w:rPr>
                      <w:kern w:val="0"/>
                      <w:szCs w:val="21"/>
                    </w:rPr>
                    <w:t>2</w:t>
                  </w:r>
                </w:p>
              </w:tc>
              <w:tc>
                <w:tcPr>
                  <w:tcW w:w="2115" w:type="dxa"/>
                  <w:tcBorders>
                    <w:tl2br w:val="nil"/>
                    <w:tr2bl w:val="nil"/>
                  </w:tcBorders>
                  <w:vAlign w:val="center"/>
                </w:tcPr>
                <w:p w14:paraId="72549F7F">
                  <w:pPr>
                    <w:widowControl/>
                    <w:jc w:val="center"/>
                    <w:rPr>
                      <w:kern w:val="0"/>
                      <w:szCs w:val="21"/>
                    </w:rPr>
                  </w:pPr>
                  <w:r>
                    <w:rPr>
                      <w:kern w:val="0"/>
                      <w:szCs w:val="21"/>
                    </w:rPr>
                    <w:t>自动加热预融机</w:t>
                  </w:r>
                </w:p>
              </w:tc>
              <w:tc>
                <w:tcPr>
                  <w:tcW w:w="1410" w:type="dxa"/>
                  <w:tcBorders>
                    <w:tl2br w:val="nil"/>
                    <w:tr2bl w:val="nil"/>
                  </w:tcBorders>
                  <w:vAlign w:val="center"/>
                </w:tcPr>
                <w:p w14:paraId="3DEF1F5D">
                  <w:pPr>
                    <w:widowControl/>
                    <w:jc w:val="center"/>
                    <w:rPr>
                      <w:kern w:val="0"/>
                      <w:szCs w:val="21"/>
                    </w:rPr>
                  </w:pPr>
                  <w:r>
                    <w:rPr>
                      <w:rFonts w:hint="eastAsia"/>
                      <w:kern w:val="0"/>
                      <w:szCs w:val="21"/>
                      <w:lang w:val="en-US" w:eastAsia="zh-CN"/>
                    </w:rPr>
                    <w:t>5</w:t>
                  </w:r>
                  <w:r>
                    <w:rPr>
                      <w:kern w:val="0"/>
                      <w:szCs w:val="21"/>
                    </w:rPr>
                    <w:t>台</w:t>
                  </w:r>
                </w:p>
              </w:tc>
              <w:tc>
                <w:tcPr>
                  <w:tcW w:w="1091" w:type="dxa"/>
                  <w:tcBorders>
                    <w:tl2br w:val="nil"/>
                    <w:tr2bl w:val="nil"/>
                  </w:tcBorders>
                  <w:vAlign w:val="center"/>
                </w:tcPr>
                <w:p w14:paraId="3D597FA7">
                  <w:pPr>
                    <w:widowControl/>
                    <w:jc w:val="center"/>
                    <w:rPr>
                      <w:kern w:val="0"/>
                      <w:szCs w:val="21"/>
                    </w:rPr>
                  </w:pPr>
                  <w:r>
                    <w:rPr>
                      <w:kern w:val="0"/>
                      <w:szCs w:val="21"/>
                    </w:rPr>
                    <w:t>/</w:t>
                  </w:r>
                </w:p>
              </w:tc>
              <w:tc>
                <w:tcPr>
                  <w:tcW w:w="2498" w:type="dxa"/>
                  <w:tcBorders>
                    <w:tl2br w:val="nil"/>
                    <w:tr2bl w:val="nil"/>
                  </w:tcBorders>
                  <w:vAlign w:val="center"/>
                </w:tcPr>
                <w:p w14:paraId="76C04B34">
                  <w:pPr>
                    <w:widowControl/>
                    <w:jc w:val="center"/>
                    <w:rPr>
                      <w:kern w:val="0"/>
                      <w:szCs w:val="21"/>
                    </w:rPr>
                  </w:pPr>
                  <w:r>
                    <w:rPr>
                      <w:kern w:val="0"/>
                      <w:szCs w:val="21"/>
                    </w:rPr>
                    <w:t>熔融</w:t>
                  </w:r>
                </w:p>
              </w:tc>
            </w:tr>
            <w:tr w14:paraId="4F170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17AD7FAE">
                  <w:pPr>
                    <w:widowControl/>
                    <w:jc w:val="center"/>
                    <w:rPr>
                      <w:kern w:val="0"/>
                      <w:szCs w:val="21"/>
                    </w:rPr>
                  </w:pPr>
                  <w:r>
                    <w:rPr>
                      <w:kern w:val="0"/>
                      <w:szCs w:val="21"/>
                    </w:rPr>
                    <w:t>3</w:t>
                  </w:r>
                </w:p>
              </w:tc>
              <w:tc>
                <w:tcPr>
                  <w:tcW w:w="2115" w:type="dxa"/>
                  <w:tcBorders>
                    <w:tl2br w:val="nil"/>
                    <w:tr2bl w:val="nil"/>
                  </w:tcBorders>
                  <w:vAlign w:val="center"/>
                </w:tcPr>
                <w:p w14:paraId="6F72AF8E">
                  <w:pPr>
                    <w:widowControl/>
                    <w:jc w:val="center"/>
                    <w:rPr>
                      <w:kern w:val="0"/>
                      <w:szCs w:val="21"/>
                    </w:rPr>
                  </w:pPr>
                  <w:r>
                    <w:rPr>
                      <w:kern w:val="0"/>
                      <w:szCs w:val="21"/>
                    </w:rPr>
                    <w:t>恒温冷却压片破碎机</w:t>
                  </w:r>
                </w:p>
              </w:tc>
              <w:tc>
                <w:tcPr>
                  <w:tcW w:w="1410" w:type="dxa"/>
                  <w:tcBorders>
                    <w:tl2br w:val="nil"/>
                    <w:tr2bl w:val="nil"/>
                  </w:tcBorders>
                  <w:vAlign w:val="center"/>
                </w:tcPr>
                <w:p w14:paraId="452F6BD3">
                  <w:pPr>
                    <w:widowControl/>
                    <w:jc w:val="center"/>
                    <w:rPr>
                      <w:kern w:val="0"/>
                      <w:szCs w:val="21"/>
                    </w:rPr>
                  </w:pPr>
                  <w:r>
                    <w:rPr>
                      <w:rFonts w:hint="eastAsia"/>
                      <w:kern w:val="0"/>
                      <w:szCs w:val="21"/>
                      <w:lang w:val="en-US" w:eastAsia="zh-CN"/>
                    </w:rPr>
                    <w:t>5</w:t>
                  </w:r>
                  <w:r>
                    <w:rPr>
                      <w:kern w:val="0"/>
                      <w:szCs w:val="21"/>
                    </w:rPr>
                    <w:t>台</w:t>
                  </w:r>
                </w:p>
              </w:tc>
              <w:tc>
                <w:tcPr>
                  <w:tcW w:w="1091" w:type="dxa"/>
                  <w:tcBorders>
                    <w:tl2br w:val="nil"/>
                    <w:tr2bl w:val="nil"/>
                  </w:tcBorders>
                  <w:vAlign w:val="center"/>
                </w:tcPr>
                <w:p w14:paraId="2FF6D33A">
                  <w:pPr>
                    <w:widowControl/>
                    <w:jc w:val="center"/>
                    <w:rPr>
                      <w:kern w:val="0"/>
                      <w:szCs w:val="21"/>
                    </w:rPr>
                  </w:pPr>
                  <w:r>
                    <w:rPr>
                      <w:kern w:val="0"/>
                      <w:szCs w:val="21"/>
                    </w:rPr>
                    <w:t>600</w:t>
                  </w:r>
                </w:p>
              </w:tc>
              <w:tc>
                <w:tcPr>
                  <w:tcW w:w="2498" w:type="dxa"/>
                  <w:tcBorders>
                    <w:tl2br w:val="nil"/>
                    <w:tr2bl w:val="nil"/>
                  </w:tcBorders>
                  <w:vAlign w:val="center"/>
                </w:tcPr>
                <w:p w14:paraId="2350435E">
                  <w:pPr>
                    <w:widowControl/>
                    <w:jc w:val="center"/>
                    <w:rPr>
                      <w:kern w:val="0"/>
                      <w:szCs w:val="21"/>
                    </w:rPr>
                  </w:pPr>
                  <w:r>
                    <w:rPr>
                      <w:kern w:val="0"/>
                      <w:szCs w:val="21"/>
                    </w:rPr>
                    <w:t>挤出、压片、初级破碎</w:t>
                  </w:r>
                </w:p>
              </w:tc>
            </w:tr>
            <w:tr w14:paraId="6BD81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897" w:type="dxa"/>
                  <w:gridSpan w:val="2"/>
                  <w:tcBorders>
                    <w:tl2br w:val="nil"/>
                    <w:tr2bl w:val="nil"/>
                  </w:tcBorders>
                  <w:vAlign w:val="center"/>
                </w:tcPr>
                <w:p w14:paraId="5184B24C">
                  <w:pPr>
                    <w:widowControl/>
                    <w:jc w:val="center"/>
                    <w:rPr>
                      <w:kern w:val="0"/>
                      <w:szCs w:val="21"/>
                    </w:rPr>
                  </w:pPr>
                  <w:r>
                    <w:rPr>
                      <w:kern w:val="0"/>
                      <w:szCs w:val="21"/>
                    </w:rPr>
                    <w:t>5</w:t>
                  </w:r>
                </w:p>
              </w:tc>
              <w:tc>
                <w:tcPr>
                  <w:tcW w:w="2115" w:type="dxa"/>
                  <w:tcBorders>
                    <w:tl2br w:val="nil"/>
                    <w:tr2bl w:val="nil"/>
                  </w:tcBorders>
                  <w:vAlign w:val="center"/>
                </w:tcPr>
                <w:p w14:paraId="45F65FDC">
                  <w:pPr>
                    <w:widowControl/>
                    <w:jc w:val="center"/>
                    <w:rPr>
                      <w:kern w:val="0"/>
                      <w:szCs w:val="21"/>
                    </w:rPr>
                  </w:pPr>
                  <w:r>
                    <w:rPr>
                      <w:kern w:val="0"/>
                      <w:szCs w:val="21"/>
                    </w:rPr>
                    <w:t>变频磨粉机</w:t>
                  </w:r>
                </w:p>
              </w:tc>
              <w:tc>
                <w:tcPr>
                  <w:tcW w:w="1410" w:type="dxa"/>
                  <w:tcBorders>
                    <w:tl2br w:val="nil"/>
                    <w:tr2bl w:val="nil"/>
                  </w:tcBorders>
                  <w:vAlign w:val="center"/>
                </w:tcPr>
                <w:p w14:paraId="0F74F60A">
                  <w:pPr>
                    <w:widowControl/>
                    <w:jc w:val="center"/>
                    <w:rPr>
                      <w:kern w:val="0"/>
                      <w:szCs w:val="21"/>
                    </w:rPr>
                  </w:pPr>
                  <w:r>
                    <w:rPr>
                      <w:rFonts w:hint="eastAsia"/>
                      <w:kern w:val="0"/>
                      <w:szCs w:val="21"/>
                      <w:lang w:val="en-US" w:eastAsia="zh-CN"/>
                    </w:rPr>
                    <w:t>4</w:t>
                  </w:r>
                  <w:r>
                    <w:rPr>
                      <w:kern w:val="0"/>
                      <w:szCs w:val="21"/>
                    </w:rPr>
                    <w:t>台</w:t>
                  </w:r>
                </w:p>
              </w:tc>
              <w:tc>
                <w:tcPr>
                  <w:tcW w:w="1091" w:type="dxa"/>
                  <w:tcBorders>
                    <w:tl2br w:val="nil"/>
                    <w:tr2bl w:val="nil"/>
                  </w:tcBorders>
                  <w:vAlign w:val="center"/>
                </w:tcPr>
                <w:p w14:paraId="0C63D1D6">
                  <w:pPr>
                    <w:widowControl/>
                    <w:jc w:val="center"/>
                    <w:rPr>
                      <w:kern w:val="0"/>
                      <w:szCs w:val="21"/>
                    </w:rPr>
                  </w:pPr>
                  <w:r>
                    <w:rPr>
                      <w:kern w:val="0"/>
                      <w:szCs w:val="21"/>
                    </w:rPr>
                    <w:t>MF-30</w:t>
                  </w:r>
                </w:p>
              </w:tc>
              <w:tc>
                <w:tcPr>
                  <w:tcW w:w="2498" w:type="dxa"/>
                  <w:tcBorders>
                    <w:tl2br w:val="nil"/>
                    <w:tr2bl w:val="nil"/>
                  </w:tcBorders>
                  <w:vAlign w:val="center"/>
                </w:tcPr>
                <w:p w14:paraId="180CC8A4">
                  <w:pPr>
                    <w:widowControl/>
                    <w:jc w:val="center"/>
                    <w:rPr>
                      <w:kern w:val="0"/>
                      <w:szCs w:val="21"/>
                    </w:rPr>
                  </w:pPr>
                  <w:r>
                    <w:rPr>
                      <w:kern w:val="0"/>
                      <w:szCs w:val="21"/>
                    </w:rPr>
                    <w:t>研磨、筛分</w:t>
                  </w:r>
                </w:p>
              </w:tc>
            </w:tr>
            <w:tr w14:paraId="26BD2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1D3DC915">
                  <w:pPr>
                    <w:widowControl/>
                    <w:jc w:val="center"/>
                    <w:rPr>
                      <w:kern w:val="0"/>
                      <w:szCs w:val="21"/>
                    </w:rPr>
                  </w:pPr>
                  <w:r>
                    <w:rPr>
                      <w:kern w:val="0"/>
                      <w:szCs w:val="21"/>
                    </w:rPr>
                    <w:t>6</w:t>
                  </w:r>
                </w:p>
              </w:tc>
              <w:tc>
                <w:tcPr>
                  <w:tcW w:w="2115" w:type="dxa"/>
                  <w:tcBorders>
                    <w:tl2br w:val="nil"/>
                    <w:tr2bl w:val="nil"/>
                  </w:tcBorders>
                  <w:vAlign w:val="center"/>
                </w:tcPr>
                <w:p w14:paraId="7E228BD4">
                  <w:pPr>
                    <w:widowControl/>
                    <w:jc w:val="center"/>
                    <w:rPr>
                      <w:kern w:val="0"/>
                      <w:szCs w:val="21"/>
                    </w:rPr>
                  </w:pPr>
                  <w:r>
                    <w:rPr>
                      <w:kern w:val="0"/>
                      <w:szCs w:val="21"/>
                    </w:rPr>
                    <w:t>螺杆式空压机</w:t>
                  </w:r>
                </w:p>
              </w:tc>
              <w:tc>
                <w:tcPr>
                  <w:tcW w:w="1410" w:type="dxa"/>
                  <w:tcBorders>
                    <w:tl2br w:val="nil"/>
                    <w:tr2bl w:val="nil"/>
                  </w:tcBorders>
                  <w:vAlign w:val="center"/>
                </w:tcPr>
                <w:p w14:paraId="464DC2AF">
                  <w:pPr>
                    <w:widowControl/>
                    <w:jc w:val="center"/>
                    <w:rPr>
                      <w:kern w:val="0"/>
                      <w:szCs w:val="21"/>
                    </w:rPr>
                  </w:pPr>
                  <w:r>
                    <w:rPr>
                      <w:kern w:val="0"/>
                      <w:szCs w:val="21"/>
                    </w:rPr>
                    <w:t>1台</w:t>
                  </w:r>
                </w:p>
              </w:tc>
              <w:tc>
                <w:tcPr>
                  <w:tcW w:w="1091" w:type="dxa"/>
                  <w:tcBorders>
                    <w:tl2br w:val="nil"/>
                    <w:tr2bl w:val="nil"/>
                  </w:tcBorders>
                  <w:vAlign w:val="center"/>
                </w:tcPr>
                <w:p w14:paraId="4ECE0923">
                  <w:pPr>
                    <w:widowControl/>
                    <w:jc w:val="center"/>
                    <w:rPr>
                      <w:kern w:val="0"/>
                      <w:szCs w:val="21"/>
                    </w:rPr>
                  </w:pPr>
                  <w:r>
                    <w:rPr>
                      <w:kern w:val="0"/>
                      <w:szCs w:val="21"/>
                    </w:rPr>
                    <w:t>22KW</w:t>
                  </w:r>
                </w:p>
              </w:tc>
              <w:tc>
                <w:tcPr>
                  <w:tcW w:w="2498" w:type="dxa"/>
                  <w:tcBorders>
                    <w:tl2br w:val="nil"/>
                    <w:tr2bl w:val="nil"/>
                  </w:tcBorders>
                  <w:vAlign w:val="center"/>
                </w:tcPr>
                <w:p w14:paraId="564ACFFD">
                  <w:pPr>
                    <w:widowControl/>
                    <w:jc w:val="center"/>
                    <w:rPr>
                      <w:kern w:val="0"/>
                      <w:szCs w:val="21"/>
                    </w:rPr>
                  </w:pPr>
                  <w:r>
                    <w:rPr>
                      <w:kern w:val="0"/>
                      <w:szCs w:val="21"/>
                    </w:rPr>
                    <w:t>压缩空气</w:t>
                  </w:r>
                </w:p>
              </w:tc>
            </w:tr>
            <w:tr w14:paraId="67158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58DD1655">
                  <w:pPr>
                    <w:widowControl/>
                    <w:jc w:val="center"/>
                    <w:rPr>
                      <w:kern w:val="0"/>
                      <w:szCs w:val="21"/>
                    </w:rPr>
                  </w:pPr>
                  <w:r>
                    <w:rPr>
                      <w:kern w:val="0"/>
                      <w:szCs w:val="21"/>
                    </w:rPr>
                    <w:t>7</w:t>
                  </w:r>
                </w:p>
              </w:tc>
              <w:tc>
                <w:tcPr>
                  <w:tcW w:w="2115" w:type="dxa"/>
                  <w:tcBorders>
                    <w:tl2br w:val="nil"/>
                    <w:tr2bl w:val="nil"/>
                  </w:tcBorders>
                  <w:vAlign w:val="center"/>
                </w:tcPr>
                <w:p w14:paraId="6A12C5D2">
                  <w:pPr>
                    <w:widowControl/>
                    <w:jc w:val="center"/>
                    <w:rPr>
                      <w:bCs/>
                      <w:kern w:val="0"/>
                      <w:szCs w:val="21"/>
                    </w:rPr>
                  </w:pPr>
                  <w:r>
                    <w:rPr>
                      <w:bCs/>
                      <w:kern w:val="0"/>
                      <w:szCs w:val="21"/>
                    </w:rPr>
                    <w:t>集成式冷水机</w:t>
                  </w:r>
                </w:p>
              </w:tc>
              <w:tc>
                <w:tcPr>
                  <w:tcW w:w="1410" w:type="dxa"/>
                  <w:tcBorders>
                    <w:tl2br w:val="nil"/>
                    <w:tr2bl w:val="nil"/>
                  </w:tcBorders>
                  <w:vAlign w:val="center"/>
                </w:tcPr>
                <w:p w14:paraId="1EA1B55F">
                  <w:pPr>
                    <w:widowControl/>
                    <w:jc w:val="center"/>
                    <w:rPr>
                      <w:kern w:val="0"/>
                      <w:szCs w:val="21"/>
                    </w:rPr>
                  </w:pPr>
                  <w:r>
                    <w:rPr>
                      <w:kern w:val="0"/>
                      <w:szCs w:val="21"/>
                    </w:rPr>
                    <w:t>1台</w:t>
                  </w:r>
                </w:p>
              </w:tc>
              <w:tc>
                <w:tcPr>
                  <w:tcW w:w="1091" w:type="dxa"/>
                  <w:tcBorders>
                    <w:tl2br w:val="nil"/>
                    <w:tr2bl w:val="nil"/>
                  </w:tcBorders>
                  <w:vAlign w:val="center"/>
                </w:tcPr>
                <w:p w14:paraId="18E12EDD">
                  <w:pPr>
                    <w:widowControl/>
                    <w:jc w:val="center"/>
                    <w:rPr>
                      <w:kern w:val="0"/>
                      <w:szCs w:val="21"/>
                    </w:rPr>
                  </w:pPr>
                  <w:r>
                    <w:rPr>
                      <w:kern w:val="0"/>
                      <w:szCs w:val="21"/>
                    </w:rPr>
                    <w:t>60D</w:t>
                  </w:r>
                </w:p>
              </w:tc>
              <w:tc>
                <w:tcPr>
                  <w:tcW w:w="2498" w:type="dxa"/>
                  <w:tcBorders>
                    <w:tl2br w:val="nil"/>
                    <w:tr2bl w:val="nil"/>
                  </w:tcBorders>
                  <w:vAlign w:val="center"/>
                </w:tcPr>
                <w:p w14:paraId="7183ECB1">
                  <w:pPr>
                    <w:widowControl/>
                    <w:jc w:val="center"/>
                    <w:rPr>
                      <w:kern w:val="0"/>
                      <w:szCs w:val="21"/>
                    </w:rPr>
                  </w:pPr>
                  <w:r>
                    <w:rPr>
                      <w:kern w:val="0"/>
                      <w:szCs w:val="21"/>
                    </w:rPr>
                    <w:t>熔融挤出水冷</w:t>
                  </w:r>
                </w:p>
              </w:tc>
            </w:tr>
            <w:tr w14:paraId="6035F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4C4CFE5E">
                  <w:pPr>
                    <w:widowControl/>
                    <w:jc w:val="center"/>
                    <w:rPr>
                      <w:kern w:val="0"/>
                      <w:szCs w:val="21"/>
                    </w:rPr>
                  </w:pPr>
                  <w:r>
                    <w:rPr>
                      <w:kern w:val="0"/>
                      <w:szCs w:val="21"/>
                    </w:rPr>
                    <w:t>8</w:t>
                  </w:r>
                </w:p>
              </w:tc>
              <w:tc>
                <w:tcPr>
                  <w:tcW w:w="2115" w:type="dxa"/>
                  <w:tcBorders>
                    <w:tl2br w:val="nil"/>
                    <w:tr2bl w:val="nil"/>
                  </w:tcBorders>
                  <w:vAlign w:val="center"/>
                </w:tcPr>
                <w:p w14:paraId="406B38AE">
                  <w:pPr>
                    <w:widowControl/>
                    <w:jc w:val="center"/>
                    <w:rPr>
                      <w:bCs/>
                      <w:kern w:val="0"/>
                      <w:szCs w:val="21"/>
                    </w:rPr>
                  </w:pPr>
                  <w:r>
                    <w:rPr>
                      <w:bCs/>
                      <w:kern w:val="0"/>
                      <w:szCs w:val="21"/>
                    </w:rPr>
                    <w:t>小试机</w:t>
                  </w:r>
                </w:p>
              </w:tc>
              <w:tc>
                <w:tcPr>
                  <w:tcW w:w="1410" w:type="dxa"/>
                  <w:tcBorders>
                    <w:tl2br w:val="nil"/>
                    <w:tr2bl w:val="nil"/>
                  </w:tcBorders>
                  <w:vAlign w:val="center"/>
                </w:tcPr>
                <w:p w14:paraId="0A532435">
                  <w:pPr>
                    <w:widowControl/>
                    <w:jc w:val="center"/>
                    <w:rPr>
                      <w:kern w:val="0"/>
                      <w:szCs w:val="21"/>
                    </w:rPr>
                  </w:pPr>
                  <w:r>
                    <w:rPr>
                      <w:kern w:val="0"/>
                      <w:szCs w:val="21"/>
                    </w:rPr>
                    <w:t>3台</w:t>
                  </w:r>
                </w:p>
              </w:tc>
              <w:tc>
                <w:tcPr>
                  <w:tcW w:w="1091" w:type="dxa"/>
                  <w:tcBorders>
                    <w:tl2br w:val="nil"/>
                    <w:tr2bl w:val="nil"/>
                  </w:tcBorders>
                  <w:vAlign w:val="center"/>
                </w:tcPr>
                <w:p w14:paraId="040A8798">
                  <w:pPr>
                    <w:widowControl/>
                    <w:jc w:val="center"/>
                    <w:rPr>
                      <w:kern w:val="0"/>
                      <w:szCs w:val="21"/>
                    </w:rPr>
                  </w:pPr>
                  <w:r>
                    <w:rPr>
                      <w:kern w:val="0"/>
                      <w:szCs w:val="21"/>
                    </w:rPr>
                    <w:t>SLJ-30</w:t>
                  </w:r>
                </w:p>
              </w:tc>
              <w:tc>
                <w:tcPr>
                  <w:tcW w:w="2498" w:type="dxa"/>
                  <w:tcBorders>
                    <w:tl2br w:val="nil"/>
                    <w:tr2bl w:val="nil"/>
                  </w:tcBorders>
                  <w:vAlign w:val="center"/>
                </w:tcPr>
                <w:p w14:paraId="101DCFD5">
                  <w:pPr>
                    <w:widowControl/>
                    <w:jc w:val="center"/>
                    <w:rPr>
                      <w:kern w:val="0"/>
                      <w:szCs w:val="21"/>
                    </w:rPr>
                  </w:pPr>
                  <w:r>
                    <w:rPr>
                      <w:kern w:val="0"/>
                      <w:szCs w:val="21"/>
                    </w:rPr>
                    <w:t>试验</w:t>
                  </w:r>
                </w:p>
              </w:tc>
            </w:tr>
            <w:tr w14:paraId="7B020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3519A380">
                  <w:pPr>
                    <w:widowControl/>
                    <w:jc w:val="center"/>
                    <w:rPr>
                      <w:kern w:val="0"/>
                      <w:szCs w:val="21"/>
                    </w:rPr>
                  </w:pPr>
                  <w:r>
                    <w:rPr>
                      <w:kern w:val="0"/>
                      <w:szCs w:val="21"/>
                    </w:rPr>
                    <w:t>9</w:t>
                  </w:r>
                </w:p>
              </w:tc>
              <w:tc>
                <w:tcPr>
                  <w:tcW w:w="2115" w:type="dxa"/>
                  <w:tcBorders>
                    <w:tl2br w:val="nil"/>
                    <w:tr2bl w:val="nil"/>
                  </w:tcBorders>
                  <w:vAlign w:val="center"/>
                </w:tcPr>
                <w:p w14:paraId="28144401">
                  <w:pPr>
                    <w:widowControl/>
                    <w:jc w:val="center"/>
                    <w:rPr>
                      <w:bCs/>
                      <w:kern w:val="0"/>
                      <w:szCs w:val="21"/>
                    </w:rPr>
                  </w:pPr>
                  <w:r>
                    <w:rPr>
                      <w:bCs/>
                      <w:kern w:val="0"/>
                      <w:szCs w:val="21"/>
                    </w:rPr>
                    <w:t>热焦化时间测试仪</w:t>
                  </w:r>
                </w:p>
              </w:tc>
              <w:tc>
                <w:tcPr>
                  <w:tcW w:w="1410" w:type="dxa"/>
                  <w:tcBorders>
                    <w:tl2br w:val="nil"/>
                    <w:tr2bl w:val="nil"/>
                  </w:tcBorders>
                  <w:vAlign w:val="center"/>
                </w:tcPr>
                <w:p w14:paraId="29403176">
                  <w:pPr>
                    <w:widowControl/>
                    <w:jc w:val="center"/>
                    <w:rPr>
                      <w:kern w:val="0"/>
                      <w:szCs w:val="21"/>
                    </w:rPr>
                  </w:pPr>
                  <w:r>
                    <w:rPr>
                      <w:kern w:val="0"/>
                      <w:szCs w:val="21"/>
                    </w:rPr>
                    <w:t>2台</w:t>
                  </w:r>
                </w:p>
              </w:tc>
              <w:tc>
                <w:tcPr>
                  <w:tcW w:w="1091" w:type="dxa"/>
                  <w:tcBorders>
                    <w:tl2br w:val="nil"/>
                    <w:tr2bl w:val="nil"/>
                  </w:tcBorders>
                  <w:vAlign w:val="center"/>
                </w:tcPr>
                <w:p w14:paraId="7FD6E357">
                  <w:pPr>
                    <w:widowControl/>
                    <w:jc w:val="center"/>
                    <w:rPr>
                      <w:kern w:val="0"/>
                      <w:szCs w:val="21"/>
                    </w:rPr>
                  </w:pPr>
                  <w:r>
                    <w:rPr>
                      <w:kern w:val="0"/>
                      <w:szCs w:val="21"/>
                    </w:rPr>
                    <w:t>/</w:t>
                  </w:r>
                </w:p>
              </w:tc>
              <w:tc>
                <w:tcPr>
                  <w:tcW w:w="2498" w:type="dxa"/>
                  <w:tcBorders>
                    <w:tl2br w:val="nil"/>
                    <w:tr2bl w:val="nil"/>
                  </w:tcBorders>
                  <w:vAlign w:val="center"/>
                </w:tcPr>
                <w:p w14:paraId="5034442C">
                  <w:pPr>
                    <w:widowControl/>
                    <w:jc w:val="center"/>
                    <w:rPr>
                      <w:kern w:val="0"/>
                      <w:szCs w:val="21"/>
                    </w:rPr>
                  </w:pPr>
                  <w:r>
                    <w:rPr>
                      <w:kern w:val="0"/>
                      <w:szCs w:val="21"/>
                    </w:rPr>
                    <w:t>检验产品耐热性能</w:t>
                  </w:r>
                </w:p>
              </w:tc>
            </w:tr>
            <w:tr w14:paraId="52938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1AF04724">
                  <w:pPr>
                    <w:widowControl/>
                    <w:jc w:val="center"/>
                    <w:rPr>
                      <w:kern w:val="0"/>
                      <w:szCs w:val="21"/>
                    </w:rPr>
                  </w:pPr>
                  <w:r>
                    <w:rPr>
                      <w:kern w:val="0"/>
                      <w:szCs w:val="21"/>
                    </w:rPr>
                    <w:t>10</w:t>
                  </w:r>
                </w:p>
              </w:tc>
              <w:tc>
                <w:tcPr>
                  <w:tcW w:w="2115" w:type="dxa"/>
                  <w:tcBorders>
                    <w:tl2br w:val="nil"/>
                    <w:tr2bl w:val="nil"/>
                  </w:tcBorders>
                  <w:vAlign w:val="center"/>
                </w:tcPr>
                <w:p w14:paraId="6E7F2A92">
                  <w:pPr>
                    <w:widowControl/>
                    <w:jc w:val="center"/>
                    <w:rPr>
                      <w:bCs/>
                      <w:kern w:val="0"/>
                      <w:szCs w:val="21"/>
                    </w:rPr>
                  </w:pPr>
                  <w:r>
                    <w:rPr>
                      <w:bCs/>
                      <w:kern w:val="0"/>
                      <w:szCs w:val="21"/>
                    </w:rPr>
                    <w:t>立式冲击仪</w:t>
                  </w:r>
                </w:p>
              </w:tc>
              <w:tc>
                <w:tcPr>
                  <w:tcW w:w="1410" w:type="dxa"/>
                  <w:tcBorders>
                    <w:tl2br w:val="nil"/>
                    <w:tr2bl w:val="nil"/>
                  </w:tcBorders>
                  <w:vAlign w:val="center"/>
                </w:tcPr>
                <w:p w14:paraId="625727A9">
                  <w:pPr>
                    <w:widowControl/>
                    <w:jc w:val="center"/>
                    <w:rPr>
                      <w:kern w:val="0"/>
                      <w:szCs w:val="21"/>
                    </w:rPr>
                  </w:pPr>
                  <w:r>
                    <w:rPr>
                      <w:kern w:val="0"/>
                      <w:szCs w:val="21"/>
                    </w:rPr>
                    <w:t>2台</w:t>
                  </w:r>
                </w:p>
              </w:tc>
              <w:tc>
                <w:tcPr>
                  <w:tcW w:w="1091" w:type="dxa"/>
                  <w:tcBorders>
                    <w:tl2br w:val="nil"/>
                    <w:tr2bl w:val="nil"/>
                  </w:tcBorders>
                  <w:vAlign w:val="center"/>
                </w:tcPr>
                <w:p w14:paraId="54FC87FB">
                  <w:pPr>
                    <w:widowControl/>
                    <w:jc w:val="center"/>
                    <w:rPr>
                      <w:kern w:val="0"/>
                      <w:szCs w:val="21"/>
                    </w:rPr>
                  </w:pPr>
                  <w:r>
                    <w:rPr>
                      <w:kern w:val="0"/>
                      <w:szCs w:val="21"/>
                    </w:rPr>
                    <w:t>/</w:t>
                  </w:r>
                </w:p>
              </w:tc>
              <w:tc>
                <w:tcPr>
                  <w:tcW w:w="2498" w:type="dxa"/>
                  <w:tcBorders>
                    <w:tl2br w:val="nil"/>
                    <w:tr2bl w:val="nil"/>
                  </w:tcBorders>
                  <w:vAlign w:val="center"/>
                </w:tcPr>
                <w:p w14:paraId="3A6891A1">
                  <w:pPr>
                    <w:widowControl/>
                    <w:jc w:val="center"/>
                    <w:rPr>
                      <w:kern w:val="0"/>
                      <w:szCs w:val="21"/>
                    </w:rPr>
                  </w:pPr>
                  <w:r>
                    <w:rPr>
                      <w:rFonts w:hint="eastAsia"/>
                      <w:kern w:val="0"/>
                      <w:szCs w:val="21"/>
                    </w:rPr>
                    <w:t>试验</w:t>
                  </w:r>
                </w:p>
              </w:tc>
            </w:tr>
            <w:tr w14:paraId="3BFF7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2B2E1D85">
                  <w:pPr>
                    <w:widowControl/>
                    <w:jc w:val="center"/>
                    <w:rPr>
                      <w:kern w:val="0"/>
                      <w:szCs w:val="21"/>
                    </w:rPr>
                  </w:pPr>
                  <w:r>
                    <w:rPr>
                      <w:kern w:val="0"/>
                      <w:szCs w:val="21"/>
                    </w:rPr>
                    <w:t>11</w:t>
                  </w:r>
                </w:p>
              </w:tc>
              <w:tc>
                <w:tcPr>
                  <w:tcW w:w="2115" w:type="dxa"/>
                  <w:tcBorders>
                    <w:tl2br w:val="nil"/>
                    <w:tr2bl w:val="nil"/>
                  </w:tcBorders>
                  <w:vAlign w:val="center"/>
                </w:tcPr>
                <w:p w14:paraId="10E49C1F">
                  <w:pPr>
                    <w:widowControl/>
                    <w:jc w:val="center"/>
                    <w:rPr>
                      <w:bCs/>
                      <w:kern w:val="0"/>
                      <w:szCs w:val="21"/>
                    </w:rPr>
                  </w:pPr>
                  <w:r>
                    <w:rPr>
                      <w:bCs/>
                      <w:kern w:val="0"/>
                      <w:szCs w:val="21"/>
                    </w:rPr>
                    <w:t>老化试验检测仪</w:t>
                  </w:r>
                </w:p>
              </w:tc>
              <w:tc>
                <w:tcPr>
                  <w:tcW w:w="1410" w:type="dxa"/>
                  <w:tcBorders>
                    <w:tl2br w:val="nil"/>
                    <w:tr2bl w:val="nil"/>
                  </w:tcBorders>
                  <w:vAlign w:val="center"/>
                </w:tcPr>
                <w:p w14:paraId="0CCDA190">
                  <w:pPr>
                    <w:widowControl/>
                    <w:jc w:val="center"/>
                    <w:rPr>
                      <w:kern w:val="0"/>
                      <w:szCs w:val="21"/>
                    </w:rPr>
                  </w:pPr>
                  <w:r>
                    <w:rPr>
                      <w:kern w:val="0"/>
                      <w:szCs w:val="21"/>
                    </w:rPr>
                    <w:t>2台</w:t>
                  </w:r>
                </w:p>
              </w:tc>
              <w:tc>
                <w:tcPr>
                  <w:tcW w:w="1091" w:type="dxa"/>
                  <w:tcBorders>
                    <w:tl2br w:val="nil"/>
                    <w:tr2bl w:val="nil"/>
                  </w:tcBorders>
                  <w:vAlign w:val="center"/>
                </w:tcPr>
                <w:p w14:paraId="5848625C">
                  <w:pPr>
                    <w:widowControl/>
                    <w:jc w:val="center"/>
                    <w:rPr>
                      <w:kern w:val="0"/>
                      <w:szCs w:val="21"/>
                    </w:rPr>
                  </w:pPr>
                  <w:r>
                    <w:rPr>
                      <w:kern w:val="0"/>
                      <w:szCs w:val="21"/>
                    </w:rPr>
                    <w:t>/</w:t>
                  </w:r>
                </w:p>
              </w:tc>
              <w:tc>
                <w:tcPr>
                  <w:tcW w:w="2498" w:type="dxa"/>
                  <w:tcBorders>
                    <w:tl2br w:val="nil"/>
                    <w:tr2bl w:val="nil"/>
                  </w:tcBorders>
                  <w:vAlign w:val="center"/>
                </w:tcPr>
                <w:p w14:paraId="0BD31082">
                  <w:pPr>
                    <w:widowControl/>
                    <w:jc w:val="center"/>
                    <w:rPr>
                      <w:kern w:val="0"/>
                      <w:szCs w:val="21"/>
                    </w:rPr>
                  </w:pPr>
                  <w:r>
                    <w:rPr>
                      <w:rFonts w:hint="eastAsia"/>
                      <w:kern w:val="0"/>
                      <w:szCs w:val="21"/>
                    </w:rPr>
                    <w:t>试验</w:t>
                  </w:r>
                </w:p>
              </w:tc>
            </w:tr>
            <w:tr w14:paraId="05476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62B35693">
                  <w:pPr>
                    <w:widowControl/>
                    <w:jc w:val="center"/>
                    <w:rPr>
                      <w:kern w:val="0"/>
                      <w:szCs w:val="21"/>
                    </w:rPr>
                  </w:pPr>
                  <w:r>
                    <w:rPr>
                      <w:kern w:val="0"/>
                      <w:szCs w:val="21"/>
                    </w:rPr>
                    <w:t>12</w:t>
                  </w:r>
                </w:p>
              </w:tc>
              <w:tc>
                <w:tcPr>
                  <w:tcW w:w="2115" w:type="dxa"/>
                  <w:tcBorders>
                    <w:tl2br w:val="nil"/>
                    <w:tr2bl w:val="nil"/>
                  </w:tcBorders>
                  <w:vAlign w:val="center"/>
                </w:tcPr>
                <w:p w14:paraId="1AC895EB">
                  <w:pPr>
                    <w:widowControl/>
                    <w:jc w:val="center"/>
                    <w:rPr>
                      <w:bCs/>
                      <w:kern w:val="0"/>
                      <w:szCs w:val="21"/>
                    </w:rPr>
                  </w:pPr>
                  <w:r>
                    <w:rPr>
                      <w:bCs/>
                      <w:kern w:val="0"/>
                      <w:szCs w:val="21"/>
                    </w:rPr>
                    <w:t>耐化学性能检测仪</w:t>
                  </w:r>
                </w:p>
              </w:tc>
              <w:tc>
                <w:tcPr>
                  <w:tcW w:w="1410" w:type="dxa"/>
                  <w:tcBorders>
                    <w:tl2br w:val="nil"/>
                    <w:tr2bl w:val="nil"/>
                  </w:tcBorders>
                  <w:vAlign w:val="center"/>
                </w:tcPr>
                <w:p w14:paraId="3C3A78DE">
                  <w:pPr>
                    <w:widowControl/>
                    <w:jc w:val="center"/>
                    <w:rPr>
                      <w:kern w:val="0"/>
                      <w:szCs w:val="21"/>
                    </w:rPr>
                  </w:pPr>
                  <w:r>
                    <w:rPr>
                      <w:kern w:val="0"/>
                      <w:szCs w:val="21"/>
                    </w:rPr>
                    <w:t>2台</w:t>
                  </w:r>
                </w:p>
              </w:tc>
              <w:tc>
                <w:tcPr>
                  <w:tcW w:w="1091" w:type="dxa"/>
                  <w:tcBorders>
                    <w:tl2br w:val="nil"/>
                    <w:tr2bl w:val="nil"/>
                  </w:tcBorders>
                  <w:vAlign w:val="center"/>
                </w:tcPr>
                <w:p w14:paraId="721C9E53">
                  <w:pPr>
                    <w:widowControl/>
                    <w:jc w:val="center"/>
                    <w:rPr>
                      <w:kern w:val="0"/>
                      <w:szCs w:val="21"/>
                    </w:rPr>
                  </w:pPr>
                  <w:r>
                    <w:rPr>
                      <w:kern w:val="0"/>
                      <w:szCs w:val="21"/>
                    </w:rPr>
                    <w:t>/</w:t>
                  </w:r>
                </w:p>
              </w:tc>
              <w:tc>
                <w:tcPr>
                  <w:tcW w:w="2498" w:type="dxa"/>
                  <w:tcBorders>
                    <w:tl2br w:val="nil"/>
                    <w:tr2bl w:val="nil"/>
                  </w:tcBorders>
                  <w:vAlign w:val="center"/>
                </w:tcPr>
                <w:p w14:paraId="0AC2D3EC">
                  <w:pPr>
                    <w:widowControl/>
                    <w:jc w:val="center"/>
                    <w:rPr>
                      <w:kern w:val="0"/>
                      <w:szCs w:val="21"/>
                    </w:rPr>
                  </w:pPr>
                  <w:r>
                    <w:rPr>
                      <w:kern w:val="0"/>
                      <w:szCs w:val="21"/>
                    </w:rPr>
                    <w:t>检验产品耐化学性能</w:t>
                  </w:r>
                </w:p>
              </w:tc>
            </w:tr>
            <w:tr w14:paraId="237B6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97" w:type="dxa"/>
                  <w:gridSpan w:val="2"/>
                  <w:tcBorders>
                    <w:tl2br w:val="nil"/>
                    <w:tr2bl w:val="nil"/>
                  </w:tcBorders>
                  <w:vAlign w:val="center"/>
                </w:tcPr>
                <w:p w14:paraId="370B19C5">
                  <w:pPr>
                    <w:widowControl/>
                    <w:jc w:val="center"/>
                    <w:rPr>
                      <w:kern w:val="0"/>
                      <w:szCs w:val="21"/>
                    </w:rPr>
                  </w:pPr>
                  <w:r>
                    <w:rPr>
                      <w:kern w:val="0"/>
                      <w:szCs w:val="21"/>
                    </w:rPr>
                    <w:t>13</w:t>
                  </w:r>
                </w:p>
              </w:tc>
              <w:tc>
                <w:tcPr>
                  <w:tcW w:w="2115" w:type="dxa"/>
                  <w:tcBorders>
                    <w:tl2br w:val="nil"/>
                    <w:tr2bl w:val="nil"/>
                  </w:tcBorders>
                  <w:vAlign w:val="center"/>
                </w:tcPr>
                <w:p w14:paraId="445EE36E">
                  <w:pPr>
                    <w:widowControl/>
                    <w:jc w:val="center"/>
                    <w:rPr>
                      <w:bCs/>
                      <w:kern w:val="0"/>
                      <w:szCs w:val="21"/>
                    </w:rPr>
                  </w:pPr>
                  <w:r>
                    <w:rPr>
                      <w:bCs/>
                      <w:kern w:val="0"/>
                      <w:szCs w:val="21"/>
                    </w:rPr>
                    <w:t>电阻测试仪</w:t>
                  </w:r>
                </w:p>
              </w:tc>
              <w:tc>
                <w:tcPr>
                  <w:tcW w:w="1410" w:type="dxa"/>
                  <w:tcBorders>
                    <w:tl2br w:val="nil"/>
                    <w:tr2bl w:val="nil"/>
                  </w:tcBorders>
                  <w:vAlign w:val="center"/>
                </w:tcPr>
                <w:p w14:paraId="15F077C5">
                  <w:pPr>
                    <w:widowControl/>
                    <w:jc w:val="center"/>
                    <w:rPr>
                      <w:kern w:val="0"/>
                      <w:szCs w:val="21"/>
                    </w:rPr>
                  </w:pPr>
                  <w:r>
                    <w:rPr>
                      <w:kern w:val="0"/>
                      <w:szCs w:val="21"/>
                    </w:rPr>
                    <w:t>3台</w:t>
                  </w:r>
                </w:p>
              </w:tc>
              <w:tc>
                <w:tcPr>
                  <w:tcW w:w="1091" w:type="dxa"/>
                  <w:tcBorders>
                    <w:tl2br w:val="nil"/>
                    <w:tr2bl w:val="nil"/>
                  </w:tcBorders>
                  <w:vAlign w:val="center"/>
                </w:tcPr>
                <w:p w14:paraId="72795FB1">
                  <w:pPr>
                    <w:widowControl/>
                    <w:jc w:val="center"/>
                    <w:rPr>
                      <w:kern w:val="0"/>
                      <w:szCs w:val="21"/>
                    </w:rPr>
                  </w:pPr>
                  <w:r>
                    <w:rPr>
                      <w:kern w:val="0"/>
                      <w:szCs w:val="21"/>
                    </w:rPr>
                    <w:t>/</w:t>
                  </w:r>
                </w:p>
              </w:tc>
              <w:tc>
                <w:tcPr>
                  <w:tcW w:w="2498" w:type="dxa"/>
                  <w:tcBorders>
                    <w:tl2br w:val="nil"/>
                    <w:tr2bl w:val="nil"/>
                  </w:tcBorders>
                  <w:vAlign w:val="center"/>
                </w:tcPr>
                <w:p w14:paraId="136693A0">
                  <w:pPr>
                    <w:widowControl/>
                    <w:jc w:val="center"/>
                    <w:rPr>
                      <w:kern w:val="0"/>
                      <w:szCs w:val="21"/>
                    </w:rPr>
                  </w:pPr>
                  <w:r>
                    <w:rPr>
                      <w:rFonts w:hint="eastAsia"/>
                      <w:kern w:val="0"/>
                      <w:szCs w:val="21"/>
                    </w:rPr>
                    <w:t>试验</w:t>
                  </w:r>
                </w:p>
              </w:tc>
            </w:tr>
            <w:tr w14:paraId="72B18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011" w:type="dxa"/>
                  <w:gridSpan w:val="6"/>
                  <w:tcBorders>
                    <w:tl2br w:val="nil"/>
                    <w:tr2bl w:val="nil"/>
                  </w:tcBorders>
                  <w:vAlign w:val="center"/>
                </w:tcPr>
                <w:p w14:paraId="4823C337">
                  <w:pPr>
                    <w:widowControl/>
                    <w:jc w:val="center"/>
                    <w:rPr>
                      <w:kern w:val="0"/>
                      <w:szCs w:val="21"/>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喷粉生产线</w:t>
                  </w:r>
                </w:p>
              </w:tc>
            </w:tr>
            <w:tr w14:paraId="16FCD1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816" w:type="dxa"/>
                  <w:tcBorders>
                    <w:tl2br w:val="nil"/>
                    <w:tr2bl w:val="nil"/>
                  </w:tcBorders>
                  <w:vAlign w:val="center"/>
                </w:tcPr>
                <w:p w14:paraId="6646120E">
                  <w:pPr>
                    <w:widowControl/>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14</w:t>
                  </w:r>
                </w:p>
              </w:tc>
              <w:tc>
                <w:tcPr>
                  <w:tcW w:w="2196" w:type="dxa"/>
                  <w:gridSpan w:val="2"/>
                  <w:tcBorders>
                    <w:tl2br w:val="nil"/>
                    <w:tr2bl w:val="nil"/>
                  </w:tcBorders>
                  <w:vAlign w:val="center"/>
                </w:tcPr>
                <w:p w14:paraId="53398107">
                  <w:pPr>
                    <w:widowControl/>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kern w:val="0"/>
                      <w:sz w:val="21"/>
                      <w:szCs w:val="21"/>
                      <w:highlight w:val="none"/>
                      <w:lang w:val="en-US" w:eastAsia="zh-CN"/>
                    </w:rPr>
                    <w:t>自动</w:t>
                  </w:r>
                  <w:r>
                    <w:rPr>
                      <w:rFonts w:hint="eastAsia" w:ascii="Times New Roman" w:hAnsi="Times New Roman" w:eastAsia="宋体" w:cs="Times New Roman"/>
                      <w:color w:val="auto"/>
                      <w:kern w:val="0"/>
                      <w:sz w:val="21"/>
                      <w:szCs w:val="21"/>
                      <w:highlight w:val="none"/>
                      <w:lang w:eastAsia="zh-CN"/>
                    </w:rPr>
                    <w:t>喷枪</w:t>
                  </w:r>
                </w:p>
              </w:tc>
              <w:tc>
                <w:tcPr>
                  <w:tcW w:w="1410" w:type="dxa"/>
                  <w:tcBorders>
                    <w:tl2br w:val="nil"/>
                    <w:tr2bl w:val="nil"/>
                  </w:tcBorders>
                  <w:vAlign w:val="center"/>
                </w:tcPr>
                <w:p w14:paraId="6C6C1B8D">
                  <w:pPr>
                    <w:widowControl/>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1</w:t>
                  </w:r>
                  <w:r>
                    <w:rPr>
                      <w:rFonts w:hint="eastAsia" w:cs="Times New Roman" w:eastAsiaTheme="minorEastAsia"/>
                      <w:color w:val="000000" w:themeColor="text1"/>
                      <w:szCs w:val="21"/>
                      <w:lang w:val="en-US" w:eastAsia="zh-CN"/>
                      <w14:textFill>
                        <w14:solidFill>
                          <w14:schemeClr w14:val="tx1"/>
                        </w14:solidFill>
                      </w14:textFill>
                    </w:rPr>
                    <w:t>个</w:t>
                  </w:r>
                </w:p>
              </w:tc>
              <w:tc>
                <w:tcPr>
                  <w:tcW w:w="1091" w:type="dxa"/>
                  <w:tcBorders>
                    <w:tl2br w:val="nil"/>
                    <w:tr2bl w:val="nil"/>
                  </w:tcBorders>
                  <w:vAlign w:val="center"/>
                </w:tcPr>
                <w:p w14:paraId="23E30565">
                  <w:pPr>
                    <w:widowControl/>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w:t>
                  </w:r>
                </w:p>
              </w:tc>
              <w:tc>
                <w:tcPr>
                  <w:tcW w:w="2498" w:type="dxa"/>
                  <w:tcBorders>
                    <w:tl2br w:val="nil"/>
                    <w:tr2bl w:val="nil"/>
                  </w:tcBorders>
                  <w:vAlign w:val="center"/>
                </w:tcPr>
                <w:p w14:paraId="30A274A3">
                  <w:pPr>
                    <w:widowControl/>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喷粉</w:t>
                  </w:r>
                </w:p>
              </w:tc>
            </w:tr>
            <w:tr w14:paraId="5DB5B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6" w:type="dxa"/>
                  <w:tcBorders>
                    <w:tl2br w:val="nil"/>
                    <w:tr2bl w:val="nil"/>
                  </w:tcBorders>
                  <w:vAlign w:val="center"/>
                </w:tcPr>
                <w:p w14:paraId="45EA57A7">
                  <w:pPr>
                    <w:widowControl/>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15</w:t>
                  </w:r>
                </w:p>
              </w:tc>
              <w:tc>
                <w:tcPr>
                  <w:tcW w:w="2196" w:type="dxa"/>
                  <w:gridSpan w:val="2"/>
                  <w:tcBorders>
                    <w:tl2br w:val="nil"/>
                    <w:tr2bl w:val="nil"/>
                  </w:tcBorders>
                  <w:vAlign w:val="center"/>
                </w:tcPr>
                <w:p w14:paraId="4D3E7DB4">
                  <w:pPr>
                    <w:widowControl/>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auto"/>
                      <w:szCs w:val="21"/>
                      <w:highlight w:val="none"/>
                      <w:lang w:val="en-US" w:eastAsia="zh-CN"/>
                    </w:rPr>
                    <w:t>热风炉</w:t>
                  </w:r>
                </w:p>
              </w:tc>
              <w:tc>
                <w:tcPr>
                  <w:tcW w:w="1410" w:type="dxa"/>
                  <w:tcBorders>
                    <w:tl2br w:val="nil"/>
                    <w:tr2bl w:val="nil"/>
                  </w:tcBorders>
                  <w:vAlign w:val="center"/>
                </w:tcPr>
                <w:p w14:paraId="537746B1">
                  <w:pPr>
                    <w:widowControl/>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kern w:val="0"/>
                      <w:szCs w:val="21"/>
                      <w:lang w:val="en-US" w:eastAsia="zh-CN"/>
                    </w:rPr>
                    <w:t>1</w:t>
                  </w:r>
                  <w:r>
                    <w:rPr>
                      <w:kern w:val="0"/>
                      <w:szCs w:val="21"/>
                    </w:rPr>
                    <w:t>台</w:t>
                  </w:r>
                </w:p>
              </w:tc>
              <w:tc>
                <w:tcPr>
                  <w:tcW w:w="1091" w:type="dxa"/>
                  <w:tcBorders>
                    <w:tl2br w:val="nil"/>
                    <w:tr2bl w:val="nil"/>
                  </w:tcBorders>
                  <w:vAlign w:val="center"/>
                </w:tcPr>
                <w:p w14:paraId="341AA0D9">
                  <w:pPr>
                    <w:widowControl/>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cs="Times New Roman" w:eastAsiaTheme="minorEastAsia"/>
                      <w:color w:val="000000" w:themeColor="text1"/>
                      <w:szCs w:val="21"/>
                      <w:lang w:val="en-US" w:eastAsia="zh-CN"/>
                      <w14:textFill>
                        <w14:solidFill>
                          <w14:schemeClr w14:val="tx1"/>
                        </w14:solidFill>
                      </w14:textFill>
                    </w:rPr>
                    <w:t>/</w:t>
                  </w:r>
                </w:p>
              </w:tc>
              <w:tc>
                <w:tcPr>
                  <w:tcW w:w="2498" w:type="dxa"/>
                  <w:tcBorders>
                    <w:tl2br w:val="nil"/>
                    <w:tr2bl w:val="nil"/>
                  </w:tcBorders>
                  <w:vAlign w:val="center"/>
                </w:tcPr>
                <w:p w14:paraId="30F8CA38">
                  <w:pPr>
                    <w:widowControl/>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固化</w:t>
                  </w:r>
                </w:p>
              </w:tc>
            </w:tr>
            <w:tr w14:paraId="38E13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011" w:type="dxa"/>
                  <w:gridSpan w:val="6"/>
                  <w:tcBorders>
                    <w:tl2br w:val="nil"/>
                    <w:tr2bl w:val="nil"/>
                  </w:tcBorders>
                  <w:vAlign w:val="center"/>
                </w:tcPr>
                <w:p w14:paraId="1D92D4C4">
                  <w:pPr>
                    <w:widowControl/>
                    <w:jc w:val="center"/>
                    <w:rPr>
                      <w:rFonts w:hint="eastAsia"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电泳生产线</w:t>
                  </w:r>
                </w:p>
              </w:tc>
            </w:tr>
            <w:tr w14:paraId="56B68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816" w:type="dxa"/>
                  <w:tcBorders>
                    <w:tl2br w:val="nil"/>
                    <w:tr2bl w:val="nil"/>
                  </w:tcBorders>
                  <w:shd w:val="clear" w:color="auto" w:fill="auto"/>
                  <w:vAlign w:val="center"/>
                </w:tcPr>
                <w:p w14:paraId="2437794E">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16</w:t>
                  </w:r>
                </w:p>
              </w:tc>
              <w:tc>
                <w:tcPr>
                  <w:tcW w:w="2196" w:type="dxa"/>
                  <w:gridSpan w:val="2"/>
                  <w:tcBorders>
                    <w:tl2br w:val="nil"/>
                    <w:tr2bl w:val="nil"/>
                  </w:tcBorders>
                  <w:shd w:val="clear" w:color="auto" w:fill="auto"/>
                  <w:vAlign w:val="center"/>
                </w:tcPr>
                <w:p w14:paraId="01CAF6CE">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电泳加工生产线</w:t>
                  </w:r>
                </w:p>
              </w:tc>
              <w:tc>
                <w:tcPr>
                  <w:tcW w:w="1410" w:type="dxa"/>
                  <w:tcBorders>
                    <w:tl2br w:val="nil"/>
                    <w:tr2bl w:val="nil"/>
                  </w:tcBorders>
                  <w:shd w:val="clear" w:color="auto" w:fill="auto"/>
                  <w:vAlign w:val="center"/>
                </w:tcPr>
                <w:p w14:paraId="464A1BBA">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1条</w:t>
                  </w:r>
                </w:p>
              </w:tc>
              <w:tc>
                <w:tcPr>
                  <w:tcW w:w="1091" w:type="dxa"/>
                  <w:tcBorders>
                    <w:tl2br w:val="nil"/>
                    <w:tr2bl w:val="nil"/>
                  </w:tcBorders>
                  <w:shd w:val="clear" w:color="auto" w:fill="auto"/>
                  <w:vAlign w:val="center"/>
                </w:tcPr>
                <w:p w14:paraId="1A464E62">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w:t>
                  </w:r>
                </w:p>
              </w:tc>
              <w:tc>
                <w:tcPr>
                  <w:tcW w:w="2498" w:type="dxa"/>
                  <w:tcBorders>
                    <w:tl2br w:val="nil"/>
                    <w:tr2bl w:val="nil"/>
                  </w:tcBorders>
                  <w:shd w:val="clear" w:color="auto" w:fill="auto"/>
                  <w:vAlign w:val="center"/>
                </w:tcPr>
                <w:p w14:paraId="25377E77">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电泳加工</w:t>
                  </w:r>
                </w:p>
              </w:tc>
            </w:tr>
            <w:tr w14:paraId="4FDB4B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16" w:type="dxa"/>
                  <w:tcBorders>
                    <w:tl2br w:val="nil"/>
                    <w:tr2bl w:val="nil"/>
                  </w:tcBorders>
                  <w:shd w:val="clear" w:color="auto" w:fill="auto"/>
                  <w:vAlign w:val="center"/>
                </w:tcPr>
                <w:p w14:paraId="0A7424B6">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17</w:t>
                  </w:r>
                </w:p>
              </w:tc>
              <w:tc>
                <w:tcPr>
                  <w:tcW w:w="2196" w:type="dxa"/>
                  <w:gridSpan w:val="2"/>
                  <w:tcBorders>
                    <w:tl2br w:val="nil"/>
                    <w:tr2bl w:val="nil"/>
                  </w:tcBorders>
                  <w:shd w:val="clear" w:color="auto" w:fill="auto"/>
                  <w:vAlign w:val="center"/>
                </w:tcPr>
                <w:p w14:paraId="7891D1C9">
                  <w:pPr>
                    <w:widowControl/>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纯水设备</w:t>
                  </w:r>
                </w:p>
              </w:tc>
              <w:tc>
                <w:tcPr>
                  <w:tcW w:w="1410" w:type="dxa"/>
                  <w:tcBorders>
                    <w:tl2br w:val="nil"/>
                    <w:tr2bl w:val="nil"/>
                  </w:tcBorders>
                  <w:shd w:val="clear" w:color="auto" w:fill="auto"/>
                  <w:vAlign w:val="center"/>
                </w:tcPr>
                <w:p w14:paraId="06659741">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1套</w:t>
                  </w:r>
                </w:p>
              </w:tc>
              <w:tc>
                <w:tcPr>
                  <w:tcW w:w="1091" w:type="dxa"/>
                  <w:tcBorders>
                    <w:tl2br w:val="nil"/>
                    <w:tr2bl w:val="nil"/>
                  </w:tcBorders>
                  <w:shd w:val="clear" w:color="auto" w:fill="auto"/>
                  <w:vAlign w:val="center"/>
                </w:tcPr>
                <w:p w14:paraId="3E03DDF7">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2m³/h</w:t>
                  </w:r>
                </w:p>
              </w:tc>
              <w:tc>
                <w:tcPr>
                  <w:tcW w:w="2498" w:type="dxa"/>
                  <w:tcBorders>
                    <w:tl2br w:val="nil"/>
                    <w:tr2bl w:val="nil"/>
                  </w:tcBorders>
                  <w:shd w:val="clear" w:color="auto" w:fill="auto"/>
                  <w:vAlign w:val="center"/>
                </w:tcPr>
                <w:p w14:paraId="03295141">
                  <w:pPr>
                    <w:widowControl/>
                    <w:jc w:val="center"/>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纯水制备</w:t>
                  </w:r>
                </w:p>
              </w:tc>
            </w:tr>
          </w:tbl>
          <w:p w14:paraId="2758F296">
            <w:pPr>
              <w:keepNext w:val="0"/>
              <w:keepLines w:val="0"/>
              <w:widowControl/>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5.</w:t>
            </w:r>
            <w:r>
              <w:rPr>
                <w:rFonts w:ascii="Times New Roman" w:hAnsi="Times New Roman" w:cs="Times New Roman" w:eastAsiaTheme="minorEastAsia"/>
                <w:b/>
                <w:bCs/>
                <w:sz w:val="24"/>
                <w:lang w:val="en-US" w:bidi="ar-SA"/>
              </w:rPr>
              <w:t>主要原辅材料消耗</w:t>
            </w:r>
          </w:p>
          <w:p w14:paraId="6F21CF1C">
            <w:pPr>
              <w:pStyle w:val="27"/>
              <w:spacing w:line="360" w:lineRule="auto"/>
              <w:ind w:left="488"/>
              <w:rPr>
                <w:rFonts w:ascii="Times New Roman" w:hAnsi="Times New Roman" w:cs="Times New Roman" w:eastAsiaTheme="minorEastAsia"/>
                <w:sz w:val="24"/>
                <w:lang w:val="en-US"/>
              </w:rPr>
            </w:pPr>
            <w:r>
              <w:rPr>
                <w:rFonts w:hint="eastAsia" w:ascii="Times New Roman" w:hAnsi="Times New Roman" w:cs="Times New Roman" w:eastAsiaTheme="minorEastAsia"/>
                <w:sz w:val="24"/>
                <w:lang w:val="en-US" w:eastAsia="zh-CN"/>
              </w:rPr>
              <w:t>（1）</w:t>
            </w:r>
            <w:r>
              <w:rPr>
                <w:rFonts w:ascii="Times New Roman" w:hAnsi="Times New Roman" w:cs="Times New Roman" w:eastAsiaTheme="minorEastAsia"/>
                <w:sz w:val="24"/>
                <w:lang w:val="en-US"/>
              </w:rPr>
              <w:t>项目原辅材料使用情况</w:t>
            </w:r>
          </w:p>
          <w:p w14:paraId="45224488">
            <w:pPr>
              <w:jc w:val="center"/>
              <w:rPr>
                <w:rFonts w:eastAsiaTheme="minorEastAsia"/>
                <w:b/>
                <w:bCs/>
                <w:szCs w:val="21"/>
              </w:rPr>
            </w:pPr>
            <w:r>
              <w:rPr>
                <w:rFonts w:eastAsiaTheme="minorEastAsia"/>
                <w:b/>
                <w:bCs/>
                <w:szCs w:val="21"/>
              </w:rPr>
              <w:t>表2-</w:t>
            </w:r>
            <w:r>
              <w:rPr>
                <w:rFonts w:hint="eastAsia" w:eastAsiaTheme="minorEastAsia"/>
                <w:b/>
                <w:bCs/>
                <w:szCs w:val="21"/>
                <w:lang w:val="en-US" w:eastAsia="zh-CN"/>
              </w:rPr>
              <w:t>3</w:t>
            </w:r>
            <w:r>
              <w:rPr>
                <w:rFonts w:eastAsiaTheme="minorEastAsia"/>
                <w:b/>
                <w:bCs/>
                <w:szCs w:val="21"/>
              </w:rPr>
              <w:t xml:space="preserve">  主要原辅材料及能源消耗一览表</w:t>
            </w:r>
          </w:p>
          <w:tbl>
            <w:tblPr>
              <w:tblStyle w:val="20"/>
              <w:tblW w:w="80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955"/>
              <w:gridCol w:w="1527"/>
              <w:gridCol w:w="873"/>
              <w:gridCol w:w="1622"/>
              <w:gridCol w:w="968"/>
              <w:gridCol w:w="1433"/>
            </w:tblGrid>
            <w:tr w14:paraId="4B468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tcBorders>
                    <w:tl2br w:val="nil"/>
                    <w:tr2bl w:val="nil"/>
                  </w:tcBorders>
                  <w:vAlign w:val="center"/>
                </w:tcPr>
                <w:p w14:paraId="34974FF3">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类别</w:t>
                  </w:r>
                </w:p>
              </w:tc>
              <w:tc>
                <w:tcPr>
                  <w:tcW w:w="955" w:type="dxa"/>
                  <w:tcBorders>
                    <w:tl2br w:val="nil"/>
                    <w:tr2bl w:val="nil"/>
                  </w:tcBorders>
                  <w:vAlign w:val="center"/>
                </w:tcPr>
                <w:p w14:paraId="4373A147">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名称</w:t>
                  </w:r>
                </w:p>
              </w:tc>
              <w:tc>
                <w:tcPr>
                  <w:tcW w:w="1527" w:type="dxa"/>
                  <w:tcBorders>
                    <w:tl2br w:val="nil"/>
                    <w:tr2bl w:val="nil"/>
                  </w:tcBorders>
                  <w:vAlign w:val="center"/>
                </w:tcPr>
                <w:p w14:paraId="0E70A9C7">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主要成分</w:t>
                  </w:r>
                </w:p>
              </w:tc>
              <w:tc>
                <w:tcPr>
                  <w:tcW w:w="873" w:type="dxa"/>
                  <w:tcBorders>
                    <w:tl2br w:val="nil"/>
                    <w:tr2bl w:val="nil"/>
                  </w:tcBorders>
                  <w:vAlign w:val="center"/>
                </w:tcPr>
                <w:p w14:paraId="520CB42F">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消耗量</w:t>
                  </w:r>
                </w:p>
              </w:tc>
              <w:tc>
                <w:tcPr>
                  <w:tcW w:w="1622" w:type="dxa"/>
                  <w:tcBorders>
                    <w:tl2br w:val="nil"/>
                    <w:tr2bl w:val="nil"/>
                  </w:tcBorders>
                  <w:vAlign w:val="center"/>
                </w:tcPr>
                <w:p w14:paraId="1C30B5DE">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来源</w:t>
                  </w:r>
                </w:p>
              </w:tc>
              <w:tc>
                <w:tcPr>
                  <w:tcW w:w="968" w:type="dxa"/>
                  <w:tcBorders>
                    <w:tl2br w:val="nil"/>
                    <w:tr2bl w:val="nil"/>
                  </w:tcBorders>
                  <w:vAlign w:val="center"/>
                </w:tcPr>
                <w:p w14:paraId="0C424E25">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包装</w:t>
                  </w:r>
                </w:p>
                <w:p w14:paraId="1E1643C4">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方式</w:t>
                  </w:r>
                </w:p>
              </w:tc>
              <w:tc>
                <w:tcPr>
                  <w:tcW w:w="1433" w:type="dxa"/>
                  <w:tcBorders>
                    <w:tl2br w:val="nil"/>
                    <w:tr2bl w:val="nil"/>
                  </w:tcBorders>
                  <w:vAlign w:val="center"/>
                </w:tcPr>
                <w:p w14:paraId="3503999B">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b/>
                      <w:szCs w:val="21"/>
                    </w:rPr>
                    <w:t>备注</w:t>
                  </w:r>
                </w:p>
              </w:tc>
            </w:tr>
            <w:tr w14:paraId="59449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57" w:type="dxa"/>
                  <w:gridSpan w:val="7"/>
                  <w:tcBorders>
                    <w:tl2br w:val="nil"/>
                    <w:tr2bl w:val="nil"/>
                  </w:tcBorders>
                  <w:vAlign w:val="center"/>
                </w:tcPr>
                <w:p w14:paraId="342CFDFA">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b/>
                      <w:szCs w:val="21"/>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涂料生产线</w:t>
                  </w:r>
                </w:p>
              </w:tc>
            </w:tr>
            <w:tr w14:paraId="1F2F7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restart"/>
                  <w:tcBorders>
                    <w:tl2br w:val="nil"/>
                    <w:tr2bl w:val="nil"/>
                  </w:tcBorders>
                  <w:vAlign w:val="center"/>
                </w:tcPr>
                <w:p w14:paraId="293A7CF7">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主要</w:t>
                  </w:r>
                </w:p>
                <w:p w14:paraId="6A5ADF4C">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原料</w:t>
                  </w:r>
                </w:p>
              </w:tc>
              <w:tc>
                <w:tcPr>
                  <w:tcW w:w="955" w:type="dxa"/>
                  <w:tcBorders>
                    <w:tl2br w:val="nil"/>
                    <w:tr2bl w:val="nil"/>
                  </w:tcBorders>
                  <w:vAlign w:val="center"/>
                </w:tcPr>
                <w:p w14:paraId="19A0A3B3">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环氧</w:t>
                  </w:r>
                </w:p>
                <w:p w14:paraId="79983E96">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树脂</w:t>
                  </w:r>
                </w:p>
              </w:tc>
              <w:tc>
                <w:tcPr>
                  <w:tcW w:w="1527" w:type="dxa"/>
                  <w:tcBorders>
                    <w:tl2br w:val="nil"/>
                    <w:tr2bl w:val="nil"/>
                  </w:tcBorders>
                  <w:vAlign w:val="center"/>
                </w:tcPr>
                <w:p w14:paraId="30710DCE">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color w:val="000000"/>
                      <w:spacing w:val="-2"/>
                      <w:position w:val="3"/>
                      <w:szCs w:val="21"/>
                    </w:rPr>
                    <w:t>双酚</w:t>
                  </w:r>
                  <w:r>
                    <w:rPr>
                      <w:rFonts w:hint="eastAsia"/>
                      <w:color w:val="000000"/>
                      <w:spacing w:val="-2"/>
                      <w:position w:val="3"/>
                      <w:szCs w:val="21"/>
                      <w:lang w:val="en-US" w:eastAsia="zh-CN"/>
                    </w:rPr>
                    <w:t>A</w:t>
                  </w:r>
                  <w:r>
                    <w:rPr>
                      <w:color w:val="000000"/>
                      <w:spacing w:val="-1"/>
                      <w:position w:val="3"/>
                      <w:szCs w:val="21"/>
                    </w:rPr>
                    <w:t>环氧树脂</w:t>
                  </w:r>
                </w:p>
              </w:tc>
              <w:tc>
                <w:tcPr>
                  <w:tcW w:w="873" w:type="dxa"/>
                  <w:tcBorders>
                    <w:tl2br w:val="nil"/>
                    <w:tr2bl w:val="nil"/>
                  </w:tcBorders>
                  <w:vAlign w:val="center"/>
                </w:tcPr>
                <w:p w14:paraId="61F73AAC">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color w:val="000000"/>
                      <w:spacing w:val="-2"/>
                      <w:position w:val="3"/>
                      <w:szCs w:val="21"/>
                    </w:rPr>
                  </w:pPr>
                  <w:r>
                    <w:rPr>
                      <w:color w:val="000000"/>
                      <w:spacing w:val="-2"/>
                      <w:position w:val="3"/>
                      <w:szCs w:val="21"/>
                    </w:rPr>
                    <w:t>60t</w:t>
                  </w:r>
                </w:p>
              </w:tc>
              <w:tc>
                <w:tcPr>
                  <w:tcW w:w="1622" w:type="dxa"/>
                  <w:tcBorders>
                    <w:tl2br w:val="nil"/>
                    <w:tr2bl w:val="nil"/>
                  </w:tcBorders>
                  <w:vAlign w:val="center"/>
                </w:tcPr>
                <w:p w14:paraId="0B4CAFC5">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安徽恒远新材料</w:t>
                  </w:r>
                </w:p>
              </w:tc>
              <w:tc>
                <w:tcPr>
                  <w:tcW w:w="968" w:type="dxa"/>
                  <w:tcBorders>
                    <w:tl2br w:val="nil"/>
                    <w:tr2bl w:val="nil"/>
                  </w:tcBorders>
                  <w:vAlign w:val="center"/>
                </w:tcPr>
                <w:p w14:paraId="45508459">
                  <w:pPr>
                    <w:keepNext w:val="0"/>
                    <w:keepLines w:val="0"/>
                    <w:pageBreakBefore w:val="0"/>
                    <w:kinsoku/>
                    <w:wordWrap/>
                    <w:overflowPunct/>
                    <w:topLinePunct w:val="0"/>
                    <w:autoSpaceDE/>
                    <w:autoSpaceDN/>
                    <w:bidi w:val="0"/>
                    <w:adjustRightInd/>
                    <w:jc w:val="center"/>
                    <w:textAlignment w:val="auto"/>
                    <w:rPr>
                      <w:szCs w:val="21"/>
                    </w:rPr>
                  </w:pPr>
                  <w:r>
                    <w:rPr>
                      <w:szCs w:val="21"/>
                    </w:rPr>
                    <w:t>袋装</w:t>
                  </w:r>
                </w:p>
                <w:p w14:paraId="09C5F11D">
                  <w:pPr>
                    <w:keepNext w:val="0"/>
                    <w:keepLines w:val="0"/>
                    <w:pageBreakBefore w:val="0"/>
                    <w:kinsoku/>
                    <w:wordWrap/>
                    <w:overflowPunct/>
                    <w:topLinePunct w:val="0"/>
                    <w:autoSpaceDE/>
                    <w:autoSpaceDN/>
                    <w:bidi w:val="0"/>
                    <w:adjustRightInd/>
                    <w:jc w:val="center"/>
                    <w:textAlignment w:val="auto"/>
                    <w:rPr>
                      <w:szCs w:val="21"/>
                    </w:rPr>
                  </w:pPr>
                  <w:r>
                    <w:rPr>
                      <w:szCs w:val="21"/>
                    </w:rPr>
                    <w:t>25kg/袋</w:t>
                  </w:r>
                </w:p>
              </w:tc>
              <w:tc>
                <w:tcPr>
                  <w:tcW w:w="1433" w:type="dxa"/>
                  <w:tcBorders>
                    <w:tl2br w:val="nil"/>
                    <w:tr2bl w:val="nil"/>
                  </w:tcBorders>
                  <w:vAlign w:val="center"/>
                </w:tcPr>
                <w:p w14:paraId="620CCE4F">
                  <w:pPr>
                    <w:keepNext w:val="0"/>
                    <w:keepLines w:val="0"/>
                    <w:pageBreakBefore w:val="0"/>
                    <w:kinsoku/>
                    <w:wordWrap/>
                    <w:overflowPunct/>
                    <w:topLinePunct w:val="0"/>
                    <w:autoSpaceDE/>
                    <w:autoSpaceDN/>
                    <w:bidi w:val="0"/>
                    <w:adjustRightInd/>
                    <w:jc w:val="center"/>
                    <w:textAlignment w:val="auto"/>
                    <w:rPr>
                      <w:szCs w:val="21"/>
                    </w:rPr>
                  </w:pPr>
                  <w:r>
                    <w:rPr>
                      <w:szCs w:val="21"/>
                    </w:rPr>
                    <w:t>浅黄色透明颗粒</w:t>
                  </w:r>
                </w:p>
              </w:tc>
            </w:tr>
            <w:tr w14:paraId="303E87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continue"/>
                  <w:tcBorders>
                    <w:tl2br w:val="nil"/>
                    <w:tr2bl w:val="nil"/>
                  </w:tcBorders>
                  <w:vAlign w:val="center"/>
                </w:tcPr>
                <w:p w14:paraId="11E6B563">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55" w:type="dxa"/>
                  <w:tcBorders>
                    <w:tl2br w:val="nil"/>
                    <w:tr2bl w:val="nil"/>
                  </w:tcBorders>
                  <w:vAlign w:val="center"/>
                </w:tcPr>
                <w:p w14:paraId="7DCB8611">
                  <w:pPr>
                    <w:keepNext w:val="0"/>
                    <w:keepLines w:val="0"/>
                    <w:pageBreakBefore w:val="0"/>
                    <w:kinsoku/>
                    <w:wordWrap/>
                    <w:overflowPunct/>
                    <w:topLinePunct w:val="0"/>
                    <w:autoSpaceDE/>
                    <w:autoSpaceDN/>
                    <w:bidi w:val="0"/>
                    <w:adjustRightInd/>
                    <w:jc w:val="center"/>
                    <w:textAlignment w:val="auto"/>
                    <w:rPr>
                      <w:szCs w:val="21"/>
                    </w:rPr>
                  </w:pPr>
                  <w:r>
                    <w:rPr>
                      <w:szCs w:val="21"/>
                    </w:rPr>
                    <w:t>聚酯树脂</w:t>
                  </w:r>
                </w:p>
              </w:tc>
              <w:tc>
                <w:tcPr>
                  <w:tcW w:w="1527" w:type="dxa"/>
                  <w:tcBorders>
                    <w:tl2br w:val="nil"/>
                    <w:tr2bl w:val="nil"/>
                  </w:tcBorders>
                  <w:vAlign w:val="center"/>
                </w:tcPr>
                <w:p w14:paraId="7555F298">
                  <w:pPr>
                    <w:keepNext w:val="0"/>
                    <w:keepLines w:val="0"/>
                    <w:pageBreakBefore w:val="0"/>
                    <w:kinsoku/>
                    <w:wordWrap/>
                    <w:overflowPunct/>
                    <w:topLinePunct w:val="0"/>
                    <w:autoSpaceDE/>
                    <w:autoSpaceDN/>
                    <w:bidi w:val="0"/>
                    <w:adjustRightInd/>
                    <w:jc w:val="center"/>
                    <w:textAlignment w:val="auto"/>
                    <w:rPr>
                      <w:szCs w:val="21"/>
                    </w:rPr>
                  </w:pPr>
                  <w:r>
                    <w:rPr>
                      <w:szCs w:val="21"/>
                    </w:rPr>
                    <w:t>聚对苯二甲酸新戊二醇酯</w:t>
                  </w:r>
                </w:p>
              </w:tc>
              <w:tc>
                <w:tcPr>
                  <w:tcW w:w="873" w:type="dxa"/>
                  <w:tcBorders>
                    <w:tl2br w:val="nil"/>
                    <w:tr2bl w:val="nil"/>
                  </w:tcBorders>
                  <w:vAlign w:val="center"/>
                </w:tcPr>
                <w:p w14:paraId="038E9102">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60t</w:t>
                  </w:r>
                </w:p>
              </w:tc>
              <w:tc>
                <w:tcPr>
                  <w:tcW w:w="1622" w:type="dxa"/>
                  <w:tcBorders>
                    <w:tl2br w:val="nil"/>
                    <w:tr2bl w:val="nil"/>
                  </w:tcBorders>
                  <w:vAlign w:val="center"/>
                </w:tcPr>
                <w:p w14:paraId="2A05DD43">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安徽神剑新材料股份有限公司</w:t>
                  </w:r>
                </w:p>
              </w:tc>
              <w:tc>
                <w:tcPr>
                  <w:tcW w:w="968" w:type="dxa"/>
                  <w:tcBorders>
                    <w:tl2br w:val="nil"/>
                    <w:tr2bl w:val="nil"/>
                  </w:tcBorders>
                  <w:vAlign w:val="center"/>
                </w:tcPr>
                <w:p w14:paraId="08945DF8">
                  <w:pPr>
                    <w:keepNext w:val="0"/>
                    <w:keepLines w:val="0"/>
                    <w:pageBreakBefore w:val="0"/>
                    <w:kinsoku/>
                    <w:wordWrap/>
                    <w:overflowPunct/>
                    <w:topLinePunct w:val="0"/>
                    <w:autoSpaceDE/>
                    <w:autoSpaceDN/>
                    <w:bidi w:val="0"/>
                    <w:adjustRightInd/>
                    <w:jc w:val="center"/>
                    <w:textAlignment w:val="auto"/>
                    <w:rPr>
                      <w:szCs w:val="21"/>
                    </w:rPr>
                  </w:pPr>
                  <w:r>
                    <w:rPr>
                      <w:szCs w:val="21"/>
                    </w:rPr>
                    <w:t>袋装</w:t>
                  </w:r>
                </w:p>
                <w:p w14:paraId="478C54C2">
                  <w:pPr>
                    <w:keepNext w:val="0"/>
                    <w:keepLines w:val="0"/>
                    <w:pageBreakBefore w:val="0"/>
                    <w:kinsoku/>
                    <w:wordWrap/>
                    <w:overflowPunct/>
                    <w:topLinePunct w:val="0"/>
                    <w:autoSpaceDE/>
                    <w:autoSpaceDN/>
                    <w:bidi w:val="0"/>
                    <w:adjustRightInd/>
                    <w:jc w:val="center"/>
                    <w:textAlignment w:val="auto"/>
                    <w:rPr>
                      <w:szCs w:val="21"/>
                    </w:rPr>
                  </w:pPr>
                  <w:r>
                    <w:rPr>
                      <w:szCs w:val="21"/>
                    </w:rPr>
                    <w:t>25kg/袋</w:t>
                  </w:r>
                </w:p>
              </w:tc>
              <w:tc>
                <w:tcPr>
                  <w:tcW w:w="1433" w:type="dxa"/>
                  <w:tcBorders>
                    <w:tl2br w:val="nil"/>
                    <w:tr2bl w:val="nil"/>
                  </w:tcBorders>
                  <w:vAlign w:val="center"/>
                </w:tcPr>
                <w:p w14:paraId="6DF07C99">
                  <w:pPr>
                    <w:keepNext w:val="0"/>
                    <w:keepLines w:val="0"/>
                    <w:pageBreakBefore w:val="0"/>
                    <w:kinsoku/>
                    <w:wordWrap/>
                    <w:overflowPunct/>
                    <w:topLinePunct w:val="0"/>
                    <w:autoSpaceDE/>
                    <w:autoSpaceDN/>
                    <w:bidi w:val="0"/>
                    <w:adjustRightInd/>
                    <w:jc w:val="center"/>
                    <w:textAlignment w:val="auto"/>
                    <w:rPr>
                      <w:szCs w:val="21"/>
                    </w:rPr>
                  </w:pPr>
                  <w:r>
                    <w:rPr>
                      <w:szCs w:val="21"/>
                    </w:rPr>
                    <w:t>浅黄色透明颗粒</w:t>
                  </w:r>
                </w:p>
              </w:tc>
            </w:tr>
            <w:tr w14:paraId="4CE19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continue"/>
                  <w:tcBorders>
                    <w:tl2br w:val="nil"/>
                    <w:tr2bl w:val="nil"/>
                  </w:tcBorders>
                  <w:vAlign w:val="center"/>
                </w:tcPr>
                <w:p w14:paraId="797EFE37">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55" w:type="dxa"/>
                  <w:tcBorders>
                    <w:tl2br w:val="nil"/>
                    <w:tr2bl w:val="nil"/>
                  </w:tcBorders>
                  <w:vAlign w:val="center"/>
                </w:tcPr>
                <w:p w14:paraId="66D99807">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钛白粉</w:t>
                  </w:r>
                </w:p>
              </w:tc>
              <w:tc>
                <w:tcPr>
                  <w:tcW w:w="1527" w:type="dxa"/>
                  <w:tcBorders>
                    <w:tl2br w:val="nil"/>
                    <w:tr2bl w:val="nil"/>
                  </w:tcBorders>
                  <w:vAlign w:val="center"/>
                </w:tcPr>
                <w:p w14:paraId="34ACA3C8">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二氧化钛</w:t>
                  </w:r>
                </w:p>
              </w:tc>
              <w:tc>
                <w:tcPr>
                  <w:tcW w:w="873" w:type="dxa"/>
                  <w:tcBorders>
                    <w:tl2br w:val="nil"/>
                    <w:tr2bl w:val="nil"/>
                  </w:tcBorders>
                  <w:vAlign w:val="center"/>
                </w:tcPr>
                <w:p w14:paraId="662E7F07">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20t</w:t>
                  </w:r>
                </w:p>
              </w:tc>
              <w:tc>
                <w:tcPr>
                  <w:tcW w:w="1622" w:type="dxa"/>
                  <w:tcBorders>
                    <w:tl2br w:val="nil"/>
                    <w:tr2bl w:val="nil"/>
                  </w:tcBorders>
                  <w:vAlign w:val="center"/>
                </w:tcPr>
                <w:p w14:paraId="7D3A6024">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陕西正淳工贸</w:t>
                  </w:r>
                </w:p>
              </w:tc>
              <w:tc>
                <w:tcPr>
                  <w:tcW w:w="968" w:type="dxa"/>
                  <w:tcBorders>
                    <w:tl2br w:val="nil"/>
                    <w:tr2bl w:val="nil"/>
                  </w:tcBorders>
                  <w:vAlign w:val="center"/>
                </w:tcPr>
                <w:p w14:paraId="3CA982D9">
                  <w:pPr>
                    <w:keepNext w:val="0"/>
                    <w:keepLines w:val="0"/>
                    <w:pageBreakBefore w:val="0"/>
                    <w:kinsoku/>
                    <w:wordWrap/>
                    <w:overflowPunct/>
                    <w:topLinePunct w:val="0"/>
                    <w:autoSpaceDE/>
                    <w:autoSpaceDN/>
                    <w:bidi w:val="0"/>
                    <w:adjustRightInd/>
                    <w:jc w:val="center"/>
                    <w:textAlignment w:val="auto"/>
                    <w:rPr>
                      <w:szCs w:val="21"/>
                    </w:rPr>
                  </w:pPr>
                  <w:r>
                    <w:rPr>
                      <w:szCs w:val="21"/>
                    </w:rPr>
                    <w:t>袋装</w:t>
                  </w:r>
                </w:p>
                <w:p w14:paraId="755C212C">
                  <w:pPr>
                    <w:keepNext w:val="0"/>
                    <w:keepLines w:val="0"/>
                    <w:pageBreakBefore w:val="0"/>
                    <w:kinsoku/>
                    <w:wordWrap/>
                    <w:overflowPunct/>
                    <w:topLinePunct w:val="0"/>
                    <w:autoSpaceDE/>
                    <w:autoSpaceDN/>
                    <w:bidi w:val="0"/>
                    <w:adjustRightInd/>
                    <w:jc w:val="center"/>
                    <w:textAlignment w:val="auto"/>
                    <w:rPr>
                      <w:szCs w:val="21"/>
                    </w:rPr>
                  </w:pPr>
                  <w:r>
                    <w:rPr>
                      <w:szCs w:val="21"/>
                    </w:rPr>
                    <w:t>25kg/袋</w:t>
                  </w:r>
                </w:p>
              </w:tc>
              <w:tc>
                <w:tcPr>
                  <w:tcW w:w="1433" w:type="dxa"/>
                  <w:tcBorders>
                    <w:tl2br w:val="nil"/>
                    <w:tr2bl w:val="nil"/>
                  </w:tcBorders>
                  <w:vAlign w:val="center"/>
                </w:tcPr>
                <w:p w14:paraId="6C8126CB">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白色粉末状</w:t>
                  </w:r>
                </w:p>
              </w:tc>
            </w:tr>
            <w:tr w14:paraId="3D73F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continue"/>
                  <w:tcBorders>
                    <w:tl2br w:val="nil"/>
                    <w:tr2bl w:val="nil"/>
                  </w:tcBorders>
                  <w:vAlign w:val="center"/>
                </w:tcPr>
                <w:p w14:paraId="2DAFCF01">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55" w:type="dxa"/>
                  <w:tcBorders>
                    <w:tl2br w:val="nil"/>
                    <w:tr2bl w:val="nil"/>
                  </w:tcBorders>
                  <w:vAlign w:val="center"/>
                </w:tcPr>
                <w:p w14:paraId="082C7C37">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高光钡</w:t>
                  </w:r>
                </w:p>
              </w:tc>
              <w:tc>
                <w:tcPr>
                  <w:tcW w:w="1527" w:type="dxa"/>
                  <w:tcBorders>
                    <w:tl2br w:val="nil"/>
                    <w:tr2bl w:val="nil"/>
                  </w:tcBorders>
                  <w:vAlign w:val="center"/>
                </w:tcPr>
                <w:p w14:paraId="2C409DAE">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硫酸钡</w:t>
                  </w:r>
                </w:p>
              </w:tc>
              <w:tc>
                <w:tcPr>
                  <w:tcW w:w="873" w:type="dxa"/>
                  <w:tcBorders>
                    <w:tl2br w:val="nil"/>
                    <w:tr2bl w:val="nil"/>
                  </w:tcBorders>
                  <w:vAlign w:val="center"/>
                </w:tcPr>
                <w:p w14:paraId="531099FE">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60t</w:t>
                  </w:r>
                </w:p>
              </w:tc>
              <w:tc>
                <w:tcPr>
                  <w:tcW w:w="1622" w:type="dxa"/>
                  <w:tcBorders>
                    <w:tl2br w:val="nil"/>
                    <w:tr2bl w:val="nil"/>
                  </w:tcBorders>
                  <w:vAlign w:val="center"/>
                </w:tcPr>
                <w:p w14:paraId="005F7FC1">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陕西正淳工贸</w:t>
                  </w:r>
                </w:p>
              </w:tc>
              <w:tc>
                <w:tcPr>
                  <w:tcW w:w="968" w:type="dxa"/>
                  <w:tcBorders>
                    <w:tl2br w:val="nil"/>
                    <w:tr2bl w:val="nil"/>
                  </w:tcBorders>
                  <w:vAlign w:val="center"/>
                </w:tcPr>
                <w:p w14:paraId="5FCF5C83">
                  <w:pPr>
                    <w:keepNext w:val="0"/>
                    <w:keepLines w:val="0"/>
                    <w:pageBreakBefore w:val="0"/>
                    <w:kinsoku/>
                    <w:wordWrap/>
                    <w:overflowPunct/>
                    <w:topLinePunct w:val="0"/>
                    <w:autoSpaceDE/>
                    <w:autoSpaceDN/>
                    <w:bidi w:val="0"/>
                    <w:adjustRightInd/>
                    <w:jc w:val="center"/>
                    <w:textAlignment w:val="auto"/>
                    <w:rPr>
                      <w:szCs w:val="21"/>
                    </w:rPr>
                  </w:pPr>
                  <w:r>
                    <w:rPr>
                      <w:szCs w:val="21"/>
                    </w:rPr>
                    <w:t>袋装</w:t>
                  </w:r>
                </w:p>
                <w:p w14:paraId="4C2E5E24">
                  <w:pPr>
                    <w:keepNext w:val="0"/>
                    <w:keepLines w:val="0"/>
                    <w:pageBreakBefore w:val="0"/>
                    <w:kinsoku/>
                    <w:wordWrap/>
                    <w:overflowPunct/>
                    <w:topLinePunct w:val="0"/>
                    <w:autoSpaceDE/>
                    <w:autoSpaceDN/>
                    <w:bidi w:val="0"/>
                    <w:adjustRightInd/>
                    <w:jc w:val="center"/>
                    <w:textAlignment w:val="auto"/>
                    <w:rPr>
                      <w:szCs w:val="21"/>
                    </w:rPr>
                  </w:pPr>
                  <w:r>
                    <w:rPr>
                      <w:szCs w:val="21"/>
                    </w:rPr>
                    <w:t>25kg/袋</w:t>
                  </w:r>
                </w:p>
              </w:tc>
              <w:tc>
                <w:tcPr>
                  <w:tcW w:w="1433" w:type="dxa"/>
                  <w:tcBorders>
                    <w:tl2br w:val="nil"/>
                    <w:tr2bl w:val="nil"/>
                  </w:tcBorders>
                  <w:vAlign w:val="center"/>
                </w:tcPr>
                <w:p w14:paraId="6E2BAD1E">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白色粉末状</w:t>
                  </w:r>
                </w:p>
              </w:tc>
            </w:tr>
            <w:tr w14:paraId="2C97C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restart"/>
                  <w:tcBorders>
                    <w:tl2br w:val="nil"/>
                    <w:tr2bl w:val="nil"/>
                  </w:tcBorders>
                  <w:vAlign w:val="center"/>
                </w:tcPr>
                <w:p w14:paraId="62D0A1FC">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辅料</w:t>
                  </w:r>
                </w:p>
              </w:tc>
              <w:tc>
                <w:tcPr>
                  <w:tcW w:w="955" w:type="dxa"/>
                  <w:tcBorders>
                    <w:tl2br w:val="nil"/>
                    <w:tr2bl w:val="nil"/>
                  </w:tcBorders>
                  <w:vAlign w:val="center"/>
                </w:tcPr>
                <w:p w14:paraId="2023C416">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铁红</w:t>
                  </w:r>
                </w:p>
              </w:tc>
              <w:tc>
                <w:tcPr>
                  <w:tcW w:w="1527" w:type="dxa"/>
                  <w:vMerge w:val="restart"/>
                  <w:tcBorders>
                    <w:tl2br w:val="nil"/>
                    <w:tr2bl w:val="nil"/>
                  </w:tcBorders>
                  <w:vAlign w:val="center"/>
                </w:tcPr>
                <w:p w14:paraId="7BA35CF9">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不涉及重金属</w:t>
                  </w:r>
                </w:p>
              </w:tc>
              <w:tc>
                <w:tcPr>
                  <w:tcW w:w="873" w:type="dxa"/>
                  <w:tcBorders>
                    <w:tl2br w:val="nil"/>
                    <w:tr2bl w:val="nil"/>
                  </w:tcBorders>
                  <w:vAlign w:val="center"/>
                </w:tcPr>
                <w:p w14:paraId="51F924BB">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rFonts w:hint="eastAsia"/>
                      <w:szCs w:val="21"/>
                    </w:rPr>
                    <w:t>0.6</w:t>
                  </w:r>
                  <w:r>
                    <w:rPr>
                      <w:szCs w:val="21"/>
                    </w:rPr>
                    <w:t>t</w:t>
                  </w:r>
                </w:p>
              </w:tc>
              <w:tc>
                <w:tcPr>
                  <w:tcW w:w="1622" w:type="dxa"/>
                  <w:vMerge w:val="restart"/>
                  <w:tcBorders>
                    <w:tl2br w:val="nil"/>
                    <w:tr2bl w:val="nil"/>
                  </w:tcBorders>
                  <w:vAlign w:val="center"/>
                </w:tcPr>
                <w:p w14:paraId="568C3743">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上海索是化工</w:t>
                  </w:r>
                </w:p>
              </w:tc>
              <w:tc>
                <w:tcPr>
                  <w:tcW w:w="968" w:type="dxa"/>
                  <w:vMerge w:val="restart"/>
                  <w:tcBorders>
                    <w:tl2br w:val="nil"/>
                    <w:tr2bl w:val="nil"/>
                  </w:tcBorders>
                  <w:vAlign w:val="center"/>
                </w:tcPr>
                <w:p w14:paraId="5B9B745D">
                  <w:pPr>
                    <w:keepNext w:val="0"/>
                    <w:keepLines w:val="0"/>
                    <w:pageBreakBefore w:val="0"/>
                    <w:kinsoku/>
                    <w:wordWrap/>
                    <w:overflowPunct/>
                    <w:topLinePunct w:val="0"/>
                    <w:autoSpaceDE/>
                    <w:autoSpaceDN/>
                    <w:bidi w:val="0"/>
                    <w:adjustRightInd/>
                    <w:jc w:val="center"/>
                    <w:textAlignment w:val="auto"/>
                    <w:rPr>
                      <w:szCs w:val="21"/>
                    </w:rPr>
                  </w:pPr>
                  <w:r>
                    <w:rPr>
                      <w:szCs w:val="21"/>
                    </w:rPr>
                    <w:t>袋装10kg/袋</w:t>
                  </w:r>
                </w:p>
              </w:tc>
              <w:tc>
                <w:tcPr>
                  <w:tcW w:w="1433" w:type="dxa"/>
                  <w:vMerge w:val="restart"/>
                  <w:tcBorders>
                    <w:tl2br w:val="nil"/>
                    <w:tr2bl w:val="nil"/>
                  </w:tcBorders>
                  <w:vAlign w:val="center"/>
                </w:tcPr>
                <w:p w14:paraId="78F6AA7D">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固体粉状</w:t>
                  </w:r>
                </w:p>
              </w:tc>
            </w:tr>
            <w:tr w14:paraId="03F73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continue"/>
                  <w:tcBorders>
                    <w:tl2br w:val="nil"/>
                    <w:tr2bl w:val="nil"/>
                  </w:tcBorders>
                  <w:vAlign w:val="center"/>
                </w:tcPr>
                <w:p w14:paraId="581456E2">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55" w:type="dxa"/>
                  <w:tcBorders>
                    <w:tl2br w:val="nil"/>
                    <w:tr2bl w:val="nil"/>
                  </w:tcBorders>
                  <w:vAlign w:val="center"/>
                </w:tcPr>
                <w:p w14:paraId="06C286F9">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铁黄</w:t>
                  </w:r>
                </w:p>
              </w:tc>
              <w:tc>
                <w:tcPr>
                  <w:tcW w:w="1527" w:type="dxa"/>
                  <w:vMerge w:val="continue"/>
                  <w:tcBorders>
                    <w:tl2br w:val="nil"/>
                    <w:tr2bl w:val="nil"/>
                  </w:tcBorders>
                  <w:vAlign w:val="center"/>
                </w:tcPr>
                <w:p w14:paraId="3A522FE4">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c>
                <w:tcPr>
                  <w:tcW w:w="873" w:type="dxa"/>
                  <w:tcBorders>
                    <w:tl2br w:val="nil"/>
                    <w:tr2bl w:val="nil"/>
                  </w:tcBorders>
                  <w:vAlign w:val="center"/>
                </w:tcPr>
                <w:p w14:paraId="62A38ABE">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rFonts w:hint="eastAsia"/>
                      <w:szCs w:val="21"/>
                    </w:rPr>
                    <w:t>0.6</w:t>
                  </w:r>
                  <w:r>
                    <w:rPr>
                      <w:szCs w:val="21"/>
                    </w:rPr>
                    <w:t>t</w:t>
                  </w:r>
                </w:p>
              </w:tc>
              <w:tc>
                <w:tcPr>
                  <w:tcW w:w="1622" w:type="dxa"/>
                  <w:vMerge w:val="continue"/>
                  <w:tcBorders>
                    <w:tl2br w:val="nil"/>
                    <w:tr2bl w:val="nil"/>
                  </w:tcBorders>
                  <w:vAlign w:val="center"/>
                </w:tcPr>
                <w:p w14:paraId="424EE267">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68" w:type="dxa"/>
                  <w:vMerge w:val="continue"/>
                  <w:tcBorders>
                    <w:tl2br w:val="nil"/>
                    <w:tr2bl w:val="nil"/>
                  </w:tcBorders>
                  <w:vAlign w:val="center"/>
                </w:tcPr>
                <w:p w14:paraId="7C79B0C6">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c>
                <w:tcPr>
                  <w:tcW w:w="1433" w:type="dxa"/>
                  <w:vMerge w:val="continue"/>
                  <w:tcBorders>
                    <w:tl2br w:val="nil"/>
                    <w:tr2bl w:val="nil"/>
                  </w:tcBorders>
                  <w:vAlign w:val="center"/>
                </w:tcPr>
                <w:p w14:paraId="0D0367D4">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r>
            <w:tr w14:paraId="5F65B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continue"/>
                  <w:tcBorders>
                    <w:tl2br w:val="nil"/>
                    <w:tr2bl w:val="nil"/>
                  </w:tcBorders>
                  <w:vAlign w:val="center"/>
                </w:tcPr>
                <w:p w14:paraId="7A9BE054">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55" w:type="dxa"/>
                  <w:tcBorders>
                    <w:tl2br w:val="nil"/>
                    <w:tr2bl w:val="nil"/>
                  </w:tcBorders>
                  <w:vAlign w:val="center"/>
                </w:tcPr>
                <w:p w14:paraId="56D8BD17">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群青</w:t>
                  </w:r>
                </w:p>
              </w:tc>
              <w:tc>
                <w:tcPr>
                  <w:tcW w:w="1527" w:type="dxa"/>
                  <w:vMerge w:val="continue"/>
                  <w:tcBorders>
                    <w:tl2br w:val="nil"/>
                    <w:tr2bl w:val="nil"/>
                  </w:tcBorders>
                  <w:vAlign w:val="center"/>
                </w:tcPr>
                <w:p w14:paraId="2C5E25D7">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c>
                <w:tcPr>
                  <w:tcW w:w="873" w:type="dxa"/>
                  <w:tcBorders>
                    <w:tl2br w:val="nil"/>
                    <w:tr2bl w:val="nil"/>
                  </w:tcBorders>
                  <w:vAlign w:val="center"/>
                </w:tcPr>
                <w:p w14:paraId="48DDA30B">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1t</w:t>
                  </w:r>
                </w:p>
              </w:tc>
              <w:tc>
                <w:tcPr>
                  <w:tcW w:w="1622" w:type="dxa"/>
                  <w:vMerge w:val="continue"/>
                  <w:tcBorders>
                    <w:tl2br w:val="nil"/>
                    <w:tr2bl w:val="nil"/>
                  </w:tcBorders>
                  <w:vAlign w:val="center"/>
                </w:tcPr>
                <w:p w14:paraId="32CF2109">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68" w:type="dxa"/>
                  <w:vMerge w:val="continue"/>
                  <w:tcBorders>
                    <w:tl2br w:val="nil"/>
                    <w:tr2bl w:val="nil"/>
                  </w:tcBorders>
                  <w:vAlign w:val="center"/>
                </w:tcPr>
                <w:p w14:paraId="26EE593E">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c>
                <w:tcPr>
                  <w:tcW w:w="1433" w:type="dxa"/>
                  <w:vMerge w:val="continue"/>
                  <w:tcBorders>
                    <w:tl2br w:val="nil"/>
                    <w:tr2bl w:val="nil"/>
                  </w:tcBorders>
                  <w:vAlign w:val="center"/>
                </w:tcPr>
                <w:p w14:paraId="610EFC04">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p>
              </w:tc>
            </w:tr>
            <w:tr w14:paraId="71EC4F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57" w:type="dxa"/>
                  <w:gridSpan w:val="7"/>
                  <w:tcBorders>
                    <w:tl2br w:val="nil"/>
                    <w:tr2bl w:val="nil"/>
                  </w:tcBorders>
                  <w:vAlign w:val="center"/>
                </w:tcPr>
                <w:p w14:paraId="0996535A">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喷粉生产线</w:t>
                  </w:r>
                </w:p>
              </w:tc>
            </w:tr>
            <w:tr w14:paraId="42DB3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tcBorders>
                    <w:tl2br w:val="nil"/>
                    <w:tr2bl w:val="nil"/>
                  </w:tcBorders>
                  <w:vAlign w:val="center"/>
                </w:tcPr>
                <w:p w14:paraId="0455AE7E">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原料</w:t>
                  </w:r>
                </w:p>
              </w:tc>
              <w:tc>
                <w:tcPr>
                  <w:tcW w:w="955" w:type="dxa"/>
                  <w:tcBorders>
                    <w:tl2br w:val="nil"/>
                    <w:tr2bl w:val="nil"/>
                  </w:tcBorders>
                  <w:vAlign w:val="center"/>
                </w:tcPr>
                <w:p w14:paraId="1F4B376D">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eastAsia="宋体"/>
                      <w:szCs w:val="21"/>
                      <w:lang w:val="en-US" w:eastAsia="zh-CN"/>
                    </w:rPr>
                  </w:pPr>
                  <w:r>
                    <w:rPr>
                      <w:rFonts w:hint="eastAsia"/>
                      <w:szCs w:val="21"/>
                      <w:lang w:val="en-US" w:eastAsia="zh-CN"/>
                    </w:rPr>
                    <w:t>粉末涂料</w:t>
                  </w:r>
                </w:p>
              </w:tc>
              <w:tc>
                <w:tcPr>
                  <w:tcW w:w="1527" w:type="dxa"/>
                  <w:tcBorders>
                    <w:tl2br w:val="nil"/>
                    <w:tr2bl w:val="nil"/>
                  </w:tcBorders>
                  <w:vAlign w:val="center"/>
                </w:tcPr>
                <w:p w14:paraId="40F4A519">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eastAsia="宋体"/>
                      <w:szCs w:val="21"/>
                      <w:lang w:val="en-US" w:eastAsia="zh-CN"/>
                    </w:rPr>
                  </w:pPr>
                  <w:r>
                    <w:rPr>
                      <w:rFonts w:hint="eastAsia"/>
                      <w:szCs w:val="21"/>
                      <w:lang w:val="en-US" w:eastAsia="zh-CN"/>
                    </w:rPr>
                    <w:t>聚酯树脂</w:t>
                  </w:r>
                </w:p>
              </w:tc>
              <w:tc>
                <w:tcPr>
                  <w:tcW w:w="873" w:type="dxa"/>
                  <w:tcBorders>
                    <w:tl2br w:val="nil"/>
                    <w:tr2bl w:val="nil"/>
                  </w:tcBorders>
                  <w:vAlign w:val="center"/>
                </w:tcPr>
                <w:p w14:paraId="598972BB">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eastAsia="宋体"/>
                      <w:szCs w:val="21"/>
                      <w:lang w:val="en-US" w:eastAsia="zh-CN"/>
                    </w:rPr>
                  </w:pPr>
                  <w:r>
                    <w:rPr>
                      <w:rFonts w:hint="eastAsia"/>
                      <w:szCs w:val="21"/>
                      <w:lang w:val="en-US" w:eastAsia="zh-CN"/>
                    </w:rPr>
                    <w:t>20</w:t>
                  </w:r>
                </w:p>
              </w:tc>
              <w:tc>
                <w:tcPr>
                  <w:tcW w:w="1622" w:type="dxa"/>
                  <w:tcBorders>
                    <w:tl2br w:val="nil"/>
                    <w:tr2bl w:val="nil"/>
                  </w:tcBorders>
                  <w:vAlign w:val="center"/>
                </w:tcPr>
                <w:p w14:paraId="5B9B3838">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eastAsia="宋体"/>
                      <w:szCs w:val="21"/>
                      <w:lang w:val="en-US" w:eastAsia="zh-CN"/>
                    </w:rPr>
                  </w:pPr>
                  <w:r>
                    <w:rPr>
                      <w:rFonts w:hint="eastAsia"/>
                      <w:szCs w:val="21"/>
                      <w:lang w:val="en-US" w:eastAsia="zh-CN"/>
                    </w:rPr>
                    <w:t>自产</w:t>
                  </w:r>
                </w:p>
              </w:tc>
              <w:tc>
                <w:tcPr>
                  <w:tcW w:w="968" w:type="dxa"/>
                  <w:tcBorders>
                    <w:tl2br w:val="nil"/>
                    <w:tr2bl w:val="nil"/>
                  </w:tcBorders>
                  <w:vAlign w:val="center"/>
                </w:tcPr>
                <w:p w14:paraId="285F7BF3">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袋装</w:t>
                  </w:r>
                </w:p>
                <w:p w14:paraId="7A2D4C28">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eastAsia="宋体"/>
                      <w:szCs w:val="21"/>
                      <w:lang w:val="en-US" w:eastAsia="zh-CN"/>
                    </w:rPr>
                  </w:pPr>
                  <w:r>
                    <w:rPr>
                      <w:szCs w:val="21"/>
                    </w:rPr>
                    <w:t>25kg/袋</w:t>
                  </w:r>
                </w:p>
              </w:tc>
              <w:tc>
                <w:tcPr>
                  <w:tcW w:w="1433" w:type="dxa"/>
                  <w:tcBorders>
                    <w:tl2br w:val="nil"/>
                    <w:tr2bl w:val="nil"/>
                  </w:tcBorders>
                  <w:vAlign w:val="center"/>
                </w:tcPr>
                <w:p w14:paraId="5702B1D6">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eastAsia="宋体"/>
                      <w:szCs w:val="21"/>
                      <w:lang w:val="en-US" w:eastAsia="zh-CN"/>
                    </w:rPr>
                  </w:pPr>
                  <w:r>
                    <w:rPr>
                      <w:rFonts w:hint="eastAsia"/>
                      <w:szCs w:val="21"/>
                      <w:lang w:val="en-US" w:eastAsia="zh-CN"/>
                    </w:rPr>
                    <w:t>黑色粉末状</w:t>
                  </w:r>
                </w:p>
              </w:tc>
            </w:tr>
            <w:tr w14:paraId="7CAA9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057" w:type="dxa"/>
                  <w:gridSpan w:val="7"/>
                  <w:tcBorders>
                    <w:tl2br w:val="nil"/>
                    <w:tr2bl w:val="nil"/>
                  </w:tcBorders>
                  <w:vAlign w:val="center"/>
                </w:tcPr>
                <w:p w14:paraId="789048AC">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szCs w:val="21"/>
                      <w:lang w:val="en-US" w:eastAsia="zh-CN"/>
                    </w:rPr>
                  </w:pPr>
                  <w:r>
                    <w:rPr>
                      <w:rFonts w:hint="eastAsia" w:cs="Times New Roman" w:eastAsiaTheme="minorEastAsia"/>
                      <w:color w:val="000000" w:themeColor="text1"/>
                      <w:szCs w:val="21"/>
                      <w:lang w:val="en-US" w:eastAsia="zh-CN"/>
                      <w14:textFill>
                        <w14:solidFill>
                          <w14:schemeClr w14:val="tx1"/>
                        </w14:solidFill>
                      </w14:textFill>
                    </w:rPr>
                    <w:t>电泳</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生产线</w:t>
                  </w:r>
                </w:p>
              </w:tc>
            </w:tr>
            <w:tr w14:paraId="5CC95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tcBorders>
                    <w:tl2br w:val="nil"/>
                    <w:tr2bl w:val="nil"/>
                  </w:tcBorders>
                  <w:vAlign w:val="center"/>
                </w:tcPr>
                <w:p w14:paraId="129F89D8">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主要</w:t>
                  </w:r>
                </w:p>
                <w:p w14:paraId="7F535341">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原料</w:t>
                  </w:r>
                </w:p>
              </w:tc>
              <w:tc>
                <w:tcPr>
                  <w:tcW w:w="955" w:type="dxa"/>
                  <w:tcBorders>
                    <w:tl2br w:val="nil"/>
                    <w:tr2bl w:val="nil"/>
                  </w:tcBorders>
                  <w:shd w:val="clear" w:color="auto" w:fill="auto"/>
                  <w:vAlign w:val="center"/>
                </w:tcPr>
                <w:p w14:paraId="1CEAC122">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电泳漆</w:t>
                  </w:r>
                </w:p>
              </w:tc>
              <w:tc>
                <w:tcPr>
                  <w:tcW w:w="1527" w:type="dxa"/>
                  <w:tcBorders>
                    <w:tl2br w:val="nil"/>
                    <w:tr2bl w:val="nil"/>
                  </w:tcBorders>
                  <w:shd w:val="clear" w:color="auto" w:fill="auto"/>
                  <w:vAlign w:val="center"/>
                </w:tcPr>
                <w:p w14:paraId="5D558292">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环氧树脂</w:t>
                  </w:r>
                </w:p>
              </w:tc>
              <w:tc>
                <w:tcPr>
                  <w:tcW w:w="873" w:type="dxa"/>
                  <w:tcBorders>
                    <w:tl2br w:val="nil"/>
                    <w:tr2bl w:val="nil"/>
                  </w:tcBorders>
                  <w:shd w:val="clear" w:color="auto" w:fill="auto"/>
                  <w:vAlign w:val="center"/>
                </w:tcPr>
                <w:p w14:paraId="72E339B1">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8</w:t>
                  </w:r>
                  <w:r>
                    <w:rPr>
                      <w:szCs w:val="21"/>
                    </w:rPr>
                    <w:t>t</w:t>
                  </w:r>
                </w:p>
              </w:tc>
              <w:tc>
                <w:tcPr>
                  <w:tcW w:w="1622" w:type="dxa"/>
                  <w:tcBorders>
                    <w:tl2br w:val="nil"/>
                    <w:tr2bl w:val="nil"/>
                  </w:tcBorders>
                  <w:shd w:val="clear" w:color="auto" w:fill="auto"/>
                  <w:vAlign w:val="center"/>
                </w:tcPr>
                <w:p w14:paraId="12FC1EEA">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w:t>
                  </w:r>
                </w:p>
              </w:tc>
              <w:tc>
                <w:tcPr>
                  <w:tcW w:w="968" w:type="dxa"/>
                  <w:tcBorders>
                    <w:tl2br w:val="nil"/>
                    <w:tr2bl w:val="nil"/>
                  </w:tcBorders>
                  <w:shd w:val="clear" w:color="auto" w:fill="auto"/>
                  <w:vAlign w:val="center"/>
                </w:tcPr>
                <w:p w14:paraId="7D53D284">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ascii="Times New Roman" w:hAnsi="Times New Roman" w:eastAsia="宋体" w:cs="Times New Roman"/>
                      <w:kern w:val="2"/>
                      <w:sz w:val="21"/>
                      <w:szCs w:val="21"/>
                      <w:lang w:val="en-US" w:eastAsia="zh-CN" w:bidi="ar-SA"/>
                    </w:rPr>
                  </w:pPr>
                  <w:r>
                    <w:rPr>
                      <w:rFonts w:hint="eastAsia"/>
                      <w:szCs w:val="21"/>
                      <w:lang w:val="en-US" w:eastAsia="zh-CN"/>
                    </w:rPr>
                    <w:t>桶装25</w:t>
                  </w:r>
                  <w:r>
                    <w:rPr>
                      <w:rFonts w:hint="default"/>
                      <w:szCs w:val="21"/>
                      <w:lang w:val="en-US" w:eastAsia="zh-CN"/>
                    </w:rPr>
                    <w:t>kg/</w:t>
                  </w:r>
                  <w:r>
                    <w:rPr>
                      <w:rFonts w:hint="eastAsia"/>
                      <w:szCs w:val="21"/>
                      <w:lang w:val="en-US" w:eastAsia="zh-CN"/>
                    </w:rPr>
                    <w:t>桶</w:t>
                  </w:r>
                </w:p>
              </w:tc>
              <w:tc>
                <w:tcPr>
                  <w:tcW w:w="1433" w:type="dxa"/>
                  <w:tcBorders>
                    <w:tl2br w:val="nil"/>
                    <w:tr2bl w:val="nil"/>
                  </w:tcBorders>
                  <w:shd w:val="clear" w:color="auto" w:fill="auto"/>
                  <w:vAlign w:val="center"/>
                </w:tcPr>
                <w:p w14:paraId="21B1A64A">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黑色液体</w:t>
                  </w:r>
                </w:p>
              </w:tc>
            </w:tr>
            <w:tr w14:paraId="6C29F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restart"/>
                  <w:vAlign w:val="center"/>
                </w:tcPr>
                <w:p w14:paraId="1B374E42">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szCs w:val="21"/>
                    </w:rPr>
                    <w:t>辅料</w:t>
                  </w:r>
                </w:p>
              </w:tc>
              <w:tc>
                <w:tcPr>
                  <w:tcW w:w="955" w:type="dxa"/>
                  <w:shd w:val="clear" w:color="auto" w:fill="auto"/>
                  <w:vAlign w:val="center"/>
                </w:tcPr>
                <w:p w14:paraId="6530B7B8">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除油剂</w:t>
                  </w:r>
                </w:p>
              </w:tc>
              <w:tc>
                <w:tcPr>
                  <w:tcW w:w="1527" w:type="dxa"/>
                  <w:shd w:val="clear" w:color="auto" w:fill="auto"/>
                  <w:vAlign w:val="center"/>
                </w:tcPr>
                <w:p w14:paraId="1B13B453">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硅酸钠</w:t>
                  </w:r>
                </w:p>
              </w:tc>
              <w:tc>
                <w:tcPr>
                  <w:tcW w:w="873" w:type="dxa"/>
                  <w:shd w:val="clear" w:color="auto" w:fill="auto"/>
                  <w:vAlign w:val="center"/>
                </w:tcPr>
                <w:p w14:paraId="4B40D1BF">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2</w:t>
                  </w:r>
                  <w:r>
                    <w:rPr>
                      <w:szCs w:val="21"/>
                    </w:rPr>
                    <w:t>t</w:t>
                  </w:r>
                </w:p>
              </w:tc>
              <w:tc>
                <w:tcPr>
                  <w:tcW w:w="1622" w:type="dxa"/>
                  <w:shd w:val="clear" w:color="auto" w:fill="auto"/>
                  <w:vAlign w:val="center"/>
                </w:tcPr>
                <w:p w14:paraId="235DF682">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陕西振兴材料</w:t>
                  </w:r>
                </w:p>
              </w:tc>
              <w:tc>
                <w:tcPr>
                  <w:tcW w:w="968" w:type="dxa"/>
                  <w:shd w:val="clear" w:color="auto" w:fill="auto"/>
                  <w:vAlign w:val="center"/>
                </w:tcPr>
                <w:p w14:paraId="692C6658">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桶装25</w:t>
                  </w:r>
                  <w:r>
                    <w:rPr>
                      <w:rFonts w:hint="default"/>
                      <w:szCs w:val="21"/>
                      <w:lang w:val="en-US" w:eastAsia="zh-CN"/>
                    </w:rPr>
                    <w:t>kg/</w:t>
                  </w:r>
                  <w:r>
                    <w:rPr>
                      <w:rFonts w:hint="eastAsia"/>
                      <w:szCs w:val="21"/>
                      <w:lang w:val="en-US" w:eastAsia="zh-CN"/>
                    </w:rPr>
                    <w:t>桶</w:t>
                  </w:r>
                </w:p>
              </w:tc>
              <w:tc>
                <w:tcPr>
                  <w:tcW w:w="1433" w:type="dxa"/>
                  <w:shd w:val="clear" w:color="auto" w:fill="auto"/>
                  <w:vAlign w:val="center"/>
                </w:tcPr>
                <w:p w14:paraId="72483077">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透明液体</w:t>
                  </w:r>
                </w:p>
              </w:tc>
            </w:tr>
            <w:tr w14:paraId="2DF27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continue"/>
                  <w:vAlign w:val="center"/>
                </w:tcPr>
                <w:p w14:paraId="715D0E6C">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p>
              </w:tc>
              <w:tc>
                <w:tcPr>
                  <w:tcW w:w="955" w:type="dxa"/>
                  <w:shd w:val="clear" w:color="auto" w:fill="auto"/>
                  <w:vAlign w:val="center"/>
                </w:tcPr>
                <w:p w14:paraId="6BF339E8">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陶化剂</w:t>
                  </w:r>
                </w:p>
              </w:tc>
              <w:tc>
                <w:tcPr>
                  <w:tcW w:w="1527" w:type="dxa"/>
                  <w:shd w:val="clear" w:color="auto" w:fill="auto"/>
                  <w:vAlign w:val="center"/>
                </w:tcPr>
                <w:p w14:paraId="1D115714">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硅烷</w:t>
                  </w:r>
                </w:p>
              </w:tc>
              <w:tc>
                <w:tcPr>
                  <w:tcW w:w="873" w:type="dxa"/>
                  <w:shd w:val="clear" w:color="auto" w:fill="auto"/>
                  <w:vAlign w:val="center"/>
                </w:tcPr>
                <w:p w14:paraId="604F4FAB">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2</w:t>
                  </w:r>
                  <w:r>
                    <w:rPr>
                      <w:szCs w:val="21"/>
                    </w:rPr>
                    <w:t>t</w:t>
                  </w:r>
                </w:p>
              </w:tc>
              <w:tc>
                <w:tcPr>
                  <w:tcW w:w="1622" w:type="dxa"/>
                  <w:shd w:val="clear" w:color="auto" w:fill="auto"/>
                  <w:vAlign w:val="center"/>
                </w:tcPr>
                <w:p w14:paraId="26EBF995">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w:t>
                  </w:r>
                </w:p>
              </w:tc>
              <w:tc>
                <w:tcPr>
                  <w:tcW w:w="968" w:type="dxa"/>
                  <w:shd w:val="clear" w:color="auto" w:fill="auto"/>
                  <w:vAlign w:val="center"/>
                </w:tcPr>
                <w:p w14:paraId="38FD3B67">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szCs w:val="21"/>
                      <w:lang w:val="en-US" w:eastAsia="zh-CN"/>
                    </w:rPr>
                  </w:pPr>
                  <w:r>
                    <w:rPr>
                      <w:rFonts w:hint="eastAsia"/>
                      <w:szCs w:val="21"/>
                      <w:lang w:val="en-US" w:eastAsia="zh-CN"/>
                    </w:rPr>
                    <w:t>桶装25</w:t>
                  </w:r>
                  <w:r>
                    <w:rPr>
                      <w:rFonts w:hint="default"/>
                      <w:szCs w:val="21"/>
                      <w:lang w:val="en-US" w:eastAsia="zh-CN"/>
                    </w:rPr>
                    <w:t>kg/</w:t>
                  </w:r>
                  <w:r>
                    <w:rPr>
                      <w:rFonts w:hint="eastAsia"/>
                      <w:szCs w:val="21"/>
                      <w:lang w:val="en-US" w:eastAsia="zh-CN"/>
                    </w:rPr>
                    <w:t>桶</w:t>
                  </w:r>
                </w:p>
              </w:tc>
              <w:tc>
                <w:tcPr>
                  <w:tcW w:w="1433" w:type="dxa"/>
                  <w:shd w:val="clear" w:color="auto" w:fill="auto"/>
                  <w:vAlign w:val="center"/>
                </w:tcPr>
                <w:p w14:paraId="15C7BBA6">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szCs w:val="21"/>
                      <w:lang w:val="en-US" w:eastAsia="zh-CN"/>
                    </w:rPr>
                  </w:pPr>
                  <w:r>
                    <w:rPr>
                      <w:rFonts w:hint="eastAsia"/>
                      <w:szCs w:val="21"/>
                      <w:lang w:val="en-US" w:eastAsia="zh-CN"/>
                    </w:rPr>
                    <w:t>黑色液体</w:t>
                  </w:r>
                </w:p>
              </w:tc>
            </w:tr>
            <w:tr w14:paraId="60FED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restart"/>
                  <w:vAlign w:val="center"/>
                </w:tcPr>
                <w:p w14:paraId="2C49108A">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szCs w:val="21"/>
                    </w:rPr>
                  </w:pPr>
                  <w:r>
                    <w:rPr>
                      <w:rFonts w:hint="eastAsia" w:ascii="Times New Roman" w:hAnsi="Times New Roman" w:eastAsia="宋体" w:cs="Times New Roman"/>
                      <w:szCs w:val="21"/>
                      <w:lang w:val="en-US" w:eastAsia="zh-CN"/>
                    </w:rPr>
                    <w:t>能源</w:t>
                  </w:r>
                </w:p>
              </w:tc>
              <w:tc>
                <w:tcPr>
                  <w:tcW w:w="955" w:type="dxa"/>
                  <w:shd w:val="clear" w:color="auto" w:fill="auto"/>
                  <w:vAlign w:val="center"/>
                </w:tcPr>
                <w:p w14:paraId="51737E39">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水</w:t>
                  </w:r>
                </w:p>
              </w:tc>
              <w:tc>
                <w:tcPr>
                  <w:tcW w:w="1527" w:type="dxa"/>
                  <w:shd w:val="clear" w:color="auto" w:fill="auto"/>
                  <w:vAlign w:val="center"/>
                </w:tcPr>
                <w:p w14:paraId="2434CBE5">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水</w:t>
                  </w:r>
                </w:p>
              </w:tc>
              <w:tc>
                <w:tcPr>
                  <w:tcW w:w="873" w:type="dxa"/>
                  <w:shd w:val="clear" w:color="auto" w:fill="auto"/>
                  <w:vAlign w:val="center"/>
                </w:tcPr>
                <w:p w14:paraId="2A57C153">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eastAsia="宋体"/>
                      <w:szCs w:val="21"/>
                      <w:lang w:val="en-US" w:eastAsia="zh-CN"/>
                    </w:rPr>
                  </w:pPr>
                  <w:r>
                    <w:rPr>
                      <w:rFonts w:hint="eastAsia"/>
                      <w:szCs w:val="21"/>
                      <w:lang w:val="en-US" w:eastAsia="zh-CN"/>
                    </w:rPr>
                    <w:t>1437</w:t>
                  </w:r>
                  <w:r>
                    <w:rPr>
                      <w:szCs w:val="21"/>
                    </w:rPr>
                    <w:t>t</w:t>
                  </w:r>
                  <w:r>
                    <w:rPr>
                      <w:rFonts w:hint="eastAsia"/>
                      <w:szCs w:val="21"/>
                      <w:lang w:val="en-US" w:eastAsia="zh-CN"/>
                    </w:rPr>
                    <w:t>/a</w:t>
                  </w:r>
                </w:p>
              </w:tc>
              <w:tc>
                <w:tcPr>
                  <w:tcW w:w="1622" w:type="dxa"/>
                  <w:shd w:val="clear" w:color="auto" w:fill="auto"/>
                  <w:vAlign w:val="center"/>
                </w:tcPr>
                <w:p w14:paraId="10CB65C3">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市政管网</w:t>
                  </w:r>
                </w:p>
              </w:tc>
              <w:tc>
                <w:tcPr>
                  <w:tcW w:w="968" w:type="dxa"/>
                  <w:shd w:val="clear" w:color="auto" w:fill="auto"/>
                  <w:vAlign w:val="center"/>
                </w:tcPr>
                <w:p w14:paraId="7C6D72B1">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w:t>
                  </w:r>
                </w:p>
              </w:tc>
              <w:tc>
                <w:tcPr>
                  <w:tcW w:w="1433" w:type="dxa"/>
                  <w:shd w:val="clear" w:color="auto" w:fill="auto"/>
                  <w:vAlign w:val="center"/>
                </w:tcPr>
                <w:p w14:paraId="0E9B6BEA">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w:t>
                  </w:r>
                </w:p>
              </w:tc>
            </w:tr>
            <w:tr w14:paraId="6F7CD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9" w:type="dxa"/>
                  <w:vMerge w:val="continue"/>
                  <w:vAlign w:val="center"/>
                </w:tcPr>
                <w:p w14:paraId="0BDFFE5A">
                  <w:pPr>
                    <w:keepNext w:val="0"/>
                    <w:keepLines w:val="0"/>
                    <w:pageBreakBefore w:val="0"/>
                    <w:tabs>
                      <w:tab w:val="center" w:pos="4153"/>
                      <w:tab w:val="right" w:pos="8306"/>
                    </w:tabs>
                    <w:kinsoku/>
                    <w:wordWrap/>
                    <w:overflowPunct/>
                    <w:topLinePunct w:val="0"/>
                    <w:autoSpaceDE/>
                    <w:autoSpaceDN/>
                    <w:bidi w:val="0"/>
                    <w:adjustRightInd/>
                    <w:snapToGrid w:val="0"/>
                    <w:jc w:val="center"/>
                    <w:textAlignment w:val="auto"/>
                    <w:rPr>
                      <w:rFonts w:hint="eastAsia" w:ascii="Times New Roman" w:hAnsi="Times New Roman" w:eastAsia="宋体" w:cs="Times New Roman"/>
                      <w:szCs w:val="21"/>
                      <w:lang w:val="en-US" w:eastAsia="zh-CN"/>
                    </w:rPr>
                  </w:pPr>
                </w:p>
              </w:tc>
              <w:tc>
                <w:tcPr>
                  <w:tcW w:w="955" w:type="dxa"/>
                  <w:shd w:val="clear" w:color="auto" w:fill="auto"/>
                  <w:vAlign w:val="center"/>
                </w:tcPr>
                <w:p w14:paraId="638FD88B">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szCs w:val="21"/>
                      <w:lang w:val="en-US" w:eastAsia="zh-CN"/>
                    </w:rPr>
                  </w:pPr>
                  <w:r>
                    <w:rPr>
                      <w:rFonts w:hint="eastAsia"/>
                      <w:szCs w:val="21"/>
                      <w:lang w:val="en-US" w:eastAsia="zh-CN"/>
                    </w:rPr>
                    <w:t>液化石油气</w:t>
                  </w:r>
                </w:p>
              </w:tc>
              <w:tc>
                <w:tcPr>
                  <w:tcW w:w="1527" w:type="dxa"/>
                  <w:shd w:val="clear" w:color="auto" w:fill="auto"/>
                  <w:vAlign w:val="center"/>
                </w:tcPr>
                <w:p w14:paraId="27B57856">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eastAsia"/>
                      <w:szCs w:val="21"/>
                      <w:lang w:val="en-US" w:eastAsia="zh-CN"/>
                    </w:rPr>
                  </w:pPr>
                  <w:r>
                    <w:rPr>
                      <w:rFonts w:hint="eastAsia" w:ascii="Times New Roman" w:hAnsi="Times New Roman" w:eastAsia="宋体" w:cs="Times New Roman"/>
                      <w:kern w:val="2"/>
                      <w:sz w:val="21"/>
                      <w:szCs w:val="24"/>
                      <w:lang w:val="en-US" w:eastAsia="zh-CN" w:bidi="ar-SA"/>
                    </w:rPr>
                    <w:t>碳氢化合物</w:t>
                  </w:r>
                </w:p>
              </w:tc>
              <w:tc>
                <w:tcPr>
                  <w:tcW w:w="873" w:type="dxa"/>
                  <w:shd w:val="clear" w:color="auto" w:fill="auto"/>
                  <w:vAlign w:val="center"/>
                </w:tcPr>
                <w:p w14:paraId="54D275FB">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78000m³</w:t>
                  </w:r>
                </w:p>
              </w:tc>
              <w:tc>
                <w:tcPr>
                  <w:tcW w:w="1622" w:type="dxa"/>
                  <w:shd w:val="clear" w:color="auto" w:fill="auto"/>
                  <w:vAlign w:val="center"/>
                </w:tcPr>
                <w:p w14:paraId="7000BD75">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cs="Times New Roman"/>
                      <w:kern w:val="2"/>
                      <w:sz w:val="21"/>
                      <w:szCs w:val="21"/>
                      <w:lang w:val="en-US" w:eastAsia="zh-CN" w:bidi="ar-SA"/>
                    </w:rPr>
                  </w:pPr>
                  <w:r>
                    <w:rPr>
                      <w:rFonts w:hint="eastAsia" w:cs="Times New Roman"/>
                      <w:kern w:val="2"/>
                      <w:sz w:val="21"/>
                      <w:szCs w:val="21"/>
                      <w:lang w:val="en-US" w:eastAsia="zh-CN" w:bidi="ar-SA"/>
                    </w:rPr>
                    <w:t>/</w:t>
                  </w:r>
                </w:p>
              </w:tc>
              <w:tc>
                <w:tcPr>
                  <w:tcW w:w="968" w:type="dxa"/>
                  <w:shd w:val="clear" w:color="auto" w:fill="auto"/>
                  <w:vAlign w:val="center"/>
                </w:tcPr>
                <w:p w14:paraId="7B420138">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eastAsia="宋体"/>
                      <w:szCs w:val="21"/>
                      <w:lang w:val="en-US" w:eastAsia="zh-CN"/>
                    </w:rPr>
                  </w:pPr>
                  <w:r>
                    <w:rPr>
                      <w:rFonts w:ascii="Times New Roman" w:hAnsi="Times New Roman" w:cs="Times New Roman"/>
                      <w:color w:val="auto"/>
                      <w:szCs w:val="21"/>
                    </w:rPr>
                    <w:t>1</w:t>
                  </w:r>
                  <w:r>
                    <w:rPr>
                      <w:color w:val="auto"/>
                      <w:szCs w:val="21"/>
                    </w:rPr>
                    <w:t>.18m</w:t>
                  </w:r>
                  <w:r>
                    <w:rPr>
                      <w:color w:val="auto"/>
                      <w:szCs w:val="21"/>
                      <w:vertAlign w:val="superscript"/>
                    </w:rPr>
                    <w:t>3</w:t>
                  </w:r>
                  <w:r>
                    <w:rPr>
                      <w:rFonts w:hint="default"/>
                      <w:szCs w:val="21"/>
                      <w:lang w:val="en-US" w:eastAsia="zh-CN"/>
                    </w:rPr>
                    <w:t>/</w:t>
                  </w:r>
                  <w:r>
                    <w:rPr>
                      <w:rFonts w:hint="eastAsia"/>
                      <w:szCs w:val="21"/>
                      <w:lang w:val="en-US" w:eastAsia="zh-CN"/>
                    </w:rPr>
                    <w:t>瓶</w:t>
                  </w:r>
                </w:p>
              </w:tc>
              <w:tc>
                <w:tcPr>
                  <w:tcW w:w="1433" w:type="dxa"/>
                  <w:shd w:val="clear" w:color="auto" w:fill="auto"/>
                  <w:vAlign w:val="center"/>
                </w:tcPr>
                <w:p w14:paraId="274DB931">
                  <w:pPr>
                    <w:keepNext w:val="0"/>
                    <w:keepLines w:val="0"/>
                    <w:pageBreakBefore w:val="0"/>
                    <w:widowControl/>
                    <w:tabs>
                      <w:tab w:val="center" w:pos="4153"/>
                      <w:tab w:val="right" w:pos="8306"/>
                    </w:tabs>
                    <w:kinsoku/>
                    <w:wordWrap/>
                    <w:overflowPunct/>
                    <w:topLinePunct w:val="0"/>
                    <w:autoSpaceDE/>
                    <w:autoSpaceDN/>
                    <w:bidi w:val="0"/>
                    <w:adjustRightInd/>
                    <w:snapToGrid w:val="0"/>
                    <w:jc w:val="center"/>
                    <w:textAlignment w:val="auto"/>
                    <w:rPr>
                      <w:rFonts w:hint="default"/>
                      <w:szCs w:val="21"/>
                      <w:lang w:val="en-US" w:eastAsia="zh-CN"/>
                    </w:rPr>
                  </w:pPr>
                  <w:r>
                    <w:rPr>
                      <w:rFonts w:hint="eastAsia"/>
                      <w:szCs w:val="21"/>
                      <w:lang w:val="en-US" w:eastAsia="zh-CN"/>
                    </w:rPr>
                    <w:t>气体</w:t>
                  </w:r>
                </w:p>
              </w:tc>
            </w:tr>
          </w:tbl>
          <w:p w14:paraId="56C58630">
            <w:pPr>
              <w:pStyle w:val="27"/>
              <w:spacing w:line="360" w:lineRule="auto"/>
              <w:ind w:left="488"/>
              <w:rPr>
                <w:rFonts w:ascii="Times New Roman" w:hAnsi="Times New Roman" w:cs="Times New Roman" w:eastAsiaTheme="minorEastAsia"/>
                <w:sz w:val="24"/>
                <w:lang w:val="en-US"/>
              </w:rPr>
            </w:pPr>
            <w:r>
              <w:rPr>
                <w:rFonts w:hint="eastAsia" w:ascii="Times New Roman" w:hAnsi="Times New Roman" w:cs="Times New Roman" w:eastAsiaTheme="minorEastAsia"/>
                <w:sz w:val="24"/>
                <w:lang w:val="en-US" w:eastAsia="zh-CN"/>
              </w:rPr>
              <w:t>（2）</w:t>
            </w:r>
            <w:r>
              <w:rPr>
                <w:rFonts w:ascii="Times New Roman" w:hAnsi="Times New Roman" w:cs="Times New Roman" w:eastAsiaTheme="minorEastAsia"/>
                <w:sz w:val="24"/>
                <w:lang w:val="en-US"/>
              </w:rPr>
              <w:t>项目主要原辅材料理化性质</w:t>
            </w:r>
          </w:p>
          <w:p w14:paraId="61C6E96A">
            <w:pPr>
              <w:jc w:val="center"/>
              <w:rPr>
                <w:rFonts w:eastAsiaTheme="minorEastAsia"/>
                <w:b/>
                <w:bCs/>
                <w:szCs w:val="21"/>
              </w:rPr>
            </w:pPr>
            <w:r>
              <w:rPr>
                <w:rFonts w:eastAsiaTheme="minorEastAsia"/>
                <w:b/>
                <w:bCs/>
                <w:szCs w:val="21"/>
              </w:rPr>
              <w:t>表2-</w:t>
            </w:r>
            <w:r>
              <w:rPr>
                <w:rFonts w:hint="eastAsia" w:eastAsiaTheme="minorEastAsia"/>
                <w:b/>
                <w:bCs/>
                <w:szCs w:val="21"/>
                <w:lang w:val="en-US" w:eastAsia="zh-CN"/>
              </w:rPr>
              <w:t>4</w:t>
            </w:r>
            <w:r>
              <w:rPr>
                <w:rFonts w:eastAsiaTheme="minorEastAsia"/>
                <w:b/>
                <w:bCs/>
                <w:szCs w:val="21"/>
              </w:rPr>
              <w:t xml:space="preserve">  主要原辅材料理化性质一览表</w:t>
            </w:r>
          </w:p>
          <w:tbl>
            <w:tblPr>
              <w:tblStyle w:val="20"/>
              <w:tblW w:w="801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68"/>
              <w:gridCol w:w="6619"/>
            </w:tblGrid>
            <w:tr w14:paraId="57E81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9" w:hRule="atLeast"/>
                <w:jc w:val="center"/>
              </w:trPr>
              <w:tc>
                <w:tcPr>
                  <w:tcW w:w="424" w:type="dxa"/>
                  <w:tcBorders>
                    <w:tl2br w:val="nil"/>
                    <w:tr2bl w:val="nil"/>
                  </w:tcBorders>
                  <w:vAlign w:val="center"/>
                </w:tcPr>
                <w:p w14:paraId="0BA92F4F">
                  <w:pPr>
                    <w:jc w:val="center"/>
                    <w:rPr>
                      <w:b/>
                      <w:szCs w:val="21"/>
                    </w:rPr>
                  </w:pPr>
                  <w:r>
                    <w:rPr>
                      <w:b/>
                      <w:szCs w:val="21"/>
                    </w:rPr>
                    <w:t>序号</w:t>
                  </w:r>
                </w:p>
              </w:tc>
              <w:tc>
                <w:tcPr>
                  <w:tcW w:w="968" w:type="dxa"/>
                  <w:tcBorders>
                    <w:tl2br w:val="nil"/>
                    <w:tr2bl w:val="nil"/>
                  </w:tcBorders>
                  <w:vAlign w:val="center"/>
                </w:tcPr>
                <w:p w14:paraId="2E33EFF7">
                  <w:pPr>
                    <w:jc w:val="center"/>
                    <w:rPr>
                      <w:b/>
                      <w:szCs w:val="21"/>
                    </w:rPr>
                  </w:pPr>
                  <w:r>
                    <w:rPr>
                      <w:b/>
                      <w:szCs w:val="21"/>
                    </w:rPr>
                    <w:t>原材料名称</w:t>
                  </w:r>
                </w:p>
              </w:tc>
              <w:tc>
                <w:tcPr>
                  <w:tcW w:w="6619" w:type="dxa"/>
                  <w:tcBorders>
                    <w:tl2br w:val="nil"/>
                    <w:tr2bl w:val="nil"/>
                  </w:tcBorders>
                  <w:vAlign w:val="center"/>
                </w:tcPr>
                <w:p w14:paraId="46F78986">
                  <w:pPr>
                    <w:jc w:val="center"/>
                    <w:rPr>
                      <w:b/>
                      <w:szCs w:val="21"/>
                    </w:rPr>
                  </w:pPr>
                  <w:r>
                    <w:rPr>
                      <w:b/>
                      <w:szCs w:val="21"/>
                    </w:rPr>
                    <w:t>性质</w:t>
                  </w:r>
                </w:p>
              </w:tc>
            </w:tr>
            <w:tr w14:paraId="046378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424" w:type="dxa"/>
                  <w:tcBorders>
                    <w:tl2br w:val="nil"/>
                    <w:tr2bl w:val="nil"/>
                  </w:tcBorders>
                  <w:vAlign w:val="center"/>
                </w:tcPr>
                <w:p w14:paraId="7B0E7303">
                  <w:pPr>
                    <w:jc w:val="center"/>
                  </w:pPr>
                  <w:r>
                    <w:t>1</w:t>
                  </w:r>
                </w:p>
              </w:tc>
              <w:tc>
                <w:tcPr>
                  <w:tcW w:w="968" w:type="dxa"/>
                  <w:tcBorders>
                    <w:tl2br w:val="nil"/>
                    <w:tr2bl w:val="nil"/>
                  </w:tcBorders>
                  <w:vAlign w:val="center"/>
                </w:tcPr>
                <w:p w14:paraId="18700BF7">
                  <w:pPr>
                    <w:jc w:val="center"/>
                  </w:pPr>
                  <w:r>
                    <w:t>聚酯树脂</w:t>
                  </w:r>
                </w:p>
              </w:tc>
              <w:tc>
                <w:tcPr>
                  <w:tcW w:w="6619" w:type="dxa"/>
                  <w:tcBorders>
                    <w:tl2br w:val="nil"/>
                    <w:tr2bl w:val="nil"/>
                  </w:tcBorders>
                  <w:vAlign w:val="center"/>
                </w:tcPr>
                <w:p w14:paraId="55963B51">
                  <w:r>
                    <w:t>浅黄色透明颗粒，软化点70-120℃，酸值30~75mgKOH/g，沸点170-180℃，分解温度300℃，无毒。密度1.092g/mL（25℃），闪点&gt;230℃。由邻苯二甲酸酐、间苯二甲酸酐等多元酸和二乙醇、新戊二醇等多元醇进行缩合制成含有端羧基的饱和聚酯树脂，广泛用于环氧/聚酯混合型涂料中，使其装饰性、施工性、储存稳定性方面具有优良性能，用于纺制涤纶纤维。</w:t>
                  </w:r>
                </w:p>
              </w:tc>
            </w:tr>
            <w:tr w14:paraId="79022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tcBorders>
                    <w:tl2br w:val="nil"/>
                    <w:tr2bl w:val="nil"/>
                  </w:tcBorders>
                  <w:vAlign w:val="center"/>
                </w:tcPr>
                <w:p w14:paraId="3BBAA561">
                  <w:pPr>
                    <w:jc w:val="center"/>
                  </w:pPr>
                  <w:r>
                    <w:t>2</w:t>
                  </w:r>
                </w:p>
              </w:tc>
              <w:tc>
                <w:tcPr>
                  <w:tcW w:w="968" w:type="dxa"/>
                  <w:tcBorders>
                    <w:tl2br w:val="nil"/>
                    <w:tr2bl w:val="nil"/>
                  </w:tcBorders>
                  <w:vAlign w:val="center"/>
                </w:tcPr>
                <w:p w14:paraId="39A8A681">
                  <w:pPr>
                    <w:jc w:val="center"/>
                  </w:pPr>
                  <w:r>
                    <w:t>环氧树脂</w:t>
                  </w:r>
                </w:p>
              </w:tc>
              <w:tc>
                <w:tcPr>
                  <w:tcW w:w="6619" w:type="dxa"/>
                  <w:tcBorders>
                    <w:tl2br w:val="nil"/>
                    <w:tr2bl w:val="nil"/>
                  </w:tcBorders>
                  <w:vAlign w:val="center"/>
                </w:tcPr>
                <w:p w14:paraId="279A4535">
                  <w:r>
                    <w:t>含有环氧基团的树脂的总称，无毒，主要由环氧氯丙烷和多酚类（如双酚A）等缩聚而成。外观为淡黄色至棕色透明液体。熔点一般是145~155℃，闪点252℃。溶于丙酮、</w:t>
                  </w:r>
                  <w:r>
                    <w:rPr>
                      <w:rFonts w:hint="eastAsia"/>
                      <w:lang w:eastAsia="zh-CN"/>
                    </w:rPr>
                    <w:t>环己酮</w:t>
                  </w:r>
                  <w:r>
                    <w:t>、乙二醇、甲苯和苯乙烯等。与多元胺、有机酸酐或其他固化剂等反应变成坚硬的体型高分子化合物。无臭、无味。耐碱和大部分溶剂。对金属和非金属具有优异的粘合力。耐热性、绝缘性、硬度和柔韧性都好。可用作金属和非金属材料（如陶瓷、玻璃、木材等）的胶粘剂（粘合力强，俗称万能胶）。也可用以制造涂料、增强塑料或浇铸成绝缘制件等。并可用于处理纺织品，可有防皱、防缩、耐水等作用。低分子量的环氧树脂可用作聚氯乙烯的稳定剂。</w:t>
                  </w:r>
                </w:p>
              </w:tc>
            </w:tr>
            <w:tr w14:paraId="6EDA8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tcBorders>
                    <w:tl2br w:val="nil"/>
                    <w:tr2bl w:val="nil"/>
                  </w:tcBorders>
                  <w:vAlign w:val="center"/>
                </w:tcPr>
                <w:p w14:paraId="0B524E5A">
                  <w:pPr>
                    <w:jc w:val="center"/>
                  </w:pPr>
                  <w:r>
                    <w:t>3</w:t>
                  </w:r>
                </w:p>
              </w:tc>
              <w:tc>
                <w:tcPr>
                  <w:tcW w:w="968" w:type="dxa"/>
                  <w:tcBorders>
                    <w:tl2br w:val="nil"/>
                    <w:tr2bl w:val="nil"/>
                  </w:tcBorders>
                  <w:vAlign w:val="center"/>
                </w:tcPr>
                <w:p w14:paraId="3B73257E">
                  <w:pPr>
                    <w:jc w:val="center"/>
                  </w:pPr>
                  <w:r>
                    <w:t>钛白粉</w:t>
                  </w:r>
                </w:p>
              </w:tc>
              <w:tc>
                <w:tcPr>
                  <w:tcW w:w="6619" w:type="dxa"/>
                  <w:tcBorders>
                    <w:tl2br w:val="nil"/>
                    <w:tr2bl w:val="nil"/>
                  </w:tcBorders>
                  <w:vAlign w:val="center"/>
                </w:tcPr>
                <w:p w14:paraId="5D7581E2">
                  <w:r>
                    <w:t>俗称钛白或钛白粉，无毒，化学式TiO</w:t>
                  </w:r>
                  <w:r>
                    <w:rPr>
                      <w:vertAlign w:val="subscript"/>
                    </w:rPr>
                    <w:t>2</w:t>
                  </w:r>
                  <w:r>
                    <w:t>，分子量79.90，白色无定形粉末，加热时变黄，受高温变棕色，冷时再呈白色，熔点1840℃，沸点2900℃，密度4.26g/mL（25℃），闪点&gt;2500℃。化学性质稳定，不溶于水，不溶于盐酸、硝酸和稀硫酸，溶于热浓硫酸、氢氟酸。用作重要的白色颜料和陶瓷釉药，还用于制金属钛、钛铁合金、硬质合金，橡胶、造纸作填料，电机工业用于制绝缘体、电瓷等。</w:t>
                  </w:r>
                </w:p>
              </w:tc>
            </w:tr>
            <w:tr w14:paraId="25AF9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tcBorders>
                    <w:tl2br w:val="nil"/>
                    <w:tr2bl w:val="nil"/>
                  </w:tcBorders>
                  <w:vAlign w:val="center"/>
                </w:tcPr>
                <w:p w14:paraId="5A91E722">
                  <w:pPr>
                    <w:jc w:val="center"/>
                  </w:pPr>
                  <w:r>
                    <w:t>4</w:t>
                  </w:r>
                </w:p>
              </w:tc>
              <w:tc>
                <w:tcPr>
                  <w:tcW w:w="968" w:type="dxa"/>
                  <w:tcBorders>
                    <w:tl2br w:val="nil"/>
                    <w:tr2bl w:val="nil"/>
                  </w:tcBorders>
                  <w:vAlign w:val="center"/>
                </w:tcPr>
                <w:p w14:paraId="4684EC08">
                  <w:pPr>
                    <w:jc w:val="center"/>
                  </w:pPr>
                  <w:r>
                    <w:t>硫酸钡</w:t>
                  </w:r>
                </w:p>
              </w:tc>
              <w:tc>
                <w:tcPr>
                  <w:tcW w:w="6619" w:type="dxa"/>
                  <w:tcBorders>
                    <w:tl2br w:val="nil"/>
                    <w:tr2bl w:val="nil"/>
                  </w:tcBorders>
                  <w:vAlign w:val="center"/>
                </w:tcPr>
                <w:p w14:paraId="2C4D3890">
                  <w:r>
                    <w:t>硫酸钡又称重晶石，化学式BaSO4，无色或白色斜方晶系结晶或粉末，相对分子质量233.40，相对密度4.5（15℃）。熔点1580℃，折射率1.637。几乎不溶于水，微溶于浓硫酸，溶于碳酸碱金属盐溶液中，不溶于其他酸碱。用于分析试剂、电子、仪表、冶金等工业，用作白色颜料，肠胃X射线透视造影时服用的药剂，炼铜溶剂，钻井泥浆比重增大剂以及橡胶、造纸、塑料的白色填料。</w:t>
                  </w:r>
                </w:p>
              </w:tc>
            </w:tr>
            <w:tr w14:paraId="547CB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tcBorders>
                    <w:tl2br w:val="nil"/>
                    <w:tr2bl w:val="nil"/>
                  </w:tcBorders>
                  <w:vAlign w:val="center"/>
                </w:tcPr>
                <w:p w14:paraId="02960FA1">
                  <w:pPr>
                    <w:jc w:val="center"/>
                  </w:pPr>
                  <w:r>
                    <w:t>5</w:t>
                  </w:r>
                </w:p>
              </w:tc>
              <w:tc>
                <w:tcPr>
                  <w:tcW w:w="968" w:type="dxa"/>
                  <w:tcBorders>
                    <w:tl2br w:val="nil"/>
                    <w:tr2bl w:val="nil"/>
                  </w:tcBorders>
                  <w:vAlign w:val="center"/>
                </w:tcPr>
                <w:p w14:paraId="0B78F020">
                  <w:pPr>
                    <w:jc w:val="center"/>
                  </w:pPr>
                  <w:r>
                    <w:t>颜料</w:t>
                  </w:r>
                </w:p>
              </w:tc>
              <w:tc>
                <w:tcPr>
                  <w:tcW w:w="6619" w:type="dxa"/>
                  <w:tcBorders>
                    <w:tl2br w:val="nil"/>
                    <w:tr2bl w:val="nil"/>
                  </w:tcBorders>
                  <w:vAlign w:val="center"/>
                </w:tcPr>
                <w:p w14:paraId="714DE89B">
                  <w:r>
                    <w:t>本项目颜料主要包括：无机颜料（铁红、铁黄、群青）。铁红、铁黄为氧化铁颜料在粉末涂料中应用很普遍，价格较为低廉，无毒，易分散，粒子呈针状。粒度为0.2～1.5μm。表面积为7～15m</w:t>
                  </w:r>
                  <w:r>
                    <w:rPr>
                      <w:vertAlign w:val="superscript"/>
                    </w:rPr>
                    <w:t>2</w:t>
                  </w:r>
                  <w:r>
                    <w:t>/g。密度为4.03g/cm</w:t>
                  </w:r>
                  <w:r>
                    <w:rPr>
                      <w:vertAlign w:val="superscript"/>
                    </w:rPr>
                    <w:t>3</w:t>
                  </w:r>
                  <w:r>
                    <w:t>。折射率2.3。吸油量为36～55g/100g。</w:t>
                  </w:r>
                </w:p>
              </w:tc>
            </w:tr>
            <w:tr w14:paraId="26BE0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tcBorders>
                    <w:tl2br w:val="nil"/>
                    <w:tr2bl w:val="nil"/>
                  </w:tcBorders>
                  <w:vAlign w:val="center"/>
                </w:tcPr>
                <w:p w14:paraId="6776ED7A">
                  <w:pPr>
                    <w:jc w:val="center"/>
                    <w:rPr>
                      <w:rFonts w:hint="eastAsia" w:eastAsia="宋体"/>
                      <w:lang w:val="en-US" w:eastAsia="zh-CN"/>
                    </w:rPr>
                  </w:pPr>
                  <w:r>
                    <w:rPr>
                      <w:rFonts w:hint="eastAsia"/>
                      <w:lang w:val="en-US" w:eastAsia="zh-CN"/>
                    </w:rPr>
                    <w:t>6</w:t>
                  </w:r>
                </w:p>
              </w:tc>
              <w:tc>
                <w:tcPr>
                  <w:tcW w:w="968" w:type="dxa"/>
                  <w:tcBorders>
                    <w:tl2br w:val="nil"/>
                    <w:tr2bl w:val="nil"/>
                  </w:tcBorders>
                  <w:vAlign w:val="center"/>
                </w:tcPr>
                <w:p w14:paraId="5372F6A2">
                  <w:pPr>
                    <w:jc w:val="center"/>
                  </w:pPr>
                  <w:r>
                    <w:rPr>
                      <w:rFonts w:hint="eastAsia"/>
                      <w:szCs w:val="21"/>
                      <w:lang w:val="en-US" w:eastAsia="zh-CN"/>
                    </w:rPr>
                    <w:t>除油剂</w:t>
                  </w:r>
                </w:p>
              </w:tc>
              <w:tc>
                <w:tcPr>
                  <w:tcW w:w="6619" w:type="dxa"/>
                  <w:tcBorders>
                    <w:tl2br w:val="nil"/>
                    <w:tr2bl w:val="nil"/>
                  </w:tcBorders>
                  <w:vAlign w:val="center"/>
                </w:tcPr>
                <w:p w14:paraId="3296C4AE">
                  <w:pPr>
                    <w:spacing w:line="240" w:lineRule="auto"/>
                    <w:rPr>
                      <w:rFonts w:hint="eastAsia" w:eastAsia="宋体"/>
                      <w:lang w:eastAsia="zh-CN"/>
                    </w:rPr>
                  </w:pPr>
                  <w:r>
                    <w:rPr>
                      <w:rFonts w:ascii="Times New Roman" w:hAnsi="Times New Roman" w:eastAsia="宋体" w:cs="Times New Roman"/>
                    </w:rPr>
                    <w:t>俗称泡花碱，是一种水溶性</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"https://baike.so.com/doc/3896712-4090078.html" \t "https://baike.so.com/doc/_blank"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硅酸盐</w:t>
                  </w:r>
                  <w:r>
                    <w:rPr>
                      <w:rFonts w:hint="default" w:ascii="Times New Roman" w:hAnsi="Times New Roman" w:eastAsia="宋体" w:cs="Times New Roman"/>
                    </w:rPr>
                    <w:fldChar w:fldCharType="end"/>
                  </w:r>
                  <w:r>
                    <w:rPr>
                      <w:rFonts w:hint="default" w:ascii="Times New Roman" w:hAnsi="Times New Roman" w:eastAsia="宋体" w:cs="Times New Roman"/>
                    </w:rPr>
                    <w:t>，其水溶液俗称水玻璃，是一种矿黏合剂。其化学式为R</w:t>
                  </w:r>
                  <w:r>
                    <w:rPr>
                      <w:rFonts w:hint="default" w:ascii="Times New Roman" w:hAnsi="Times New Roman" w:eastAsia="宋体" w:cs="Times New Roman"/>
                      <w:vertAlign w:val="subscript"/>
                    </w:rPr>
                    <w:t>2</w:t>
                  </w:r>
                  <w:r>
                    <w:rPr>
                      <w:rFonts w:hint="default" w:ascii="Times New Roman" w:hAnsi="Times New Roman" w:eastAsia="宋体" w:cs="Times New Roman"/>
                    </w:rPr>
                    <w:t>O·nSiO</w:t>
                  </w:r>
                  <w:r>
                    <w:rPr>
                      <w:rFonts w:hint="default" w:ascii="Times New Roman" w:hAnsi="Times New Roman" w:eastAsia="宋体" w:cs="Times New Roman"/>
                      <w:vertAlign w:val="subscript"/>
                    </w:rPr>
                    <w:t>2</w:t>
                  </w:r>
                  <w:r>
                    <w:rPr>
                      <w:rFonts w:hint="default" w:ascii="Times New Roman" w:hAnsi="Times New Roman" w:eastAsia="宋体" w:cs="Times New Roman"/>
                    </w:rPr>
                    <w:t>，式中R</w:t>
                  </w:r>
                  <w:r>
                    <w:rPr>
                      <w:rFonts w:hint="default" w:ascii="Times New Roman" w:hAnsi="Times New Roman" w:eastAsia="宋体" w:cs="Times New Roman"/>
                      <w:vertAlign w:val="subscript"/>
                    </w:rPr>
                    <w:t>2</w:t>
                  </w:r>
                  <w:r>
                    <w:rPr>
                      <w:rFonts w:hint="default" w:ascii="Times New Roman" w:hAnsi="Times New Roman" w:eastAsia="宋体" w:cs="Times New Roman"/>
                    </w:rPr>
                    <w:t>O为碱金属氧化物，n为</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"https://baike.so.com/doc/2659148-2808005.html" \t "https://baike.so.com/doc/_blank" </w:instrText>
                  </w:r>
                  <w:r>
                    <w:rPr>
                      <w:rFonts w:hint="default" w:ascii="Times New Roman" w:hAnsi="Times New Roman" w:eastAsia="宋体" w:cs="Times New Roman"/>
                    </w:rPr>
                    <w:fldChar w:fldCharType="separate"/>
                  </w:r>
                  <w:r>
                    <w:rPr>
                      <w:rFonts w:hint="default" w:ascii="Times New Roman" w:hAnsi="Times New Roman" w:eastAsia="宋体" w:cs="Times New Roman"/>
                    </w:rPr>
                    <w:t>二氧化硅</w:t>
                  </w:r>
                  <w:r>
                    <w:rPr>
                      <w:rFonts w:hint="default" w:ascii="Times New Roman" w:hAnsi="Times New Roman" w:eastAsia="宋体" w:cs="Times New Roman"/>
                    </w:rPr>
                    <w:fldChar w:fldCharType="end"/>
                  </w:r>
                  <w:r>
                    <w:rPr>
                      <w:rFonts w:hint="default" w:ascii="Times New Roman" w:hAnsi="Times New Roman" w:eastAsia="宋体" w:cs="Times New Roman"/>
                    </w:rPr>
                    <w:t>与碱金属氧化物摩尔数的比值，称为水玻璃的摩数</w:t>
                  </w:r>
                  <w:r>
                    <w:rPr>
                      <w:rFonts w:hint="eastAsia" w:cs="Times New Roman"/>
                      <w:lang w:eastAsia="zh-CN"/>
                    </w:rPr>
                    <w:t>。</w:t>
                  </w:r>
                </w:p>
              </w:tc>
            </w:tr>
            <w:tr w14:paraId="2583A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4" w:type="dxa"/>
                  <w:tcBorders>
                    <w:tl2br w:val="nil"/>
                    <w:tr2bl w:val="nil"/>
                  </w:tcBorders>
                  <w:vAlign w:val="center"/>
                </w:tcPr>
                <w:p w14:paraId="5481DEC9">
                  <w:pPr>
                    <w:jc w:val="center"/>
                    <w:rPr>
                      <w:rFonts w:hint="default"/>
                      <w:lang w:val="en-US" w:eastAsia="zh-CN"/>
                    </w:rPr>
                  </w:pPr>
                  <w:r>
                    <w:rPr>
                      <w:rFonts w:hint="eastAsia"/>
                      <w:lang w:val="en-US" w:eastAsia="zh-CN"/>
                    </w:rPr>
                    <w:t>7</w:t>
                  </w:r>
                </w:p>
              </w:tc>
              <w:tc>
                <w:tcPr>
                  <w:tcW w:w="968" w:type="dxa"/>
                  <w:tcBorders>
                    <w:tl2br w:val="nil"/>
                    <w:tr2bl w:val="nil"/>
                  </w:tcBorders>
                  <w:vAlign w:val="center"/>
                </w:tcPr>
                <w:p w14:paraId="162FE798">
                  <w:pPr>
                    <w:jc w:val="center"/>
                    <w:rPr>
                      <w:rFonts w:hint="default"/>
                      <w:szCs w:val="21"/>
                      <w:lang w:val="en-US" w:eastAsia="zh-CN"/>
                    </w:rPr>
                  </w:pPr>
                  <w:r>
                    <w:rPr>
                      <w:rFonts w:hint="eastAsia"/>
                      <w:szCs w:val="21"/>
                      <w:lang w:val="en-US" w:eastAsia="zh-CN"/>
                    </w:rPr>
                    <w:t>液化石油气</w:t>
                  </w:r>
                </w:p>
              </w:tc>
              <w:tc>
                <w:tcPr>
                  <w:tcW w:w="6619" w:type="dxa"/>
                  <w:tcBorders>
                    <w:tl2br w:val="nil"/>
                    <w:tr2bl w:val="nil"/>
                  </w:tcBorders>
                  <w:vAlign w:val="center"/>
                </w:tcPr>
                <w:p w14:paraId="5AC470F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ascii="Times New Roman" w:hAnsi="Times New Roman" w:eastAsia="宋体" w:cs="Times New Roman"/>
                    </w:rPr>
                  </w:pPr>
                  <w:r>
                    <w:rPr>
                      <w:rFonts w:hint="eastAsia" w:ascii="Times New Roman" w:hAnsi="Times New Roman" w:eastAsia="宋体" w:cs="Times New Roman"/>
                      <w:kern w:val="2"/>
                      <w:sz w:val="21"/>
                      <w:szCs w:val="24"/>
                      <w:lang w:val="en-US" w:eastAsia="zh-CN" w:bidi="ar-SA"/>
                    </w:rPr>
                    <w:t>液化石油气是由碳氢化合物所组成，主要成分为丙烷、丁烷以及其他烷系或烯类等，无色气体或黄棕色油状液体有特殊臭味。</w:t>
                  </w:r>
                  <w:r>
                    <w:rPr>
                      <w:rFonts w:hint="default" w:ascii="Times New Roman" w:hAnsi="Times New Roman" w:eastAsia="宋体" w:cs="Times New Roman"/>
                      <w:kern w:val="2"/>
                      <w:sz w:val="21"/>
                      <w:szCs w:val="24"/>
                      <w:lang w:val="en-US" w:eastAsia="zh-CN" w:bidi="ar-SA"/>
                    </w:rPr>
                    <w:t>液态液化石油气580kg/m3，气态密度为2.35kg/m</w:t>
                  </w:r>
                  <w:r>
                    <w:rPr>
                      <w:rFonts w:hint="default" w:ascii="Times New Roman" w:hAnsi="Times New Roman" w:eastAsia="宋体" w:cs="Times New Roman"/>
                      <w:kern w:val="2"/>
                      <w:sz w:val="21"/>
                      <w:szCs w:val="24"/>
                      <w:vertAlign w:val="superscript"/>
                      <w:lang w:val="en-US" w:eastAsia="zh-CN" w:bidi="ar-SA"/>
                    </w:rPr>
                    <w:t>3</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闪点</w:t>
                  </w:r>
                  <w:r>
                    <w:rPr>
                      <w:rFonts w:hint="eastAsia" w:ascii="Times New Roman" w:hAnsi="Times New Roman" w:eastAsia="宋体" w:cs="Times New Roman"/>
                      <w:kern w:val="2"/>
                      <w:sz w:val="21"/>
                      <w:szCs w:val="24"/>
                      <w:lang w:val="en-US" w:eastAsia="zh-CN" w:bidi="ar-SA"/>
                    </w:rPr>
                    <w:t>为</w:t>
                  </w:r>
                  <w:r>
                    <w:rPr>
                      <w:rFonts w:hint="default" w:ascii="Times New Roman" w:hAnsi="Times New Roman" w:eastAsia="宋体" w:cs="Times New Roman"/>
                      <w:kern w:val="2"/>
                      <w:sz w:val="21"/>
                      <w:szCs w:val="24"/>
                      <w:lang w:val="en-US" w:eastAsia="zh-CN" w:bidi="ar-SA"/>
                    </w:rPr>
                    <w:t>-74℃</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引燃温度</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426~537℃</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fldChar w:fldCharType="begin"/>
                  </w:r>
                  <w:r>
                    <w:rPr>
                      <w:rFonts w:hint="default" w:ascii="Times New Roman" w:hAnsi="Times New Roman" w:eastAsia="宋体" w:cs="Times New Roman"/>
                      <w:kern w:val="2"/>
                      <w:sz w:val="21"/>
                      <w:szCs w:val="24"/>
                      <w:lang w:val="en-US" w:eastAsia="zh-CN" w:bidi="ar-SA"/>
                    </w:rPr>
                    <w:instrText xml:space="preserve"> HYPERLINK "https://baike.so.com/doc/4338428-4543373.html" \t "https://baike.so.com/doc/_blank" </w:instrText>
                  </w:r>
                  <w:r>
                    <w:rPr>
                      <w:rFonts w:hint="default" w:ascii="Times New Roman" w:hAnsi="Times New Roman" w:eastAsia="宋体" w:cs="Times New Roman"/>
                      <w:kern w:val="2"/>
                      <w:sz w:val="21"/>
                      <w:szCs w:val="24"/>
                      <w:lang w:val="en-US" w:eastAsia="zh-CN" w:bidi="ar-SA"/>
                    </w:rPr>
                    <w:fldChar w:fldCharType="separate"/>
                  </w:r>
                  <w:r>
                    <w:rPr>
                      <w:rFonts w:hint="default" w:ascii="Times New Roman" w:hAnsi="Times New Roman" w:eastAsia="宋体" w:cs="Times New Roman"/>
                      <w:kern w:val="2"/>
                      <w:sz w:val="21"/>
                      <w:szCs w:val="24"/>
                      <w:lang w:val="en-US" w:eastAsia="zh-CN" w:bidi="ar-SA"/>
                    </w:rPr>
                    <w:t>爆炸上限</w:t>
                  </w:r>
                  <w:r>
                    <w:rPr>
                      <w:rFonts w:hint="default" w:ascii="Times New Roman" w:hAnsi="Times New Roman" w:eastAsia="宋体" w:cs="Times New Roman"/>
                      <w:kern w:val="2"/>
                      <w:sz w:val="21"/>
                      <w:szCs w:val="24"/>
                      <w:lang w:val="en-US" w:eastAsia="zh-CN" w:bidi="ar-SA"/>
                    </w:rPr>
                    <w:fldChar w:fldCharType="end"/>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V/V</w:t>
                  </w:r>
                  <w:r>
                    <w:rPr>
                      <w:rFonts w:hint="eastAsia" w:ascii="Times New Roman" w:hAnsi="Times New Roman" w:eastAsia="宋体" w:cs="Times New Roman"/>
                      <w:kern w:val="2"/>
                      <w:sz w:val="21"/>
                      <w:szCs w:val="24"/>
                      <w:lang w:val="en-US" w:eastAsia="zh-CN" w:bidi="ar-SA"/>
                    </w:rPr>
                    <w:t>）为</w:t>
                  </w:r>
                  <w:r>
                    <w:rPr>
                      <w:rFonts w:hint="default" w:ascii="Times New Roman" w:hAnsi="Times New Roman" w:eastAsia="宋体" w:cs="Times New Roman"/>
                      <w:kern w:val="2"/>
                      <w:sz w:val="21"/>
                      <w:szCs w:val="24"/>
                      <w:lang w:val="en-US" w:eastAsia="zh-CN" w:bidi="ar-SA"/>
                    </w:rPr>
                    <w:t>9.5%</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fldChar w:fldCharType="begin"/>
                  </w:r>
                  <w:r>
                    <w:rPr>
                      <w:rFonts w:hint="default" w:ascii="Times New Roman" w:hAnsi="Times New Roman" w:eastAsia="宋体" w:cs="Times New Roman"/>
                      <w:kern w:val="2"/>
                      <w:sz w:val="21"/>
                      <w:szCs w:val="24"/>
                      <w:lang w:val="en-US" w:eastAsia="zh-CN" w:bidi="ar-SA"/>
                    </w:rPr>
                    <w:instrText xml:space="preserve"> HYPERLINK "https://baike.so.com/doc/940274-993783.html" \t "https://baike.so.com/doc/_blank" </w:instrText>
                  </w:r>
                  <w:r>
                    <w:rPr>
                      <w:rFonts w:hint="default" w:ascii="Times New Roman" w:hAnsi="Times New Roman" w:eastAsia="宋体" w:cs="Times New Roman"/>
                      <w:kern w:val="2"/>
                      <w:sz w:val="21"/>
                      <w:szCs w:val="24"/>
                      <w:lang w:val="en-US" w:eastAsia="zh-CN" w:bidi="ar-SA"/>
                    </w:rPr>
                    <w:fldChar w:fldCharType="separate"/>
                  </w:r>
                  <w:r>
                    <w:rPr>
                      <w:rFonts w:hint="default" w:ascii="Times New Roman" w:hAnsi="Times New Roman" w:eastAsia="宋体" w:cs="Times New Roman"/>
                      <w:kern w:val="2"/>
                      <w:sz w:val="21"/>
                      <w:szCs w:val="24"/>
                      <w:lang w:val="en-US" w:eastAsia="zh-CN" w:bidi="ar-SA"/>
                    </w:rPr>
                    <w:t>爆炸下限</w:t>
                  </w:r>
                  <w:r>
                    <w:rPr>
                      <w:rFonts w:hint="default" w:ascii="Times New Roman" w:hAnsi="Times New Roman" w:eastAsia="宋体" w:cs="Times New Roman"/>
                      <w:kern w:val="2"/>
                      <w:sz w:val="21"/>
                      <w:szCs w:val="24"/>
                      <w:lang w:val="en-US" w:eastAsia="zh-CN" w:bidi="ar-SA"/>
                    </w:rPr>
                    <w:fldChar w:fldCharType="end"/>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V/V</w:t>
                  </w:r>
                  <w:r>
                    <w:rPr>
                      <w:rFonts w:hint="eastAsia" w:ascii="Times New Roman" w:hAnsi="Times New Roman" w:eastAsia="宋体" w:cs="Times New Roman"/>
                      <w:kern w:val="2"/>
                      <w:sz w:val="21"/>
                      <w:szCs w:val="24"/>
                      <w:lang w:val="en-US" w:eastAsia="zh-CN" w:bidi="ar-SA"/>
                    </w:rPr>
                    <w:t>）为</w:t>
                  </w:r>
                  <w:r>
                    <w:rPr>
                      <w:rFonts w:hint="default" w:ascii="Times New Roman" w:hAnsi="Times New Roman" w:eastAsia="宋体" w:cs="Times New Roman"/>
                      <w:kern w:val="2"/>
                      <w:sz w:val="21"/>
                      <w:szCs w:val="24"/>
                      <w:lang w:val="en-US" w:eastAsia="zh-CN" w:bidi="ar-SA"/>
                    </w:rPr>
                    <w:t>1.5%</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液化石油气燃烧值</w:t>
                  </w:r>
                  <w:r>
                    <w:rPr>
                      <w:rFonts w:hint="eastAsia" w:ascii="Times New Roman" w:hAnsi="Times New Roman" w:eastAsia="宋体" w:cs="Times New Roman"/>
                      <w:kern w:val="2"/>
                      <w:sz w:val="21"/>
                      <w:szCs w:val="24"/>
                      <w:lang w:val="en-US" w:eastAsia="zh-CN" w:bidi="ar-SA"/>
                    </w:rPr>
                    <w:t>为</w:t>
                  </w:r>
                  <w:r>
                    <w:rPr>
                      <w:rFonts w:hint="default" w:ascii="Times New Roman" w:hAnsi="Times New Roman" w:eastAsia="宋体" w:cs="Times New Roman"/>
                      <w:kern w:val="2"/>
                      <w:sz w:val="21"/>
                      <w:szCs w:val="24"/>
                      <w:lang w:val="en-US" w:eastAsia="zh-CN" w:bidi="ar-SA"/>
                    </w:rPr>
                    <w:t>10650kJ/m3</w:t>
                  </w:r>
                  <w:r>
                    <w:rPr>
                      <w:rFonts w:hint="eastAsia" w:ascii="Times New Roman" w:hAnsi="Times New Roman" w:eastAsia="宋体" w:cs="Times New Roman"/>
                      <w:kern w:val="2"/>
                      <w:sz w:val="21"/>
                      <w:szCs w:val="24"/>
                      <w:lang w:val="en-US" w:eastAsia="zh-CN" w:bidi="ar-SA"/>
                    </w:rPr>
                    <w:t>。</w:t>
                  </w:r>
                  <w:r>
                    <w:rPr>
                      <w:rFonts w:hint="default" w:ascii="Times New Roman" w:hAnsi="Times New Roman" w:eastAsia="宋体" w:cs="Times New Roman"/>
                      <w:kern w:val="2"/>
                      <w:sz w:val="21"/>
                      <w:szCs w:val="24"/>
                      <w:lang w:val="en-US" w:eastAsia="zh-CN" w:bidi="ar-SA"/>
                    </w:rPr>
                    <w:t>液化石油气主要用途用作</w:t>
                  </w:r>
                  <w:r>
                    <w:rPr>
                      <w:rFonts w:hint="default" w:ascii="Times New Roman" w:hAnsi="Times New Roman" w:eastAsia="宋体" w:cs="Times New Roman"/>
                      <w:kern w:val="2"/>
                      <w:sz w:val="21"/>
                      <w:szCs w:val="24"/>
                      <w:lang w:val="en-US" w:eastAsia="zh-CN" w:bidi="ar-SA"/>
                    </w:rPr>
                    <w:fldChar w:fldCharType="begin"/>
                  </w:r>
                  <w:r>
                    <w:rPr>
                      <w:rFonts w:hint="default" w:ascii="Times New Roman" w:hAnsi="Times New Roman" w:eastAsia="宋体" w:cs="Times New Roman"/>
                      <w:kern w:val="2"/>
                      <w:sz w:val="21"/>
                      <w:szCs w:val="24"/>
                      <w:lang w:val="en-US" w:eastAsia="zh-CN" w:bidi="ar-SA"/>
                    </w:rPr>
                    <w:instrText xml:space="preserve"> HYPERLINK "https://baike.so.com/doc/1093015-1156548.html" \t "https://baike.so.com/doc/_blank" </w:instrText>
                  </w:r>
                  <w:r>
                    <w:rPr>
                      <w:rFonts w:hint="default" w:ascii="Times New Roman" w:hAnsi="Times New Roman" w:eastAsia="宋体" w:cs="Times New Roman"/>
                      <w:kern w:val="2"/>
                      <w:sz w:val="21"/>
                      <w:szCs w:val="24"/>
                      <w:lang w:val="en-US" w:eastAsia="zh-CN" w:bidi="ar-SA"/>
                    </w:rPr>
                    <w:fldChar w:fldCharType="separate"/>
                  </w:r>
                  <w:r>
                    <w:rPr>
                      <w:rFonts w:hint="default" w:ascii="Times New Roman" w:hAnsi="Times New Roman" w:eastAsia="宋体" w:cs="Times New Roman"/>
                      <w:kern w:val="2"/>
                      <w:sz w:val="21"/>
                      <w:szCs w:val="24"/>
                      <w:lang w:val="en-US" w:eastAsia="zh-CN" w:bidi="ar-SA"/>
                    </w:rPr>
                    <w:t>石油</w:t>
                  </w:r>
                  <w:r>
                    <w:rPr>
                      <w:rFonts w:hint="default" w:ascii="Times New Roman" w:hAnsi="Times New Roman" w:eastAsia="宋体" w:cs="Times New Roman"/>
                      <w:kern w:val="2"/>
                      <w:sz w:val="21"/>
                      <w:szCs w:val="24"/>
                      <w:lang w:val="en-US" w:eastAsia="zh-CN" w:bidi="ar-SA"/>
                    </w:rPr>
                    <w:fldChar w:fldCharType="end"/>
                  </w:r>
                  <w:r>
                    <w:rPr>
                      <w:rFonts w:hint="default" w:ascii="Times New Roman" w:hAnsi="Times New Roman" w:eastAsia="宋体" w:cs="Times New Roman"/>
                      <w:kern w:val="2"/>
                      <w:sz w:val="21"/>
                      <w:szCs w:val="24"/>
                      <w:lang w:val="en-US" w:eastAsia="zh-CN" w:bidi="ar-SA"/>
                    </w:rPr>
                    <w:t>化工的原料，也可用作燃料。液化石油气</w:t>
                  </w:r>
                  <w:r>
                    <w:rPr>
                      <w:rFonts w:hint="eastAsia" w:ascii="Times New Roman" w:hAnsi="Times New Roman" w:eastAsia="宋体" w:cs="Times New Roman"/>
                      <w:kern w:val="2"/>
                      <w:sz w:val="21"/>
                      <w:szCs w:val="24"/>
                      <w:lang w:val="en-US" w:eastAsia="zh-CN" w:bidi="ar-SA"/>
                    </w:rPr>
                    <w:t>应储存在阴凉、干燥、通风良好的不燃仓间。仓内温度不宜超过30℃。远离火种、热源，防止阳光直射。应与氧气、压缩空气、卤素、氧化剂分开存放。罐储时要有防火防爆技术措施。禁止使用易产生火花的机械设备和工具。</w:t>
                  </w:r>
                </w:p>
              </w:tc>
            </w:tr>
          </w:tbl>
          <w:p w14:paraId="0D3C98E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highlight w:val="none"/>
              </w:rPr>
            </w:pPr>
            <w:r>
              <w:rPr>
                <w:rFonts w:hint="eastAsia" w:cs="Times New Roman" w:eastAsiaTheme="minorEastAsia"/>
                <w:b/>
                <w:bCs/>
                <w:sz w:val="24"/>
                <w:lang w:val="en-US" w:eastAsia="zh-CN" w:bidi="ar-SA"/>
              </w:rPr>
              <w:t>6.</w:t>
            </w:r>
            <w:r>
              <w:rPr>
                <w:rFonts w:hint="default" w:ascii="Times New Roman" w:hAnsi="Times New Roman" w:eastAsia="宋体" w:cs="Times New Roman"/>
                <w:b/>
                <w:color w:val="auto"/>
                <w:sz w:val="24"/>
                <w:highlight w:val="none"/>
              </w:rPr>
              <w:t>产品方案及建设规模</w:t>
            </w:r>
          </w:p>
          <w:p w14:paraId="3A70D8C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eastAsiaTheme="minorEastAsia"/>
                <w:sz w:val="24"/>
              </w:rPr>
            </w:pPr>
            <w:r>
              <w:rPr>
                <w:rFonts w:eastAsiaTheme="minorEastAsia"/>
                <w:sz w:val="24"/>
              </w:rPr>
              <w:t>本项目主要产品方案见表2-</w:t>
            </w:r>
            <w:r>
              <w:rPr>
                <w:rFonts w:hint="eastAsia" w:eastAsiaTheme="minorEastAsia"/>
                <w:sz w:val="24"/>
                <w:lang w:val="en-US" w:eastAsia="zh-CN"/>
              </w:rPr>
              <w:t>5</w:t>
            </w:r>
            <w:r>
              <w:rPr>
                <w:rFonts w:eastAsiaTheme="minorEastAsia"/>
                <w:sz w:val="24"/>
              </w:rPr>
              <w:t>。</w:t>
            </w:r>
          </w:p>
          <w:p w14:paraId="5E055950">
            <w:pPr>
              <w:jc w:val="center"/>
              <w:rPr>
                <w:rFonts w:eastAsiaTheme="minorEastAsia"/>
                <w:b/>
                <w:bCs/>
                <w:szCs w:val="21"/>
              </w:rPr>
            </w:pPr>
            <w:r>
              <w:rPr>
                <w:rFonts w:eastAsiaTheme="minorEastAsia"/>
                <w:b/>
                <w:bCs/>
                <w:szCs w:val="21"/>
              </w:rPr>
              <w:t>表2-</w:t>
            </w:r>
            <w:r>
              <w:rPr>
                <w:rFonts w:hint="eastAsia" w:eastAsiaTheme="minorEastAsia"/>
                <w:b/>
                <w:bCs/>
                <w:szCs w:val="21"/>
                <w:lang w:val="en-US" w:eastAsia="zh-CN"/>
              </w:rPr>
              <w:t>5</w:t>
            </w:r>
            <w:r>
              <w:rPr>
                <w:rFonts w:eastAsiaTheme="minorEastAsia"/>
                <w:b/>
                <w:bCs/>
                <w:szCs w:val="21"/>
              </w:rPr>
              <w:t xml:space="preserve"> </w:t>
            </w:r>
            <w:r>
              <w:rPr>
                <w:rFonts w:hint="eastAsia" w:eastAsiaTheme="minorEastAsia"/>
                <w:b/>
                <w:bCs/>
                <w:szCs w:val="21"/>
              </w:rPr>
              <w:t xml:space="preserve"> </w:t>
            </w:r>
            <w:r>
              <w:rPr>
                <w:rFonts w:eastAsiaTheme="minorEastAsia"/>
                <w:b/>
                <w:bCs/>
                <w:szCs w:val="21"/>
              </w:rPr>
              <w:t>项目产品方案</w:t>
            </w:r>
          </w:p>
          <w:tbl>
            <w:tblPr>
              <w:tblStyle w:val="21"/>
              <w:tblW w:w="454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1731"/>
              <w:gridCol w:w="1752"/>
              <w:gridCol w:w="2404"/>
            </w:tblGrid>
            <w:tr w14:paraId="18082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06" w:type="pct"/>
                  <w:tcBorders>
                    <w:tl2br w:val="nil"/>
                    <w:tr2bl w:val="nil"/>
                  </w:tcBorders>
                  <w:vAlign w:val="center"/>
                </w:tcPr>
                <w:p w14:paraId="00E7F1CC">
                  <w:pPr>
                    <w:jc w:val="center"/>
                    <w:rPr>
                      <w:rFonts w:eastAsiaTheme="minorEastAsia"/>
                      <w:b/>
                      <w:bCs/>
                      <w:szCs w:val="21"/>
                    </w:rPr>
                  </w:pPr>
                  <w:r>
                    <w:rPr>
                      <w:rFonts w:eastAsiaTheme="minorEastAsia"/>
                      <w:b/>
                      <w:bCs/>
                      <w:szCs w:val="21"/>
                    </w:rPr>
                    <w:t>序号</w:t>
                  </w:r>
                </w:p>
              </w:tc>
              <w:tc>
                <w:tcPr>
                  <w:tcW w:w="1203" w:type="pct"/>
                  <w:tcBorders>
                    <w:tl2br w:val="nil"/>
                    <w:tr2bl w:val="nil"/>
                  </w:tcBorders>
                  <w:vAlign w:val="center"/>
                </w:tcPr>
                <w:p w14:paraId="1016E2E8">
                  <w:pPr>
                    <w:jc w:val="center"/>
                    <w:rPr>
                      <w:rFonts w:eastAsiaTheme="minorEastAsia"/>
                      <w:b/>
                      <w:bCs/>
                      <w:szCs w:val="21"/>
                    </w:rPr>
                  </w:pPr>
                  <w:r>
                    <w:rPr>
                      <w:rFonts w:eastAsiaTheme="minorEastAsia"/>
                      <w:b/>
                      <w:bCs/>
                      <w:szCs w:val="21"/>
                    </w:rPr>
                    <w:t>产品名称</w:t>
                  </w:r>
                </w:p>
              </w:tc>
              <w:tc>
                <w:tcPr>
                  <w:tcW w:w="1218" w:type="pct"/>
                  <w:tcBorders>
                    <w:tl2br w:val="nil"/>
                    <w:tr2bl w:val="nil"/>
                  </w:tcBorders>
                  <w:vAlign w:val="center"/>
                </w:tcPr>
                <w:p w14:paraId="6CE96C49">
                  <w:pPr>
                    <w:jc w:val="center"/>
                    <w:rPr>
                      <w:rFonts w:eastAsiaTheme="minorEastAsia"/>
                      <w:b/>
                      <w:bCs/>
                      <w:color w:val="000000"/>
                      <w:szCs w:val="21"/>
                    </w:rPr>
                  </w:pPr>
                  <w:r>
                    <w:rPr>
                      <w:rFonts w:eastAsiaTheme="minorEastAsia"/>
                      <w:b/>
                      <w:bCs/>
                      <w:color w:val="000000"/>
                      <w:szCs w:val="21"/>
                    </w:rPr>
                    <w:t>产品产量</w:t>
                  </w:r>
                </w:p>
              </w:tc>
              <w:tc>
                <w:tcPr>
                  <w:tcW w:w="1671" w:type="pct"/>
                  <w:tcBorders>
                    <w:tl2br w:val="nil"/>
                    <w:tr2bl w:val="nil"/>
                  </w:tcBorders>
                  <w:vAlign w:val="center"/>
                </w:tcPr>
                <w:p w14:paraId="677877DE">
                  <w:pPr>
                    <w:jc w:val="center"/>
                    <w:rPr>
                      <w:rFonts w:hint="default" w:eastAsiaTheme="minorEastAsia"/>
                      <w:b/>
                      <w:bCs/>
                      <w:color w:val="000000"/>
                      <w:szCs w:val="21"/>
                      <w:lang w:val="en-US" w:eastAsia="zh-CN"/>
                    </w:rPr>
                  </w:pPr>
                  <w:r>
                    <w:rPr>
                      <w:rFonts w:hint="eastAsia" w:eastAsiaTheme="minorEastAsia"/>
                      <w:b/>
                      <w:bCs/>
                      <w:color w:val="000000"/>
                      <w:szCs w:val="21"/>
                      <w:lang w:val="en-US" w:eastAsia="zh-CN"/>
                    </w:rPr>
                    <w:t>备注</w:t>
                  </w:r>
                </w:p>
              </w:tc>
            </w:tr>
            <w:tr w14:paraId="090CA2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906" w:type="pct"/>
                  <w:tcBorders>
                    <w:tl2br w:val="nil"/>
                    <w:tr2bl w:val="nil"/>
                  </w:tcBorders>
                  <w:vAlign w:val="center"/>
                </w:tcPr>
                <w:p w14:paraId="41C29A37">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203" w:type="pct"/>
                  <w:tcBorders>
                    <w:tl2br w:val="nil"/>
                    <w:tr2bl w:val="nil"/>
                  </w:tcBorders>
                  <w:vAlign w:val="center"/>
                </w:tcPr>
                <w:p w14:paraId="2876DE78">
                  <w:pPr>
                    <w:jc w:val="center"/>
                    <w:rPr>
                      <w:rFonts w:hint="eastAsia"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热固性粉末涂料</w:t>
                  </w:r>
                </w:p>
              </w:tc>
              <w:tc>
                <w:tcPr>
                  <w:tcW w:w="1218" w:type="pct"/>
                  <w:tcBorders>
                    <w:tl2br w:val="nil"/>
                    <w:tr2bl w:val="nil"/>
                  </w:tcBorders>
                  <w:vAlign w:val="center"/>
                </w:tcPr>
                <w:p w14:paraId="3E04D20F">
                  <w:pPr>
                    <w:jc w:val="center"/>
                    <w:rPr>
                      <w:rFonts w:eastAsiaTheme="minorEastAsia"/>
                      <w:color w:val="000000" w:themeColor="text1"/>
                      <w:szCs w:val="21"/>
                      <w14:textFill>
                        <w14:solidFill>
                          <w14:schemeClr w14:val="tx1"/>
                        </w14:solidFill>
                      </w14:textFill>
                    </w:rPr>
                  </w:pPr>
                  <w:r>
                    <w:rPr>
                      <w:rFonts w:hint="eastAsia" w:eastAsiaTheme="minorEastAsia"/>
                      <w:b w:val="0"/>
                      <w:bCs w:val="0"/>
                      <w:color w:val="000000" w:themeColor="text1"/>
                      <w:szCs w:val="21"/>
                      <w14:textFill>
                        <w14:solidFill>
                          <w14:schemeClr w14:val="tx1"/>
                        </w14:solidFill>
                      </w14:textFill>
                    </w:rPr>
                    <w:t>200</w:t>
                  </w:r>
                  <w:r>
                    <w:rPr>
                      <w:rFonts w:eastAsiaTheme="minorEastAsia"/>
                      <w:b w:val="0"/>
                      <w:bCs w:val="0"/>
                      <w:color w:val="000000"/>
                      <w:szCs w:val="21"/>
                    </w:rPr>
                    <w:t>t/a</w:t>
                  </w:r>
                </w:p>
              </w:tc>
              <w:tc>
                <w:tcPr>
                  <w:tcW w:w="1671" w:type="pct"/>
                  <w:tcBorders>
                    <w:tl2br w:val="nil"/>
                    <w:tr2bl w:val="nil"/>
                  </w:tcBorders>
                  <w:vAlign w:val="center"/>
                </w:tcPr>
                <w:p w14:paraId="759FC87A">
                  <w:pPr>
                    <w:jc w:val="center"/>
                    <w:rPr>
                      <w:rFonts w:hint="eastAsia"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25kg/箱</w:t>
                  </w:r>
                </w:p>
              </w:tc>
            </w:tr>
            <w:tr w14:paraId="608FF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906" w:type="pct"/>
                  <w:tcBorders>
                    <w:tl2br w:val="nil"/>
                    <w:tr2bl w:val="nil"/>
                  </w:tcBorders>
                  <w:vAlign w:val="center"/>
                </w:tcPr>
                <w:p w14:paraId="10D96F0B">
                  <w:pPr>
                    <w:jc w:val="center"/>
                    <w:rPr>
                      <w:rFonts w:hint="eastAsia" w:eastAsiaTheme="minorEastAsia"/>
                      <w:color w:val="000000" w:themeColor="text1"/>
                      <w:szCs w:val="21"/>
                      <w:lang w:val="en-US" w:eastAsia="zh-CN"/>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2</w:t>
                  </w:r>
                </w:p>
              </w:tc>
              <w:tc>
                <w:tcPr>
                  <w:tcW w:w="1203" w:type="pct"/>
                  <w:tcBorders>
                    <w:tl2br w:val="nil"/>
                    <w:tr2bl w:val="nil"/>
                  </w:tcBorders>
                  <w:vAlign w:val="center"/>
                </w:tcPr>
                <w:p w14:paraId="6E6A67D6">
                  <w:pPr>
                    <w:jc w:val="center"/>
                    <w:rPr>
                      <w:rFonts w:hint="eastAsia" w:eastAsiaTheme="minorEastAsia"/>
                      <w:color w:val="000000" w:themeColor="text1"/>
                      <w:szCs w:val="21"/>
                      <w14:textFill>
                        <w14:solidFill>
                          <w14:schemeClr w14:val="tx1"/>
                        </w14:solidFill>
                      </w14:textFill>
                    </w:rPr>
                  </w:pPr>
                  <w:r>
                    <w:rPr>
                      <w:rFonts w:hint="eastAsia" w:eastAsiaTheme="minorEastAsia"/>
                      <w:color w:val="000000" w:themeColor="text1"/>
                      <w:szCs w:val="21"/>
                      <w:lang w:val="en-US" w:eastAsia="zh-CN"/>
                      <w14:textFill>
                        <w14:solidFill>
                          <w14:schemeClr w14:val="tx1"/>
                        </w14:solidFill>
                      </w14:textFill>
                    </w:rPr>
                    <w:t>汽车零部件</w:t>
                  </w:r>
                </w:p>
              </w:tc>
              <w:tc>
                <w:tcPr>
                  <w:tcW w:w="1218" w:type="pct"/>
                  <w:tcBorders>
                    <w:tl2br w:val="nil"/>
                    <w:tr2bl w:val="nil"/>
                  </w:tcBorders>
                  <w:shd w:val="clear" w:color="auto" w:fill="auto"/>
                  <w:vAlign w:val="top"/>
                </w:tcPr>
                <w:p w14:paraId="14B4C33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2"/>
                      <w:sz w:val="21"/>
                      <w:szCs w:val="21"/>
                      <w:highlight w:val="none"/>
                      <w:lang w:val="en-US" w:eastAsia="zh-CN" w:bidi="ar-SA"/>
                    </w:rPr>
                  </w:pP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30万件/a</w:t>
                  </w:r>
                </w:p>
              </w:tc>
              <w:tc>
                <w:tcPr>
                  <w:tcW w:w="1671" w:type="pct"/>
                  <w:tcBorders>
                    <w:tl2br w:val="nil"/>
                    <w:tr2bl w:val="nil"/>
                  </w:tcBorders>
                  <w:vAlign w:val="center"/>
                </w:tcPr>
                <w:p w14:paraId="056853C8">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喷粉件</w:t>
                  </w:r>
                </w:p>
              </w:tc>
            </w:tr>
            <w:tr w14:paraId="17DC1D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906" w:type="pct"/>
                  <w:tcBorders>
                    <w:tl2br w:val="nil"/>
                    <w:tr2bl w:val="nil"/>
                  </w:tcBorders>
                  <w:vAlign w:val="center"/>
                </w:tcPr>
                <w:p w14:paraId="35C72928">
                  <w:pPr>
                    <w:jc w:val="center"/>
                    <w:rPr>
                      <w:rFonts w:hint="default" w:eastAsiaTheme="minorEastAsia"/>
                      <w:color w:val="auto"/>
                      <w:szCs w:val="21"/>
                      <w:lang w:val="en-US" w:eastAsia="zh-CN"/>
                    </w:rPr>
                  </w:pPr>
                  <w:r>
                    <w:rPr>
                      <w:rFonts w:hint="eastAsia" w:eastAsiaTheme="minorEastAsia"/>
                      <w:color w:val="auto"/>
                      <w:szCs w:val="21"/>
                      <w:lang w:val="en-US" w:eastAsia="zh-CN"/>
                    </w:rPr>
                    <w:t>3</w:t>
                  </w:r>
                </w:p>
              </w:tc>
              <w:tc>
                <w:tcPr>
                  <w:tcW w:w="1203" w:type="pct"/>
                  <w:tcBorders>
                    <w:tl2br w:val="nil"/>
                    <w:tr2bl w:val="nil"/>
                  </w:tcBorders>
                  <w:vAlign w:val="center"/>
                </w:tcPr>
                <w:p w14:paraId="786D2965">
                  <w:pPr>
                    <w:jc w:val="center"/>
                    <w:rPr>
                      <w:rFonts w:hint="eastAsia" w:eastAsiaTheme="minorEastAsia"/>
                      <w:color w:val="auto"/>
                      <w:szCs w:val="21"/>
                      <w:lang w:val="en-US" w:eastAsia="zh-CN"/>
                    </w:rPr>
                  </w:pPr>
                  <w:r>
                    <w:rPr>
                      <w:rFonts w:hint="eastAsia" w:eastAsiaTheme="minorEastAsia"/>
                      <w:color w:val="auto"/>
                      <w:szCs w:val="21"/>
                      <w:lang w:val="en-US" w:eastAsia="zh-CN"/>
                    </w:rPr>
                    <w:t>汽车零部件</w:t>
                  </w:r>
                </w:p>
              </w:tc>
              <w:tc>
                <w:tcPr>
                  <w:tcW w:w="1218" w:type="pct"/>
                  <w:tcBorders>
                    <w:tl2br w:val="nil"/>
                    <w:tr2bl w:val="nil"/>
                  </w:tcBorders>
                  <w:shd w:val="clear" w:color="auto" w:fill="auto"/>
                  <w:vAlign w:val="top"/>
                </w:tcPr>
                <w:p w14:paraId="40D8E74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10</w:t>
                  </w:r>
                  <w:r>
                    <w:rPr>
                      <w:rFonts w:hint="eastAsia" w:ascii="Times New Roman" w:hAnsi="Times New Roman" w:cs="Times New Roman" w:eastAsiaTheme="minorEastAsia"/>
                      <w:color w:val="000000" w:themeColor="text1"/>
                      <w:szCs w:val="21"/>
                      <w:lang w:val="en-US" w:eastAsia="zh-CN"/>
                      <w14:textFill>
                        <w14:solidFill>
                          <w14:schemeClr w14:val="tx1"/>
                        </w14:solidFill>
                      </w14:textFill>
                    </w:rPr>
                    <w:t>万件/a</w:t>
                  </w:r>
                </w:p>
              </w:tc>
              <w:tc>
                <w:tcPr>
                  <w:tcW w:w="1671" w:type="pct"/>
                  <w:tcBorders>
                    <w:tl2br w:val="nil"/>
                    <w:tr2bl w:val="nil"/>
                  </w:tcBorders>
                  <w:vAlign w:val="center"/>
                </w:tcPr>
                <w:p w14:paraId="4E2E88DD">
                  <w:pPr>
                    <w:jc w:val="center"/>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电泳加工件</w:t>
                  </w:r>
                </w:p>
              </w:tc>
            </w:tr>
          </w:tbl>
          <w:p w14:paraId="7A6BB22E">
            <w:pPr>
              <w:pStyle w:val="18"/>
              <w:ind w:firstLine="0" w:firstLineChars="0"/>
              <w:rPr>
                <w:rFonts w:eastAsiaTheme="minorEastAsia"/>
                <w:b/>
                <w:sz w:val="24"/>
                <w:lang w:bidi="zh-CN"/>
              </w:rPr>
            </w:pPr>
            <w:r>
              <w:rPr>
                <w:rFonts w:hint="eastAsia" w:eastAsiaTheme="minorEastAsia"/>
                <w:b/>
                <w:sz w:val="24"/>
                <w:lang w:val="en-US" w:bidi="zh-CN"/>
              </w:rPr>
              <w:t>7.</w:t>
            </w:r>
            <w:r>
              <w:rPr>
                <w:rFonts w:eastAsiaTheme="minorEastAsia"/>
                <w:b/>
                <w:sz w:val="24"/>
                <w:lang w:bidi="zh-CN"/>
              </w:rPr>
              <w:t>公用工程</w:t>
            </w:r>
          </w:p>
          <w:p w14:paraId="226AB22C">
            <w:pPr>
              <w:pStyle w:val="27"/>
              <w:spacing w:line="360" w:lineRule="auto"/>
              <w:ind w:right="86" w:firstLine="480" w:firstLineChars="200"/>
              <w:rPr>
                <w:rFonts w:ascii="Times New Roman" w:hAnsi="Times New Roman" w:cs="Times New Roman" w:eastAsiaTheme="minorEastAsia"/>
                <w:sz w:val="24"/>
                <w:lang w:val="en-US"/>
              </w:rPr>
            </w:pPr>
            <w:r>
              <w:rPr>
                <w:rFonts w:hint="eastAsia" w:ascii="Times New Roman" w:hAnsi="Times New Roman" w:cs="Times New Roman" w:eastAsiaTheme="minorEastAsia"/>
                <w:sz w:val="24"/>
                <w:lang w:val="en-US" w:eastAsia="zh-CN"/>
              </w:rPr>
              <w:t>（1）</w:t>
            </w:r>
            <w:r>
              <w:rPr>
                <w:rFonts w:ascii="Times New Roman" w:hAnsi="Times New Roman" w:cs="Times New Roman" w:eastAsiaTheme="minorEastAsia"/>
                <w:sz w:val="24"/>
                <w:lang w:val="en-US"/>
              </w:rPr>
              <w:t>生活用水</w:t>
            </w:r>
          </w:p>
          <w:p w14:paraId="0440D8B6">
            <w:pPr>
              <w:widowControl/>
              <w:spacing w:line="360" w:lineRule="auto"/>
              <w:ind w:firstLine="480" w:firstLineChars="200"/>
              <w:jc w:val="left"/>
              <w:rPr>
                <w:rFonts w:hint="eastAsia" w:cs="Times New Roman" w:eastAsiaTheme="minorEastAsia"/>
                <w:sz w:val="24"/>
                <w:lang w:val="en-US" w:eastAsia="zh-CN"/>
              </w:rPr>
            </w:pPr>
            <w:r>
              <w:rPr>
                <w:rFonts w:ascii="Times New Roman" w:hAnsi="Times New Roman" w:cs="Times New Roman" w:eastAsiaTheme="minorEastAsia"/>
                <w:sz w:val="24"/>
                <w:lang w:val="en-US"/>
              </w:rPr>
              <w:t>生活用水量参照《陕西省行业用水定额》（DB61/T943-202</w:t>
            </w:r>
            <w:r>
              <w:rPr>
                <w:rFonts w:hint="eastAsia" w:ascii="Times New Roman" w:hAnsi="Times New Roman" w:cs="Times New Roman" w:eastAsiaTheme="minorEastAsia"/>
                <w:sz w:val="24"/>
                <w:lang w:val="en-US" w:eastAsia="zh-CN"/>
              </w:rPr>
              <w:t>0</w:t>
            </w:r>
            <w:r>
              <w:rPr>
                <w:rFonts w:ascii="Times New Roman" w:hAnsi="Times New Roman" w:cs="Times New Roman" w:eastAsiaTheme="minorEastAsia"/>
                <w:sz w:val="24"/>
                <w:lang w:val="en-US"/>
              </w:rPr>
              <w:t>）</w:t>
            </w:r>
            <w:r>
              <w:rPr>
                <w:rFonts w:hint="eastAsia" w:ascii="Times New Roman" w:hAnsi="Times New Roman" w:cs="Times New Roman" w:eastAsiaTheme="minorEastAsia"/>
                <w:sz w:val="24"/>
                <w:lang w:val="en-US"/>
              </w:rPr>
              <w:t>并结合企业实际情况，用水量以35</w:t>
            </w:r>
            <w:r>
              <w:rPr>
                <w:rFonts w:ascii="Times New Roman" w:hAnsi="Times New Roman" w:cs="Times New Roman" w:eastAsiaTheme="minorEastAsia"/>
                <w:sz w:val="24"/>
                <w:lang w:val="en-US"/>
              </w:rPr>
              <w:t>L/（人·d）计算，</w:t>
            </w:r>
            <w:r>
              <w:rPr>
                <w:rFonts w:hint="eastAsia" w:ascii="Times New Roman" w:hAnsi="Times New Roman" w:cs="Times New Roman" w:eastAsiaTheme="minorEastAsia"/>
                <w:sz w:val="24"/>
                <w:lang w:val="en-US"/>
              </w:rPr>
              <w:t>项目劳动定员10人，则</w:t>
            </w:r>
            <w:r>
              <w:rPr>
                <w:rFonts w:ascii="Times New Roman" w:hAnsi="Times New Roman" w:cs="Times New Roman" w:eastAsiaTheme="minorEastAsia"/>
                <w:sz w:val="24"/>
                <w:lang w:val="en-US"/>
              </w:rPr>
              <w:t>生活用水量为</w:t>
            </w:r>
            <w:r>
              <w:rPr>
                <w:rFonts w:hint="eastAsia" w:ascii="Times New Roman" w:hAnsi="Times New Roman" w:cs="Times New Roman" w:eastAsiaTheme="minorEastAsia"/>
                <w:sz w:val="24"/>
                <w:lang w:val="en-US"/>
              </w:rPr>
              <w:t>0.35</w:t>
            </w:r>
            <w:r>
              <w:rPr>
                <w:rFonts w:ascii="Times New Roman" w:hAnsi="Times New Roman" w:cs="Times New Roman" w:eastAsiaTheme="minorEastAsia"/>
                <w:sz w:val="24"/>
                <w:lang w:val="en-US"/>
              </w:rPr>
              <w:t>m</w:t>
            </w:r>
            <w:r>
              <w:rPr>
                <w:rFonts w:ascii="Times New Roman" w:hAnsi="Times New Roman" w:cs="Times New Roman" w:eastAsiaTheme="minorEastAsia"/>
                <w:sz w:val="24"/>
                <w:vertAlign w:val="superscript"/>
                <w:lang w:val="en-US"/>
              </w:rPr>
              <w:t>3</w:t>
            </w:r>
            <w:r>
              <w:rPr>
                <w:rFonts w:ascii="Times New Roman" w:hAnsi="Times New Roman" w:cs="Times New Roman" w:eastAsiaTheme="minorEastAsia"/>
                <w:sz w:val="24"/>
                <w:lang w:val="en-US"/>
              </w:rPr>
              <w:t>/d。生活</w:t>
            </w:r>
            <w:r>
              <w:rPr>
                <w:rFonts w:hint="eastAsia" w:ascii="Times New Roman" w:hAnsi="Times New Roman" w:cs="Times New Roman" w:eastAsiaTheme="minorEastAsia"/>
                <w:sz w:val="24"/>
                <w:lang w:val="en-US"/>
              </w:rPr>
              <w:t>污水产生量按用水量的80%计，</w:t>
            </w:r>
            <w:r>
              <w:rPr>
                <w:rFonts w:ascii="Times New Roman" w:hAnsi="Times New Roman" w:cs="Times New Roman" w:eastAsiaTheme="minorEastAsia"/>
                <w:sz w:val="24"/>
                <w:lang w:val="en-US"/>
              </w:rPr>
              <w:t>则</w:t>
            </w:r>
            <w:r>
              <w:rPr>
                <w:rFonts w:hint="eastAsia" w:cs="Times New Roman" w:eastAsiaTheme="minorEastAsia"/>
                <w:sz w:val="24"/>
                <w:lang w:val="en-US" w:eastAsia="zh-CN"/>
              </w:rPr>
              <w:t>生活污水</w:t>
            </w:r>
            <w:r>
              <w:rPr>
                <w:rFonts w:ascii="Times New Roman" w:hAnsi="Times New Roman" w:cs="Times New Roman" w:eastAsiaTheme="minorEastAsia"/>
                <w:sz w:val="24"/>
                <w:lang w:val="en-US"/>
              </w:rPr>
              <w:t>产生量为</w:t>
            </w:r>
            <w:r>
              <w:rPr>
                <w:rFonts w:hint="eastAsia" w:ascii="Times New Roman" w:hAnsi="Times New Roman" w:cs="Times New Roman" w:eastAsiaTheme="minorEastAsia"/>
                <w:sz w:val="24"/>
                <w:lang w:val="en-US"/>
              </w:rPr>
              <w:t>0.28</w:t>
            </w:r>
            <w:r>
              <w:rPr>
                <w:rFonts w:ascii="Times New Roman" w:hAnsi="Times New Roman" w:cs="Times New Roman" w:eastAsiaTheme="minorEastAsia"/>
                <w:sz w:val="24"/>
                <w:lang w:val="en-US"/>
              </w:rPr>
              <w:t>m</w:t>
            </w:r>
            <w:r>
              <w:rPr>
                <w:rFonts w:ascii="Times New Roman" w:hAnsi="Times New Roman" w:cs="Times New Roman" w:eastAsiaTheme="minorEastAsia"/>
                <w:sz w:val="24"/>
                <w:vertAlign w:val="superscript"/>
                <w:lang w:val="en-US"/>
              </w:rPr>
              <w:t>3</w:t>
            </w:r>
            <w:r>
              <w:rPr>
                <w:rFonts w:ascii="Times New Roman" w:hAnsi="Times New Roman" w:cs="Times New Roman" w:eastAsiaTheme="minorEastAsia"/>
                <w:sz w:val="24"/>
                <w:lang w:val="en-US"/>
              </w:rPr>
              <w:t>/d</w:t>
            </w:r>
            <w:r>
              <w:rPr>
                <w:rFonts w:hint="eastAsia" w:ascii="Times New Roman" w:hAnsi="Times New Roman" w:cs="Times New Roman" w:eastAsiaTheme="minorEastAsia"/>
                <w:sz w:val="24"/>
                <w:lang w:val="en-US"/>
              </w:rPr>
              <w:t>；</w:t>
            </w:r>
            <w:r>
              <w:rPr>
                <w:rFonts w:ascii="Times New Roman" w:hAnsi="Times New Roman" w:cs="Times New Roman" w:eastAsiaTheme="minorEastAsia"/>
                <w:sz w:val="24"/>
                <w:lang w:val="en-US"/>
              </w:rPr>
              <w:t>项目生活污水进入化粪池沉淀处理后排入</w:t>
            </w:r>
            <w:r>
              <w:rPr>
                <w:rFonts w:hint="eastAsia" w:ascii="Times New Roman" w:hAnsi="Times New Roman" w:cs="Times New Roman" w:eastAsiaTheme="minorEastAsia"/>
                <w:sz w:val="24"/>
                <w:lang w:val="en-US"/>
              </w:rPr>
              <w:t>沣西新城大王</w:t>
            </w:r>
            <w:r>
              <w:rPr>
                <w:rFonts w:ascii="Times New Roman" w:hAnsi="Times New Roman" w:cs="Times New Roman" w:eastAsiaTheme="minorEastAsia"/>
                <w:sz w:val="24"/>
                <w:lang w:val="en-US"/>
              </w:rPr>
              <w:t>污水处理厂，经处理达标后排入</w:t>
            </w:r>
            <w:r>
              <w:rPr>
                <w:rFonts w:hint="eastAsia" w:ascii="Times New Roman" w:hAnsi="Times New Roman" w:cs="Times New Roman" w:eastAsiaTheme="minorEastAsia"/>
                <w:sz w:val="24"/>
                <w:lang w:val="en-US"/>
              </w:rPr>
              <w:t>新河</w:t>
            </w:r>
            <w:r>
              <w:rPr>
                <w:rFonts w:hint="eastAsia" w:cs="Times New Roman" w:eastAsiaTheme="minorEastAsia"/>
                <w:sz w:val="24"/>
                <w:lang w:val="en-US" w:eastAsia="zh-CN"/>
              </w:rPr>
              <w:t>。</w:t>
            </w:r>
          </w:p>
          <w:p w14:paraId="2A8370C8">
            <w:pPr>
              <w:pStyle w:val="27"/>
              <w:spacing w:line="360" w:lineRule="auto"/>
              <w:ind w:right="86" w:firstLine="480" w:firstLineChars="200"/>
              <w:rPr>
                <w:rFonts w:hint="eastAsia"/>
                <w:sz w:val="24"/>
                <w:lang w:val="en-US" w:eastAsia="zh-CN"/>
              </w:rPr>
            </w:pPr>
            <w:r>
              <w:rPr>
                <w:rFonts w:hint="eastAsia" w:ascii="Times New Roman" w:hAnsi="Times New Roman" w:cs="Times New Roman" w:eastAsiaTheme="minorEastAsia"/>
                <w:sz w:val="24"/>
                <w:lang w:val="en-US" w:eastAsia="zh-CN"/>
              </w:rPr>
              <w:t>（2）</w:t>
            </w:r>
            <w:r>
              <w:rPr>
                <w:rFonts w:hint="eastAsia"/>
                <w:sz w:val="24"/>
                <w:lang w:val="en-US" w:eastAsia="zh-CN"/>
              </w:rPr>
              <w:t>粉末生产线用水（</w:t>
            </w:r>
            <w:r>
              <w:rPr>
                <w:rFonts w:hint="default" w:ascii="Times New Roman" w:hAnsi="Times New Roman" w:cs="Times New Roman" w:eastAsiaTheme="minorEastAsia"/>
                <w:sz w:val="24"/>
              </w:rPr>
              <w:t>冷却用水</w:t>
            </w:r>
            <w:r>
              <w:rPr>
                <w:rFonts w:hint="eastAsia"/>
                <w:sz w:val="24"/>
                <w:lang w:val="en-US" w:eastAsia="zh-CN"/>
              </w:rPr>
              <w:t>）</w:t>
            </w:r>
          </w:p>
          <w:p w14:paraId="35A4D489">
            <w:pPr>
              <w:pStyle w:val="27"/>
              <w:numPr>
                <w:ilvl w:val="0"/>
                <w:numId w:val="0"/>
              </w:numPr>
              <w:spacing w:line="360" w:lineRule="auto"/>
              <w:ind w:right="86" w:rightChars="0" w:firstLine="480" w:firstLineChars="200"/>
              <w:rPr>
                <w:rFonts w:hint="default" w:ascii="Times New Roman" w:hAnsi="Times New Roman" w:cs="Times New Roman"/>
                <w:kern w:val="0"/>
                <w:sz w:val="24"/>
              </w:rPr>
            </w:pPr>
            <w:r>
              <w:rPr>
                <w:rFonts w:hint="default" w:ascii="Times New Roman" w:hAnsi="Times New Roman" w:cs="Times New Roman" w:eastAsiaTheme="minorEastAsia"/>
                <w:sz w:val="24"/>
              </w:rPr>
              <w:t>冷却用水主要用于挤出机冷却，</w:t>
            </w:r>
            <w:r>
              <w:rPr>
                <w:rFonts w:hint="default" w:ascii="Times New Roman" w:hAnsi="Times New Roman" w:cs="Times New Roman"/>
                <w:kern w:val="0"/>
                <w:sz w:val="24"/>
              </w:rPr>
              <w:t>依据建设单位提供的资料，冷却循环水量为3m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/d</w:t>
            </w:r>
            <w:r>
              <w:rPr>
                <w:rFonts w:hint="default" w:ascii="Times New Roman" w:hAnsi="Times New Roman" w:cs="Times New Roman"/>
                <w:sz w:val="24"/>
              </w:rPr>
              <w:t>。</w:t>
            </w:r>
            <w:r>
              <w:rPr>
                <w:rFonts w:hint="default" w:ascii="Times New Roman" w:hAnsi="Times New Roman" w:cs="Times New Roman"/>
                <w:kern w:val="0"/>
                <w:sz w:val="24"/>
              </w:rPr>
              <w:t>冷却用水补充量为20L/（台·d）考虑，本项目挤出机数量为</w:t>
            </w:r>
            <w:r>
              <w:rPr>
                <w:rFonts w:hint="eastAsia" w:ascii="Times New Roman" w:hAnsi="Times New Roman" w:cs="Times New Roman"/>
                <w:kern w:val="0"/>
                <w:sz w:val="24"/>
                <w:lang w:val="en-US" w:eastAsia="zh-CN"/>
              </w:rPr>
              <w:t>5</w:t>
            </w:r>
            <w:r>
              <w:rPr>
                <w:rFonts w:hint="default" w:ascii="Times New Roman" w:hAnsi="Times New Roman" w:cs="Times New Roman"/>
                <w:kern w:val="0"/>
                <w:sz w:val="24"/>
              </w:rPr>
              <w:t>台，</w:t>
            </w:r>
            <w:r>
              <w:rPr>
                <w:rFonts w:hint="eastAsia" w:cs="Times New Roman"/>
                <w:kern w:val="0"/>
                <w:sz w:val="24"/>
                <w:szCs w:val="24"/>
                <w:lang w:val="en-US" w:eastAsia="zh-CN" w:bidi="ar-SA"/>
              </w:rPr>
              <w:t>循环水量为</w:t>
            </w:r>
            <w:r>
              <w:rPr>
                <w:rFonts w:hint="default" w:ascii="Times New Roman" w:hAnsi="Times New Roman" w:cs="Times New Roman"/>
                <w:kern w:val="0"/>
                <w:sz w:val="24"/>
                <w:szCs w:val="24"/>
                <w:lang w:val="en-US" w:eastAsia="zh-CN" w:bidi="ar-SA"/>
              </w:rPr>
              <w:t>2.9</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ascii="Times New Roman" w:hAnsi="Times New Roman" w:eastAsia="宋体" w:cs="Times New Roman"/>
                <w:kern w:val="0"/>
                <w:sz w:val="24"/>
                <w:szCs w:val="24"/>
                <w:lang w:val="en-US" w:eastAsia="zh-CN" w:bidi="ar-SA"/>
              </w:rPr>
              <w:t>，</w:t>
            </w:r>
            <w:r>
              <w:rPr>
                <w:rFonts w:hint="default" w:ascii="Times New Roman" w:hAnsi="Times New Roman" w:cs="Times New Roman"/>
                <w:kern w:val="0"/>
                <w:sz w:val="24"/>
              </w:rPr>
              <w:t>冷却用水补充量为0.1m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/d。冷却水循环使用不外排。</w:t>
            </w:r>
          </w:p>
          <w:p w14:paraId="2651FA68">
            <w:pPr>
              <w:pStyle w:val="27"/>
              <w:numPr>
                <w:ilvl w:val="0"/>
                <w:numId w:val="0"/>
              </w:numPr>
              <w:spacing w:line="360" w:lineRule="auto"/>
              <w:ind w:right="86" w:rightChars="0" w:firstLine="480" w:firstLineChars="200"/>
              <w:rPr>
                <w:rFonts w:hint="eastAsia"/>
                <w:color w:val="000000"/>
                <w:sz w:val="24"/>
                <w:highlight w:val="none"/>
              </w:rPr>
            </w:pPr>
            <w:r>
              <w:rPr>
                <w:rFonts w:hint="eastAsia" w:ascii="Times New Roman" w:hAnsi="Times New Roman" w:cs="Times New Roman"/>
                <w:kern w:val="0"/>
                <w:sz w:val="24"/>
                <w:lang w:val="en-US" w:eastAsia="zh-CN"/>
              </w:rPr>
              <w:t>（3）</w:t>
            </w:r>
            <w:r>
              <w:rPr>
                <w:rFonts w:hint="eastAsia"/>
                <w:color w:val="000000"/>
                <w:sz w:val="24"/>
                <w:highlight w:val="none"/>
              </w:rPr>
              <w:t>电泳涂装生产线用水</w:t>
            </w:r>
          </w:p>
          <w:p w14:paraId="19E11BBA">
            <w:pPr>
              <w:pStyle w:val="27"/>
              <w:numPr>
                <w:ilvl w:val="0"/>
                <w:numId w:val="0"/>
              </w:numPr>
              <w:spacing w:line="360" w:lineRule="auto"/>
              <w:ind w:right="86" w:rightChars="0" w:firstLine="480" w:firstLineChars="200"/>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①</w:t>
            </w:r>
            <w:r>
              <w:rPr>
                <w:rFonts w:hint="eastAsia" w:ascii="Times New Roman" w:hAnsi="Times New Roman" w:cs="Times New Roman"/>
                <w:kern w:val="0"/>
                <w:sz w:val="24"/>
                <w:szCs w:val="24"/>
                <w:lang w:val="en-US" w:eastAsia="zh-CN" w:bidi="ar-SA"/>
              </w:rPr>
              <w:t>除油</w:t>
            </w:r>
            <w:r>
              <w:rPr>
                <w:rFonts w:hint="eastAsia" w:ascii="Times New Roman" w:hAnsi="Times New Roman" w:eastAsia="宋体" w:cs="Times New Roman"/>
                <w:kern w:val="0"/>
                <w:sz w:val="24"/>
                <w:szCs w:val="24"/>
                <w:lang w:val="en-US" w:eastAsia="zh-CN" w:bidi="ar-SA"/>
              </w:rPr>
              <w:t>用水</w:t>
            </w:r>
          </w:p>
          <w:p w14:paraId="07F399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zh-CN"/>
              </w:rPr>
              <w:t>预除油与主除油采用淋的方式，预除油与主除油槽液均循环使用，不需更换，不排水。预除油与主除油槽容积</w:t>
            </w:r>
            <w:r>
              <w:rPr>
                <w:rFonts w:hint="eastAsia" w:cs="Times New Roman"/>
                <w:kern w:val="0"/>
                <w:sz w:val="24"/>
                <w:szCs w:val="24"/>
                <w:lang w:val="en-US" w:eastAsia="zh-CN" w:bidi="zh-CN"/>
              </w:rPr>
              <w:t>各</w:t>
            </w:r>
            <w:r>
              <w:rPr>
                <w:rFonts w:hint="eastAsia" w:ascii="Times New Roman" w:hAnsi="Times New Roman" w:eastAsia="宋体" w:cs="Times New Roman"/>
                <w:kern w:val="0"/>
                <w:sz w:val="24"/>
                <w:szCs w:val="24"/>
                <w:lang w:val="en-US" w:eastAsia="zh-CN" w:bidi="zh-CN"/>
              </w:rPr>
              <w:t>为</w:t>
            </w:r>
            <w:r>
              <w:rPr>
                <w:rFonts w:hint="eastAsia" w:cs="Times New Roman"/>
                <w:kern w:val="0"/>
                <w:sz w:val="24"/>
                <w:szCs w:val="24"/>
                <w:lang w:val="en-US" w:eastAsia="zh-CN" w:bidi="zh-CN"/>
              </w:rPr>
              <w:t>1</w:t>
            </w:r>
            <w:r>
              <w:rPr>
                <w:rFonts w:hint="default" w:ascii="Times New Roman" w:hAnsi="Times New Roman" w:eastAsia="宋体" w:cs="Times New Roman"/>
                <w:kern w:val="0"/>
                <w:sz w:val="24"/>
                <w:szCs w:val="24"/>
                <w:lang w:val="en-US" w:eastAsia="zh-CN" w:bidi="zh-CN"/>
              </w:rPr>
              <w:t>m</w:t>
            </w:r>
            <w:r>
              <w:rPr>
                <w:rFonts w:hint="eastAsia" w:cs="Times New Roman"/>
                <w:kern w:val="0"/>
                <w:sz w:val="24"/>
                <w:szCs w:val="24"/>
                <w:vertAlign w:val="superscript"/>
                <w:lang w:val="en-US" w:eastAsia="zh-CN" w:bidi="zh-CN"/>
              </w:rPr>
              <w:t>3</w:t>
            </w:r>
            <w:r>
              <w:rPr>
                <w:rFonts w:hint="eastAsia" w:cs="Times New Roman"/>
                <w:kern w:val="0"/>
                <w:sz w:val="24"/>
                <w:szCs w:val="24"/>
                <w:lang w:val="en-US" w:eastAsia="zh-CN" w:bidi="zh-CN"/>
              </w:rPr>
              <w:t>，槽液约为容积的80%，</w:t>
            </w:r>
            <w:r>
              <w:rPr>
                <w:rFonts w:hint="eastAsia" w:ascii="Times New Roman" w:hAnsi="Times New Roman" w:eastAsia="宋体" w:cs="Times New Roman"/>
                <w:kern w:val="0"/>
                <w:sz w:val="24"/>
                <w:szCs w:val="24"/>
                <w:lang w:val="en-US" w:eastAsia="zh-CN" w:bidi="zh-CN"/>
              </w:rPr>
              <w:t>工件在预除油与主除油过程中由于蒸发作用及工件带走部分脱脂液，需定期向槽内加水及除油剂</w:t>
            </w:r>
            <w:r>
              <w:rPr>
                <w:rFonts w:hint="eastAsia" w:cs="Times New Roman"/>
                <w:kern w:val="0"/>
                <w:sz w:val="24"/>
                <w:szCs w:val="24"/>
                <w:lang w:val="en-US" w:eastAsia="zh-CN" w:bidi="zh-CN"/>
              </w:rPr>
              <w:t>，</w:t>
            </w:r>
            <w:r>
              <w:rPr>
                <w:rFonts w:hint="eastAsia" w:ascii="Times New Roman" w:hAnsi="Times New Roman" w:eastAsia="宋体" w:cs="Times New Roman"/>
                <w:kern w:val="0"/>
                <w:sz w:val="24"/>
                <w:szCs w:val="24"/>
                <w:lang w:val="en-US" w:eastAsia="zh-CN" w:bidi="ar-SA"/>
              </w:rPr>
              <w:t>损耗系数按</w:t>
            </w:r>
            <w:r>
              <w:rPr>
                <w:rFonts w:hint="eastAsia" w:cs="Times New Roman"/>
                <w:kern w:val="0"/>
                <w:sz w:val="24"/>
                <w:szCs w:val="24"/>
                <w:lang w:val="en-US" w:eastAsia="zh-CN" w:bidi="ar-SA"/>
              </w:rPr>
              <w:t>20</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计</w:t>
            </w:r>
            <w:r>
              <w:rPr>
                <w:rFonts w:hint="eastAsia" w:cs="Times New Roman"/>
                <w:kern w:val="0"/>
                <w:sz w:val="24"/>
                <w:szCs w:val="24"/>
                <w:lang w:val="en-US" w:eastAsia="zh-CN" w:bidi="ar-SA"/>
              </w:rPr>
              <w:t>，循环水量为1.28</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，补充水量为0.32</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（96</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/a</w:t>
            </w:r>
            <w:r>
              <w:rPr>
                <w:rFonts w:hint="eastAsia" w:cs="Times New Roman"/>
                <w:kern w:val="0"/>
                <w:sz w:val="24"/>
                <w:szCs w:val="24"/>
                <w:lang w:val="en-US" w:eastAsia="zh-CN" w:bidi="ar-SA"/>
              </w:rPr>
              <w:t>）。</w:t>
            </w:r>
          </w:p>
          <w:p w14:paraId="0F56AF73">
            <w:pPr>
              <w:pStyle w:val="27"/>
              <w:numPr>
                <w:ilvl w:val="0"/>
                <w:numId w:val="0"/>
              </w:numPr>
              <w:spacing w:line="360" w:lineRule="auto"/>
              <w:ind w:right="86" w:rightChars="0" w:firstLine="480" w:firstLineChars="20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color w:val="000000"/>
                <w:kern w:val="0"/>
                <w:sz w:val="24"/>
                <w:szCs w:val="24"/>
                <w:lang w:val="en-US" w:eastAsia="zh-CN" w:bidi="ar"/>
              </w:rPr>
              <w:t>②</w:t>
            </w:r>
            <w:r>
              <w:rPr>
                <w:rFonts w:hint="default" w:ascii="Times New Roman" w:hAnsi="Times New Roman" w:eastAsia="宋体" w:cs="Times New Roman"/>
                <w:color w:val="000000"/>
                <w:kern w:val="0"/>
                <w:sz w:val="24"/>
                <w:szCs w:val="24"/>
                <w:lang w:val="en-US" w:eastAsia="zh-CN" w:bidi="ar"/>
              </w:rPr>
              <w:t>水洗用水</w:t>
            </w:r>
          </w:p>
          <w:p w14:paraId="10C5ED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zh-CN"/>
              </w:rPr>
              <w:t>除油后的水洗工序是为了尽量冲洗干净工件表面残留的除油液等杂质，不需更换，不排水</w:t>
            </w:r>
            <w:r>
              <w:rPr>
                <w:rFonts w:ascii="宋体" w:hAnsi="宋体"/>
                <w:sz w:val="24"/>
                <w:szCs w:val="24"/>
              </w:rPr>
              <w:t>。</w:t>
            </w:r>
            <w:r>
              <w:rPr>
                <w:rFonts w:hint="default" w:ascii="Times New Roman" w:hAnsi="Times New Roman" w:eastAsia="宋体" w:cs="Times New Roman"/>
                <w:color w:val="000000"/>
                <w:kern w:val="0"/>
                <w:sz w:val="24"/>
                <w:szCs w:val="24"/>
                <w:lang w:val="en-US" w:eastAsia="zh-CN" w:bidi="ar"/>
              </w:rPr>
              <w:t>工件除油后需经2道水洗，</w:t>
            </w:r>
            <w:r>
              <w:rPr>
                <w:rFonts w:hint="eastAsia" w:ascii="宋体" w:hAnsi="宋体"/>
                <w:sz w:val="24"/>
                <w:szCs w:val="24"/>
              </w:rPr>
              <w:t>水洗</w:t>
            </w:r>
            <w:r>
              <w:rPr>
                <w:rFonts w:hint="eastAsia" w:ascii="Times New Roman" w:hAnsi="Times New Roman" w:eastAsia="宋体" w:cs="Times New Roman"/>
                <w:kern w:val="0"/>
                <w:sz w:val="24"/>
                <w:szCs w:val="24"/>
                <w:lang w:val="en-US" w:eastAsia="zh-CN" w:bidi="zh-CN"/>
              </w:rPr>
              <w:t>槽容积</w:t>
            </w:r>
            <w:r>
              <w:rPr>
                <w:rFonts w:hint="eastAsia" w:cs="Times New Roman"/>
                <w:kern w:val="0"/>
                <w:sz w:val="24"/>
                <w:szCs w:val="24"/>
                <w:lang w:val="en-US" w:eastAsia="zh-CN" w:bidi="zh-CN"/>
              </w:rPr>
              <w:t>约</w:t>
            </w:r>
            <w:r>
              <w:rPr>
                <w:rFonts w:hint="eastAsia" w:ascii="Times New Roman" w:hAnsi="Times New Roman" w:eastAsia="宋体" w:cs="Times New Roman"/>
                <w:kern w:val="0"/>
                <w:sz w:val="24"/>
                <w:szCs w:val="24"/>
                <w:lang w:val="en-US" w:eastAsia="zh-CN" w:bidi="zh-CN"/>
              </w:rPr>
              <w:t>为</w:t>
            </w:r>
            <w:r>
              <w:rPr>
                <w:rFonts w:hint="eastAsia" w:cs="Times New Roman"/>
                <w:kern w:val="0"/>
                <w:sz w:val="24"/>
                <w:szCs w:val="24"/>
                <w:lang w:val="en-US" w:eastAsia="zh-CN" w:bidi="zh-CN"/>
              </w:rPr>
              <w:t>1</w:t>
            </w:r>
            <w:r>
              <w:rPr>
                <w:rFonts w:hint="default" w:ascii="Times New Roman" w:hAnsi="Times New Roman" w:eastAsia="宋体" w:cs="Times New Roman"/>
                <w:kern w:val="0"/>
                <w:sz w:val="24"/>
                <w:szCs w:val="24"/>
                <w:lang w:val="en-US" w:eastAsia="zh-CN" w:bidi="zh-CN"/>
              </w:rPr>
              <w:t>m</w:t>
            </w:r>
            <w:r>
              <w:rPr>
                <w:rFonts w:hint="eastAsia" w:cs="Times New Roman"/>
                <w:kern w:val="0"/>
                <w:sz w:val="24"/>
                <w:szCs w:val="24"/>
                <w:vertAlign w:val="superscript"/>
                <w:lang w:val="en-US" w:eastAsia="zh-CN" w:bidi="zh-CN"/>
              </w:rPr>
              <w:t>3</w:t>
            </w:r>
            <w:r>
              <w:rPr>
                <w:rFonts w:hint="eastAsia" w:cs="Times New Roman"/>
                <w:kern w:val="0"/>
                <w:sz w:val="24"/>
                <w:szCs w:val="24"/>
                <w:lang w:val="en-US" w:eastAsia="zh-CN" w:bidi="zh-CN"/>
              </w:rPr>
              <w:t>，槽液约为容积的80%，</w:t>
            </w:r>
            <w:r>
              <w:rPr>
                <w:rFonts w:hint="eastAsia" w:ascii="Times New Roman" w:hAnsi="Times New Roman" w:eastAsia="宋体" w:cs="Times New Roman"/>
                <w:kern w:val="0"/>
                <w:sz w:val="24"/>
                <w:szCs w:val="24"/>
                <w:lang w:val="en-US" w:eastAsia="zh-CN" w:bidi="zh-CN"/>
              </w:rPr>
              <w:t>工件在</w:t>
            </w:r>
            <w:r>
              <w:rPr>
                <w:rFonts w:hint="default" w:ascii="Times New Roman" w:hAnsi="Times New Roman" w:eastAsia="宋体" w:cs="Times New Roman"/>
                <w:color w:val="000000"/>
                <w:kern w:val="0"/>
                <w:sz w:val="24"/>
                <w:szCs w:val="24"/>
                <w:lang w:val="en-US" w:eastAsia="zh-CN" w:bidi="ar"/>
              </w:rPr>
              <w:t>水洗</w:t>
            </w:r>
            <w:r>
              <w:rPr>
                <w:rFonts w:hint="eastAsia" w:ascii="Times New Roman" w:hAnsi="Times New Roman" w:eastAsia="宋体" w:cs="Times New Roman"/>
                <w:kern w:val="0"/>
                <w:sz w:val="24"/>
                <w:szCs w:val="24"/>
                <w:lang w:val="en-US" w:eastAsia="zh-CN" w:bidi="zh-CN"/>
              </w:rPr>
              <w:t>过程中由于蒸发作用及工件带走部分</w:t>
            </w:r>
            <w:r>
              <w:rPr>
                <w:rFonts w:hint="eastAsia" w:cs="Times New Roman"/>
                <w:kern w:val="0"/>
                <w:sz w:val="24"/>
                <w:szCs w:val="24"/>
                <w:lang w:val="en-US" w:eastAsia="zh-CN" w:bidi="zh-CN"/>
              </w:rPr>
              <w:t>水分</w:t>
            </w:r>
            <w:r>
              <w:rPr>
                <w:rFonts w:hint="eastAsia" w:ascii="Times New Roman" w:hAnsi="Times New Roman" w:eastAsia="宋体" w:cs="Times New Roman"/>
                <w:kern w:val="0"/>
                <w:sz w:val="24"/>
                <w:szCs w:val="24"/>
                <w:lang w:val="en-US" w:eastAsia="zh-CN" w:bidi="zh-CN"/>
              </w:rPr>
              <w:t>，</w:t>
            </w:r>
            <w:r>
              <w:rPr>
                <w:rFonts w:hint="eastAsia" w:ascii="Times New Roman" w:hAnsi="Times New Roman" w:eastAsia="宋体" w:cs="Times New Roman"/>
                <w:kern w:val="0"/>
                <w:sz w:val="24"/>
                <w:szCs w:val="24"/>
                <w:lang w:val="en-US" w:eastAsia="zh-CN" w:bidi="ar-SA"/>
              </w:rPr>
              <w:t>损耗系数按</w:t>
            </w:r>
            <w:r>
              <w:rPr>
                <w:rFonts w:hint="eastAsia" w:cs="Times New Roman"/>
                <w:kern w:val="0"/>
                <w:sz w:val="24"/>
                <w:szCs w:val="24"/>
                <w:lang w:val="en-US" w:eastAsia="zh-CN" w:bidi="ar-SA"/>
              </w:rPr>
              <w:t>20</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计</w:t>
            </w:r>
            <w:r>
              <w:rPr>
                <w:rFonts w:hint="eastAsia" w:cs="Times New Roman"/>
                <w:kern w:val="0"/>
                <w:sz w:val="24"/>
                <w:szCs w:val="24"/>
                <w:lang w:val="en-US" w:eastAsia="zh-CN" w:bidi="ar-SA"/>
              </w:rPr>
              <w:t>，循环水量为0.64</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，补充水量为0.16</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（48</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/a</w:t>
            </w:r>
            <w:r>
              <w:rPr>
                <w:rFonts w:hint="eastAsia" w:cs="Times New Roman"/>
                <w:kern w:val="0"/>
                <w:sz w:val="24"/>
                <w:szCs w:val="24"/>
                <w:lang w:val="en-US" w:eastAsia="zh-CN" w:bidi="ar-SA"/>
              </w:rPr>
              <w:t>）。</w:t>
            </w:r>
          </w:p>
          <w:p w14:paraId="5A4C30F7">
            <w:pPr>
              <w:pStyle w:val="27"/>
              <w:numPr>
                <w:ilvl w:val="0"/>
                <w:numId w:val="0"/>
              </w:numPr>
              <w:spacing w:line="360" w:lineRule="auto"/>
              <w:ind w:right="86" w:rightChars="0" w:firstLine="480" w:firstLineChars="20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cs="Times New Roman"/>
                <w:kern w:val="0"/>
                <w:sz w:val="24"/>
                <w:lang w:val="en-US" w:eastAsia="zh-CN"/>
              </w:rPr>
              <w:t>③</w:t>
            </w:r>
            <w:r>
              <w:rPr>
                <w:rFonts w:hint="eastAsia" w:ascii="Times New Roman" w:hAnsi="Times New Roman" w:eastAsia="宋体" w:cs="Times New Roman"/>
                <w:color w:val="000000"/>
                <w:kern w:val="0"/>
                <w:sz w:val="24"/>
                <w:szCs w:val="24"/>
                <w:lang w:val="en-US" w:eastAsia="zh-CN" w:bidi="ar"/>
              </w:rPr>
              <w:t>表调</w:t>
            </w:r>
            <w:r>
              <w:rPr>
                <w:rFonts w:hint="default" w:ascii="Times New Roman" w:hAnsi="Times New Roman" w:eastAsia="宋体" w:cs="Times New Roman"/>
                <w:color w:val="000000"/>
                <w:kern w:val="0"/>
                <w:sz w:val="24"/>
                <w:szCs w:val="24"/>
                <w:lang w:val="en-US" w:eastAsia="zh-CN" w:bidi="ar"/>
              </w:rPr>
              <w:t>用水</w:t>
            </w:r>
          </w:p>
          <w:p w14:paraId="72ED8E9B">
            <w:pPr>
              <w:keepNext w:val="0"/>
              <w:keepLines w:val="0"/>
              <w:widowControl/>
              <w:suppressLineNumbers w:val="0"/>
              <w:spacing w:line="360" w:lineRule="auto"/>
              <w:ind w:firstLine="480" w:firstLineChars="200"/>
              <w:jc w:val="left"/>
              <w:rPr>
                <w:rFonts w:hint="default" w:ascii="Times New Roman" w:hAnsi="Times New Roman" w:eastAsia="宋体" w:cs="Times New Roman"/>
                <w:kern w:val="0"/>
                <w:sz w:val="24"/>
                <w:szCs w:val="24"/>
                <w:lang w:val="en-US" w:eastAsia="zh-CN" w:bidi="ar-SA"/>
              </w:rPr>
            </w:pPr>
            <w:r>
              <w:rPr>
                <w:rFonts w:hint="eastAsia" w:ascii="宋体" w:hAnsi="宋体" w:eastAsia="宋体" w:cs="宋体"/>
                <w:color w:val="000000"/>
                <w:kern w:val="0"/>
                <w:sz w:val="24"/>
                <w:szCs w:val="24"/>
                <w:lang w:val="en-US" w:eastAsia="zh-CN" w:bidi="ar"/>
              </w:rPr>
              <w:t>水</w:t>
            </w:r>
            <w:r>
              <w:rPr>
                <w:rFonts w:hint="eastAsia" w:ascii="Times New Roman" w:hAnsi="Times New Roman" w:eastAsia="宋体" w:cs="Times New Roman"/>
                <w:sz w:val="24"/>
                <w:lang w:val="en-US" w:eastAsia="zh-CN"/>
              </w:rPr>
              <w:t>洗后工件</w:t>
            </w:r>
            <w:r>
              <w:rPr>
                <w:rFonts w:hint="eastAsia" w:ascii="Times New Roman" w:hAnsi="Times New Roman" w:cs="Times New Roman"/>
                <w:sz w:val="24"/>
                <w:lang w:val="en-US" w:eastAsia="zh-CN"/>
              </w:rPr>
              <w:t>经过清洗在进入陶化前，需要进行表调，本项目</w:t>
            </w:r>
            <w:r>
              <w:rPr>
                <w:rFonts w:hint="eastAsia" w:cs="Times New Roman"/>
                <w:sz w:val="24"/>
                <w:lang w:val="en-US" w:eastAsia="zh-CN"/>
              </w:rPr>
              <w:t>采用</w:t>
            </w:r>
            <w:r>
              <w:rPr>
                <w:rFonts w:hint="eastAsia" w:ascii="Times New Roman" w:hAnsi="Times New Roman" w:cs="Times New Roman"/>
                <w:sz w:val="24"/>
                <w:lang w:val="en-US" w:eastAsia="zh-CN"/>
              </w:rPr>
              <w:t>水洗</w:t>
            </w:r>
            <w:r>
              <w:rPr>
                <w:rFonts w:hint="eastAsia" w:ascii="宋体" w:hAnsi="宋体" w:eastAsia="宋体" w:cs="宋体"/>
                <w:color w:val="000000"/>
                <w:kern w:val="0"/>
                <w:sz w:val="24"/>
                <w:szCs w:val="24"/>
                <w:lang w:val="en-US" w:eastAsia="zh-CN" w:bidi="ar"/>
              </w:rPr>
              <w:t>喷淋</w:t>
            </w:r>
            <w:r>
              <w:rPr>
                <w:rFonts w:hint="eastAsia" w:ascii="Times New Roman" w:hAnsi="Times New Roman" w:cs="Times New Roman"/>
                <w:sz w:val="24"/>
                <w:lang w:val="en-US" w:eastAsia="zh-CN"/>
              </w:rPr>
              <w:t>表调，调整残留在工件表面除油剂的酸碱物质</w:t>
            </w:r>
            <w:r>
              <w:rPr>
                <w:rFonts w:hint="eastAsia" w:cs="Times New Roman"/>
                <w:sz w:val="24"/>
                <w:lang w:val="en-US" w:eastAsia="zh-CN"/>
              </w:rPr>
              <w:t>，</w:t>
            </w:r>
            <w:r>
              <w:rPr>
                <w:rFonts w:hint="eastAsia" w:ascii="Times New Roman" w:hAnsi="Times New Roman" w:eastAsia="宋体" w:cs="Times New Roman"/>
                <w:kern w:val="0"/>
                <w:sz w:val="24"/>
                <w:szCs w:val="24"/>
                <w:lang w:val="en-US" w:eastAsia="zh-CN" w:bidi="zh-CN"/>
              </w:rPr>
              <w:t>不需更换，不排水</w:t>
            </w:r>
            <w:r>
              <w:rPr>
                <w:rFonts w:ascii="宋体" w:hAnsi="宋体"/>
                <w:sz w:val="24"/>
                <w:szCs w:val="24"/>
              </w:rPr>
              <w:t>。</w:t>
            </w:r>
            <w:r>
              <w:rPr>
                <w:rFonts w:hint="eastAsia" w:ascii="Times New Roman" w:hAnsi="Times New Roman" w:eastAsia="宋体" w:cs="Times New Roman"/>
                <w:color w:val="000000"/>
                <w:kern w:val="0"/>
                <w:sz w:val="24"/>
                <w:szCs w:val="24"/>
                <w:lang w:val="en-US" w:eastAsia="zh-CN" w:bidi="ar"/>
              </w:rPr>
              <w:t>表调</w:t>
            </w:r>
            <w:r>
              <w:rPr>
                <w:rFonts w:hint="eastAsia" w:ascii="Times New Roman" w:hAnsi="Times New Roman" w:eastAsia="宋体" w:cs="Times New Roman"/>
                <w:kern w:val="0"/>
                <w:sz w:val="24"/>
                <w:szCs w:val="24"/>
                <w:lang w:val="en-US" w:eastAsia="zh-CN" w:bidi="zh-CN"/>
              </w:rPr>
              <w:t>槽容积为</w:t>
            </w:r>
            <w:r>
              <w:rPr>
                <w:rFonts w:hint="eastAsia" w:cs="Times New Roman"/>
                <w:kern w:val="0"/>
                <w:sz w:val="24"/>
                <w:szCs w:val="24"/>
                <w:lang w:val="en-US" w:eastAsia="zh-CN" w:bidi="zh-CN"/>
              </w:rPr>
              <w:t>1</w:t>
            </w:r>
            <w:r>
              <w:rPr>
                <w:rFonts w:hint="default" w:ascii="Times New Roman" w:hAnsi="Times New Roman" w:eastAsia="宋体" w:cs="Times New Roman"/>
                <w:kern w:val="0"/>
                <w:sz w:val="24"/>
                <w:szCs w:val="24"/>
                <w:lang w:val="en-US" w:eastAsia="zh-CN" w:bidi="zh-CN"/>
              </w:rPr>
              <w:t>m</w:t>
            </w:r>
            <w:r>
              <w:rPr>
                <w:rFonts w:hint="eastAsia" w:cs="Times New Roman"/>
                <w:kern w:val="0"/>
                <w:sz w:val="24"/>
                <w:szCs w:val="24"/>
                <w:vertAlign w:val="superscript"/>
                <w:lang w:val="en-US" w:eastAsia="zh-CN" w:bidi="zh-CN"/>
              </w:rPr>
              <w:t>3</w:t>
            </w:r>
            <w:r>
              <w:rPr>
                <w:rFonts w:hint="eastAsia" w:cs="Times New Roman"/>
                <w:kern w:val="0"/>
                <w:sz w:val="24"/>
                <w:szCs w:val="24"/>
                <w:lang w:val="en-US" w:eastAsia="zh-CN" w:bidi="zh-CN"/>
              </w:rPr>
              <w:t>，槽液约为容积的80%，</w:t>
            </w:r>
            <w:r>
              <w:rPr>
                <w:rFonts w:hint="eastAsia" w:ascii="Times New Roman" w:hAnsi="Times New Roman" w:eastAsia="宋体" w:cs="Times New Roman"/>
                <w:color w:val="000000"/>
                <w:kern w:val="0"/>
                <w:sz w:val="24"/>
                <w:szCs w:val="24"/>
                <w:lang w:val="en-US" w:eastAsia="zh-CN" w:bidi="ar"/>
              </w:rPr>
              <w:t>表调</w:t>
            </w:r>
            <w:r>
              <w:rPr>
                <w:rFonts w:hint="eastAsia" w:ascii="Times New Roman" w:hAnsi="Times New Roman" w:eastAsia="宋体" w:cs="Times New Roman"/>
                <w:kern w:val="0"/>
                <w:sz w:val="24"/>
                <w:szCs w:val="24"/>
                <w:lang w:val="en-US" w:eastAsia="zh-CN" w:bidi="zh-CN"/>
              </w:rPr>
              <w:t>过程中由于蒸发作用及工件带走部分</w:t>
            </w:r>
            <w:r>
              <w:rPr>
                <w:rFonts w:hint="eastAsia" w:cs="Times New Roman"/>
                <w:kern w:val="0"/>
                <w:sz w:val="24"/>
                <w:szCs w:val="24"/>
                <w:lang w:val="en-US" w:eastAsia="zh-CN" w:bidi="zh-CN"/>
              </w:rPr>
              <w:t>水分，</w:t>
            </w:r>
            <w:r>
              <w:rPr>
                <w:rFonts w:hint="eastAsia" w:ascii="Times New Roman" w:hAnsi="Times New Roman" w:eastAsia="宋体" w:cs="Times New Roman"/>
                <w:kern w:val="0"/>
                <w:sz w:val="24"/>
                <w:szCs w:val="24"/>
                <w:lang w:val="en-US" w:eastAsia="zh-CN" w:bidi="ar-SA"/>
              </w:rPr>
              <w:t>损耗系数按</w:t>
            </w:r>
            <w:r>
              <w:rPr>
                <w:rFonts w:hint="eastAsia" w:cs="Times New Roman"/>
                <w:kern w:val="0"/>
                <w:sz w:val="24"/>
                <w:szCs w:val="24"/>
                <w:lang w:val="en-US" w:eastAsia="zh-CN" w:bidi="ar-SA"/>
              </w:rPr>
              <w:t>20</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计</w:t>
            </w:r>
            <w:r>
              <w:rPr>
                <w:rFonts w:hint="eastAsia" w:cs="Times New Roman"/>
                <w:kern w:val="0"/>
                <w:sz w:val="24"/>
                <w:szCs w:val="24"/>
                <w:lang w:val="en-US" w:eastAsia="zh-CN" w:bidi="ar-SA"/>
              </w:rPr>
              <w:t>，循环水量为0.64</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，补充水量为0.16</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（48</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/a</w:t>
            </w:r>
            <w:r>
              <w:rPr>
                <w:rFonts w:hint="eastAsia" w:cs="Times New Roman"/>
                <w:kern w:val="0"/>
                <w:sz w:val="24"/>
                <w:szCs w:val="24"/>
                <w:lang w:val="en-US" w:eastAsia="zh-CN" w:bidi="ar-SA"/>
              </w:rPr>
              <w:t>）。</w:t>
            </w:r>
          </w:p>
          <w:p w14:paraId="54E75946">
            <w:pPr>
              <w:pStyle w:val="27"/>
              <w:numPr>
                <w:ilvl w:val="0"/>
                <w:numId w:val="0"/>
              </w:numPr>
              <w:spacing w:line="360" w:lineRule="auto"/>
              <w:ind w:right="86" w:rightChars="0" w:firstLine="480" w:firstLineChars="200"/>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④陶化</w:t>
            </w:r>
            <w:r>
              <w:rPr>
                <w:rFonts w:hint="default" w:ascii="Times New Roman" w:hAnsi="Times New Roman" w:eastAsia="宋体" w:cs="Times New Roman"/>
                <w:color w:val="000000"/>
                <w:kern w:val="0"/>
                <w:sz w:val="24"/>
                <w:szCs w:val="24"/>
                <w:lang w:val="en-US" w:eastAsia="zh-CN" w:bidi="ar"/>
              </w:rPr>
              <w:t>用水</w:t>
            </w:r>
          </w:p>
          <w:p w14:paraId="7FCC82E9">
            <w:pPr>
              <w:keepNext w:val="0"/>
              <w:keepLines w:val="0"/>
              <w:widowControl/>
              <w:suppressLineNumbers w:val="0"/>
              <w:spacing w:line="360" w:lineRule="auto"/>
              <w:ind w:firstLine="480" w:firstLineChars="200"/>
              <w:jc w:val="left"/>
              <w:rPr>
                <w:rFonts w:hint="default" w:ascii="Times New Roman" w:hAnsi="Times New Roman" w:eastAsia="宋体" w:cs="Times New Roman"/>
                <w:kern w:val="0"/>
                <w:sz w:val="24"/>
                <w:szCs w:val="24"/>
                <w:lang w:val="en-US" w:eastAsia="zh-CN" w:bidi="ar-SA"/>
              </w:rPr>
            </w:pPr>
            <w:r>
              <w:rPr>
                <w:rFonts w:hint="default" w:ascii="Times New Roman" w:hAnsi="Times New Roman" w:eastAsia="宋体" w:cs="Times New Roman"/>
                <w:kern w:val="0"/>
                <w:sz w:val="24"/>
                <w:szCs w:val="24"/>
                <w:lang w:val="en-US" w:eastAsia="zh-CN"/>
              </w:rPr>
              <w:t>本项目</w:t>
            </w:r>
            <w:r>
              <w:rPr>
                <w:rFonts w:hint="eastAsia" w:ascii="Times New Roman" w:hAnsi="Times New Roman" w:eastAsia="宋体" w:cs="Times New Roman"/>
                <w:color w:val="000000"/>
                <w:kern w:val="0"/>
                <w:sz w:val="24"/>
                <w:szCs w:val="24"/>
                <w:lang w:val="en-US" w:eastAsia="zh-CN" w:bidi="ar"/>
              </w:rPr>
              <w:t>陶化</w:t>
            </w:r>
            <w:r>
              <w:rPr>
                <w:rFonts w:hint="eastAsia" w:ascii="宋体" w:hAnsi="宋体" w:eastAsia="宋体" w:cs="宋体"/>
                <w:color w:val="000000"/>
                <w:kern w:val="0"/>
                <w:sz w:val="24"/>
                <w:szCs w:val="24"/>
                <w:lang w:val="en-US" w:eastAsia="zh-CN" w:bidi="ar"/>
              </w:rPr>
              <w:t>采用喷淋的方式，</w:t>
            </w:r>
            <w:r>
              <w:rPr>
                <w:rFonts w:hint="eastAsia" w:ascii="Times New Roman" w:hAnsi="Times New Roman" w:eastAsia="宋体" w:cs="Times New Roman"/>
                <w:color w:val="000000"/>
                <w:kern w:val="0"/>
                <w:sz w:val="24"/>
                <w:szCs w:val="24"/>
                <w:lang w:val="en-US" w:eastAsia="zh-CN" w:bidi="ar"/>
              </w:rPr>
              <w:t>陶化</w:t>
            </w:r>
            <w:r>
              <w:rPr>
                <w:rFonts w:hint="eastAsia" w:ascii="宋体" w:hAnsi="宋体" w:eastAsia="宋体" w:cs="宋体"/>
                <w:color w:val="000000"/>
                <w:kern w:val="0"/>
                <w:sz w:val="24"/>
                <w:szCs w:val="24"/>
                <w:lang w:val="en-US" w:eastAsia="zh-CN" w:bidi="ar"/>
              </w:rPr>
              <w:t>槽液循环使用，不需更换，不排水</w:t>
            </w:r>
            <w:r>
              <w:rPr>
                <w:rFonts w:hint="eastAsia" w:eastAsia="宋体"/>
                <w:sz w:val="24"/>
                <w:szCs w:val="24"/>
                <w:lang w:eastAsia="zh-CN"/>
              </w:rPr>
              <w:t>。</w:t>
            </w:r>
            <w:r>
              <w:rPr>
                <w:rFonts w:hint="eastAsia" w:ascii="Times New Roman" w:hAnsi="Times New Roman" w:eastAsia="宋体" w:cs="Times New Roman"/>
                <w:color w:val="000000"/>
                <w:kern w:val="0"/>
                <w:sz w:val="24"/>
                <w:szCs w:val="24"/>
                <w:lang w:val="en-US" w:eastAsia="zh-CN" w:bidi="ar"/>
              </w:rPr>
              <w:t>表调</w:t>
            </w:r>
            <w:r>
              <w:rPr>
                <w:rFonts w:hint="eastAsia" w:ascii="Times New Roman" w:hAnsi="Times New Roman" w:eastAsia="宋体" w:cs="Times New Roman"/>
                <w:kern w:val="0"/>
                <w:sz w:val="24"/>
                <w:szCs w:val="24"/>
                <w:lang w:val="en-US" w:eastAsia="zh-CN" w:bidi="zh-CN"/>
              </w:rPr>
              <w:t>槽容积为</w:t>
            </w:r>
            <w:r>
              <w:rPr>
                <w:rFonts w:hint="eastAsia" w:cs="Times New Roman"/>
                <w:kern w:val="0"/>
                <w:sz w:val="24"/>
                <w:szCs w:val="24"/>
                <w:lang w:val="en-US" w:eastAsia="zh-CN" w:bidi="zh-CN"/>
              </w:rPr>
              <w:t>1</w:t>
            </w:r>
            <w:r>
              <w:rPr>
                <w:rFonts w:hint="default" w:ascii="Times New Roman" w:hAnsi="Times New Roman" w:eastAsia="宋体" w:cs="Times New Roman"/>
                <w:kern w:val="0"/>
                <w:sz w:val="24"/>
                <w:szCs w:val="24"/>
                <w:lang w:val="en-US" w:eastAsia="zh-CN" w:bidi="zh-CN"/>
              </w:rPr>
              <w:t>m</w:t>
            </w:r>
            <w:r>
              <w:rPr>
                <w:rFonts w:hint="eastAsia" w:cs="Times New Roman"/>
                <w:kern w:val="0"/>
                <w:sz w:val="24"/>
                <w:szCs w:val="24"/>
                <w:vertAlign w:val="superscript"/>
                <w:lang w:val="en-US" w:eastAsia="zh-CN" w:bidi="zh-CN"/>
              </w:rPr>
              <w:t>3</w:t>
            </w:r>
            <w:r>
              <w:rPr>
                <w:rFonts w:hint="eastAsia" w:cs="Times New Roman"/>
                <w:kern w:val="0"/>
                <w:sz w:val="24"/>
                <w:szCs w:val="24"/>
                <w:lang w:val="en-US" w:eastAsia="zh-CN" w:bidi="zh-CN"/>
              </w:rPr>
              <w:t>，槽液约为容积的80%，</w:t>
            </w:r>
            <w:r>
              <w:rPr>
                <w:rFonts w:hint="eastAsia" w:cs="Times New Roman"/>
                <w:color w:val="000000"/>
                <w:kern w:val="0"/>
                <w:sz w:val="24"/>
                <w:szCs w:val="24"/>
                <w:lang w:val="en-US" w:eastAsia="zh-CN" w:bidi="ar"/>
              </w:rPr>
              <w:t>陶化</w:t>
            </w:r>
            <w:r>
              <w:rPr>
                <w:rFonts w:hint="eastAsia" w:ascii="Times New Roman" w:hAnsi="Times New Roman" w:eastAsia="宋体" w:cs="Times New Roman"/>
                <w:kern w:val="0"/>
                <w:sz w:val="24"/>
                <w:szCs w:val="24"/>
                <w:lang w:val="en-US" w:eastAsia="zh-CN" w:bidi="zh-CN"/>
              </w:rPr>
              <w:t>过程中由于蒸发作用及工件带走部分</w:t>
            </w:r>
            <w:r>
              <w:rPr>
                <w:rFonts w:hint="eastAsia" w:cs="Times New Roman"/>
                <w:kern w:val="0"/>
                <w:sz w:val="24"/>
                <w:szCs w:val="24"/>
                <w:lang w:val="en-US" w:eastAsia="zh-CN" w:bidi="zh-CN"/>
              </w:rPr>
              <w:t>陶化液，</w:t>
            </w:r>
            <w:r>
              <w:rPr>
                <w:rFonts w:hint="eastAsia" w:ascii="Times New Roman" w:hAnsi="Times New Roman" w:eastAsia="宋体" w:cs="Times New Roman"/>
                <w:kern w:val="0"/>
                <w:sz w:val="24"/>
                <w:szCs w:val="24"/>
                <w:lang w:val="en-US" w:eastAsia="zh-CN" w:bidi="ar-SA"/>
              </w:rPr>
              <w:t>损耗系数按</w:t>
            </w:r>
            <w:r>
              <w:rPr>
                <w:rFonts w:hint="eastAsia" w:cs="Times New Roman"/>
                <w:kern w:val="0"/>
                <w:sz w:val="24"/>
                <w:szCs w:val="24"/>
                <w:lang w:val="en-US" w:eastAsia="zh-CN" w:bidi="ar-SA"/>
              </w:rPr>
              <w:t>20</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计</w:t>
            </w:r>
            <w:r>
              <w:rPr>
                <w:rFonts w:hint="eastAsia" w:cs="Times New Roman"/>
                <w:kern w:val="0"/>
                <w:sz w:val="24"/>
                <w:szCs w:val="24"/>
                <w:lang w:val="en-US" w:eastAsia="zh-CN" w:bidi="ar-SA"/>
              </w:rPr>
              <w:t>，循环水量为0.64</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，补充水量为0.16</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（48</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/a</w:t>
            </w:r>
            <w:r>
              <w:rPr>
                <w:rFonts w:hint="eastAsia" w:cs="Times New Roman"/>
                <w:kern w:val="0"/>
                <w:sz w:val="24"/>
                <w:szCs w:val="24"/>
                <w:lang w:val="en-US" w:eastAsia="zh-CN" w:bidi="ar-SA"/>
              </w:rPr>
              <w:t>）。</w:t>
            </w:r>
          </w:p>
          <w:p w14:paraId="41295E60">
            <w:pPr>
              <w:pStyle w:val="27"/>
              <w:numPr>
                <w:ilvl w:val="0"/>
                <w:numId w:val="0"/>
              </w:numPr>
              <w:spacing w:line="360" w:lineRule="auto"/>
              <w:ind w:right="86" w:rightChars="0" w:firstLine="480" w:firstLineChars="200"/>
              <w:jc w:val="both"/>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⑤纯水洗</w:t>
            </w:r>
            <w:r>
              <w:rPr>
                <w:rFonts w:hint="default" w:ascii="Times New Roman" w:hAnsi="Times New Roman" w:eastAsia="宋体" w:cs="Times New Roman"/>
                <w:color w:val="000000"/>
                <w:kern w:val="0"/>
                <w:sz w:val="24"/>
                <w:szCs w:val="24"/>
                <w:lang w:val="en-US" w:eastAsia="zh-CN" w:bidi="ar"/>
              </w:rPr>
              <w:t>用水</w:t>
            </w:r>
            <w:r>
              <w:rPr>
                <w:rFonts w:hint="eastAsia" w:ascii="Times New Roman" w:hAnsi="Times New Roman" w:cs="Times New Roman"/>
                <w:color w:val="000000"/>
                <w:kern w:val="0"/>
                <w:sz w:val="24"/>
                <w:szCs w:val="24"/>
                <w:lang w:val="en-US" w:eastAsia="zh-CN" w:bidi="ar"/>
              </w:rPr>
              <w:t>、超滤用水</w:t>
            </w:r>
          </w:p>
          <w:p w14:paraId="21C3C6D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0"/>
                <w:sz w:val="24"/>
                <w:szCs w:val="24"/>
                <w:lang w:val="en-US" w:eastAsia="zh-CN" w:bidi="ar-SA"/>
              </w:rPr>
            </w:pPr>
            <w:r>
              <w:rPr>
                <w:rFonts w:hint="default" w:ascii="Times New Roman" w:hAnsi="Times New Roman" w:cs="Times New Roman"/>
                <w:color w:val="000000"/>
                <w:kern w:val="0"/>
                <w:sz w:val="24"/>
                <w:szCs w:val="24"/>
                <w:lang w:val="en-US" w:eastAsia="zh-CN" w:bidi="ar"/>
              </w:rPr>
              <w:t>本项目</w:t>
            </w:r>
            <w:r>
              <w:rPr>
                <w:rFonts w:hint="default" w:ascii="Times New Roman" w:hAnsi="Times New Roman" w:cs="Times New Roman"/>
                <w:color w:val="000000"/>
                <w:kern w:val="0"/>
                <w:sz w:val="24"/>
                <w:highlight w:val="none"/>
                <w:lang w:bidi="ar"/>
              </w:rPr>
              <w:t>纯水洗槽用水、</w:t>
            </w:r>
            <w:r>
              <w:rPr>
                <w:rFonts w:hint="default" w:ascii="Times New Roman" w:hAnsi="Times New Roman" w:cs="Times New Roman"/>
                <w:color w:val="000000"/>
                <w:kern w:val="0"/>
                <w:sz w:val="24"/>
                <w:highlight w:val="none"/>
                <w:lang w:val="en-US" w:eastAsia="zh-CN" w:bidi="ar"/>
              </w:rPr>
              <w:t>超滤</w:t>
            </w:r>
            <w:r>
              <w:rPr>
                <w:rFonts w:hint="default" w:ascii="Times New Roman" w:hAnsi="Times New Roman" w:cs="Times New Roman"/>
                <w:color w:val="000000"/>
                <w:kern w:val="0"/>
                <w:sz w:val="24"/>
                <w:highlight w:val="none"/>
                <w:lang w:bidi="ar"/>
              </w:rPr>
              <w:t>用水均使用纯水制备机制出的纯水</w:t>
            </w:r>
            <w:r>
              <w:rPr>
                <w:rFonts w:hint="eastAsia" w:ascii="宋体" w:hAnsi="宋体" w:cs="宋体"/>
                <w:color w:val="000000"/>
                <w:kern w:val="0"/>
                <w:sz w:val="24"/>
                <w:szCs w:val="24"/>
                <w:lang w:val="en-US" w:eastAsia="zh-CN" w:bidi="ar"/>
              </w:rPr>
              <w:t>。</w:t>
            </w:r>
            <w:r>
              <w:rPr>
                <w:rFonts w:hint="default" w:ascii="Times New Roman" w:hAnsi="Times New Roman" w:cs="Times New Roman"/>
                <w:color w:val="000000"/>
                <w:kern w:val="0"/>
                <w:sz w:val="24"/>
                <w:highlight w:val="none"/>
                <w:lang w:bidi="ar"/>
              </w:rPr>
              <w:t>纯水洗槽</w:t>
            </w:r>
            <w:r>
              <w:rPr>
                <w:rFonts w:hint="eastAsia" w:cs="Times New Roman"/>
                <w:color w:val="000000"/>
                <w:kern w:val="0"/>
                <w:sz w:val="24"/>
                <w:highlight w:val="none"/>
                <w:lang w:val="en-US" w:eastAsia="zh-CN" w:bidi="ar"/>
              </w:rPr>
              <w:t>及</w:t>
            </w:r>
            <w:r>
              <w:rPr>
                <w:rFonts w:hint="default" w:ascii="Times New Roman" w:hAnsi="Times New Roman" w:cs="Times New Roman"/>
                <w:color w:val="000000"/>
                <w:kern w:val="0"/>
                <w:sz w:val="24"/>
                <w:highlight w:val="none"/>
                <w:lang w:val="en-US" w:eastAsia="zh-CN" w:bidi="ar"/>
              </w:rPr>
              <w:t>超滤</w:t>
            </w:r>
            <w:r>
              <w:rPr>
                <w:rFonts w:hint="default" w:ascii="Times New Roman" w:hAnsi="Times New Roman" w:cs="Times New Roman"/>
                <w:color w:val="000000"/>
                <w:kern w:val="0"/>
                <w:sz w:val="24"/>
                <w:highlight w:val="none"/>
                <w:lang w:bidi="ar"/>
              </w:rPr>
              <w:t>用水</w:t>
            </w:r>
            <w:r>
              <w:rPr>
                <w:rFonts w:hint="eastAsia" w:cs="Times New Roman"/>
                <w:color w:val="000000"/>
                <w:kern w:val="0"/>
                <w:sz w:val="24"/>
                <w:highlight w:val="none"/>
                <w:lang w:val="en-US" w:eastAsia="zh-CN" w:bidi="ar"/>
              </w:rPr>
              <w:t>水槽</w:t>
            </w:r>
            <w:r>
              <w:rPr>
                <w:rFonts w:hint="eastAsia" w:ascii="Times New Roman" w:hAnsi="Times New Roman" w:eastAsia="宋体" w:cs="Times New Roman"/>
                <w:kern w:val="0"/>
                <w:sz w:val="24"/>
                <w:szCs w:val="24"/>
                <w:lang w:val="en-US" w:eastAsia="zh-CN" w:bidi="zh-CN"/>
              </w:rPr>
              <w:t>容积</w:t>
            </w:r>
            <w:r>
              <w:rPr>
                <w:rFonts w:hint="eastAsia" w:cs="Times New Roman"/>
                <w:kern w:val="0"/>
                <w:sz w:val="24"/>
                <w:szCs w:val="24"/>
                <w:lang w:val="en-US" w:eastAsia="zh-CN" w:bidi="zh-CN"/>
              </w:rPr>
              <w:t>各</w:t>
            </w:r>
            <w:r>
              <w:rPr>
                <w:rFonts w:hint="eastAsia" w:ascii="Times New Roman" w:hAnsi="Times New Roman" w:eastAsia="宋体" w:cs="Times New Roman"/>
                <w:kern w:val="0"/>
                <w:sz w:val="24"/>
                <w:szCs w:val="24"/>
                <w:lang w:val="en-US" w:eastAsia="zh-CN" w:bidi="zh-CN"/>
              </w:rPr>
              <w:t>为</w:t>
            </w:r>
            <w:r>
              <w:rPr>
                <w:rFonts w:hint="eastAsia" w:cs="Times New Roman"/>
                <w:kern w:val="0"/>
                <w:sz w:val="24"/>
                <w:szCs w:val="24"/>
                <w:lang w:val="en-US" w:eastAsia="zh-CN" w:bidi="zh-CN"/>
              </w:rPr>
              <w:t>1</w:t>
            </w:r>
            <w:r>
              <w:rPr>
                <w:rFonts w:hint="default" w:ascii="Times New Roman" w:hAnsi="Times New Roman" w:eastAsia="宋体" w:cs="Times New Roman"/>
                <w:kern w:val="0"/>
                <w:sz w:val="24"/>
                <w:szCs w:val="24"/>
                <w:lang w:val="en-US" w:eastAsia="zh-CN" w:bidi="zh-CN"/>
              </w:rPr>
              <w:t>m</w:t>
            </w:r>
            <w:r>
              <w:rPr>
                <w:rFonts w:hint="eastAsia" w:cs="Times New Roman"/>
                <w:kern w:val="0"/>
                <w:sz w:val="24"/>
                <w:szCs w:val="24"/>
                <w:vertAlign w:val="superscript"/>
                <w:lang w:val="en-US" w:eastAsia="zh-CN" w:bidi="zh-CN"/>
              </w:rPr>
              <w:t>3</w:t>
            </w:r>
            <w:r>
              <w:rPr>
                <w:rFonts w:hint="eastAsia" w:cs="Times New Roman"/>
                <w:kern w:val="0"/>
                <w:sz w:val="24"/>
                <w:szCs w:val="24"/>
                <w:lang w:val="en-US" w:eastAsia="zh-CN" w:bidi="zh-CN"/>
              </w:rPr>
              <w:t>，槽液约为容积的80%，</w:t>
            </w:r>
            <w:r>
              <w:rPr>
                <w:rFonts w:hint="default" w:ascii="Times New Roman" w:hAnsi="Times New Roman" w:cs="Times New Roman"/>
                <w:color w:val="000000"/>
                <w:kern w:val="0"/>
                <w:sz w:val="24"/>
                <w:highlight w:val="none"/>
                <w:lang w:bidi="ar"/>
              </w:rPr>
              <w:t>水洗</w:t>
            </w:r>
            <w:r>
              <w:rPr>
                <w:rFonts w:hint="eastAsia" w:ascii="Times New Roman" w:hAnsi="Times New Roman" w:eastAsia="宋体" w:cs="Times New Roman"/>
                <w:kern w:val="0"/>
                <w:sz w:val="24"/>
                <w:szCs w:val="24"/>
                <w:lang w:val="en-US" w:eastAsia="zh-CN" w:bidi="zh-CN"/>
              </w:rPr>
              <w:t>过程中由于蒸发作用及工件带走部分</w:t>
            </w:r>
            <w:r>
              <w:rPr>
                <w:rFonts w:hint="default" w:ascii="Times New Roman" w:hAnsi="Times New Roman" w:cs="Times New Roman"/>
                <w:color w:val="000000"/>
                <w:kern w:val="0"/>
                <w:sz w:val="24"/>
                <w:highlight w:val="none"/>
                <w:lang w:bidi="ar"/>
              </w:rPr>
              <w:t>纯水</w:t>
            </w:r>
            <w:r>
              <w:rPr>
                <w:rFonts w:hint="eastAsia" w:cs="Times New Roman"/>
                <w:kern w:val="0"/>
                <w:sz w:val="24"/>
                <w:szCs w:val="24"/>
                <w:lang w:val="en-US" w:eastAsia="zh-CN" w:bidi="zh-CN"/>
              </w:rPr>
              <w:t>，</w:t>
            </w:r>
            <w:r>
              <w:rPr>
                <w:rFonts w:hint="eastAsia" w:ascii="Times New Roman" w:hAnsi="Times New Roman" w:eastAsia="宋体" w:cs="Times New Roman"/>
                <w:kern w:val="0"/>
                <w:sz w:val="24"/>
                <w:szCs w:val="24"/>
                <w:lang w:val="en-US" w:eastAsia="zh-CN" w:bidi="ar-SA"/>
              </w:rPr>
              <w:t>损耗系数按</w:t>
            </w:r>
            <w:r>
              <w:rPr>
                <w:rFonts w:hint="eastAsia" w:cs="Times New Roman"/>
                <w:kern w:val="0"/>
                <w:sz w:val="24"/>
                <w:szCs w:val="24"/>
                <w:lang w:val="en-US" w:eastAsia="zh-CN" w:bidi="ar-SA"/>
              </w:rPr>
              <w:t>20</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计</w:t>
            </w:r>
            <w:r>
              <w:rPr>
                <w:rFonts w:hint="eastAsia" w:cs="Times New Roman"/>
                <w:kern w:val="0"/>
                <w:sz w:val="24"/>
                <w:szCs w:val="24"/>
                <w:lang w:val="en-US" w:eastAsia="zh-CN" w:bidi="ar-SA"/>
              </w:rPr>
              <w:t>，循环水量为1.28</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，补充水量为0.32</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（96</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/a</w:t>
            </w:r>
            <w:r>
              <w:rPr>
                <w:rFonts w:hint="eastAsia" w:cs="Times New Roman"/>
                <w:kern w:val="0"/>
                <w:sz w:val="24"/>
                <w:szCs w:val="24"/>
                <w:lang w:val="en-US" w:eastAsia="zh-CN" w:bidi="ar-SA"/>
              </w:rPr>
              <w:t>）。</w:t>
            </w:r>
          </w:p>
          <w:p w14:paraId="785020DD">
            <w:pPr>
              <w:pStyle w:val="27"/>
              <w:numPr>
                <w:ilvl w:val="0"/>
                <w:numId w:val="0"/>
              </w:numPr>
              <w:spacing w:line="360" w:lineRule="auto"/>
              <w:ind w:right="86" w:rightChars="0" w:firstLine="480" w:firstLineChars="200"/>
              <w:rPr>
                <w:rFonts w:hint="default" w:ascii="Times New Roman" w:hAnsi="Times New Roman" w:eastAsia="宋体" w:cs="Times New Roman"/>
                <w:kern w:val="0"/>
                <w:sz w:val="24"/>
                <w:lang w:val="en-US" w:eastAsia="zh-CN"/>
              </w:rPr>
            </w:pPr>
            <w:r>
              <w:rPr>
                <w:rFonts w:hint="eastAsia" w:ascii="Times New Roman" w:hAnsi="Times New Roman" w:cs="Times New Roman"/>
                <w:kern w:val="0"/>
                <w:sz w:val="24"/>
                <w:lang w:val="en-US" w:eastAsia="zh-CN"/>
              </w:rPr>
              <w:t>⑥</w:t>
            </w:r>
            <w:r>
              <w:rPr>
                <w:rFonts w:hint="eastAsia" w:ascii="Times New Roman" w:hAnsi="Times New Roman" w:eastAsia="宋体" w:cs="Times New Roman"/>
                <w:kern w:val="0"/>
                <w:sz w:val="24"/>
                <w:lang w:val="en-US" w:eastAsia="zh-CN"/>
              </w:rPr>
              <w:t>电泳用水</w:t>
            </w:r>
          </w:p>
          <w:p w14:paraId="296E938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kern w:val="0"/>
                <w:sz w:val="24"/>
                <w:szCs w:val="24"/>
                <w:lang w:val="en-US" w:eastAsia="zh-CN" w:bidi="zh-CN"/>
              </w:rPr>
              <w:t>电泳采用浸渍的方式进行，电泳后的工件通过</w:t>
            </w:r>
            <w:r>
              <w:rPr>
                <w:rFonts w:hint="default" w:ascii="Times New Roman" w:hAnsi="Times New Roman" w:eastAsia="宋体" w:cs="Times New Roman"/>
                <w:kern w:val="0"/>
                <w:sz w:val="24"/>
                <w:szCs w:val="24"/>
                <w:lang w:val="en-US" w:eastAsia="zh-CN" w:bidi="zh-CN"/>
              </w:rPr>
              <w:t>UF1</w:t>
            </w:r>
            <w:r>
              <w:rPr>
                <w:rFonts w:hint="eastAsia" w:ascii="Times New Roman" w:hAnsi="Times New Roman" w:eastAsia="宋体" w:cs="Times New Roman"/>
                <w:kern w:val="0"/>
                <w:sz w:val="24"/>
                <w:szCs w:val="24"/>
                <w:lang w:val="en-US" w:eastAsia="zh-CN" w:bidi="zh-CN"/>
              </w:rPr>
              <w:t>和</w:t>
            </w:r>
            <w:r>
              <w:rPr>
                <w:rFonts w:hint="default" w:ascii="Times New Roman" w:hAnsi="Times New Roman" w:eastAsia="宋体" w:cs="Times New Roman"/>
                <w:kern w:val="0"/>
                <w:sz w:val="24"/>
                <w:szCs w:val="24"/>
                <w:lang w:val="en-US" w:eastAsia="zh-CN" w:bidi="zh-CN"/>
              </w:rPr>
              <w:t>UF2</w:t>
            </w:r>
            <w:r>
              <w:rPr>
                <w:rFonts w:hint="eastAsia" w:ascii="Times New Roman" w:hAnsi="Times New Roman" w:eastAsia="宋体" w:cs="Times New Roman"/>
                <w:kern w:val="0"/>
                <w:sz w:val="24"/>
                <w:szCs w:val="24"/>
                <w:lang w:val="en-US" w:eastAsia="zh-CN" w:bidi="zh-CN"/>
              </w:rPr>
              <w:t>洗去表面未附着的电泳漆。</w:t>
            </w:r>
            <w:r>
              <w:rPr>
                <w:rFonts w:hint="default" w:ascii="Times New Roman" w:hAnsi="Times New Roman" w:eastAsia="宋体" w:cs="Times New Roman"/>
                <w:kern w:val="0"/>
                <w:sz w:val="24"/>
                <w:szCs w:val="24"/>
                <w:lang w:val="en-US" w:eastAsia="zh-CN" w:bidi="zh-CN"/>
              </w:rPr>
              <w:t>UF2</w:t>
            </w:r>
            <w:r>
              <w:rPr>
                <w:rFonts w:hint="eastAsia" w:ascii="Times New Roman" w:hAnsi="Times New Roman" w:eastAsia="宋体" w:cs="Times New Roman"/>
                <w:kern w:val="0"/>
                <w:sz w:val="24"/>
                <w:szCs w:val="24"/>
                <w:lang w:val="en-US" w:eastAsia="zh-CN" w:bidi="zh-CN"/>
              </w:rPr>
              <w:t>槽中水溢流至</w:t>
            </w:r>
            <w:r>
              <w:rPr>
                <w:rFonts w:hint="default" w:ascii="Times New Roman" w:hAnsi="Times New Roman" w:eastAsia="宋体" w:cs="Times New Roman"/>
                <w:kern w:val="0"/>
                <w:sz w:val="24"/>
                <w:szCs w:val="24"/>
                <w:lang w:val="en-US" w:eastAsia="zh-CN" w:bidi="zh-CN"/>
              </w:rPr>
              <w:t>UF1</w:t>
            </w:r>
            <w:r>
              <w:rPr>
                <w:rFonts w:hint="eastAsia" w:ascii="Times New Roman" w:hAnsi="Times New Roman" w:eastAsia="宋体" w:cs="Times New Roman"/>
                <w:kern w:val="0"/>
                <w:sz w:val="24"/>
                <w:szCs w:val="24"/>
                <w:lang w:val="en-US" w:eastAsia="zh-CN" w:bidi="zh-CN"/>
              </w:rPr>
              <w:t>，</w:t>
            </w:r>
            <w:r>
              <w:rPr>
                <w:rFonts w:hint="default" w:ascii="Times New Roman" w:hAnsi="Times New Roman" w:eastAsia="宋体" w:cs="Times New Roman"/>
                <w:kern w:val="0"/>
                <w:sz w:val="24"/>
                <w:szCs w:val="24"/>
                <w:lang w:val="en-US" w:eastAsia="zh-CN" w:bidi="zh-CN"/>
              </w:rPr>
              <w:t>UF1</w:t>
            </w:r>
            <w:r>
              <w:rPr>
                <w:rFonts w:hint="eastAsia" w:ascii="Times New Roman" w:hAnsi="Times New Roman" w:eastAsia="宋体" w:cs="Times New Roman"/>
                <w:kern w:val="0"/>
                <w:sz w:val="24"/>
                <w:szCs w:val="24"/>
                <w:lang w:val="en-US" w:eastAsia="zh-CN" w:bidi="zh-CN"/>
              </w:rPr>
              <w:t>槽中水溢流至电泳槽，循环使用，定期进行槽渣清理及电泳槽清洗。由于蒸发及工件带走损失水分，需定期补水及电泳漆。根据建设单位提供资料，电泳槽容积为</w:t>
            </w:r>
            <w:r>
              <w:rPr>
                <w:rFonts w:hint="eastAsia" w:cs="Times New Roman"/>
                <w:kern w:val="0"/>
                <w:sz w:val="24"/>
                <w:szCs w:val="24"/>
                <w:lang w:val="en-US" w:eastAsia="zh-CN" w:bidi="zh-CN"/>
              </w:rPr>
              <w:t>15</w:t>
            </w:r>
            <w:r>
              <w:rPr>
                <w:rFonts w:hint="default" w:ascii="Times New Roman" w:hAnsi="Times New Roman" w:eastAsia="宋体" w:cs="Times New Roman"/>
                <w:kern w:val="0"/>
                <w:sz w:val="24"/>
                <w:szCs w:val="24"/>
                <w:lang w:val="en-US" w:eastAsia="zh-CN" w:bidi="zh-CN"/>
              </w:rPr>
              <w:t>m</w:t>
            </w:r>
            <w:r>
              <w:rPr>
                <w:rFonts w:hint="eastAsia" w:cs="Times New Roman"/>
                <w:kern w:val="0"/>
                <w:sz w:val="24"/>
                <w:szCs w:val="24"/>
                <w:vertAlign w:val="superscript"/>
                <w:lang w:val="en-US" w:eastAsia="zh-CN" w:bidi="zh-CN"/>
              </w:rPr>
              <w:t>3</w:t>
            </w:r>
            <w:r>
              <w:rPr>
                <w:rFonts w:hint="eastAsia" w:cs="Times New Roman"/>
                <w:kern w:val="0"/>
                <w:sz w:val="24"/>
                <w:szCs w:val="24"/>
                <w:lang w:val="en-US" w:eastAsia="zh-CN" w:bidi="zh-CN"/>
              </w:rPr>
              <w:t>，槽液约为容积的80%，</w:t>
            </w:r>
            <w:r>
              <w:rPr>
                <w:rFonts w:hint="eastAsia" w:ascii="Times New Roman" w:hAnsi="Times New Roman" w:eastAsia="宋体" w:cs="Times New Roman"/>
                <w:kern w:val="0"/>
                <w:sz w:val="24"/>
                <w:szCs w:val="24"/>
                <w:lang w:val="en-US" w:eastAsia="zh-CN" w:bidi="ar-SA"/>
              </w:rPr>
              <w:t>损耗系数按</w:t>
            </w:r>
            <w:r>
              <w:rPr>
                <w:rFonts w:hint="eastAsia" w:cs="Times New Roman"/>
                <w:kern w:val="0"/>
                <w:sz w:val="24"/>
                <w:szCs w:val="24"/>
                <w:lang w:val="en-US" w:eastAsia="zh-CN" w:bidi="ar-SA"/>
              </w:rPr>
              <w:t>20</w:t>
            </w:r>
            <w:r>
              <w:rPr>
                <w:rFonts w:hint="default" w:ascii="Times New Roman" w:hAnsi="Times New Roman" w:eastAsia="宋体" w:cs="Times New Roman"/>
                <w:kern w:val="0"/>
                <w:sz w:val="24"/>
                <w:szCs w:val="24"/>
                <w:lang w:val="en-US" w:eastAsia="zh-CN" w:bidi="ar-SA"/>
              </w:rPr>
              <w:t>%</w:t>
            </w:r>
            <w:r>
              <w:rPr>
                <w:rFonts w:hint="eastAsia" w:ascii="Times New Roman" w:hAnsi="Times New Roman" w:eastAsia="宋体" w:cs="Times New Roman"/>
                <w:kern w:val="0"/>
                <w:sz w:val="24"/>
                <w:szCs w:val="24"/>
                <w:lang w:val="en-US" w:eastAsia="zh-CN" w:bidi="ar-SA"/>
              </w:rPr>
              <w:t>计</w:t>
            </w:r>
            <w:r>
              <w:rPr>
                <w:rFonts w:hint="eastAsia" w:cs="Times New Roman"/>
                <w:kern w:val="0"/>
                <w:sz w:val="24"/>
                <w:szCs w:val="24"/>
                <w:lang w:val="en-US" w:eastAsia="zh-CN" w:bidi="ar-SA"/>
              </w:rPr>
              <w:t>，循环水量为9.6</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，补充水量为2.4</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/d</w:t>
            </w:r>
            <w:r>
              <w:rPr>
                <w:rFonts w:hint="eastAsia" w:cs="Times New Roman"/>
                <w:kern w:val="0"/>
                <w:sz w:val="24"/>
                <w:szCs w:val="24"/>
                <w:lang w:val="en-US" w:eastAsia="zh-CN" w:bidi="ar-SA"/>
              </w:rPr>
              <w:t>（720</w:t>
            </w:r>
            <w:r>
              <w:rPr>
                <w:rFonts w:hint="default" w:ascii="Times New Roman" w:hAnsi="Times New Roman" w:eastAsia="宋体" w:cs="Times New Roman"/>
                <w:kern w:val="0"/>
                <w:sz w:val="24"/>
                <w:szCs w:val="24"/>
                <w:lang w:val="en-US" w:eastAsia="zh-CN" w:bidi="ar-SA"/>
              </w:rPr>
              <w:t>m</w:t>
            </w:r>
            <w:r>
              <w:rPr>
                <w:rFonts w:hint="default" w:ascii="Times New Roman" w:hAnsi="Times New Roman" w:eastAsia="宋体" w:cs="Times New Roman"/>
                <w:kern w:val="0"/>
                <w:sz w:val="24"/>
                <w:szCs w:val="24"/>
                <w:vertAlign w:val="superscript"/>
                <w:lang w:val="en-US" w:eastAsia="zh-CN" w:bidi="ar-SA"/>
              </w:rPr>
              <w:t>3</w:t>
            </w:r>
            <w:r>
              <w:rPr>
                <w:rFonts w:hint="default" w:ascii="Times New Roman" w:hAnsi="Times New Roman" w:eastAsia="宋体" w:cs="Times New Roman"/>
                <w:kern w:val="0"/>
                <w:sz w:val="24"/>
                <w:szCs w:val="24"/>
                <w:lang w:val="en-US" w:eastAsia="zh-CN" w:bidi="ar-SA"/>
              </w:rPr>
              <w:t>/a</w:t>
            </w:r>
            <w:r>
              <w:rPr>
                <w:rFonts w:hint="eastAsia" w:cs="Times New Roman"/>
                <w:kern w:val="0"/>
                <w:sz w:val="24"/>
                <w:szCs w:val="24"/>
                <w:lang w:val="en-US" w:eastAsia="zh-CN" w:bidi="ar-SA"/>
              </w:rPr>
              <w:t>）。</w:t>
            </w:r>
          </w:p>
          <w:p w14:paraId="115B8E11">
            <w:pPr>
              <w:pStyle w:val="27"/>
              <w:numPr>
                <w:ilvl w:val="0"/>
                <w:numId w:val="0"/>
              </w:numPr>
              <w:spacing w:line="360" w:lineRule="auto"/>
              <w:ind w:right="86" w:rightChars="0" w:firstLine="480" w:firstLineChars="200"/>
              <w:rPr>
                <w:rFonts w:hint="eastAsia" w:ascii="Times New Roman" w:hAnsi="Times New Roman" w:eastAsia="宋体" w:cs="Times New Roman"/>
                <w:kern w:val="0"/>
                <w:sz w:val="24"/>
                <w:lang w:val="en-US" w:eastAsia="zh-CN"/>
              </w:rPr>
            </w:pPr>
            <w:r>
              <w:rPr>
                <w:rFonts w:hint="eastAsia" w:ascii="Times New Roman" w:hAnsi="Times New Roman" w:cs="Times New Roman"/>
                <w:kern w:val="0"/>
                <w:sz w:val="24"/>
                <w:lang w:val="en-US" w:eastAsia="zh-CN"/>
              </w:rPr>
              <w:t>⑦</w:t>
            </w:r>
            <w:r>
              <w:rPr>
                <w:rFonts w:hint="eastAsia" w:ascii="Times New Roman" w:hAnsi="Times New Roman" w:eastAsia="宋体" w:cs="Times New Roman"/>
                <w:kern w:val="0"/>
                <w:sz w:val="24"/>
                <w:lang w:val="en-US" w:eastAsia="zh-CN"/>
              </w:rPr>
              <w:t>纯水制备用水</w:t>
            </w:r>
          </w:p>
          <w:p w14:paraId="7B7D3FE1">
            <w:pPr>
              <w:widowControl/>
              <w:spacing w:line="360" w:lineRule="auto"/>
              <w:ind w:firstLine="480" w:firstLineChars="200"/>
              <w:jc w:val="left"/>
              <w:rPr>
                <w:rFonts w:hint="eastAsia" w:cs="Times New Roman" w:eastAsiaTheme="minorEastAsia"/>
                <w:sz w:val="24"/>
                <w:lang w:val="en-US" w:eastAsia="zh-CN"/>
              </w:rPr>
            </w:pPr>
            <w:r>
              <w:rPr>
                <w:rFonts w:hint="eastAsia" w:cs="宋体"/>
                <w:color w:val="000000"/>
                <w:kern w:val="0"/>
                <w:sz w:val="24"/>
                <w:highlight w:val="none"/>
                <w:lang w:bidi="ar"/>
              </w:rPr>
              <w:t>纯水洗</w:t>
            </w:r>
            <w:r>
              <w:rPr>
                <w:rFonts w:hint="eastAsia" w:cs="宋体"/>
                <w:color w:val="000000"/>
                <w:kern w:val="0"/>
                <w:sz w:val="24"/>
                <w:highlight w:val="none"/>
                <w:lang w:val="en-US" w:eastAsia="zh-CN" w:bidi="ar"/>
              </w:rPr>
              <w:t>及</w:t>
            </w:r>
            <w:r>
              <w:rPr>
                <w:rFonts w:hint="eastAsia" w:cs="宋体"/>
                <w:color w:val="000000"/>
                <w:kern w:val="0"/>
                <w:sz w:val="24"/>
                <w:highlight w:val="none"/>
                <w:lang w:bidi="ar"/>
              </w:rPr>
              <w:t>电泳用水为纯水，项目生产线年使用纯水约为</w:t>
            </w:r>
            <w:r>
              <w:rPr>
                <w:rFonts w:hint="eastAsia" w:cs="宋体"/>
                <w:color w:val="000000"/>
                <w:kern w:val="0"/>
                <w:sz w:val="24"/>
                <w:highlight w:val="none"/>
                <w:lang w:val="en-US" w:eastAsia="zh-CN" w:bidi="ar"/>
              </w:rPr>
              <w:t>2.72</w:t>
            </w:r>
            <w:r>
              <w:rPr>
                <w:rFonts w:hint="eastAsia"/>
                <w:color w:val="000000"/>
                <w:kern w:val="0"/>
                <w:sz w:val="24"/>
                <w:highlight w:val="none"/>
                <w:lang w:bidi="ar"/>
              </w:rPr>
              <w:t>m</w:t>
            </w:r>
            <w:r>
              <w:rPr>
                <w:color w:val="000000"/>
                <w:kern w:val="0"/>
                <w:sz w:val="24"/>
                <w:szCs w:val="16"/>
                <w:highlight w:val="none"/>
                <w:vertAlign w:val="superscript"/>
                <w:lang w:bidi="ar"/>
              </w:rPr>
              <w:t>3</w:t>
            </w:r>
            <w:r>
              <w:rPr>
                <w:color w:val="000000"/>
                <w:kern w:val="0"/>
                <w:sz w:val="24"/>
                <w:highlight w:val="none"/>
                <w:lang w:bidi="ar"/>
              </w:rPr>
              <w:t>/</w:t>
            </w:r>
            <w:r>
              <w:rPr>
                <w:rFonts w:hint="eastAsia"/>
                <w:color w:val="000000"/>
                <w:kern w:val="0"/>
                <w:sz w:val="24"/>
                <w:highlight w:val="none"/>
                <w:lang w:val="en-US" w:eastAsia="zh-CN" w:bidi="ar"/>
              </w:rPr>
              <w:t>d</w:t>
            </w:r>
            <w:r>
              <w:rPr>
                <w:rFonts w:hint="eastAsia" w:cs="宋体"/>
                <w:color w:val="000000"/>
                <w:kern w:val="0"/>
                <w:sz w:val="24"/>
                <w:highlight w:val="none"/>
                <w:lang w:eastAsia="zh-CN" w:bidi="ar"/>
              </w:rPr>
              <w:t>，</w:t>
            </w:r>
            <w:r>
              <w:rPr>
                <w:rFonts w:hint="eastAsia" w:cs="宋体"/>
                <w:color w:val="000000"/>
                <w:kern w:val="0"/>
                <w:sz w:val="24"/>
                <w:highlight w:val="none"/>
                <w:lang w:bidi="ar"/>
              </w:rPr>
              <w:t>配套建设一套纯水制备系统，本项目购置</w:t>
            </w:r>
            <w:r>
              <w:rPr>
                <w:color w:val="000000"/>
                <w:kern w:val="0"/>
                <w:sz w:val="24"/>
                <w:highlight w:val="none"/>
                <w:lang w:bidi="ar"/>
              </w:rPr>
              <w:t>1</w:t>
            </w:r>
            <w:r>
              <w:rPr>
                <w:rFonts w:hint="eastAsia" w:cs="宋体"/>
                <w:color w:val="000000"/>
                <w:kern w:val="0"/>
                <w:sz w:val="24"/>
                <w:highlight w:val="none"/>
                <w:lang w:bidi="ar"/>
              </w:rPr>
              <w:t>台纯水制备机，采用反渗透工艺，纯水制备能力为</w:t>
            </w:r>
            <w:r>
              <w:rPr>
                <w:rFonts w:hint="eastAsia"/>
                <w:color w:val="000000"/>
                <w:kern w:val="0"/>
                <w:sz w:val="24"/>
                <w:highlight w:val="none"/>
                <w:lang w:val="en-US" w:eastAsia="zh-CN" w:bidi="ar"/>
              </w:rPr>
              <w:t>2</w:t>
            </w:r>
            <w:r>
              <w:rPr>
                <w:color w:val="000000"/>
                <w:kern w:val="0"/>
                <w:sz w:val="24"/>
                <w:highlight w:val="none"/>
                <w:lang w:bidi="ar"/>
              </w:rPr>
              <w:t>m</w:t>
            </w:r>
            <w:r>
              <w:rPr>
                <w:color w:val="000000"/>
                <w:kern w:val="0"/>
                <w:sz w:val="24"/>
                <w:szCs w:val="16"/>
                <w:highlight w:val="none"/>
                <w:vertAlign w:val="superscript"/>
                <w:lang w:bidi="ar"/>
              </w:rPr>
              <w:t>3</w:t>
            </w:r>
            <w:r>
              <w:rPr>
                <w:color w:val="000000"/>
                <w:kern w:val="0"/>
                <w:sz w:val="24"/>
                <w:highlight w:val="none"/>
                <w:lang w:bidi="ar"/>
              </w:rPr>
              <w:t>/h</w:t>
            </w:r>
            <w:r>
              <w:rPr>
                <w:rFonts w:hint="eastAsia" w:cs="宋体"/>
                <w:color w:val="000000"/>
                <w:kern w:val="0"/>
                <w:sz w:val="24"/>
                <w:highlight w:val="none"/>
                <w:lang w:bidi="ar"/>
              </w:rPr>
              <w:t>，制纯水率约为</w:t>
            </w:r>
            <w:r>
              <w:rPr>
                <w:rFonts w:hint="eastAsia"/>
                <w:color w:val="000000"/>
                <w:kern w:val="0"/>
                <w:sz w:val="24"/>
                <w:highlight w:val="none"/>
                <w:lang w:val="en-US" w:eastAsia="zh-CN" w:bidi="ar"/>
              </w:rPr>
              <w:t>70</w:t>
            </w:r>
            <w:r>
              <w:rPr>
                <w:color w:val="000000"/>
                <w:kern w:val="0"/>
                <w:sz w:val="24"/>
                <w:highlight w:val="none"/>
                <w:lang w:bidi="ar"/>
              </w:rPr>
              <w:t>%</w:t>
            </w:r>
            <w:r>
              <w:rPr>
                <w:rFonts w:hint="eastAsia"/>
                <w:color w:val="000000"/>
                <w:kern w:val="0"/>
                <w:sz w:val="24"/>
                <w:highlight w:val="none"/>
                <w:lang w:eastAsia="zh-CN" w:bidi="ar"/>
              </w:rPr>
              <w:t>，</w:t>
            </w:r>
            <w:r>
              <w:rPr>
                <w:rFonts w:hint="eastAsia" w:cs="宋体"/>
                <w:color w:val="000000"/>
                <w:kern w:val="0"/>
                <w:sz w:val="24"/>
                <w:highlight w:val="none"/>
                <w:lang w:bidi="ar"/>
              </w:rPr>
              <w:t>则使用自来水</w:t>
            </w:r>
            <w:r>
              <w:rPr>
                <w:rFonts w:hint="eastAsia" w:cs="宋体"/>
                <w:color w:val="000000"/>
                <w:kern w:val="0"/>
                <w:sz w:val="24"/>
                <w:highlight w:val="none"/>
                <w:lang w:val="en-US" w:eastAsia="zh-CN" w:bidi="ar"/>
              </w:rPr>
              <w:t>3.89</w:t>
            </w:r>
            <w:r>
              <w:rPr>
                <w:rFonts w:hint="eastAsia"/>
                <w:color w:val="000000"/>
                <w:kern w:val="0"/>
                <w:sz w:val="24"/>
                <w:highlight w:val="none"/>
                <w:lang w:bidi="ar"/>
              </w:rPr>
              <w:t>m</w:t>
            </w:r>
            <w:r>
              <w:rPr>
                <w:color w:val="000000"/>
                <w:kern w:val="0"/>
                <w:sz w:val="24"/>
                <w:szCs w:val="16"/>
                <w:highlight w:val="none"/>
                <w:vertAlign w:val="superscript"/>
                <w:lang w:bidi="ar"/>
              </w:rPr>
              <w:t>3</w:t>
            </w:r>
            <w:r>
              <w:rPr>
                <w:color w:val="000000"/>
                <w:kern w:val="0"/>
                <w:sz w:val="24"/>
                <w:highlight w:val="none"/>
                <w:lang w:bidi="ar"/>
              </w:rPr>
              <w:t>/</w:t>
            </w:r>
            <w:r>
              <w:rPr>
                <w:rFonts w:hint="eastAsia"/>
                <w:color w:val="000000"/>
                <w:kern w:val="0"/>
                <w:sz w:val="24"/>
                <w:highlight w:val="none"/>
                <w:lang w:val="en-US" w:eastAsia="zh-CN" w:bidi="ar"/>
              </w:rPr>
              <w:t>d</w:t>
            </w:r>
            <w:r>
              <w:rPr>
                <w:rFonts w:hint="eastAsia" w:cs="宋体"/>
                <w:color w:val="000000"/>
                <w:kern w:val="0"/>
                <w:sz w:val="24"/>
                <w:highlight w:val="none"/>
                <w:lang w:bidi="ar"/>
              </w:rPr>
              <w:t>，浓水排放量为</w:t>
            </w:r>
            <w:r>
              <w:rPr>
                <w:rFonts w:hint="eastAsia" w:cs="宋体"/>
                <w:color w:val="000000"/>
                <w:kern w:val="0"/>
                <w:sz w:val="24"/>
                <w:highlight w:val="none"/>
                <w:lang w:val="en-US" w:eastAsia="zh-CN" w:bidi="ar"/>
              </w:rPr>
              <w:t>1.17</w:t>
            </w:r>
            <w:r>
              <w:rPr>
                <w:rFonts w:hint="eastAsia"/>
                <w:color w:val="000000"/>
                <w:kern w:val="0"/>
                <w:sz w:val="24"/>
                <w:highlight w:val="none"/>
                <w:lang w:bidi="ar"/>
              </w:rPr>
              <w:t>m</w:t>
            </w:r>
            <w:r>
              <w:rPr>
                <w:color w:val="000000"/>
                <w:kern w:val="0"/>
                <w:sz w:val="24"/>
                <w:szCs w:val="16"/>
                <w:highlight w:val="none"/>
                <w:vertAlign w:val="superscript"/>
                <w:lang w:bidi="ar"/>
              </w:rPr>
              <w:t>3</w:t>
            </w:r>
            <w:r>
              <w:rPr>
                <w:color w:val="000000"/>
                <w:kern w:val="0"/>
                <w:sz w:val="24"/>
                <w:highlight w:val="none"/>
                <w:lang w:bidi="ar"/>
              </w:rPr>
              <w:t>/</w:t>
            </w:r>
            <w:r>
              <w:rPr>
                <w:rFonts w:hint="eastAsia"/>
                <w:color w:val="000000"/>
                <w:kern w:val="0"/>
                <w:sz w:val="24"/>
                <w:highlight w:val="none"/>
                <w:lang w:val="en-US" w:eastAsia="zh-CN" w:bidi="ar"/>
              </w:rPr>
              <w:t>d</w:t>
            </w:r>
            <w:r>
              <w:rPr>
                <w:rFonts w:hint="eastAsia"/>
                <w:color w:val="000000"/>
                <w:kern w:val="0"/>
                <w:sz w:val="24"/>
                <w:highlight w:val="none"/>
                <w:lang w:eastAsia="zh-CN" w:bidi="ar"/>
              </w:rPr>
              <w:t>。此部分</w:t>
            </w:r>
            <w:r>
              <w:rPr>
                <w:rFonts w:hint="eastAsia" w:cs="宋体"/>
                <w:color w:val="000000"/>
                <w:kern w:val="0"/>
                <w:sz w:val="24"/>
                <w:highlight w:val="none"/>
                <w:lang w:bidi="ar"/>
              </w:rPr>
              <w:t>浓水</w:t>
            </w:r>
            <w:r>
              <w:rPr>
                <w:rFonts w:hint="eastAsia"/>
                <w:color w:val="000000"/>
                <w:kern w:val="0"/>
                <w:sz w:val="24"/>
                <w:highlight w:val="none"/>
                <w:lang w:eastAsia="zh-CN" w:bidi="ar"/>
              </w:rPr>
              <w:t>的只是</w:t>
            </w:r>
            <w:r>
              <w:rPr>
                <w:rFonts w:hint="eastAsia"/>
                <w:color w:val="000000"/>
                <w:kern w:val="0"/>
                <w:sz w:val="24"/>
                <w:highlight w:val="none"/>
                <w:lang w:val="en-US" w:eastAsia="zh-CN" w:bidi="ar"/>
              </w:rPr>
              <w:t>COD、SS</w:t>
            </w:r>
            <w:r>
              <w:rPr>
                <w:rFonts w:hint="eastAsia"/>
                <w:color w:val="000000"/>
                <w:kern w:val="0"/>
                <w:sz w:val="24"/>
                <w:highlight w:val="none"/>
                <w:lang w:eastAsia="zh-CN" w:bidi="ar"/>
              </w:rPr>
              <w:t>，不含其它杂质，属于清净下水，</w:t>
            </w:r>
            <w:r>
              <w:rPr>
                <w:rFonts w:ascii="Times New Roman" w:hAnsi="Times New Roman" w:cs="Times New Roman" w:eastAsiaTheme="minorEastAsia"/>
                <w:sz w:val="24"/>
                <w:lang w:val="en-US"/>
              </w:rPr>
              <w:t>进入化粪池沉淀处理后排入</w:t>
            </w:r>
            <w:r>
              <w:rPr>
                <w:rFonts w:hint="eastAsia" w:ascii="Times New Roman" w:hAnsi="Times New Roman" w:cs="Times New Roman" w:eastAsiaTheme="minorEastAsia"/>
                <w:sz w:val="24"/>
                <w:lang w:val="en-US"/>
              </w:rPr>
              <w:t>沣西新城大王</w:t>
            </w:r>
            <w:r>
              <w:rPr>
                <w:rFonts w:ascii="Times New Roman" w:hAnsi="Times New Roman" w:cs="Times New Roman" w:eastAsiaTheme="minorEastAsia"/>
                <w:sz w:val="24"/>
                <w:lang w:val="en-US"/>
              </w:rPr>
              <w:t>污水处理厂，经处理达标后排入</w:t>
            </w:r>
            <w:r>
              <w:rPr>
                <w:rFonts w:hint="eastAsia" w:ascii="Times New Roman" w:hAnsi="Times New Roman" w:cs="Times New Roman" w:eastAsiaTheme="minorEastAsia"/>
                <w:sz w:val="24"/>
                <w:lang w:val="en-US"/>
              </w:rPr>
              <w:t>新河</w:t>
            </w:r>
            <w:r>
              <w:rPr>
                <w:rFonts w:hint="eastAsia" w:cs="Times New Roman" w:eastAsiaTheme="minorEastAsia"/>
                <w:sz w:val="24"/>
                <w:lang w:val="en-US" w:eastAsia="zh-CN"/>
              </w:rPr>
              <w:t>。</w:t>
            </w:r>
          </w:p>
          <w:p w14:paraId="257C818C">
            <w:pPr>
              <w:jc w:val="center"/>
              <w:rPr>
                <w:rFonts w:hint="default" w:eastAsiaTheme="minorEastAsia"/>
                <w:b/>
                <w:bCs/>
                <w:sz w:val="21"/>
                <w:szCs w:val="21"/>
                <w:lang w:val="en-US" w:eastAsia="zh-CN"/>
              </w:rPr>
            </w:pPr>
            <w:r>
              <w:rPr>
                <w:rFonts w:eastAsiaTheme="minorEastAsia"/>
                <w:b/>
                <w:bCs/>
                <w:sz w:val="21"/>
                <w:szCs w:val="21"/>
              </w:rPr>
              <w:t>表</w:t>
            </w:r>
            <w:r>
              <w:rPr>
                <w:rFonts w:hint="eastAsia" w:eastAsiaTheme="minorEastAsia"/>
                <w:b/>
                <w:bCs/>
                <w:sz w:val="21"/>
                <w:szCs w:val="21"/>
              </w:rPr>
              <w:t>2</w:t>
            </w:r>
            <w:r>
              <w:rPr>
                <w:rFonts w:eastAsiaTheme="minorEastAsia"/>
                <w:b/>
                <w:bCs/>
                <w:sz w:val="21"/>
                <w:szCs w:val="21"/>
              </w:rPr>
              <w:t>-</w:t>
            </w:r>
            <w:r>
              <w:rPr>
                <w:rFonts w:hint="eastAsia" w:eastAsiaTheme="minorEastAsia"/>
                <w:b/>
                <w:bCs/>
                <w:sz w:val="21"/>
                <w:szCs w:val="21"/>
              </w:rPr>
              <w:t>6</w:t>
            </w:r>
            <w:r>
              <w:rPr>
                <w:rFonts w:eastAsiaTheme="minorEastAsia"/>
                <w:b/>
                <w:bCs/>
                <w:sz w:val="21"/>
                <w:szCs w:val="21"/>
              </w:rPr>
              <w:t xml:space="preserve">  项目用水量分析表</w:t>
            </w:r>
            <w:r>
              <w:rPr>
                <w:rFonts w:hint="eastAsia" w:eastAsiaTheme="minorEastAsia"/>
                <w:b/>
                <w:bCs/>
                <w:sz w:val="21"/>
                <w:szCs w:val="21"/>
                <w:lang w:val="en-US" w:eastAsia="zh-CN"/>
              </w:rPr>
              <w:t xml:space="preserve">  单位</w:t>
            </w:r>
            <w:r>
              <w:rPr>
                <w:rFonts w:ascii="Times New Roman" w:hAnsi="Times New Roman" w:cs="Times New Roman" w:eastAsiaTheme="minorEastAsia"/>
                <w:b/>
                <w:bCs/>
                <w:sz w:val="21"/>
                <w:szCs w:val="21"/>
                <w:lang w:val="en-US"/>
              </w:rPr>
              <w:t>m</w:t>
            </w:r>
            <w:r>
              <w:rPr>
                <w:rFonts w:ascii="Times New Roman" w:hAnsi="Times New Roman" w:cs="Times New Roman" w:eastAsiaTheme="minorEastAsia"/>
                <w:b/>
                <w:bCs/>
                <w:sz w:val="21"/>
                <w:szCs w:val="21"/>
                <w:vertAlign w:val="superscript"/>
                <w:lang w:val="en-US"/>
              </w:rPr>
              <w:t>3</w:t>
            </w:r>
            <w:r>
              <w:rPr>
                <w:rFonts w:ascii="Times New Roman" w:hAnsi="Times New Roman" w:cs="Times New Roman" w:eastAsiaTheme="minorEastAsia"/>
                <w:b/>
                <w:bCs/>
                <w:sz w:val="21"/>
                <w:szCs w:val="21"/>
                <w:lang w:val="en-US"/>
              </w:rPr>
              <w:t>/d</w:t>
            </w:r>
          </w:p>
          <w:tbl>
            <w:tblPr>
              <w:tblStyle w:val="21"/>
              <w:tblW w:w="793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88"/>
              <w:gridCol w:w="943"/>
              <w:gridCol w:w="1209"/>
              <w:gridCol w:w="1157"/>
              <w:gridCol w:w="861"/>
              <w:gridCol w:w="1205"/>
              <w:gridCol w:w="892"/>
            </w:tblGrid>
            <w:tr w14:paraId="2C036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81" w:type="dxa"/>
                  <w:tcBorders>
                    <w:tl2br w:val="nil"/>
                    <w:tr2bl w:val="nil"/>
                  </w:tcBorders>
                  <w:shd w:val="clear" w:color="auto" w:fill="auto"/>
                  <w:vAlign w:val="center"/>
                </w:tcPr>
                <w:p w14:paraId="680BE76F">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序号</w:t>
                  </w:r>
                </w:p>
              </w:tc>
              <w:tc>
                <w:tcPr>
                  <w:tcW w:w="988" w:type="dxa"/>
                  <w:tcBorders>
                    <w:tl2br w:val="nil"/>
                    <w:tr2bl w:val="nil"/>
                  </w:tcBorders>
                  <w:vAlign w:val="center"/>
                </w:tcPr>
                <w:p w14:paraId="3D76CB12">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用水</w:t>
                  </w:r>
                </w:p>
                <w:p w14:paraId="764F2B7A">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工序</w:t>
                  </w:r>
                </w:p>
              </w:tc>
              <w:tc>
                <w:tcPr>
                  <w:tcW w:w="943" w:type="dxa"/>
                  <w:tcBorders>
                    <w:tl2br w:val="nil"/>
                    <w:tr2bl w:val="nil"/>
                  </w:tcBorders>
                  <w:vAlign w:val="center"/>
                </w:tcPr>
                <w:p w14:paraId="0959C4E5">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总用</w:t>
                  </w:r>
                </w:p>
                <w:p w14:paraId="49FFA321">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水量</w:t>
                  </w:r>
                </w:p>
              </w:tc>
              <w:tc>
                <w:tcPr>
                  <w:tcW w:w="1209" w:type="dxa"/>
                  <w:tcBorders>
                    <w:tl2br w:val="nil"/>
                    <w:tr2bl w:val="nil"/>
                  </w:tcBorders>
                  <w:vAlign w:val="center"/>
                </w:tcPr>
                <w:p w14:paraId="38F95B68">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循环</w:t>
                  </w:r>
                </w:p>
                <w:p w14:paraId="47F75F56">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用水量</w:t>
                  </w:r>
                </w:p>
              </w:tc>
              <w:tc>
                <w:tcPr>
                  <w:tcW w:w="1157" w:type="dxa"/>
                  <w:tcBorders>
                    <w:tl2br w:val="nil"/>
                    <w:tr2bl w:val="nil"/>
                  </w:tcBorders>
                  <w:vAlign w:val="center"/>
                </w:tcPr>
                <w:p w14:paraId="7F3FE072">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新鲜</w:t>
                  </w:r>
                </w:p>
                <w:p w14:paraId="75C3C04B">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用水量</w:t>
                  </w:r>
                </w:p>
              </w:tc>
              <w:tc>
                <w:tcPr>
                  <w:tcW w:w="861" w:type="dxa"/>
                  <w:tcBorders>
                    <w:tl2br w:val="nil"/>
                    <w:tr2bl w:val="nil"/>
                  </w:tcBorders>
                  <w:vAlign w:val="center"/>
                </w:tcPr>
                <w:p w14:paraId="4A946889">
                  <w:pPr>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纯水</w:t>
                  </w:r>
                </w:p>
                <w:p w14:paraId="7C73EBE1">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用量</w:t>
                  </w:r>
                </w:p>
              </w:tc>
              <w:tc>
                <w:tcPr>
                  <w:tcW w:w="1205" w:type="dxa"/>
                  <w:tcBorders>
                    <w:tl2br w:val="nil"/>
                    <w:tr2bl w:val="nil"/>
                  </w:tcBorders>
                  <w:vAlign w:val="center"/>
                </w:tcPr>
                <w:p w14:paraId="5F44BF5F">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消耗量</w:t>
                  </w:r>
                </w:p>
              </w:tc>
              <w:tc>
                <w:tcPr>
                  <w:tcW w:w="892" w:type="dxa"/>
                  <w:tcBorders>
                    <w:tl2br w:val="nil"/>
                    <w:tr2bl w:val="nil"/>
                  </w:tcBorders>
                  <w:vAlign w:val="center"/>
                </w:tcPr>
                <w:p w14:paraId="71D1191E">
                  <w:pPr>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排放量</w:t>
                  </w:r>
                </w:p>
              </w:tc>
            </w:tr>
            <w:tr w14:paraId="05B4D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shd w:val="clear" w:color="auto" w:fill="auto"/>
                  <w:vAlign w:val="center"/>
                </w:tcPr>
                <w:p w14:paraId="4AF82AE9">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1</w:t>
                  </w:r>
                </w:p>
              </w:tc>
              <w:tc>
                <w:tcPr>
                  <w:tcW w:w="988" w:type="dxa"/>
                  <w:tcBorders>
                    <w:tl2br w:val="nil"/>
                    <w:tr2bl w:val="nil"/>
                  </w:tcBorders>
                  <w:vAlign w:val="center"/>
                </w:tcPr>
                <w:p w14:paraId="31461744">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生活</w:t>
                  </w:r>
                </w:p>
                <w:p w14:paraId="59CE5A39">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用水</w:t>
                  </w:r>
                </w:p>
              </w:tc>
              <w:tc>
                <w:tcPr>
                  <w:tcW w:w="943" w:type="dxa"/>
                  <w:tcBorders>
                    <w:tl2br w:val="nil"/>
                    <w:tr2bl w:val="nil"/>
                  </w:tcBorders>
                  <w:vAlign w:val="center"/>
                </w:tcPr>
                <w:p w14:paraId="15D8399B">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0.35</w:t>
                  </w:r>
                </w:p>
              </w:tc>
              <w:tc>
                <w:tcPr>
                  <w:tcW w:w="1209" w:type="dxa"/>
                  <w:tcBorders>
                    <w:tl2br w:val="nil"/>
                    <w:tr2bl w:val="nil"/>
                  </w:tcBorders>
                  <w:vAlign w:val="center"/>
                </w:tcPr>
                <w:p w14:paraId="5132B462">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c>
                <w:tcPr>
                  <w:tcW w:w="1157" w:type="dxa"/>
                  <w:tcBorders>
                    <w:tl2br w:val="nil"/>
                    <w:tr2bl w:val="nil"/>
                  </w:tcBorders>
                  <w:vAlign w:val="center"/>
                </w:tcPr>
                <w:p w14:paraId="4982CD6D">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0.35</w:t>
                  </w:r>
                </w:p>
              </w:tc>
              <w:tc>
                <w:tcPr>
                  <w:tcW w:w="861" w:type="dxa"/>
                  <w:tcBorders>
                    <w:tl2br w:val="nil"/>
                    <w:tr2bl w:val="nil"/>
                  </w:tcBorders>
                  <w:vAlign w:val="center"/>
                </w:tcPr>
                <w:p w14:paraId="320FF8DA">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c>
                <w:tcPr>
                  <w:tcW w:w="1205" w:type="dxa"/>
                  <w:tcBorders>
                    <w:tl2br w:val="nil"/>
                    <w:tr2bl w:val="nil"/>
                  </w:tcBorders>
                  <w:vAlign w:val="center"/>
                </w:tcPr>
                <w:p w14:paraId="603583F7">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0.07</w:t>
                  </w:r>
                </w:p>
              </w:tc>
              <w:tc>
                <w:tcPr>
                  <w:tcW w:w="892" w:type="dxa"/>
                  <w:tcBorders>
                    <w:tl2br w:val="nil"/>
                    <w:tr2bl w:val="nil"/>
                  </w:tcBorders>
                  <w:vAlign w:val="center"/>
                </w:tcPr>
                <w:p w14:paraId="3841BA91">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0.28</w:t>
                  </w:r>
                </w:p>
              </w:tc>
            </w:tr>
            <w:tr w14:paraId="5B7B0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shd w:val="clear" w:color="auto" w:fill="auto"/>
                  <w:vAlign w:val="center"/>
                </w:tcPr>
                <w:p w14:paraId="3B3FA9E1">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2</w:t>
                  </w:r>
                </w:p>
              </w:tc>
              <w:tc>
                <w:tcPr>
                  <w:tcW w:w="988" w:type="dxa"/>
                  <w:tcBorders>
                    <w:tl2br w:val="nil"/>
                    <w:tr2bl w:val="nil"/>
                  </w:tcBorders>
                  <w:vAlign w:val="center"/>
                </w:tcPr>
                <w:p w14:paraId="325AD49F">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冷却</w:t>
                  </w:r>
                </w:p>
                <w:p w14:paraId="2E1571D4">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用水</w:t>
                  </w:r>
                </w:p>
              </w:tc>
              <w:tc>
                <w:tcPr>
                  <w:tcW w:w="943" w:type="dxa"/>
                  <w:tcBorders>
                    <w:tl2br w:val="nil"/>
                    <w:tr2bl w:val="nil"/>
                  </w:tcBorders>
                  <w:vAlign w:val="center"/>
                </w:tcPr>
                <w:p w14:paraId="79137371">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3</w:t>
                  </w:r>
                </w:p>
              </w:tc>
              <w:tc>
                <w:tcPr>
                  <w:tcW w:w="1209" w:type="dxa"/>
                  <w:tcBorders>
                    <w:tl2br w:val="nil"/>
                    <w:tr2bl w:val="nil"/>
                  </w:tcBorders>
                  <w:vAlign w:val="center"/>
                </w:tcPr>
                <w:p w14:paraId="55B6C7DB">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2.9</w:t>
                  </w:r>
                </w:p>
              </w:tc>
              <w:tc>
                <w:tcPr>
                  <w:tcW w:w="1157" w:type="dxa"/>
                  <w:tcBorders>
                    <w:tl2br w:val="nil"/>
                    <w:tr2bl w:val="nil"/>
                  </w:tcBorders>
                  <w:vAlign w:val="center"/>
                </w:tcPr>
                <w:p w14:paraId="1BB3FB82">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0.1</w:t>
                  </w:r>
                </w:p>
              </w:tc>
              <w:tc>
                <w:tcPr>
                  <w:tcW w:w="861" w:type="dxa"/>
                  <w:tcBorders>
                    <w:tl2br w:val="nil"/>
                    <w:tr2bl w:val="nil"/>
                  </w:tcBorders>
                  <w:vAlign w:val="center"/>
                </w:tcPr>
                <w:p w14:paraId="11C4FB55">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c>
                <w:tcPr>
                  <w:tcW w:w="1205" w:type="dxa"/>
                  <w:tcBorders>
                    <w:tl2br w:val="nil"/>
                    <w:tr2bl w:val="nil"/>
                  </w:tcBorders>
                  <w:vAlign w:val="center"/>
                </w:tcPr>
                <w:p w14:paraId="153298FA">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0.1</w:t>
                  </w:r>
                </w:p>
              </w:tc>
              <w:tc>
                <w:tcPr>
                  <w:tcW w:w="892" w:type="dxa"/>
                  <w:tcBorders>
                    <w:tl2br w:val="nil"/>
                    <w:tr2bl w:val="nil"/>
                  </w:tcBorders>
                  <w:vAlign w:val="center"/>
                </w:tcPr>
                <w:p w14:paraId="4FABE1D3">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r>
            <w:tr w14:paraId="46647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shd w:val="clear" w:color="auto" w:fill="auto"/>
                  <w:vAlign w:val="center"/>
                </w:tcPr>
                <w:p w14:paraId="544A60F9">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3</w:t>
                  </w:r>
                </w:p>
              </w:tc>
              <w:tc>
                <w:tcPr>
                  <w:tcW w:w="988" w:type="dxa"/>
                  <w:tcBorders>
                    <w:tl2br w:val="nil"/>
                    <w:tr2bl w:val="nil"/>
                  </w:tcBorders>
                  <w:vAlign w:val="center"/>
                </w:tcPr>
                <w:p w14:paraId="5A2F4D1A">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除油</w:t>
                  </w:r>
                </w:p>
                <w:p w14:paraId="465198A7">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用水</w:t>
                  </w:r>
                </w:p>
              </w:tc>
              <w:tc>
                <w:tcPr>
                  <w:tcW w:w="943" w:type="dxa"/>
                  <w:tcBorders>
                    <w:tl2br w:val="nil"/>
                    <w:tr2bl w:val="nil"/>
                  </w:tcBorders>
                  <w:vAlign w:val="center"/>
                </w:tcPr>
                <w:p w14:paraId="411DAE0E">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1.6</w:t>
                  </w:r>
                </w:p>
              </w:tc>
              <w:tc>
                <w:tcPr>
                  <w:tcW w:w="1209" w:type="dxa"/>
                  <w:tcBorders>
                    <w:tl2br w:val="nil"/>
                    <w:tr2bl w:val="nil"/>
                  </w:tcBorders>
                  <w:vAlign w:val="center"/>
                </w:tcPr>
                <w:p w14:paraId="4517C98F">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1.28</w:t>
                  </w:r>
                </w:p>
              </w:tc>
              <w:tc>
                <w:tcPr>
                  <w:tcW w:w="1157" w:type="dxa"/>
                  <w:tcBorders>
                    <w:tl2br w:val="nil"/>
                    <w:tr2bl w:val="nil"/>
                  </w:tcBorders>
                  <w:vAlign w:val="center"/>
                </w:tcPr>
                <w:p w14:paraId="657C3D11">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0.32</w:t>
                  </w:r>
                </w:p>
              </w:tc>
              <w:tc>
                <w:tcPr>
                  <w:tcW w:w="861" w:type="dxa"/>
                  <w:tcBorders>
                    <w:tl2br w:val="nil"/>
                    <w:tr2bl w:val="nil"/>
                  </w:tcBorders>
                  <w:vAlign w:val="center"/>
                </w:tcPr>
                <w:p w14:paraId="7377A80A">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c>
                <w:tcPr>
                  <w:tcW w:w="1205" w:type="dxa"/>
                  <w:tcBorders>
                    <w:tl2br w:val="nil"/>
                    <w:tr2bl w:val="nil"/>
                  </w:tcBorders>
                  <w:vAlign w:val="center"/>
                </w:tcPr>
                <w:p w14:paraId="2F32550F">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0.32</w:t>
                  </w:r>
                </w:p>
              </w:tc>
              <w:tc>
                <w:tcPr>
                  <w:tcW w:w="892" w:type="dxa"/>
                  <w:tcBorders>
                    <w:tl2br w:val="nil"/>
                    <w:tr2bl w:val="nil"/>
                  </w:tcBorders>
                  <w:vAlign w:val="center"/>
                </w:tcPr>
                <w:p w14:paraId="738EE775">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r>
            <w:tr w14:paraId="7E343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shd w:val="clear" w:color="auto" w:fill="auto"/>
                  <w:vAlign w:val="center"/>
                </w:tcPr>
                <w:p w14:paraId="3231F667">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4</w:t>
                  </w:r>
                </w:p>
              </w:tc>
              <w:tc>
                <w:tcPr>
                  <w:tcW w:w="988" w:type="dxa"/>
                  <w:tcBorders>
                    <w:tl2br w:val="nil"/>
                    <w:tr2bl w:val="nil"/>
                  </w:tcBorders>
                  <w:vAlign w:val="center"/>
                </w:tcPr>
                <w:p w14:paraId="3F75F0C0">
                  <w:pPr>
                    <w:jc w:val="center"/>
                    <w:rPr>
                      <w:rFonts w:hint="default" w:cs="Times New Roman"/>
                      <w:kern w:val="2"/>
                      <w:sz w:val="21"/>
                      <w:szCs w:val="21"/>
                      <w:lang w:val="en-US" w:eastAsia="zh-CN" w:bidi="ar-SA"/>
                    </w:rPr>
                  </w:pPr>
                  <w:r>
                    <w:rPr>
                      <w:rFonts w:hint="default" w:cs="Times New Roman"/>
                      <w:kern w:val="2"/>
                      <w:sz w:val="21"/>
                      <w:szCs w:val="21"/>
                      <w:lang w:val="en-US" w:eastAsia="zh-CN" w:bidi="ar-SA"/>
                    </w:rPr>
                    <w:t>水洗</w:t>
                  </w:r>
                </w:p>
                <w:p w14:paraId="756AF0FD">
                  <w:pPr>
                    <w:jc w:val="center"/>
                    <w:rPr>
                      <w:rFonts w:hint="eastAsia" w:cs="Times New Roman"/>
                      <w:kern w:val="2"/>
                      <w:sz w:val="21"/>
                      <w:szCs w:val="21"/>
                      <w:lang w:val="en-US" w:eastAsia="zh-CN" w:bidi="ar-SA"/>
                    </w:rPr>
                  </w:pPr>
                  <w:r>
                    <w:rPr>
                      <w:rFonts w:hint="default" w:cs="Times New Roman"/>
                      <w:kern w:val="2"/>
                      <w:sz w:val="21"/>
                      <w:szCs w:val="21"/>
                      <w:lang w:val="en-US" w:eastAsia="zh-CN" w:bidi="ar-SA"/>
                    </w:rPr>
                    <w:t>用水</w:t>
                  </w:r>
                </w:p>
              </w:tc>
              <w:tc>
                <w:tcPr>
                  <w:tcW w:w="943" w:type="dxa"/>
                  <w:tcBorders>
                    <w:tl2br w:val="nil"/>
                    <w:tr2bl w:val="nil"/>
                  </w:tcBorders>
                  <w:vAlign w:val="center"/>
                </w:tcPr>
                <w:p w14:paraId="059AAEB3">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w:t>
                  </w:r>
                </w:p>
              </w:tc>
              <w:tc>
                <w:tcPr>
                  <w:tcW w:w="1209" w:type="dxa"/>
                  <w:tcBorders>
                    <w:tl2br w:val="nil"/>
                    <w:tr2bl w:val="nil"/>
                  </w:tcBorders>
                  <w:vAlign w:val="center"/>
                </w:tcPr>
                <w:p w14:paraId="4648395A">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0.64</w:t>
                  </w:r>
                </w:p>
              </w:tc>
              <w:tc>
                <w:tcPr>
                  <w:tcW w:w="1157" w:type="dxa"/>
                  <w:tcBorders>
                    <w:tl2br w:val="nil"/>
                    <w:tr2bl w:val="nil"/>
                  </w:tcBorders>
                  <w:vAlign w:val="center"/>
                </w:tcPr>
                <w:p w14:paraId="3E231297">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0.16</w:t>
                  </w:r>
                </w:p>
              </w:tc>
              <w:tc>
                <w:tcPr>
                  <w:tcW w:w="861" w:type="dxa"/>
                  <w:tcBorders>
                    <w:tl2br w:val="nil"/>
                    <w:tr2bl w:val="nil"/>
                  </w:tcBorders>
                  <w:vAlign w:val="center"/>
                </w:tcPr>
                <w:p w14:paraId="141719E3">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c>
                <w:tcPr>
                  <w:tcW w:w="1205" w:type="dxa"/>
                  <w:tcBorders>
                    <w:tl2br w:val="nil"/>
                    <w:tr2bl w:val="nil"/>
                  </w:tcBorders>
                  <w:vAlign w:val="center"/>
                </w:tcPr>
                <w:p w14:paraId="5B6E9909">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0.16</w:t>
                  </w:r>
                </w:p>
              </w:tc>
              <w:tc>
                <w:tcPr>
                  <w:tcW w:w="892" w:type="dxa"/>
                  <w:tcBorders>
                    <w:tl2br w:val="nil"/>
                    <w:tr2bl w:val="nil"/>
                  </w:tcBorders>
                  <w:vAlign w:val="center"/>
                </w:tcPr>
                <w:p w14:paraId="6CE1AE50">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r>
            <w:tr w14:paraId="1A5F9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shd w:val="clear" w:color="auto" w:fill="auto"/>
                  <w:vAlign w:val="center"/>
                </w:tcPr>
                <w:p w14:paraId="410DE243">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5</w:t>
                  </w:r>
                </w:p>
              </w:tc>
              <w:tc>
                <w:tcPr>
                  <w:tcW w:w="988" w:type="dxa"/>
                  <w:tcBorders>
                    <w:tl2br w:val="nil"/>
                    <w:tr2bl w:val="nil"/>
                  </w:tcBorders>
                  <w:vAlign w:val="center"/>
                </w:tcPr>
                <w:p w14:paraId="0CFAE2BD">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表调</w:t>
                  </w:r>
                </w:p>
                <w:p w14:paraId="5AE18D06">
                  <w:pPr>
                    <w:jc w:val="center"/>
                    <w:rPr>
                      <w:rFonts w:hint="eastAsia" w:cs="Times New Roman"/>
                      <w:kern w:val="2"/>
                      <w:sz w:val="21"/>
                      <w:szCs w:val="21"/>
                      <w:lang w:val="en-US" w:eastAsia="zh-CN" w:bidi="ar-SA"/>
                    </w:rPr>
                  </w:pPr>
                  <w:r>
                    <w:rPr>
                      <w:rFonts w:hint="default" w:cs="Times New Roman"/>
                      <w:kern w:val="2"/>
                      <w:sz w:val="21"/>
                      <w:szCs w:val="21"/>
                      <w:lang w:val="en-US" w:eastAsia="zh-CN" w:bidi="ar-SA"/>
                    </w:rPr>
                    <w:t>用水</w:t>
                  </w:r>
                </w:p>
              </w:tc>
              <w:tc>
                <w:tcPr>
                  <w:tcW w:w="943" w:type="dxa"/>
                  <w:tcBorders>
                    <w:tl2br w:val="nil"/>
                    <w:tr2bl w:val="nil"/>
                  </w:tcBorders>
                  <w:shd w:val="clear" w:color="auto" w:fill="auto"/>
                  <w:vAlign w:val="center"/>
                </w:tcPr>
                <w:p w14:paraId="5306A0F9">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1</w:t>
                  </w:r>
                </w:p>
              </w:tc>
              <w:tc>
                <w:tcPr>
                  <w:tcW w:w="1209" w:type="dxa"/>
                  <w:tcBorders>
                    <w:tl2br w:val="nil"/>
                    <w:tr2bl w:val="nil"/>
                  </w:tcBorders>
                  <w:shd w:val="clear" w:color="auto" w:fill="auto"/>
                  <w:vAlign w:val="center"/>
                </w:tcPr>
                <w:p w14:paraId="01A6E27A">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0.64</w:t>
                  </w:r>
                </w:p>
              </w:tc>
              <w:tc>
                <w:tcPr>
                  <w:tcW w:w="1157" w:type="dxa"/>
                  <w:tcBorders>
                    <w:tl2br w:val="nil"/>
                    <w:tr2bl w:val="nil"/>
                  </w:tcBorders>
                  <w:shd w:val="clear" w:color="auto" w:fill="auto"/>
                  <w:vAlign w:val="center"/>
                </w:tcPr>
                <w:p w14:paraId="16F0B06C">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0.16</w:t>
                  </w:r>
                </w:p>
              </w:tc>
              <w:tc>
                <w:tcPr>
                  <w:tcW w:w="861" w:type="dxa"/>
                  <w:tcBorders>
                    <w:tl2br w:val="nil"/>
                    <w:tr2bl w:val="nil"/>
                  </w:tcBorders>
                  <w:shd w:val="clear" w:color="auto" w:fill="auto"/>
                  <w:vAlign w:val="center"/>
                </w:tcPr>
                <w:p w14:paraId="554C78A3">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c>
                <w:tcPr>
                  <w:tcW w:w="1205" w:type="dxa"/>
                  <w:tcBorders>
                    <w:tl2br w:val="nil"/>
                    <w:tr2bl w:val="nil"/>
                  </w:tcBorders>
                  <w:shd w:val="clear" w:color="auto" w:fill="auto"/>
                  <w:vAlign w:val="center"/>
                </w:tcPr>
                <w:p w14:paraId="4B1A51D0">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0.16</w:t>
                  </w:r>
                </w:p>
              </w:tc>
              <w:tc>
                <w:tcPr>
                  <w:tcW w:w="892" w:type="dxa"/>
                  <w:tcBorders>
                    <w:tl2br w:val="nil"/>
                    <w:tr2bl w:val="nil"/>
                  </w:tcBorders>
                  <w:vAlign w:val="center"/>
                </w:tcPr>
                <w:p w14:paraId="20F1C92A">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r>
            <w:tr w14:paraId="76B63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shd w:val="clear" w:color="auto" w:fill="auto"/>
                  <w:vAlign w:val="center"/>
                </w:tcPr>
                <w:p w14:paraId="0C72AAAB">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6</w:t>
                  </w:r>
                </w:p>
              </w:tc>
              <w:tc>
                <w:tcPr>
                  <w:tcW w:w="988" w:type="dxa"/>
                  <w:tcBorders>
                    <w:tl2br w:val="nil"/>
                    <w:tr2bl w:val="nil"/>
                  </w:tcBorders>
                  <w:vAlign w:val="center"/>
                </w:tcPr>
                <w:p w14:paraId="2A7BD31E">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陶化</w:t>
                  </w:r>
                </w:p>
                <w:p w14:paraId="15DE61E8">
                  <w:pPr>
                    <w:jc w:val="center"/>
                    <w:rPr>
                      <w:rFonts w:hint="eastAsia" w:cs="Times New Roman"/>
                      <w:kern w:val="2"/>
                      <w:sz w:val="21"/>
                      <w:szCs w:val="21"/>
                      <w:lang w:val="en-US" w:eastAsia="zh-CN" w:bidi="ar-SA"/>
                    </w:rPr>
                  </w:pPr>
                  <w:r>
                    <w:rPr>
                      <w:rFonts w:hint="default" w:cs="Times New Roman"/>
                      <w:kern w:val="2"/>
                      <w:sz w:val="21"/>
                      <w:szCs w:val="21"/>
                      <w:lang w:val="en-US" w:eastAsia="zh-CN" w:bidi="ar-SA"/>
                    </w:rPr>
                    <w:t>用水</w:t>
                  </w:r>
                </w:p>
              </w:tc>
              <w:tc>
                <w:tcPr>
                  <w:tcW w:w="943" w:type="dxa"/>
                  <w:tcBorders>
                    <w:tl2br w:val="nil"/>
                    <w:tr2bl w:val="nil"/>
                  </w:tcBorders>
                  <w:shd w:val="clear" w:color="auto" w:fill="auto"/>
                  <w:vAlign w:val="center"/>
                </w:tcPr>
                <w:p w14:paraId="26E5E7E1">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w:t>
                  </w:r>
                </w:p>
              </w:tc>
              <w:tc>
                <w:tcPr>
                  <w:tcW w:w="1209" w:type="dxa"/>
                  <w:tcBorders>
                    <w:tl2br w:val="nil"/>
                    <w:tr2bl w:val="nil"/>
                  </w:tcBorders>
                  <w:shd w:val="clear" w:color="auto" w:fill="auto"/>
                  <w:vAlign w:val="center"/>
                </w:tcPr>
                <w:p w14:paraId="081719A9">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0.64</w:t>
                  </w:r>
                </w:p>
              </w:tc>
              <w:tc>
                <w:tcPr>
                  <w:tcW w:w="1157" w:type="dxa"/>
                  <w:tcBorders>
                    <w:tl2br w:val="nil"/>
                    <w:tr2bl w:val="nil"/>
                  </w:tcBorders>
                  <w:shd w:val="clear" w:color="auto" w:fill="auto"/>
                  <w:vAlign w:val="center"/>
                </w:tcPr>
                <w:p w14:paraId="39987982">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0.16</w:t>
                  </w:r>
                </w:p>
              </w:tc>
              <w:tc>
                <w:tcPr>
                  <w:tcW w:w="861" w:type="dxa"/>
                  <w:tcBorders>
                    <w:tl2br w:val="nil"/>
                    <w:tr2bl w:val="nil"/>
                  </w:tcBorders>
                  <w:shd w:val="clear" w:color="auto" w:fill="auto"/>
                  <w:vAlign w:val="center"/>
                </w:tcPr>
                <w:p w14:paraId="657FCD7C">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c>
                <w:tcPr>
                  <w:tcW w:w="1205" w:type="dxa"/>
                  <w:tcBorders>
                    <w:tl2br w:val="nil"/>
                    <w:tr2bl w:val="nil"/>
                  </w:tcBorders>
                  <w:shd w:val="clear" w:color="auto" w:fill="auto"/>
                  <w:vAlign w:val="center"/>
                </w:tcPr>
                <w:p w14:paraId="052ED59A">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0.16</w:t>
                  </w:r>
                </w:p>
              </w:tc>
              <w:tc>
                <w:tcPr>
                  <w:tcW w:w="892" w:type="dxa"/>
                  <w:tcBorders>
                    <w:tl2br w:val="nil"/>
                    <w:tr2bl w:val="nil"/>
                  </w:tcBorders>
                  <w:shd w:val="clear" w:color="auto" w:fill="auto"/>
                  <w:vAlign w:val="center"/>
                </w:tcPr>
                <w:p w14:paraId="3321FDE7">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r>
            <w:tr w14:paraId="25F40F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681" w:type="dxa"/>
                  <w:tcBorders>
                    <w:tl2br w:val="nil"/>
                    <w:tr2bl w:val="nil"/>
                  </w:tcBorders>
                  <w:vAlign w:val="center"/>
                </w:tcPr>
                <w:p w14:paraId="2D9505C8">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7</w:t>
                  </w:r>
                </w:p>
              </w:tc>
              <w:tc>
                <w:tcPr>
                  <w:tcW w:w="988" w:type="dxa"/>
                  <w:tcBorders>
                    <w:tl2br w:val="nil"/>
                    <w:tr2bl w:val="nil"/>
                  </w:tcBorders>
                  <w:vAlign w:val="center"/>
                </w:tcPr>
                <w:p w14:paraId="63CEBE7F">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纯水制备用水</w:t>
                  </w:r>
                </w:p>
              </w:tc>
              <w:tc>
                <w:tcPr>
                  <w:tcW w:w="943" w:type="dxa"/>
                  <w:tcBorders>
                    <w:tl2br w:val="nil"/>
                    <w:tr2bl w:val="nil"/>
                  </w:tcBorders>
                  <w:vAlign w:val="center"/>
                </w:tcPr>
                <w:p w14:paraId="51E23116">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3.89</w:t>
                  </w:r>
                </w:p>
              </w:tc>
              <w:tc>
                <w:tcPr>
                  <w:tcW w:w="1209" w:type="dxa"/>
                  <w:tcBorders>
                    <w:tl2br w:val="nil"/>
                    <w:tr2bl w:val="nil"/>
                  </w:tcBorders>
                  <w:vAlign w:val="center"/>
                </w:tcPr>
                <w:p w14:paraId="296CBBA9">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c>
                <w:tcPr>
                  <w:tcW w:w="1157" w:type="dxa"/>
                  <w:tcBorders>
                    <w:tl2br w:val="nil"/>
                    <w:tr2bl w:val="nil"/>
                  </w:tcBorders>
                  <w:vAlign w:val="center"/>
                </w:tcPr>
                <w:p w14:paraId="53517392">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3.89</w:t>
                  </w:r>
                </w:p>
              </w:tc>
              <w:tc>
                <w:tcPr>
                  <w:tcW w:w="861" w:type="dxa"/>
                  <w:tcBorders>
                    <w:tl2br w:val="nil"/>
                    <w:tr2bl w:val="nil"/>
                  </w:tcBorders>
                  <w:vAlign w:val="center"/>
                </w:tcPr>
                <w:p w14:paraId="352437D2">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c>
                <w:tcPr>
                  <w:tcW w:w="1205" w:type="dxa"/>
                  <w:tcBorders>
                    <w:tl2br w:val="nil"/>
                    <w:tr2bl w:val="nil"/>
                  </w:tcBorders>
                  <w:vAlign w:val="center"/>
                </w:tcPr>
                <w:p w14:paraId="6576447D">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2.72</w:t>
                  </w:r>
                </w:p>
              </w:tc>
              <w:tc>
                <w:tcPr>
                  <w:tcW w:w="892" w:type="dxa"/>
                  <w:tcBorders>
                    <w:tl2br w:val="nil"/>
                    <w:tr2bl w:val="nil"/>
                  </w:tcBorders>
                  <w:vAlign w:val="center"/>
                </w:tcPr>
                <w:p w14:paraId="25F710E1">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1.17</w:t>
                  </w:r>
                </w:p>
              </w:tc>
            </w:tr>
            <w:tr w14:paraId="45DC9B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vAlign w:val="center"/>
                </w:tcPr>
                <w:p w14:paraId="51514407">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8</w:t>
                  </w:r>
                </w:p>
              </w:tc>
              <w:tc>
                <w:tcPr>
                  <w:tcW w:w="988" w:type="dxa"/>
                  <w:tcBorders>
                    <w:tl2br w:val="nil"/>
                    <w:tr2bl w:val="nil"/>
                  </w:tcBorders>
                  <w:vAlign w:val="center"/>
                </w:tcPr>
                <w:p w14:paraId="7CFDC8FE">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纯水</w:t>
                  </w:r>
                </w:p>
                <w:p w14:paraId="29F782B0">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洗</w:t>
                  </w:r>
                  <w:r>
                    <w:rPr>
                      <w:rFonts w:hint="default" w:cs="Times New Roman"/>
                      <w:kern w:val="2"/>
                      <w:sz w:val="21"/>
                      <w:szCs w:val="21"/>
                      <w:lang w:val="en-US" w:eastAsia="zh-CN" w:bidi="ar-SA"/>
                    </w:rPr>
                    <w:t>用水</w:t>
                  </w:r>
                </w:p>
              </w:tc>
              <w:tc>
                <w:tcPr>
                  <w:tcW w:w="943" w:type="dxa"/>
                  <w:tcBorders>
                    <w:tl2br w:val="nil"/>
                    <w:tr2bl w:val="nil"/>
                  </w:tcBorders>
                  <w:vAlign w:val="center"/>
                </w:tcPr>
                <w:p w14:paraId="04DBBC0C">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1.6</w:t>
                  </w:r>
                </w:p>
              </w:tc>
              <w:tc>
                <w:tcPr>
                  <w:tcW w:w="1209" w:type="dxa"/>
                  <w:tcBorders>
                    <w:tl2br w:val="nil"/>
                    <w:tr2bl w:val="nil"/>
                  </w:tcBorders>
                  <w:vAlign w:val="center"/>
                </w:tcPr>
                <w:p w14:paraId="713330A9">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1.28</w:t>
                  </w:r>
                </w:p>
              </w:tc>
              <w:tc>
                <w:tcPr>
                  <w:tcW w:w="1157" w:type="dxa"/>
                  <w:tcBorders>
                    <w:tl2br w:val="nil"/>
                    <w:tr2bl w:val="nil"/>
                  </w:tcBorders>
                  <w:vAlign w:val="center"/>
                </w:tcPr>
                <w:p w14:paraId="7F5D6762">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c>
                <w:tcPr>
                  <w:tcW w:w="861" w:type="dxa"/>
                  <w:tcBorders>
                    <w:tl2br w:val="nil"/>
                    <w:tr2bl w:val="nil"/>
                  </w:tcBorders>
                  <w:vAlign w:val="center"/>
                </w:tcPr>
                <w:p w14:paraId="678C43F2">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0.32</w:t>
                  </w:r>
                </w:p>
              </w:tc>
              <w:tc>
                <w:tcPr>
                  <w:tcW w:w="1205" w:type="dxa"/>
                  <w:tcBorders>
                    <w:tl2br w:val="nil"/>
                    <w:tr2bl w:val="nil"/>
                  </w:tcBorders>
                  <w:vAlign w:val="center"/>
                </w:tcPr>
                <w:p w14:paraId="7705344E">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0.32</w:t>
                  </w:r>
                </w:p>
              </w:tc>
              <w:tc>
                <w:tcPr>
                  <w:tcW w:w="892" w:type="dxa"/>
                  <w:tcBorders>
                    <w:tl2br w:val="nil"/>
                    <w:tr2bl w:val="nil"/>
                  </w:tcBorders>
                  <w:vAlign w:val="center"/>
                </w:tcPr>
                <w:p w14:paraId="07C56D82">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r>
            <w:tr w14:paraId="03F4E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681" w:type="dxa"/>
                  <w:tcBorders>
                    <w:tl2br w:val="nil"/>
                    <w:tr2bl w:val="nil"/>
                  </w:tcBorders>
                  <w:vAlign w:val="center"/>
                </w:tcPr>
                <w:p w14:paraId="489BDB38">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9</w:t>
                  </w:r>
                </w:p>
              </w:tc>
              <w:tc>
                <w:tcPr>
                  <w:tcW w:w="988" w:type="dxa"/>
                  <w:tcBorders>
                    <w:tl2br w:val="nil"/>
                    <w:tr2bl w:val="nil"/>
                  </w:tcBorders>
                  <w:vAlign w:val="center"/>
                </w:tcPr>
                <w:p w14:paraId="7BE6ED5E">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电泳</w:t>
                  </w:r>
                </w:p>
                <w:p w14:paraId="48342353">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用水</w:t>
                  </w:r>
                </w:p>
              </w:tc>
              <w:tc>
                <w:tcPr>
                  <w:tcW w:w="943" w:type="dxa"/>
                  <w:tcBorders>
                    <w:tl2br w:val="nil"/>
                    <w:tr2bl w:val="nil"/>
                  </w:tcBorders>
                  <w:vAlign w:val="center"/>
                </w:tcPr>
                <w:p w14:paraId="35A4F739">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12</w:t>
                  </w:r>
                </w:p>
              </w:tc>
              <w:tc>
                <w:tcPr>
                  <w:tcW w:w="1209" w:type="dxa"/>
                  <w:tcBorders>
                    <w:tl2br w:val="nil"/>
                    <w:tr2bl w:val="nil"/>
                  </w:tcBorders>
                  <w:vAlign w:val="center"/>
                </w:tcPr>
                <w:p w14:paraId="26EBC698">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9.6</w:t>
                  </w:r>
                </w:p>
              </w:tc>
              <w:tc>
                <w:tcPr>
                  <w:tcW w:w="1157" w:type="dxa"/>
                  <w:tcBorders>
                    <w:tl2br w:val="nil"/>
                    <w:tr2bl w:val="nil"/>
                  </w:tcBorders>
                  <w:vAlign w:val="center"/>
                </w:tcPr>
                <w:p w14:paraId="4E60AAE9">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0</w:t>
                  </w:r>
                </w:p>
              </w:tc>
              <w:tc>
                <w:tcPr>
                  <w:tcW w:w="861" w:type="dxa"/>
                  <w:tcBorders>
                    <w:tl2br w:val="nil"/>
                    <w:tr2bl w:val="nil"/>
                  </w:tcBorders>
                  <w:vAlign w:val="center"/>
                </w:tcPr>
                <w:p w14:paraId="51EA567E">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2.4</w:t>
                  </w:r>
                </w:p>
              </w:tc>
              <w:tc>
                <w:tcPr>
                  <w:tcW w:w="1205" w:type="dxa"/>
                  <w:tcBorders>
                    <w:tl2br w:val="nil"/>
                    <w:tr2bl w:val="nil"/>
                  </w:tcBorders>
                  <w:vAlign w:val="center"/>
                </w:tcPr>
                <w:p w14:paraId="3AA4EFFF">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2.4</w:t>
                  </w:r>
                </w:p>
              </w:tc>
              <w:tc>
                <w:tcPr>
                  <w:tcW w:w="892" w:type="dxa"/>
                  <w:tcBorders>
                    <w:tl2br w:val="nil"/>
                    <w:tr2bl w:val="nil"/>
                  </w:tcBorders>
                  <w:vAlign w:val="center"/>
                </w:tcPr>
                <w:p w14:paraId="72E6E5A8">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0</w:t>
                  </w:r>
                </w:p>
              </w:tc>
            </w:tr>
            <w:tr w14:paraId="0ED8AD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6" w:hRule="atLeast"/>
              </w:trPr>
              <w:tc>
                <w:tcPr>
                  <w:tcW w:w="1669" w:type="dxa"/>
                  <w:gridSpan w:val="2"/>
                  <w:tcBorders>
                    <w:tl2br w:val="nil"/>
                    <w:tr2bl w:val="nil"/>
                  </w:tcBorders>
                  <w:vAlign w:val="center"/>
                </w:tcPr>
                <w:p w14:paraId="292AAE04">
                  <w:pPr>
                    <w:jc w:val="center"/>
                    <w:rPr>
                      <w:rFonts w:hint="default" w:cs="Times New Roman"/>
                      <w:kern w:val="2"/>
                      <w:sz w:val="21"/>
                      <w:szCs w:val="21"/>
                      <w:lang w:val="en-US" w:eastAsia="zh-CN" w:bidi="ar-SA"/>
                    </w:rPr>
                  </w:pPr>
                  <w:r>
                    <w:rPr>
                      <w:rFonts w:hint="eastAsia" w:cs="Times New Roman"/>
                      <w:kern w:val="2"/>
                      <w:sz w:val="21"/>
                      <w:szCs w:val="21"/>
                      <w:lang w:val="en-US" w:eastAsia="zh-CN" w:bidi="ar-SA"/>
                    </w:rPr>
                    <w:t>合计</w:t>
                  </w:r>
                </w:p>
              </w:tc>
              <w:tc>
                <w:tcPr>
                  <w:tcW w:w="943" w:type="dxa"/>
                  <w:tcBorders>
                    <w:tl2br w:val="nil"/>
                    <w:tr2bl w:val="nil"/>
                  </w:tcBorders>
                  <w:vAlign w:val="center"/>
                </w:tcPr>
                <w:p w14:paraId="76979EB5">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25.09</w:t>
                  </w:r>
                </w:p>
              </w:tc>
              <w:tc>
                <w:tcPr>
                  <w:tcW w:w="1209" w:type="dxa"/>
                  <w:tcBorders>
                    <w:tl2br w:val="nil"/>
                    <w:tr2bl w:val="nil"/>
                  </w:tcBorders>
                  <w:vAlign w:val="center"/>
                </w:tcPr>
                <w:p w14:paraId="019C736E">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16.98</w:t>
                  </w:r>
                </w:p>
              </w:tc>
              <w:tc>
                <w:tcPr>
                  <w:tcW w:w="1157" w:type="dxa"/>
                  <w:tcBorders>
                    <w:tl2br w:val="nil"/>
                    <w:tr2bl w:val="nil"/>
                  </w:tcBorders>
                  <w:vAlign w:val="center"/>
                </w:tcPr>
                <w:p w14:paraId="6FDB7994">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4.79</w:t>
                  </w:r>
                </w:p>
              </w:tc>
              <w:tc>
                <w:tcPr>
                  <w:tcW w:w="861" w:type="dxa"/>
                  <w:tcBorders>
                    <w:tl2br w:val="nil"/>
                    <w:tr2bl w:val="nil"/>
                  </w:tcBorders>
                  <w:vAlign w:val="center"/>
                </w:tcPr>
                <w:p w14:paraId="0A826CD8">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2.72</w:t>
                  </w:r>
                </w:p>
              </w:tc>
              <w:tc>
                <w:tcPr>
                  <w:tcW w:w="1205" w:type="dxa"/>
                  <w:tcBorders>
                    <w:tl2br w:val="nil"/>
                    <w:tr2bl w:val="nil"/>
                  </w:tcBorders>
                  <w:vAlign w:val="center"/>
                </w:tcPr>
                <w:p w14:paraId="3A7E4DB4">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6.34</w:t>
                  </w:r>
                </w:p>
              </w:tc>
              <w:tc>
                <w:tcPr>
                  <w:tcW w:w="892" w:type="dxa"/>
                  <w:tcBorders>
                    <w:tl2br w:val="nil"/>
                    <w:tr2bl w:val="nil"/>
                  </w:tcBorders>
                  <w:vAlign w:val="center"/>
                </w:tcPr>
                <w:p w14:paraId="2FDDCC7F">
                  <w:pPr>
                    <w:jc w:val="center"/>
                    <w:rPr>
                      <w:rFonts w:hint="eastAsia" w:cs="Times New Roman"/>
                      <w:kern w:val="2"/>
                      <w:sz w:val="21"/>
                      <w:szCs w:val="21"/>
                      <w:lang w:val="en-US" w:eastAsia="zh-CN" w:bidi="ar-SA"/>
                    </w:rPr>
                  </w:pPr>
                  <w:r>
                    <w:rPr>
                      <w:rFonts w:hint="eastAsia" w:cs="Times New Roman"/>
                      <w:kern w:val="2"/>
                      <w:sz w:val="21"/>
                      <w:szCs w:val="21"/>
                      <w:lang w:val="en-US" w:eastAsia="zh-CN" w:bidi="ar-SA"/>
                    </w:rPr>
                    <w:t>1.17</w:t>
                  </w:r>
                </w:p>
              </w:tc>
            </w:tr>
          </w:tbl>
          <w:p w14:paraId="5A10511E">
            <w:pPr>
              <w:jc w:val="center"/>
              <w:rPr>
                <w:rFonts w:hint="eastAsia" w:eastAsiaTheme="minorEastAsia"/>
                <w:b/>
                <w:bCs/>
                <w:szCs w:val="21"/>
                <w:lang w:eastAsia="zh-CN"/>
              </w:rPr>
            </w:pPr>
            <w:r>
              <w:rPr>
                <w:rFonts w:hint="eastAsia" w:eastAsiaTheme="minorEastAsia"/>
                <w:b/>
                <w:bCs/>
                <w:szCs w:val="21"/>
                <w:lang w:eastAsia="zh-CN"/>
              </w:rPr>
              <w:object>
                <v:shape id="_x0000_i1025" o:spt="75" type="#_x0000_t75" style="height:217.7pt;width:358.35pt;" o:ole="t" filled="f" o:preferrelative="t" stroked="f" coordsize="21600,21600">
                  <v:path/>
                  <v:fill on="f" focussize="0,0"/>
                  <v:stroke on="f"/>
                  <v:imagedata r:id="rId14" o:title=""/>
                  <o:lock v:ext="edit" aspectratio="t"/>
                  <w10:wrap type="none"/>
                  <w10:anchorlock/>
                </v:shape>
                <o:OLEObject Type="Embed" ProgID="Visio.Drawing.15" ShapeID="_x0000_i1025" DrawAspect="Content" ObjectID="_1468075725" r:id="rId13">
                  <o:LockedField>false</o:LockedField>
                </o:OLEObject>
              </w:object>
            </w:r>
          </w:p>
          <w:p w14:paraId="31A660B1">
            <w:pPr>
              <w:jc w:val="center"/>
              <w:rPr>
                <w:rFonts w:eastAsiaTheme="minorEastAsia"/>
                <w:b/>
                <w:bCs/>
                <w:szCs w:val="21"/>
              </w:rPr>
            </w:pPr>
            <w:r>
              <w:rPr>
                <w:rFonts w:eastAsiaTheme="minorEastAsia"/>
                <w:b/>
                <w:bCs/>
                <w:szCs w:val="21"/>
              </w:rPr>
              <w:t>图</w:t>
            </w:r>
            <w:r>
              <w:rPr>
                <w:rFonts w:hint="eastAsia" w:eastAsiaTheme="minorEastAsia"/>
                <w:b/>
                <w:bCs/>
                <w:szCs w:val="21"/>
              </w:rPr>
              <w:t>2-1</w:t>
            </w:r>
            <w:r>
              <w:rPr>
                <w:rFonts w:eastAsiaTheme="minorEastAsia"/>
                <w:b/>
                <w:bCs/>
                <w:szCs w:val="21"/>
              </w:rPr>
              <w:t xml:space="preserve">  项目水平衡图（</w:t>
            </w:r>
            <w:r>
              <w:rPr>
                <w:rFonts w:hint="eastAsia" w:eastAsiaTheme="minorEastAsia"/>
                <w:b/>
                <w:bCs/>
                <w:szCs w:val="21"/>
              </w:rPr>
              <w:t>m</w:t>
            </w:r>
            <w:r>
              <w:rPr>
                <w:rFonts w:hint="eastAsia" w:eastAsiaTheme="minorEastAsia"/>
                <w:b/>
                <w:bCs/>
                <w:szCs w:val="21"/>
                <w:vertAlign w:val="superscript"/>
              </w:rPr>
              <w:t>3</w:t>
            </w:r>
            <w:r>
              <w:rPr>
                <w:rFonts w:eastAsiaTheme="minorEastAsia"/>
                <w:b/>
                <w:bCs/>
                <w:szCs w:val="21"/>
              </w:rPr>
              <w:t>/</w:t>
            </w:r>
            <w:r>
              <w:rPr>
                <w:rFonts w:hint="eastAsia" w:eastAsiaTheme="minorEastAsia"/>
                <w:b/>
                <w:bCs/>
                <w:szCs w:val="21"/>
                <w:lang w:val="en-US" w:eastAsia="zh-CN"/>
              </w:rPr>
              <w:t>d</w:t>
            </w:r>
            <w:r>
              <w:rPr>
                <w:rFonts w:eastAsiaTheme="minorEastAsia"/>
                <w:b/>
                <w:bCs/>
                <w:szCs w:val="21"/>
              </w:rPr>
              <w:t>）</w:t>
            </w:r>
          </w:p>
          <w:p w14:paraId="04FE580F">
            <w:pPr>
              <w:pStyle w:val="27"/>
              <w:spacing w:line="360" w:lineRule="auto"/>
              <w:ind w:right="86" w:firstLine="482" w:firstLineChars="200"/>
              <w:rPr>
                <w:rFonts w:ascii="Times New Roman" w:hAnsi="Times New Roman" w:cs="Times New Roman" w:eastAsiaTheme="minorEastAsia"/>
                <w:b/>
                <w:sz w:val="24"/>
                <w:lang w:val="en-US"/>
              </w:rPr>
            </w:pPr>
            <w:r>
              <w:rPr>
                <w:rFonts w:ascii="Times New Roman" w:hAnsi="Times New Roman" w:cs="Times New Roman" w:eastAsiaTheme="minorEastAsia"/>
                <w:b/>
                <w:sz w:val="24"/>
                <w:lang w:val="en-US"/>
              </w:rPr>
              <w:t>（</w:t>
            </w:r>
            <w:r>
              <w:rPr>
                <w:rFonts w:hint="eastAsia" w:ascii="Times New Roman" w:hAnsi="Times New Roman" w:cs="Times New Roman" w:eastAsiaTheme="minorEastAsia"/>
                <w:b/>
                <w:sz w:val="24"/>
                <w:lang w:val="en-US"/>
              </w:rPr>
              <w:t>3</w:t>
            </w:r>
            <w:r>
              <w:rPr>
                <w:rFonts w:ascii="Times New Roman" w:hAnsi="Times New Roman" w:cs="Times New Roman" w:eastAsiaTheme="minorEastAsia"/>
                <w:b/>
                <w:sz w:val="24"/>
                <w:lang w:val="en-US"/>
              </w:rPr>
              <w:t>）用电</w:t>
            </w:r>
          </w:p>
          <w:p w14:paraId="5C19D68B">
            <w:pPr>
              <w:pStyle w:val="27"/>
              <w:spacing w:line="360" w:lineRule="auto"/>
              <w:ind w:right="86"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本项目用电量约为</w:t>
            </w:r>
            <w:r>
              <w:rPr>
                <w:rFonts w:hint="eastAsia" w:ascii="Times New Roman" w:hAnsi="Times New Roman" w:cs="Times New Roman" w:eastAsiaTheme="minorEastAsia"/>
                <w:sz w:val="24"/>
                <w:lang w:val="en-US"/>
              </w:rPr>
              <w:t>3</w:t>
            </w:r>
            <w:r>
              <w:rPr>
                <w:rFonts w:ascii="Times New Roman" w:hAnsi="Times New Roman" w:cs="Times New Roman" w:eastAsiaTheme="minorEastAsia"/>
                <w:sz w:val="24"/>
                <w:lang w:val="en-US"/>
              </w:rPr>
              <w:t>万KWh/a，由当地市政供电电网统一供应。</w:t>
            </w:r>
          </w:p>
          <w:p w14:paraId="28281B8B">
            <w:pPr>
              <w:pStyle w:val="27"/>
              <w:spacing w:line="360" w:lineRule="auto"/>
              <w:ind w:right="86" w:firstLine="482" w:firstLineChars="200"/>
              <w:rPr>
                <w:rFonts w:ascii="Times New Roman" w:hAnsi="Times New Roman" w:cs="Times New Roman" w:eastAsiaTheme="minorEastAsia"/>
                <w:b/>
                <w:sz w:val="24"/>
                <w:lang w:val="en-US"/>
              </w:rPr>
            </w:pPr>
            <w:r>
              <w:rPr>
                <w:rFonts w:ascii="Times New Roman" w:hAnsi="Times New Roman" w:cs="Times New Roman" w:eastAsiaTheme="minorEastAsia"/>
                <w:b/>
                <w:sz w:val="24"/>
                <w:lang w:val="en-US"/>
              </w:rPr>
              <w:t>（</w:t>
            </w:r>
            <w:r>
              <w:rPr>
                <w:rFonts w:hint="eastAsia" w:ascii="Times New Roman" w:hAnsi="Times New Roman" w:cs="Times New Roman" w:eastAsiaTheme="minorEastAsia"/>
                <w:b/>
                <w:sz w:val="24"/>
                <w:lang w:val="en-US"/>
              </w:rPr>
              <w:t>4</w:t>
            </w:r>
            <w:r>
              <w:rPr>
                <w:rFonts w:ascii="Times New Roman" w:hAnsi="Times New Roman" w:cs="Times New Roman" w:eastAsiaTheme="minorEastAsia"/>
                <w:b/>
                <w:sz w:val="24"/>
                <w:lang w:val="en-US"/>
              </w:rPr>
              <w:t>）供冷供热</w:t>
            </w:r>
          </w:p>
          <w:p w14:paraId="10B34821">
            <w:pPr>
              <w:pStyle w:val="27"/>
              <w:spacing w:line="360" w:lineRule="auto"/>
              <w:ind w:right="86"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本项目采用空调采冷供暖。</w:t>
            </w:r>
          </w:p>
          <w:p w14:paraId="0EB7AC37">
            <w:pPr>
              <w:pStyle w:val="18"/>
              <w:ind w:firstLine="0" w:firstLineChars="0"/>
              <w:rPr>
                <w:rFonts w:eastAsiaTheme="minorEastAsia"/>
                <w:b/>
                <w:sz w:val="24"/>
                <w:lang w:bidi="zh-CN"/>
              </w:rPr>
            </w:pPr>
            <w:r>
              <w:rPr>
                <w:rFonts w:hint="eastAsia" w:eastAsiaTheme="minorEastAsia"/>
                <w:b/>
                <w:sz w:val="24"/>
                <w:lang w:val="en-US" w:bidi="zh-CN"/>
              </w:rPr>
              <w:t>8.</w:t>
            </w:r>
            <w:r>
              <w:rPr>
                <w:rFonts w:eastAsiaTheme="minorEastAsia"/>
                <w:b/>
                <w:sz w:val="24"/>
                <w:lang w:bidi="zh-CN"/>
              </w:rPr>
              <w:t>劳动定员及工作制度</w:t>
            </w:r>
          </w:p>
          <w:p w14:paraId="170E70E1">
            <w:pPr>
              <w:pStyle w:val="27"/>
              <w:spacing w:line="360" w:lineRule="auto"/>
              <w:ind w:right="86" w:firstLine="480" w:firstLineChars="200"/>
              <w:rPr>
                <w:rFonts w:hint="eastAsia" w:ascii="Times New Roman" w:hAnsi="Times New Roman" w:eastAsia="宋体" w:cs="Times New Roman"/>
                <w:kern w:val="2"/>
                <w:sz w:val="24"/>
                <w:szCs w:val="22"/>
                <w:lang w:val="en-US" w:eastAsia="zh-CN" w:bidi="zh-CN"/>
              </w:rPr>
            </w:pPr>
            <w:r>
              <w:rPr>
                <w:rFonts w:hint="eastAsia" w:ascii="Times New Roman" w:hAnsi="Times New Roman" w:eastAsia="宋体" w:cs="Times New Roman"/>
                <w:kern w:val="2"/>
                <w:sz w:val="24"/>
                <w:szCs w:val="22"/>
                <w:lang w:val="en-US" w:eastAsia="zh-CN" w:bidi="zh-CN"/>
              </w:rPr>
              <w:t>本项目劳动定员10人，年平均工作300天，每天工作2个台班，每个台班8小时，不提供食宿。</w:t>
            </w:r>
          </w:p>
          <w:p w14:paraId="241ECE7A">
            <w:pPr>
              <w:pStyle w:val="18"/>
              <w:ind w:firstLine="0" w:firstLineChars="0"/>
              <w:rPr>
                <w:rFonts w:hint="eastAsia" w:ascii="Times New Roman" w:hAnsi="Times New Roman" w:eastAsia="宋体" w:cs="Times New Roman"/>
                <w:b/>
                <w:bCs/>
                <w:kern w:val="2"/>
                <w:sz w:val="24"/>
                <w:szCs w:val="22"/>
                <w:lang w:val="en-US" w:eastAsia="zh-CN" w:bidi="zh-CN"/>
              </w:rPr>
            </w:pPr>
            <w:r>
              <w:rPr>
                <w:rFonts w:hint="eastAsia" w:ascii="Times New Roman" w:hAnsi="Times New Roman" w:eastAsia="宋体" w:cs="Times New Roman"/>
                <w:b/>
                <w:bCs/>
                <w:kern w:val="2"/>
                <w:sz w:val="24"/>
                <w:szCs w:val="22"/>
                <w:lang w:val="en-US" w:eastAsia="zh-CN" w:bidi="zh-CN"/>
              </w:rPr>
              <w:t>9.总平面布置</w:t>
            </w:r>
          </w:p>
          <w:p w14:paraId="6B24DA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kern w:val="2"/>
                <w:sz w:val="24"/>
                <w:szCs w:val="22"/>
                <w:lang w:val="en-US" w:eastAsia="zh-CN" w:bidi="zh-CN"/>
              </w:rPr>
            </w:pPr>
            <w:r>
              <w:rPr>
                <w:rFonts w:hint="eastAsia" w:ascii="Times New Roman" w:hAnsi="Times New Roman" w:eastAsia="宋体" w:cs="Times New Roman"/>
                <w:kern w:val="2"/>
                <w:sz w:val="24"/>
                <w:szCs w:val="22"/>
                <w:lang w:val="en-US" w:eastAsia="zh-CN" w:bidi="zh-CN"/>
              </w:rPr>
              <w:t>项目建设地点位于陕西省西咸新区沣西新城大王街办西宝路6号。本项目建设遵循平面布置原则，结合实际用地和项目平面布置情况，总体布局尊重自然地形地貌而建。</w:t>
            </w:r>
          </w:p>
          <w:p w14:paraId="32F35B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cs="Times New Roman" w:eastAsiaTheme="minorEastAsia"/>
                <w:sz w:val="24"/>
              </w:rPr>
            </w:pPr>
            <w:r>
              <w:rPr>
                <w:rFonts w:hint="eastAsia" w:ascii="Times New Roman" w:hAnsi="Times New Roman" w:eastAsia="宋体" w:cs="Times New Roman"/>
                <w:kern w:val="2"/>
                <w:sz w:val="24"/>
                <w:szCs w:val="22"/>
                <w:lang w:val="en-US" w:eastAsia="zh-CN" w:bidi="zh-CN"/>
              </w:rPr>
              <w:t>项目在总平面布置时，根据生产流程、成品贮存、场内外运输等需要，在满足规划、消防、绿化等方面要求的情况下，布设生产设备。各设备按照工艺流程进行布置，使生产过程更加顺畅，节约时间，提高效率。因此，本项目总平面布置合理，厂区平面布置图见附图2。</w:t>
            </w:r>
          </w:p>
        </w:tc>
      </w:tr>
      <w:tr w14:paraId="4F1EAA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tcBorders>
              <w:tl2br w:val="nil"/>
              <w:tr2bl w:val="nil"/>
            </w:tcBorders>
            <w:noWrap/>
            <w:vAlign w:val="center"/>
          </w:tcPr>
          <w:p w14:paraId="02FCA196">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Cs w:val="24"/>
              </w:rPr>
              <w:t>工艺流程和产排污环节</w:t>
            </w:r>
          </w:p>
        </w:tc>
        <w:tc>
          <w:tcPr>
            <w:tcW w:w="8157" w:type="dxa"/>
            <w:tcBorders>
              <w:tl2br w:val="nil"/>
              <w:tr2bl w:val="nil"/>
            </w:tcBorders>
            <w:noWrap/>
          </w:tcPr>
          <w:p w14:paraId="48112663">
            <w:pPr>
              <w:pStyle w:val="27"/>
              <w:spacing w:before="2" w:line="360" w:lineRule="auto"/>
              <w:rPr>
                <w:rFonts w:ascii="Times New Roman" w:hAnsi="Times New Roman" w:cs="Times New Roman" w:eastAsiaTheme="minorEastAsia"/>
                <w:sz w:val="24"/>
                <w:lang w:val="en-US"/>
              </w:rPr>
            </w:pPr>
            <w:r>
              <w:rPr>
                <w:rFonts w:hint="eastAsia" w:ascii="Times New Roman" w:hAnsi="Times New Roman" w:cs="Times New Roman" w:eastAsiaTheme="minorEastAsia"/>
                <w:b/>
                <w:bCs/>
                <w:sz w:val="24"/>
                <w:lang w:val="en-US" w:eastAsia="zh-CN"/>
              </w:rPr>
              <w:t>1.</w:t>
            </w:r>
            <w:r>
              <w:rPr>
                <w:rFonts w:ascii="Times New Roman" w:hAnsi="Times New Roman" w:cs="Times New Roman" w:eastAsiaTheme="minorEastAsia"/>
                <w:b/>
                <w:bCs/>
                <w:sz w:val="24"/>
                <w:lang w:val="en-US"/>
              </w:rPr>
              <w:t>施工期工艺流程及产污环节分析</w:t>
            </w:r>
            <w:r>
              <w:rPr>
                <w:rFonts w:ascii="Times New Roman" w:hAnsi="Times New Roman" w:cs="Times New Roman" w:eastAsiaTheme="minorEastAsia"/>
                <w:sz w:val="24"/>
                <w:lang w:val="en-US"/>
              </w:rPr>
              <w:t xml:space="preserve"> </w:t>
            </w:r>
          </w:p>
          <w:p w14:paraId="64B30475">
            <w:pPr>
              <w:pStyle w:val="27"/>
              <w:spacing w:line="360" w:lineRule="auto"/>
              <w:ind w:right="86"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本项目</w:t>
            </w:r>
            <w:r>
              <w:rPr>
                <w:rFonts w:hint="eastAsia" w:ascii="Times New Roman" w:hAnsi="Times New Roman" w:cs="Times New Roman" w:eastAsiaTheme="minorEastAsia"/>
                <w:sz w:val="24"/>
                <w:lang w:val="en-US"/>
              </w:rPr>
              <w:t>租赁已建成厂房</w:t>
            </w:r>
            <w:r>
              <w:rPr>
                <w:rFonts w:ascii="Times New Roman" w:hAnsi="Times New Roman" w:cs="Times New Roman" w:eastAsiaTheme="minorEastAsia"/>
                <w:sz w:val="24"/>
                <w:lang w:val="en-US"/>
              </w:rPr>
              <w:t>，只需</w:t>
            </w:r>
            <w:r>
              <w:rPr>
                <w:rFonts w:hint="eastAsia" w:ascii="Times New Roman" w:hAnsi="Times New Roman" w:cs="Times New Roman" w:eastAsiaTheme="minorEastAsia"/>
                <w:sz w:val="24"/>
                <w:lang w:val="en-US"/>
              </w:rPr>
              <w:t>场地清理、</w:t>
            </w:r>
            <w:r>
              <w:rPr>
                <w:rFonts w:ascii="Times New Roman" w:hAnsi="Times New Roman" w:cs="Times New Roman" w:eastAsiaTheme="minorEastAsia"/>
                <w:sz w:val="24"/>
                <w:lang w:val="en-US"/>
              </w:rPr>
              <w:t>设备</w:t>
            </w:r>
            <w:r>
              <w:rPr>
                <w:rFonts w:hint="eastAsia" w:ascii="Times New Roman" w:hAnsi="Times New Roman" w:cs="Times New Roman" w:eastAsiaTheme="minorEastAsia"/>
                <w:sz w:val="24"/>
                <w:lang w:val="en-US"/>
              </w:rPr>
              <w:t>的安装调试</w:t>
            </w:r>
            <w:r>
              <w:rPr>
                <w:rFonts w:ascii="Times New Roman" w:hAnsi="Times New Roman" w:cs="Times New Roman" w:eastAsiaTheme="minorEastAsia"/>
                <w:sz w:val="24"/>
                <w:lang w:val="en-US"/>
              </w:rPr>
              <w:t>。项目施工期的基本工艺流程及排污节点见</w:t>
            </w:r>
            <w:r>
              <w:rPr>
                <w:rFonts w:hint="eastAsia" w:ascii="Times New Roman" w:hAnsi="Times New Roman" w:cs="Times New Roman" w:eastAsiaTheme="minorEastAsia"/>
                <w:sz w:val="24"/>
                <w:lang w:val="en-US"/>
              </w:rPr>
              <w:t>下</w:t>
            </w:r>
            <w:r>
              <w:rPr>
                <w:rFonts w:ascii="Times New Roman" w:hAnsi="Times New Roman" w:cs="Times New Roman" w:eastAsiaTheme="minorEastAsia"/>
                <w:sz w:val="24"/>
                <w:lang w:val="en-US"/>
              </w:rPr>
              <w:t>图。</w:t>
            </w:r>
          </w:p>
          <w:p w14:paraId="72EA6F2B">
            <w:pPr>
              <w:pStyle w:val="27"/>
              <w:spacing w:before="2" w:line="360" w:lineRule="auto"/>
              <w:ind w:firstLine="420" w:firstLineChars="200"/>
              <w:jc w:val="center"/>
              <w:rPr>
                <w:rFonts w:ascii="Times New Roman" w:hAnsi="Times New Roman" w:cs="Times New Roman" w:eastAsiaTheme="minorEastAsia"/>
                <w:sz w:val="24"/>
                <w:lang w:val="en-US"/>
              </w:rPr>
            </w:pPr>
            <w:r>
              <w:rPr>
                <w:lang w:val="en-US" w:bidi="ar-SA"/>
              </w:rPr>
              <w:drawing>
                <wp:inline distT="0" distB="0" distL="0" distR="0">
                  <wp:extent cx="4111625" cy="1335405"/>
                  <wp:effectExtent l="0" t="0" r="3175" b="17145"/>
                  <wp:docPr id="1889085728" name="图片 1889085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5728" name="图片 1889085728"/>
                          <pic:cNvPicPr>
                            <a:picLocks noChangeAspect="1"/>
                          </pic:cNvPicPr>
                        </pic:nvPicPr>
                        <pic:blipFill>
                          <a:blip r:embed="rId15"/>
                          <a:stretch>
                            <a:fillRect/>
                          </a:stretch>
                        </pic:blipFill>
                        <pic:spPr>
                          <a:xfrm>
                            <a:off x="0" y="0"/>
                            <a:ext cx="4118546" cy="1337872"/>
                          </a:xfrm>
                          <a:prstGeom prst="rect">
                            <a:avLst/>
                          </a:prstGeom>
                        </pic:spPr>
                      </pic:pic>
                    </a:graphicData>
                  </a:graphic>
                </wp:inline>
              </w:drawing>
            </w:r>
          </w:p>
          <w:p w14:paraId="1D77C661">
            <w:pPr>
              <w:jc w:val="center"/>
              <w:rPr>
                <w:rFonts w:eastAsiaTheme="minorEastAsia"/>
                <w:b/>
                <w:bCs/>
                <w:szCs w:val="21"/>
              </w:rPr>
            </w:pPr>
            <w:r>
              <w:rPr>
                <w:rFonts w:eastAsiaTheme="minorEastAsia"/>
                <w:b/>
                <w:bCs/>
                <w:szCs w:val="21"/>
              </w:rPr>
              <w:t>图2</w:t>
            </w:r>
            <w:r>
              <w:rPr>
                <w:rFonts w:hint="eastAsia" w:eastAsiaTheme="minorEastAsia"/>
                <w:b/>
                <w:bCs/>
                <w:szCs w:val="21"/>
              </w:rPr>
              <w:t>-2</w:t>
            </w:r>
            <w:r>
              <w:rPr>
                <w:rFonts w:eastAsiaTheme="minorEastAsia"/>
                <w:b/>
                <w:bCs/>
                <w:szCs w:val="21"/>
              </w:rPr>
              <w:t xml:space="preserve">  项目施工期工艺流程及产污环节图</w:t>
            </w:r>
          </w:p>
          <w:p w14:paraId="54B873B7">
            <w:pPr>
              <w:pStyle w:val="27"/>
              <w:spacing w:line="360" w:lineRule="auto"/>
              <w:ind w:right="86"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施工期施工人员约5人，主要污染包括：</w:t>
            </w:r>
          </w:p>
          <w:p w14:paraId="0FE6983A">
            <w:pPr>
              <w:pStyle w:val="27"/>
              <w:spacing w:before="2" w:line="360" w:lineRule="auto"/>
              <w:ind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（1）废水：施工废水和施工人员产生的生活污水，主要污染物为COD、SS等。</w:t>
            </w:r>
          </w:p>
          <w:p w14:paraId="233011AB">
            <w:pPr>
              <w:pStyle w:val="27"/>
              <w:spacing w:before="2" w:line="360" w:lineRule="auto"/>
              <w:ind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（2）噪声：施工噪声、设备安装及调试过程中产生的噪声等。</w:t>
            </w:r>
          </w:p>
          <w:p w14:paraId="77EAFA1F">
            <w:pPr>
              <w:pStyle w:val="27"/>
              <w:spacing w:before="2" w:line="360" w:lineRule="auto"/>
              <w:ind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（3）固废：</w:t>
            </w:r>
            <w:r>
              <w:rPr>
                <w:rFonts w:hint="eastAsia" w:ascii="Times New Roman" w:hAnsi="Times New Roman" w:cs="Times New Roman" w:eastAsiaTheme="minorEastAsia"/>
                <w:sz w:val="24"/>
                <w:lang w:val="en-US"/>
              </w:rPr>
              <w:t>安装过程</w:t>
            </w:r>
            <w:r>
              <w:rPr>
                <w:rFonts w:ascii="Times New Roman" w:hAnsi="Times New Roman" w:cs="Times New Roman" w:eastAsiaTheme="minorEastAsia"/>
                <w:sz w:val="24"/>
                <w:lang w:val="en-US"/>
              </w:rPr>
              <w:t>产生垃圾</w:t>
            </w:r>
            <w:r>
              <w:rPr>
                <w:rFonts w:hint="eastAsia" w:ascii="Times New Roman" w:hAnsi="Times New Roman" w:cs="Times New Roman" w:eastAsiaTheme="minorEastAsia"/>
                <w:sz w:val="24"/>
                <w:lang w:val="en-US"/>
              </w:rPr>
              <w:t>、</w:t>
            </w:r>
            <w:r>
              <w:rPr>
                <w:rFonts w:ascii="Times New Roman" w:hAnsi="Times New Roman" w:cs="Times New Roman" w:eastAsiaTheme="minorEastAsia"/>
                <w:sz w:val="24"/>
                <w:lang w:val="en-US"/>
              </w:rPr>
              <w:t>施工人员产生的生活垃圾等。</w:t>
            </w:r>
          </w:p>
          <w:p w14:paraId="049E37B7">
            <w:pPr>
              <w:pStyle w:val="27"/>
              <w:spacing w:before="2" w:line="360" w:lineRule="auto"/>
              <w:ind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（4）废气：场地清理粉尘、安装打孔产生粉尘等。</w:t>
            </w:r>
          </w:p>
          <w:p w14:paraId="368FFDA2">
            <w:pPr>
              <w:pStyle w:val="27"/>
              <w:spacing w:before="2" w:line="360" w:lineRule="auto"/>
              <w:rPr>
                <w:rFonts w:ascii="Times New Roman" w:hAnsi="Times New Roman" w:cs="Times New Roman" w:eastAsiaTheme="minorEastAsia"/>
                <w:b/>
                <w:bCs/>
                <w:sz w:val="24"/>
                <w:lang w:val="en-US"/>
              </w:rPr>
            </w:pPr>
            <w:r>
              <w:rPr>
                <w:rFonts w:hint="eastAsia" w:ascii="Times New Roman" w:hAnsi="Times New Roman" w:cs="Times New Roman" w:eastAsiaTheme="minorEastAsia"/>
                <w:b/>
                <w:bCs/>
                <w:sz w:val="24"/>
                <w:lang w:val="en-US" w:eastAsia="zh-CN"/>
              </w:rPr>
              <w:t>2.</w:t>
            </w:r>
            <w:r>
              <w:rPr>
                <w:rFonts w:ascii="Times New Roman" w:hAnsi="Times New Roman" w:cs="Times New Roman" w:eastAsiaTheme="minorEastAsia"/>
                <w:b/>
                <w:bCs/>
                <w:sz w:val="24"/>
                <w:lang w:val="en-US"/>
              </w:rPr>
              <w:t>运营期工艺流程及产污环节分析</w:t>
            </w:r>
          </w:p>
          <w:p w14:paraId="28CA9AD2">
            <w:pPr>
              <w:numPr>
                <w:ilvl w:val="0"/>
                <w:numId w:val="0"/>
              </w:numPr>
              <w:spacing w:line="360" w:lineRule="auto"/>
              <w:ind w:firstLine="480" w:firstLineChars="200"/>
              <w:rPr>
                <w:rFonts w:hint="eastAsia" w:ascii="Times New Roman" w:hAnsi="Times New Roman" w:cs="Times New Roman" w:eastAsiaTheme="minorEastAsia"/>
                <w:kern w:val="2"/>
                <w:sz w:val="24"/>
                <w:szCs w:val="24"/>
                <w:lang w:val="en-US" w:eastAsia="zh-CN" w:bidi="zh-CN"/>
              </w:rPr>
            </w:pPr>
            <w:r>
              <w:rPr>
                <w:rFonts w:hint="eastAsia" w:cs="Times New Roman" w:eastAsiaTheme="minorEastAsia"/>
                <w:kern w:val="2"/>
                <w:sz w:val="24"/>
                <w:szCs w:val="24"/>
                <w:lang w:val="en-US" w:eastAsia="zh-CN" w:bidi="zh-CN"/>
              </w:rPr>
              <w:t>（1）</w:t>
            </w:r>
            <w:r>
              <w:rPr>
                <w:rFonts w:ascii="Times New Roman" w:hAnsi="Times New Roman" w:cs="Times New Roman" w:eastAsiaTheme="minorEastAsia"/>
                <w:kern w:val="2"/>
                <w:sz w:val="24"/>
                <w:szCs w:val="24"/>
                <w:lang w:val="en-US" w:eastAsia="zh-CN" w:bidi="zh-CN"/>
              </w:rPr>
              <w:t>热固性粉末涂料</w:t>
            </w:r>
            <w:r>
              <w:rPr>
                <w:rFonts w:hint="eastAsia" w:ascii="Times New Roman" w:hAnsi="Times New Roman" w:cs="Times New Roman" w:eastAsiaTheme="minorEastAsia"/>
                <w:kern w:val="2"/>
                <w:sz w:val="24"/>
                <w:szCs w:val="24"/>
                <w:lang w:val="en-US" w:eastAsia="zh-CN" w:bidi="zh-CN"/>
              </w:rPr>
              <w:t>生产线</w:t>
            </w:r>
          </w:p>
          <w:p w14:paraId="780D2A47">
            <w:pPr>
              <w:numPr>
                <w:ilvl w:val="0"/>
                <w:numId w:val="0"/>
              </w:numPr>
              <w:spacing w:line="360" w:lineRule="auto"/>
              <w:jc w:val="center"/>
              <w:rPr>
                <w:rFonts w:hint="default" w:ascii="Times New Roman" w:hAnsi="Times New Roman" w:cs="Times New Roman" w:eastAsiaTheme="minorEastAsia"/>
                <w:kern w:val="2"/>
                <w:sz w:val="24"/>
                <w:szCs w:val="24"/>
                <w:lang w:val="en-US" w:eastAsia="zh-CN" w:bidi="zh-CN"/>
              </w:rPr>
            </w:pPr>
            <w:r>
              <w:rPr>
                <w:rFonts w:hint="default" w:ascii="Times New Roman" w:hAnsi="Times New Roman" w:cs="Times New Roman" w:eastAsiaTheme="minorEastAsia"/>
                <w:kern w:val="2"/>
                <w:sz w:val="24"/>
                <w:szCs w:val="24"/>
                <w:lang w:val="en-US" w:eastAsia="zh-CN" w:bidi="zh-CN"/>
              </w:rPr>
              <w:object>
                <v:shape id="_x0000_i1026" o:spt="75" type="#_x0000_t75" style="height:294.75pt;width:189.9pt;" o:ole="t" filled="f" o:preferrelative="t" stroked="f" coordsize="21600,21600">
                  <v:path/>
                  <v:fill on="f" focussize="0,0"/>
                  <v:stroke on="f"/>
                  <v:imagedata r:id="rId17" o:title=""/>
                  <o:lock v:ext="edit" aspectratio="t"/>
                  <w10:wrap type="none"/>
                  <w10:anchorlock/>
                </v:shape>
                <o:OLEObject Type="Embed" ProgID="Visio.Drawing.15" ShapeID="_x0000_i1026" DrawAspect="Content" ObjectID="_1468075726" r:id="rId16">
                  <o:LockedField>false</o:LockedField>
                </o:OLEObject>
              </w:object>
            </w:r>
          </w:p>
          <w:p w14:paraId="5E771F38">
            <w:pPr>
              <w:jc w:val="center"/>
              <w:rPr>
                <w:rFonts w:eastAsiaTheme="minorEastAsia"/>
                <w:b/>
                <w:bCs/>
                <w:color w:val="auto"/>
                <w:szCs w:val="21"/>
              </w:rPr>
            </w:pPr>
            <w:r>
              <w:rPr>
                <w:rFonts w:eastAsiaTheme="minorEastAsia"/>
                <w:b/>
                <w:bCs/>
                <w:color w:val="auto"/>
                <w:szCs w:val="21"/>
              </w:rPr>
              <w:t>图2</w:t>
            </w:r>
            <w:r>
              <w:rPr>
                <w:rFonts w:hint="eastAsia" w:eastAsiaTheme="minorEastAsia"/>
                <w:b/>
                <w:bCs/>
                <w:color w:val="auto"/>
                <w:szCs w:val="21"/>
              </w:rPr>
              <w:t>-</w:t>
            </w:r>
            <w:r>
              <w:rPr>
                <w:rFonts w:hint="eastAsia" w:eastAsiaTheme="minorEastAsia"/>
                <w:b/>
                <w:bCs/>
                <w:color w:val="auto"/>
                <w:szCs w:val="21"/>
                <w:lang w:val="en-US" w:eastAsia="zh-CN"/>
              </w:rPr>
              <w:t>3</w:t>
            </w:r>
            <w:r>
              <w:rPr>
                <w:rFonts w:eastAsiaTheme="minorEastAsia"/>
                <w:b/>
                <w:bCs/>
                <w:color w:val="auto"/>
                <w:szCs w:val="21"/>
              </w:rPr>
              <w:t xml:space="preserve">  </w:t>
            </w:r>
            <w:r>
              <w:rPr>
                <w:rFonts w:eastAsiaTheme="minorEastAsia"/>
                <w:b/>
                <w:bCs/>
                <w:color w:val="auto"/>
                <w:szCs w:val="21"/>
                <w:lang w:val="en-US" w:eastAsia="zh-CN"/>
              </w:rPr>
              <w:t>热固性粉末涂料</w:t>
            </w:r>
            <w:r>
              <w:rPr>
                <w:rFonts w:eastAsiaTheme="minorEastAsia"/>
                <w:b/>
                <w:bCs/>
                <w:color w:val="auto"/>
                <w:szCs w:val="21"/>
              </w:rPr>
              <w:t>工艺流程及产污环节图</w:t>
            </w:r>
          </w:p>
          <w:p w14:paraId="413FECB0">
            <w:pPr>
              <w:spacing w:line="360" w:lineRule="auto"/>
              <w:ind w:firstLine="480" w:firstLineChars="200"/>
              <w:rPr>
                <w:rFonts w:ascii="Times New Roman" w:hAnsi="Times New Roman" w:cs="Times New Roman" w:eastAsiaTheme="minorEastAsia"/>
                <w:kern w:val="2"/>
                <w:sz w:val="24"/>
                <w:szCs w:val="24"/>
                <w:lang w:val="en-US" w:eastAsia="zh-CN" w:bidi="zh-CN"/>
              </w:rPr>
            </w:pPr>
            <w:r>
              <w:rPr>
                <w:rFonts w:ascii="Times New Roman" w:hAnsi="Times New Roman" w:cs="Times New Roman" w:eastAsiaTheme="minorEastAsia"/>
                <w:kern w:val="2"/>
                <w:sz w:val="24"/>
                <w:szCs w:val="24"/>
                <w:lang w:val="en-US" w:eastAsia="zh-CN" w:bidi="zh-CN"/>
              </w:rPr>
              <w:t>具体生产环节如下：</w:t>
            </w:r>
          </w:p>
          <w:p w14:paraId="023ABBC9">
            <w:pPr>
              <w:spacing w:line="360" w:lineRule="auto"/>
              <w:ind w:firstLine="480" w:firstLineChars="200"/>
              <w:rPr>
                <w:color w:val="FF0000"/>
                <w:sz w:val="24"/>
              </w:rPr>
            </w:pPr>
            <w:r>
              <w:rPr>
                <w:sz w:val="24"/>
              </w:rPr>
              <w:t>①称料投料：根据不同客户对产品的需要，先将原料聚酯树脂、环氧树脂、钛白粉、硫酸钡以及染色粉末（铁黄、铁红、群青等）原辅料按照配比进行称量</w:t>
            </w:r>
            <w:r>
              <w:rPr>
                <w:rFonts w:hint="eastAsia"/>
                <w:sz w:val="24"/>
                <w:lang w:eastAsia="zh-CN"/>
              </w:rPr>
              <w:t>。</w:t>
            </w:r>
            <w:r>
              <w:rPr>
                <w:rFonts w:hint="eastAsia"/>
                <w:sz w:val="24"/>
                <w:lang w:val="en-US" w:eastAsia="zh-CN"/>
              </w:rPr>
              <w:t>原辅料</w:t>
            </w:r>
            <w:r>
              <w:rPr>
                <w:rFonts w:hint="eastAsia" w:ascii="宋体" w:hAnsi="宋体" w:eastAsia="宋体" w:cs="宋体"/>
                <w:color w:val="000000"/>
                <w:kern w:val="0"/>
                <w:sz w:val="24"/>
                <w:szCs w:val="24"/>
                <w:lang w:val="en-US" w:eastAsia="zh-CN" w:bidi="ar"/>
              </w:rPr>
              <w:t>利用人工</w:t>
            </w:r>
            <w:r>
              <w:rPr>
                <w:rFonts w:hint="eastAsia"/>
                <w:sz w:val="24"/>
                <w:lang w:val="en-US" w:eastAsia="zh-CN"/>
              </w:rPr>
              <w:t>投料</w:t>
            </w:r>
            <w:r>
              <w:rPr>
                <w:rFonts w:hint="eastAsia" w:ascii="宋体" w:hAnsi="宋体" w:eastAsia="宋体" w:cs="宋体"/>
                <w:color w:val="000000"/>
                <w:kern w:val="0"/>
                <w:sz w:val="24"/>
                <w:szCs w:val="24"/>
                <w:lang w:val="en-US" w:eastAsia="zh-CN" w:bidi="ar"/>
              </w:rPr>
              <w:t>的方式</w:t>
            </w:r>
            <w:r>
              <w:rPr>
                <w:rFonts w:hint="eastAsia" w:ascii="宋体" w:hAnsi="宋体" w:cs="宋体"/>
                <w:color w:val="000000"/>
                <w:kern w:val="0"/>
                <w:sz w:val="24"/>
                <w:szCs w:val="24"/>
                <w:lang w:val="en-US" w:eastAsia="zh-CN" w:bidi="ar"/>
              </w:rPr>
              <w:t>通过投料口</w:t>
            </w:r>
            <w:r>
              <w:rPr>
                <w:rFonts w:hint="eastAsia" w:ascii="宋体" w:hAnsi="宋体" w:eastAsia="宋体" w:cs="宋体"/>
                <w:color w:val="000000"/>
                <w:kern w:val="0"/>
                <w:sz w:val="24"/>
                <w:szCs w:val="24"/>
                <w:lang w:val="en-US" w:eastAsia="zh-CN" w:bidi="ar"/>
              </w:rPr>
              <w:t>进入混料机内进行密闭搅拌混料。</w:t>
            </w:r>
          </w:p>
          <w:p w14:paraId="4F2AF216">
            <w:pPr>
              <w:spacing w:line="360" w:lineRule="auto"/>
              <w:ind w:firstLine="480" w:firstLineChars="200"/>
              <w:jc w:val="left"/>
              <w:rPr>
                <w:sz w:val="24"/>
              </w:rPr>
            </w:pPr>
            <w:r>
              <w:rPr>
                <w:sz w:val="24"/>
              </w:rPr>
              <w:t>②混料拌合：将原辅料</w:t>
            </w:r>
            <w:r>
              <w:rPr>
                <w:rFonts w:hint="eastAsia"/>
                <w:sz w:val="24"/>
                <w:lang w:val="en-US" w:eastAsia="zh-CN"/>
              </w:rPr>
              <w:t>在密闭的混合机内</w:t>
            </w:r>
            <w:r>
              <w:rPr>
                <w:sz w:val="24"/>
              </w:rPr>
              <w:t>进行拌合</w:t>
            </w:r>
            <w:r>
              <w:rPr>
                <w:rFonts w:hint="eastAsia"/>
                <w:sz w:val="24"/>
                <w:lang w:eastAsia="zh-CN"/>
              </w:rPr>
              <w:t>（</w:t>
            </w:r>
            <w:r>
              <w:rPr>
                <w:sz w:val="24"/>
              </w:rPr>
              <w:t>拌合温度为常温，拌合过程不进行加热，不产生有机废气</w:t>
            </w:r>
            <w:r>
              <w:rPr>
                <w:rFonts w:hint="eastAsia"/>
                <w:sz w:val="24"/>
              </w:rPr>
              <w:t>，此过程大约需要3</w:t>
            </w:r>
            <w:r>
              <w:rPr>
                <w:rFonts w:hint="eastAsia"/>
                <w:sz w:val="24"/>
                <w:lang w:val="en-US" w:eastAsia="zh-CN"/>
              </w:rPr>
              <w:t>min</w:t>
            </w:r>
            <w:r>
              <w:rPr>
                <w:rFonts w:hint="eastAsia"/>
                <w:sz w:val="24"/>
                <w:lang w:eastAsia="zh-CN"/>
              </w:rPr>
              <w:t>）</w:t>
            </w:r>
            <w:r>
              <w:rPr>
                <w:sz w:val="24"/>
              </w:rPr>
              <w:t>。</w:t>
            </w:r>
          </w:p>
          <w:p w14:paraId="504FBBAC">
            <w:pPr>
              <w:spacing w:line="360" w:lineRule="auto"/>
              <w:ind w:firstLine="480" w:firstLineChars="20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③下料：混合搅拌均匀的物料通过</w:t>
            </w:r>
            <w:r>
              <w:rPr>
                <w:rFonts w:hint="eastAsia" w:cs="Times New Roman"/>
                <w:sz w:val="24"/>
                <w:lang w:val="en-US" w:eastAsia="zh-CN"/>
              </w:rPr>
              <w:t>密闭的</w:t>
            </w:r>
            <w:r>
              <w:rPr>
                <w:rFonts w:hint="eastAsia" w:ascii="Times New Roman" w:hAnsi="Times New Roman" w:cs="Times New Roman"/>
                <w:sz w:val="24"/>
                <w:lang w:val="en-US" w:eastAsia="zh-CN"/>
              </w:rPr>
              <w:t>管道输送至挤出机漏斗内</w:t>
            </w:r>
            <w:r>
              <w:rPr>
                <w:rFonts w:hint="default" w:ascii="Times New Roman" w:hAnsi="Times New Roman" w:cs="Times New Roman"/>
                <w:sz w:val="24"/>
                <w:lang w:val="en-US" w:eastAsia="zh-CN"/>
              </w:rPr>
              <w:t>。</w:t>
            </w:r>
          </w:p>
          <w:p w14:paraId="371378DC">
            <w:pPr>
              <w:spacing w:line="360" w:lineRule="auto"/>
              <w:ind w:firstLine="480" w:firstLineChars="200"/>
              <w:jc w:val="both"/>
              <w:rPr>
                <w:sz w:val="24"/>
              </w:rPr>
            </w:pPr>
            <w:r>
              <w:rPr>
                <w:rFonts w:hint="eastAsia" w:ascii="Times New Roman" w:hAnsi="Times New Roman" w:cs="Times New Roman"/>
                <w:sz w:val="24"/>
                <w:lang w:val="en-US" w:eastAsia="zh-CN"/>
              </w:rPr>
              <w:t>④</w:t>
            </w:r>
            <w:r>
              <w:rPr>
                <w:rFonts w:hint="eastAsia" w:ascii="Times New Roman" w:hAnsi="Times New Roman" w:cs="Times New Roman"/>
                <w:sz w:val="24"/>
              </w:rPr>
              <w:t>熔融挤出</w:t>
            </w:r>
            <w:r>
              <w:rPr>
                <w:rFonts w:hint="eastAsia" w:ascii="Times New Roman" w:hAnsi="Times New Roman" w:cs="Times New Roman"/>
                <w:sz w:val="24"/>
                <w:lang w:eastAsia="zh-CN"/>
              </w:rPr>
              <w:t>、</w:t>
            </w:r>
            <w:r>
              <w:rPr>
                <w:rFonts w:hint="eastAsia" w:ascii="Times New Roman" w:hAnsi="Times New Roman" w:cs="Times New Roman"/>
                <w:sz w:val="24"/>
              </w:rPr>
              <w:t>压片</w:t>
            </w:r>
            <w:r>
              <w:rPr>
                <w:rFonts w:hint="eastAsia" w:cs="Times New Roman"/>
                <w:sz w:val="24"/>
                <w:lang w:eastAsia="zh-CN"/>
              </w:rPr>
              <w:t>：</w:t>
            </w:r>
            <w:r>
              <w:rPr>
                <w:rFonts w:hint="eastAsia" w:ascii="Times New Roman" w:hAnsi="Times New Roman" w:cs="Times New Roman"/>
                <w:sz w:val="24"/>
                <w:lang w:val="en-US" w:eastAsia="zh-CN"/>
              </w:rPr>
              <w:t>物料输送至挤出机漏斗</w:t>
            </w:r>
            <w:r>
              <w:rPr>
                <w:rFonts w:hint="eastAsia" w:cs="Times New Roman"/>
                <w:sz w:val="24"/>
                <w:lang w:val="en-US" w:eastAsia="zh-CN"/>
              </w:rPr>
              <w:t>后</w:t>
            </w:r>
            <w:r>
              <w:rPr>
                <w:sz w:val="24"/>
              </w:rPr>
              <w:t>经电加热对原料进行熔融混合，温度控制在</w:t>
            </w:r>
            <w:r>
              <w:rPr>
                <w:rFonts w:hint="eastAsia"/>
                <w:sz w:val="24"/>
              </w:rPr>
              <w:t>100~105</w:t>
            </w:r>
            <w:r>
              <w:rPr>
                <w:sz w:val="24"/>
              </w:rPr>
              <w:t>℃左右，物料由固态变为粘稠态，</w:t>
            </w:r>
            <w:r>
              <w:rPr>
                <w:rFonts w:hint="eastAsia"/>
                <w:sz w:val="24"/>
              </w:rPr>
              <w:t>此过程大约需要15秒，</w:t>
            </w:r>
            <w:r>
              <w:rPr>
                <w:sz w:val="24"/>
              </w:rPr>
              <w:t>各种原料混合均匀后熔融挤出</w:t>
            </w:r>
            <w:r>
              <w:rPr>
                <w:rFonts w:hint="eastAsia"/>
                <w:sz w:val="24"/>
                <w:lang w:val="en-US" w:eastAsia="zh-CN"/>
              </w:rPr>
              <w:t>后</w:t>
            </w:r>
            <w:r>
              <w:rPr>
                <w:sz w:val="24"/>
              </w:rPr>
              <w:t>经过压片机压辊制成1-3mm厚片状</w:t>
            </w:r>
            <w:r>
              <w:rPr>
                <w:rFonts w:hint="eastAsia"/>
                <w:sz w:val="24"/>
                <w:lang w:eastAsia="zh-CN"/>
              </w:rPr>
              <w:t>，</w:t>
            </w:r>
            <w:r>
              <w:rPr>
                <w:sz w:val="24"/>
              </w:rPr>
              <w:t>项目配套</w:t>
            </w:r>
            <w:r>
              <w:rPr>
                <w:rFonts w:hint="eastAsia"/>
                <w:sz w:val="24"/>
              </w:rPr>
              <w:t>冷却水池</w:t>
            </w:r>
            <w:r>
              <w:rPr>
                <w:sz w:val="24"/>
              </w:rPr>
              <w:t>，冷却循环水量为3m</w:t>
            </w:r>
            <w:r>
              <w:rPr>
                <w:sz w:val="24"/>
                <w:vertAlign w:val="superscript"/>
              </w:rPr>
              <w:t>3</w:t>
            </w:r>
            <w:r>
              <w:rPr>
                <w:sz w:val="24"/>
              </w:rPr>
              <w:t>/d，补充水量为0.16m</w:t>
            </w:r>
            <w:r>
              <w:rPr>
                <w:sz w:val="24"/>
                <w:vertAlign w:val="superscript"/>
              </w:rPr>
              <w:t>3</w:t>
            </w:r>
            <w:r>
              <w:rPr>
                <w:sz w:val="24"/>
              </w:rPr>
              <w:t>/d，循环过程中冷水进入循环系统，进循环系统后的处理水进入</w:t>
            </w:r>
            <w:r>
              <w:rPr>
                <w:rFonts w:hint="eastAsia"/>
                <w:sz w:val="24"/>
              </w:rPr>
              <w:t>冷却水池</w:t>
            </w:r>
            <w:r>
              <w:rPr>
                <w:rFonts w:hint="eastAsia"/>
                <w:sz w:val="24"/>
                <w:lang w:eastAsia="zh-CN"/>
              </w:rPr>
              <w:t>。</w:t>
            </w:r>
          </w:p>
          <w:p w14:paraId="306B4072">
            <w:pPr>
              <w:spacing w:line="360" w:lineRule="auto"/>
              <w:ind w:firstLine="480" w:firstLineChars="200"/>
              <w:rPr>
                <w:rFonts w:hint="eastAsia"/>
                <w:sz w:val="24"/>
              </w:rPr>
            </w:pPr>
            <w:r>
              <w:rPr>
                <w:rFonts w:hint="eastAsia" w:ascii="宋体" w:hAnsi="宋体" w:cs="宋体"/>
                <w:sz w:val="24"/>
                <w:lang w:val="en-US" w:eastAsia="zh-CN"/>
              </w:rPr>
              <w:t>⑤</w:t>
            </w:r>
            <w:r>
              <w:rPr>
                <w:sz w:val="24"/>
              </w:rPr>
              <w:t>研磨</w:t>
            </w:r>
            <w:r>
              <w:rPr>
                <w:rFonts w:hint="eastAsia"/>
                <w:sz w:val="24"/>
              </w:rPr>
              <w:t>筛分</w:t>
            </w:r>
            <w:r>
              <w:rPr>
                <w:rFonts w:hint="eastAsia"/>
                <w:sz w:val="24"/>
                <w:lang w:eastAsia="zh-CN"/>
              </w:rPr>
              <w:t>：</w:t>
            </w:r>
            <w:r>
              <w:rPr>
                <w:rFonts w:hint="eastAsia"/>
                <w:sz w:val="24"/>
              </w:rPr>
              <w:t>将片状的材料</w:t>
            </w:r>
            <w:r>
              <w:rPr>
                <w:rFonts w:hint="eastAsia"/>
                <w:sz w:val="24"/>
                <w:lang w:val="en-US" w:eastAsia="zh-CN"/>
              </w:rPr>
              <w:t>经过管道输送至</w:t>
            </w:r>
            <w:r>
              <w:rPr>
                <w:rFonts w:hint="eastAsia"/>
                <w:sz w:val="24"/>
              </w:rPr>
              <w:t>ACM磨粉机进行研磨，经研磨的粉状物料由引风机抽入旋风分离器，</w:t>
            </w:r>
            <w:r>
              <w:rPr>
                <w:rFonts w:hint="eastAsia"/>
                <w:sz w:val="24"/>
                <w:lang w:eastAsia="zh-CN"/>
              </w:rPr>
              <w:t>旋风</w:t>
            </w:r>
            <w:r>
              <w:rPr>
                <w:rFonts w:hint="eastAsia"/>
                <w:sz w:val="24"/>
              </w:rPr>
              <w:t>分离器一端连接旋转筛，由旋转筛对粉料进行筛分。旋转筛带有两个出口，合格粒径的粉状物料由1号出口出，直接进行装袋，在重力作用下密闭式的进入包装袋中，基本不会有粉尘。没有达到粒径的则从2号出口出，2号出口和ACM研磨机相连接，将没有达到粒径的粉状物继续进行研磨。</w:t>
            </w:r>
          </w:p>
          <w:p w14:paraId="05E3F878">
            <w:pPr>
              <w:spacing w:line="360" w:lineRule="auto"/>
              <w:ind w:firstLine="480" w:firstLineChars="200"/>
              <w:rPr>
                <w:rFonts w:hint="eastAsia"/>
                <w:sz w:val="24"/>
              </w:rPr>
            </w:pPr>
            <w:r>
              <w:rPr>
                <w:rFonts w:hint="eastAsia"/>
                <w:sz w:val="24"/>
              </w:rPr>
              <w:t>⑥检验包装入库</w:t>
            </w:r>
            <w:r>
              <w:rPr>
                <w:rFonts w:hint="eastAsia"/>
                <w:sz w:val="24"/>
                <w:lang w:eastAsia="zh-CN"/>
              </w:rPr>
              <w:t>：</w:t>
            </w:r>
            <w:r>
              <w:rPr>
                <w:rFonts w:hint="eastAsia"/>
                <w:sz w:val="24"/>
              </w:rPr>
              <w:t>对塑粉进行抽检，每批次进行抽检一次，一次100g</w:t>
            </w:r>
            <w:r>
              <w:rPr>
                <w:rFonts w:hint="eastAsia"/>
                <w:sz w:val="24"/>
                <w:lang w:eastAsia="zh-CN"/>
              </w:rPr>
              <w:t>～</w:t>
            </w:r>
            <w:r>
              <w:rPr>
                <w:rFonts w:hint="eastAsia"/>
                <w:sz w:val="24"/>
              </w:rPr>
              <w:t>200g，模拟客户的要</w:t>
            </w:r>
            <w:r>
              <w:rPr>
                <w:rFonts w:hint="eastAsia"/>
                <w:color w:val="000000" w:themeColor="text1"/>
                <w:sz w:val="24"/>
                <w14:textFill>
                  <w14:solidFill>
                    <w14:schemeClr w14:val="tx1"/>
                  </w14:solidFill>
                </w14:textFill>
              </w:rPr>
              <w:t>求进行喷塑，用烤箱烘烤，分析其性能，</w:t>
            </w:r>
            <w:r>
              <w:rPr>
                <w:rFonts w:hint="eastAsia"/>
                <w:sz w:val="24"/>
              </w:rPr>
              <w:t>不符合要求的塑粉返回生产工序重新加工，合格则入成品库。</w:t>
            </w:r>
          </w:p>
          <w:p w14:paraId="062ED0A1">
            <w:pPr>
              <w:numPr>
                <w:ilvl w:val="0"/>
                <w:numId w:val="0"/>
              </w:numPr>
              <w:spacing w:line="360" w:lineRule="auto"/>
              <w:ind w:firstLine="480" w:firstLineChars="200"/>
              <w:rPr>
                <w:rFonts w:hint="eastAsia" w:ascii="Times New Roman" w:hAnsi="Times New Roman" w:cs="Times New Roman" w:eastAsiaTheme="minorEastAsia"/>
                <w:kern w:val="2"/>
                <w:sz w:val="24"/>
                <w:szCs w:val="24"/>
                <w:lang w:val="en-US" w:eastAsia="zh-CN" w:bidi="zh-CN"/>
              </w:rPr>
            </w:pPr>
            <w:r>
              <w:rPr>
                <w:rFonts w:hint="eastAsia" w:cs="Times New Roman"/>
                <w:b w:val="0"/>
                <w:bCs w:val="0"/>
                <w:color w:val="auto"/>
                <w:sz w:val="24"/>
                <w:szCs w:val="24"/>
                <w:highlight w:val="none"/>
                <w:lang w:val="en-US" w:eastAsia="zh-CN"/>
              </w:rPr>
              <w:t>（2）</w:t>
            </w:r>
            <w:r>
              <w:rPr>
                <w:rFonts w:hint="eastAsia" w:eastAsia="宋体" w:cs="Times New Roman"/>
                <w:b w:val="0"/>
                <w:bCs w:val="0"/>
                <w:color w:val="auto"/>
                <w:sz w:val="24"/>
                <w:szCs w:val="24"/>
                <w:highlight w:val="none"/>
                <w:lang w:val="en-US" w:eastAsia="zh-CN"/>
              </w:rPr>
              <w:t>喷涂</w:t>
            </w:r>
            <w:r>
              <w:rPr>
                <w:rFonts w:hint="eastAsia" w:ascii="Times New Roman" w:hAnsi="Times New Roman" w:cs="Times New Roman" w:eastAsiaTheme="minorEastAsia"/>
                <w:kern w:val="2"/>
                <w:sz w:val="24"/>
                <w:szCs w:val="24"/>
                <w:lang w:val="en-US" w:eastAsia="zh-CN" w:bidi="zh-CN"/>
              </w:rPr>
              <w:t>生产线</w:t>
            </w:r>
          </w:p>
          <w:p w14:paraId="1983256E">
            <w:pPr>
              <w:numPr>
                <w:ilvl w:val="0"/>
                <w:numId w:val="0"/>
              </w:numPr>
              <w:spacing w:line="360" w:lineRule="auto"/>
              <w:jc w:val="center"/>
              <w:rPr>
                <w:rFonts w:hint="default" w:ascii="Times New Roman" w:hAnsi="Times New Roman" w:cs="Times New Roman" w:eastAsiaTheme="minorEastAsia"/>
                <w:kern w:val="2"/>
                <w:sz w:val="24"/>
                <w:szCs w:val="24"/>
                <w:lang w:val="en-US" w:eastAsia="zh-CN" w:bidi="zh-CN"/>
              </w:rPr>
            </w:pPr>
            <w:r>
              <w:rPr>
                <w:rFonts w:hint="default" w:ascii="Times New Roman" w:hAnsi="Times New Roman" w:cs="Times New Roman" w:eastAsiaTheme="minorEastAsia"/>
                <w:kern w:val="2"/>
                <w:sz w:val="24"/>
                <w:szCs w:val="24"/>
                <w:lang w:val="en-US" w:eastAsia="zh-CN" w:bidi="zh-CN"/>
              </w:rPr>
              <w:object>
                <v:shape id="_x0000_i1027" o:spt="75" type="#_x0000_t75" style="height:90.1pt;width:267.3pt;" o:ole="t" filled="f" o:preferrelative="t" stroked="f" coordsize="21600,21600">
                  <v:path/>
                  <v:fill on="f" focussize="0,0"/>
                  <v:stroke on="f"/>
                  <v:imagedata r:id="rId19" o:title=""/>
                  <o:lock v:ext="edit" aspectratio="t"/>
                  <w10:wrap type="none"/>
                  <w10:anchorlock/>
                </v:shape>
                <o:OLEObject Type="Embed" ProgID="Visio.Drawing.15" ShapeID="_x0000_i1027" DrawAspect="Content" ObjectID="_1468075727" r:id="rId18">
                  <o:LockedField>false</o:LockedField>
                </o:OLEObject>
              </w:object>
            </w:r>
          </w:p>
          <w:p w14:paraId="21335E27">
            <w:pPr>
              <w:jc w:val="center"/>
              <w:rPr>
                <w:color w:val="auto"/>
                <w:sz w:val="24"/>
              </w:rPr>
            </w:pPr>
            <w:r>
              <w:rPr>
                <w:rFonts w:eastAsiaTheme="minorEastAsia"/>
                <w:b/>
                <w:bCs/>
                <w:color w:val="auto"/>
                <w:szCs w:val="21"/>
              </w:rPr>
              <w:t>图2</w:t>
            </w:r>
            <w:r>
              <w:rPr>
                <w:rFonts w:hint="eastAsia" w:eastAsiaTheme="minorEastAsia"/>
                <w:b/>
                <w:bCs/>
                <w:color w:val="auto"/>
                <w:szCs w:val="21"/>
              </w:rPr>
              <w:t>-</w:t>
            </w:r>
            <w:r>
              <w:rPr>
                <w:rFonts w:hint="eastAsia" w:eastAsiaTheme="minorEastAsia"/>
                <w:b/>
                <w:bCs/>
                <w:color w:val="auto"/>
                <w:szCs w:val="21"/>
                <w:lang w:val="en-US" w:eastAsia="zh-CN"/>
              </w:rPr>
              <w:t>4</w:t>
            </w:r>
            <w:r>
              <w:rPr>
                <w:rFonts w:eastAsiaTheme="minorEastAsia"/>
                <w:b/>
                <w:bCs/>
                <w:color w:val="auto"/>
                <w:szCs w:val="21"/>
              </w:rPr>
              <w:t xml:space="preserve">  </w:t>
            </w:r>
            <w:r>
              <w:rPr>
                <w:rFonts w:hint="eastAsia" w:eastAsiaTheme="minorEastAsia"/>
                <w:b/>
                <w:bCs/>
                <w:color w:val="auto"/>
                <w:szCs w:val="21"/>
                <w:lang w:val="en-US" w:eastAsia="zh-CN"/>
              </w:rPr>
              <w:t>汽车零部件喷涂</w:t>
            </w:r>
            <w:r>
              <w:rPr>
                <w:rFonts w:eastAsiaTheme="minorEastAsia"/>
                <w:b/>
                <w:bCs/>
                <w:color w:val="auto"/>
                <w:szCs w:val="21"/>
              </w:rPr>
              <w:t>工艺流程及产污环节图</w:t>
            </w:r>
          </w:p>
          <w:p w14:paraId="07D466A6">
            <w:pPr>
              <w:spacing w:line="360" w:lineRule="auto"/>
              <w:ind w:firstLine="480" w:firstLineChars="200"/>
              <w:rPr>
                <w:rFonts w:ascii="Times New Roman" w:hAnsi="Times New Roman" w:cs="Times New Roman" w:eastAsiaTheme="minorEastAsia"/>
                <w:kern w:val="2"/>
                <w:sz w:val="24"/>
                <w:szCs w:val="24"/>
                <w:lang w:val="en-US" w:eastAsia="zh-CN" w:bidi="zh-CN"/>
              </w:rPr>
            </w:pPr>
            <w:r>
              <w:rPr>
                <w:rFonts w:ascii="Times New Roman" w:hAnsi="Times New Roman" w:cs="Times New Roman" w:eastAsiaTheme="minorEastAsia"/>
                <w:kern w:val="2"/>
                <w:sz w:val="24"/>
                <w:szCs w:val="24"/>
                <w:lang w:val="en-US" w:eastAsia="zh-CN" w:bidi="zh-CN"/>
              </w:rPr>
              <w:t>具体生产环节如下：</w:t>
            </w:r>
          </w:p>
          <w:p w14:paraId="112838A2">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①</w:t>
            </w:r>
            <w:r>
              <w:rPr>
                <w:rFonts w:hint="default" w:ascii="Times New Roman" w:hAnsi="Times New Roman" w:cs="Times New Roman"/>
                <w:sz w:val="24"/>
                <w:lang w:val="en-US" w:eastAsia="zh-CN"/>
              </w:rPr>
              <w:t>喷粉</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对配件进行表面喷涂</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项目采用粉末静电涂装工艺</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人工将工件挂入喷粉房内挂钩采用人工喷枪的喷涂方式进行。供粉系统把压缩空气与粉末充分混合后成流体状并通过粉泵输送到喷枪中</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喷粉过程中，喷枪与工件之间形成一个高压电晕放电电场，当粉末粒子由喷枪口喷出经过放电区时，便捕集了大量的电子，成为带负电的微粒，在静电吸引的作用下，被吸附到带正电荷的工件上去。当粉末附着到一定厚度时，则会发生</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同性相斥</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的作用，不能再吸附粉末，从而使各部分的粉层厚度均匀。</w:t>
            </w:r>
          </w:p>
          <w:p w14:paraId="3BE7C2FC">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②</w:t>
            </w:r>
            <w:r>
              <w:rPr>
                <w:rFonts w:hint="default" w:ascii="Times New Roman" w:hAnsi="Times New Roman" w:cs="Times New Roman"/>
                <w:sz w:val="24"/>
                <w:lang w:val="en-US" w:eastAsia="zh-CN"/>
              </w:rPr>
              <w:t>固化</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工件静电喷粉后需进行加热固化使塑粉熔融固着于工件表面。喷涂</w:t>
            </w:r>
            <w:r>
              <w:rPr>
                <w:rFonts w:hint="eastAsia" w:ascii="Times New Roman" w:hAnsi="Times New Roman" w:cs="Times New Roman"/>
                <w:sz w:val="24"/>
                <w:lang w:val="en-US" w:eastAsia="zh-CN"/>
              </w:rPr>
              <w:t>后通过自动输送设施进入</w:t>
            </w:r>
            <w:r>
              <w:rPr>
                <w:rFonts w:hint="default" w:ascii="Times New Roman" w:hAnsi="Times New Roman" w:cs="Times New Roman"/>
                <w:sz w:val="24"/>
                <w:lang w:val="en-US" w:eastAsia="zh-CN"/>
              </w:rPr>
              <w:t>固化电烤箱内，温度控制在160℃~</w:t>
            </w:r>
            <w:r>
              <w:rPr>
                <w:rFonts w:hint="eastAsia" w:ascii="Times New Roman" w:hAnsi="Times New Roman" w:cs="Times New Roman"/>
                <w:sz w:val="24"/>
                <w:lang w:val="en-US" w:eastAsia="zh-CN"/>
              </w:rPr>
              <w:t>190</w:t>
            </w:r>
            <w:r>
              <w:rPr>
                <w:rFonts w:hint="default" w:ascii="Times New Roman" w:hAnsi="Times New Roman" w:cs="Times New Roman"/>
                <w:sz w:val="24"/>
                <w:lang w:val="en-US" w:eastAsia="zh-CN"/>
              </w:rPr>
              <w:t>℃，固化时间约30min。</w:t>
            </w:r>
          </w:p>
          <w:p w14:paraId="11A8ECD2">
            <w:pPr>
              <w:numPr>
                <w:ilvl w:val="0"/>
                <w:numId w:val="1"/>
              </w:numPr>
              <w:spacing w:line="360" w:lineRule="auto"/>
              <w:ind w:firstLine="480" w:firstLineChars="200"/>
              <w:rPr>
                <w:rFonts w:hint="eastAsia" w:ascii="Times New Roman" w:hAnsi="Times New Roman" w:cs="Times New Roman" w:eastAsiaTheme="minorEastAsia"/>
                <w:kern w:val="2"/>
                <w:sz w:val="24"/>
                <w:szCs w:val="24"/>
                <w:lang w:val="en-US" w:eastAsia="zh-CN" w:bidi="zh-CN"/>
              </w:rPr>
            </w:pPr>
            <w:r>
              <w:rPr>
                <w:rFonts w:hint="eastAsia" w:cs="Times New Roman" w:eastAsiaTheme="minorEastAsia"/>
                <w:kern w:val="2"/>
                <w:sz w:val="24"/>
                <w:szCs w:val="24"/>
                <w:lang w:val="en-US" w:eastAsia="zh-CN" w:bidi="zh-CN"/>
              </w:rPr>
              <w:t>电泳</w:t>
            </w:r>
            <w:r>
              <w:rPr>
                <w:rFonts w:hint="eastAsia" w:ascii="Times New Roman" w:hAnsi="Times New Roman" w:cs="Times New Roman" w:eastAsiaTheme="minorEastAsia"/>
                <w:kern w:val="2"/>
                <w:sz w:val="24"/>
                <w:szCs w:val="24"/>
                <w:lang w:val="en-US" w:eastAsia="zh-CN" w:bidi="zh-CN"/>
              </w:rPr>
              <w:t>生产线</w:t>
            </w:r>
          </w:p>
          <w:p w14:paraId="658FAD3A">
            <w:pPr>
              <w:pStyle w:val="19"/>
              <w:jc w:val="center"/>
              <w:rPr>
                <w:rFonts w:hint="eastAsia"/>
                <w:lang w:val="en-US" w:eastAsia="zh-CN"/>
              </w:rPr>
            </w:pPr>
            <w:r>
              <w:rPr>
                <w:rFonts w:hint="eastAsia"/>
                <w:color w:val="auto"/>
                <w:lang w:val="en-US" w:eastAsia="zh-CN"/>
              </w:rPr>
              <w:object>
                <v:shape id="_x0000_i1028" o:spt="75" type="#_x0000_t75" style="height:307.8pt;width:333.3pt;" o:ole="t" filled="f" o:preferrelative="t" stroked="f" coordsize="21600,21600">
                  <v:path/>
                  <v:fill on="f" focussize="0,0"/>
                  <v:stroke on="f"/>
                  <v:imagedata r:id="rId21" o:title=""/>
                  <o:lock v:ext="edit" aspectratio="t"/>
                  <w10:wrap type="none"/>
                  <w10:anchorlock/>
                </v:shape>
                <o:OLEObject Type="Embed" ProgID="Visio.Drawing.15" ShapeID="_x0000_i1028" DrawAspect="Content" ObjectID="_1468075728" r:id="rId20">
                  <o:LockedField>false</o:LockedField>
                </o:OLEObject>
              </w:object>
            </w:r>
          </w:p>
          <w:p w14:paraId="68E9887A">
            <w:pPr>
              <w:jc w:val="center"/>
              <w:rPr>
                <w:color w:val="auto"/>
                <w:sz w:val="24"/>
              </w:rPr>
            </w:pPr>
            <w:r>
              <w:rPr>
                <w:rFonts w:eastAsiaTheme="minorEastAsia"/>
                <w:b/>
                <w:bCs/>
                <w:color w:val="auto"/>
                <w:szCs w:val="21"/>
              </w:rPr>
              <w:t>图2</w:t>
            </w:r>
            <w:r>
              <w:rPr>
                <w:rFonts w:hint="eastAsia" w:eastAsiaTheme="minorEastAsia"/>
                <w:b/>
                <w:bCs/>
                <w:color w:val="auto"/>
                <w:szCs w:val="21"/>
              </w:rPr>
              <w:t>-</w:t>
            </w:r>
            <w:r>
              <w:rPr>
                <w:rFonts w:hint="eastAsia" w:eastAsiaTheme="minorEastAsia"/>
                <w:b/>
                <w:bCs/>
                <w:color w:val="auto"/>
                <w:szCs w:val="21"/>
                <w:lang w:val="en-US" w:eastAsia="zh-CN"/>
              </w:rPr>
              <w:t>5</w:t>
            </w:r>
            <w:r>
              <w:rPr>
                <w:rFonts w:eastAsiaTheme="minorEastAsia"/>
                <w:b/>
                <w:bCs/>
                <w:color w:val="auto"/>
                <w:szCs w:val="21"/>
              </w:rPr>
              <w:t xml:space="preserve">  </w:t>
            </w:r>
            <w:r>
              <w:rPr>
                <w:rFonts w:hint="eastAsia" w:eastAsiaTheme="minorEastAsia"/>
                <w:b/>
                <w:bCs/>
                <w:color w:val="auto"/>
                <w:szCs w:val="21"/>
                <w:lang w:val="en-US" w:eastAsia="zh-CN"/>
              </w:rPr>
              <w:t>汽车零</w:t>
            </w:r>
            <w:r>
              <w:rPr>
                <w:rFonts w:hint="eastAsia" w:ascii="Times New Roman" w:hAnsi="Times New Roman" w:cs="Times New Roman" w:eastAsiaTheme="minorEastAsia"/>
                <w:b/>
                <w:bCs/>
                <w:color w:val="auto"/>
                <w:szCs w:val="21"/>
                <w:lang w:val="en-US" w:eastAsia="zh-CN"/>
              </w:rPr>
              <w:t>部件电泳</w:t>
            </w:r>
            <w:r>
              <w:rPr>
                <w:rFonts w:ascii="Times New Roman" w:hAnsi="Times New Roman" w:cs="Times New Roman" w:eastAsiaTheme="minorEastAsia"/>
                <w:b/>
                <w:bCs/>
                <w:color w:val="auto"/>
                <w:szCs w:val="21"/>
              </w:rPr>
              <w:t>工艺流程及产污环节图</w:t>
            </w:r>
          </w:p>
          <w:p w14:paraId="2BB7B611">
            <w:pPr>
              <w:spacing w:line="360" w:lineRule="auto"/>
              <w:ind w:firstLine="480" w:firstLineChars="200"/>
              <w:rPr>
                <w:rFonts w:ascii="Times New Roman" w:hAnsi="Times New Roman" w:cs="Times New Roman" w:eastAsiaTheme="minorEastAsia"/>
                <w:kern w:val="2"/>
                <w:sz w:val="24"/>
                <w:szCs w:val="24"/>
                <w:lang w:val="en-US" w:eastAsia="zh-CN" w:bidi="zh-CN"/>
              </w:rPr>
            </w:pPr>
            <w:r>
              <w:rPr>
                <w:rFonts w:ascii="Times New Roman" w:hAnsi="Times New Roman" w:cs="Times New Roman" w:eastAsiaTheme="minorEastAsia"/>
                <w:kern w:val="2"/>
                <w:sz w:val="24"/>
                <w:szCs w:val="24"/>
                <w:lang w:val="en-US" w:eastAsia="zh-CN" w:bidi="zh-CN"/>
              </w:rPr>
              <w:t>具体生产环节如下：</w:t>
            </w:r>
          </w:p>
          <w:p w14:paraId="1A58305A">
            <w:pPr>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前处</w:t>
            </w:r>
            <w:r>
              <w:rPr>
                <w:rFonts w:hint="default" w:ascii="Times New Roman" w:hAnsi="Times New Roman" w:cs="Times New Roman"/>
                <w:sz w:val="24"/>
                <w:lang w:val="en-US" w:eastAsia="zh-CN"/>
              </w:rPr>
              <w:t>理</w:t>
            </w:r>
            <w:r>
              <w:rPr>
                <w:rFonts w:hint="eastAsia" w:ascii="Times New Roman" w:hAnsi="Times New Roman" w:cs="Times New Roman"/>
                <w:sz w:val="24"/>
                <w:lang w:val="en-US" w:eastAsia="zh-CN"/>
              </w:rPr>
              <w:t>：</w:t>
            </w:r>
            <w:r>
              <w:rPr>
                <w:rFonts w:hint="default" w:ascii="Times New Roman" w:hAnsi="Times New Roman" w:cs="Times New Roman"/>
                <w:sz w:val="24"/>
                <w:lang w:val="en-US" w:eastAsia="zh-CN"/>
              </w:rPr>
              <w:t>上线→</w:t>
            </w:r>
            <w:r>
              <w:rPr>
                <w:rFonts w:hint="eastAsia" w:ascii="Times New Roman" w:hAnsi="Times New Roman" w:cs="Times New Roman"/>
                <w:sz w:val="24"/>
                <w:lang w:val="en-US" w:eastAsia="zh-CN"/>
              </w:rPr>
              <w:t>预</w:t>
            </w:r>
            <w:r>
              <w:rPr>
                <w:rFonts w:hint="default" w:ascii="Times New Roman" w:hAnsi="Times New Roman" w:cs="Times New Roman"/>
                <w:sz w:val="24"/>
                <w:lang w:val="en-US" w:eastAsia="zh-CN"/>
              </w:rPr>
              <w:t>除油→</w:t>
            </w:r>
            <w:r>
              <w:rPr>
                <w:rFonts w:hint="eastAsia" w:ascii="Times New Roman" w:hAnsi="Times New Roman" w:cs="Times New Roman"/>
                <w:sz w:val="24"/>
                <w:lang w:val="en-US" w:eastAsia="zh-CN"/>
              </w:rPr>
              <w:t>除油</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2道</w:t>
            </w:r>
            <w:r>
              <w:rPr>
                <w:rFonts w:hint="default" w:ascii="Times New Roman" w:hAnsi="Times New Roman" w:cs="Times New Roman"/>
                <w:sz w:val="24"/>
                <w:lang w:val="en-US" w:eastAsia="zh-CN"/>
              </w:rPr>
              <w:t>水洗→</w:t>
            </w:r>
            <w:r>
              <w:rPr>
                <w:rFonts w:hint="eastAsia" w:ascii="Times New Roman" w:hAnsi="Times New Roman" w:cs="Times New Roman"/>
                <w:sz w:val="24"/>
                <w:lang w:val="en-US" w:eastAsia="zh-CN"/>
              </w:rPr>
              <w:t>表调</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陶化。</w:t>
            </w:r>
          </w:p>
          <w:p w14:paraId="2C3A23C7">
            <w:pPr>
              <w:spacing w:line="360" w:lineRule="auto"/>
              <w:ind w:firstLine="480" w:firstLineChars="200"/>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该工序主要是把工件表面的油污清理干净，并通过陶化处理在工件表面形成一层硅烷膜，以便于电泳涂装后的涂层表面品质更好。</w:t>
            </w:r>
          </w:p>
          <w:p w14:paraId="0BEF5166">
            <w:pPr>
              <w:spacing w:line="360" w:lineRule="auto"/>
              <w:ind w:firstLine="480" w:firstLineChars="200"/>
              <w:rPr>
                <w:rFonts w:hint="default" w:ascii="Times New Roman" w:hAnsi="Times New Roman" w:cs="Times New Roman"/>
                <w:sz w:val="24"/>
                <w:lang w:val="en-US" w:eastAsia="zh-CN"/>
              </w:rPr>
            </w:pPr>
            <w:r>
              <w:rPr>
                <w:rFonts w:hint="default" w:ascii="Times New Roman" w:hAnsi="Times New Roman" w:cs="Times New Roman"/>
                <w:sz w:val="24"/>
                <w:lang w:val="en-US" w:eastAsia="zh-CN"/>
              </w:rPr>
              <w:t>①上线</w:t>
            </w:r>
            <w:r>
              <w:rPr>
                <w:rFonts w:hint="eastAsia" w:ascii="Times New Roman" w:hAnsi="Times New Roman" w:cs="Times New Roman"/>
                <w:sz w:val="24"/>
                <w:lang w:val="en-US" w:eastAsia="zh-CN"/>
              </w:rPr>
              <w:t>：将工件吊挂在挂具上，进入自动涂装生产线的表面前处理线。</w:t>
            </w:r>
          </w:p>
          <w:p w14:paraId="02DDC89A">
            <w:pPr>
              <w:spacing w:line="360" w:lineRule="auto"/>
              <w:ind w:firstLine="480" w:firstLineChars="200"/>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②</w:t>
            </w:r>
            <w:r>
              <w:rPr>
                <w:rFonts w:hint="eastAsia" w:ascii="Times New Roman" w:hAnsi="Times New Roman" w:cs="Times New Roman"/>
                <w:sz w:val="24"/>
                <w:lang w:val="en-US" w:eastAsia="zh-CN"/>
              </w:rPr>
              <w:t>预</w:t>
            </w:r>
            <w:r>
              <w:rPr>
                <w:rFonts w:hint="default" w:ascii="Times New Roman" w:hAnsi="Times New Roman" w:cs="Times New Roman"/>
                <w:sz w:val="24"/>
                <w:lang w:val="en-US" w:eastAsia="zh-CN"/>
              </w:rPr>
              <w:t>除油</w:t>
            </w:r>
            <w:r>
              <w:rPr>
                <w:rFonts w:hint="eastAsia" w:ascii="Times New Roman" w:hAnsi="Times New Roman" w:cs="Times New Roman"/>
                <w:sz w:val="24"/>
                <w:lang w:val="en-US" w:eastAsia="zh-CN"/>
              </w:rPr>
              <w:t>：工件通过悬挂链将工件送至除油段进行第一次喷淋除油处理（除油剂经水10倍稀释后使用）。</w:t>
            </w:r>
            <w:r>
              <w:rPr>
                <w:rFonts w:hint="eastAsia"/>
                <w:color w:val="000000" w:themeColor="text1"/>
                <w:sz w:val="24"/>
                <w:lang w:eastAsia="zh-CN"/>
                <w14:textFill>
                  <w14:solidFill>
                    <w14:schemeClr w14:val="tx1"/>
                  </w14:solidFill>
                </w14:textFill>
              </w:rPr>
              <w:t>采用</w:t>
            </w:r>
            <w:r>
              <w:rPr>
                <w:rFonts w:hint="eastAsia"/>
                <w:color w:val="000000" w:themeColor="text1"/>
                <w:sz w:val="24"/>
                <w:lang w:val="en-US" w:eastAsia="zh-CN"/>
                <w14:textFill>
                  <w14:solidFill>
                    <w14:schemeClr w14:val="tx1"/>
                  </w14:solidFill>
                </w14:textFill>
              </w:rPr>
              <w:t>40℃~50℃的温水对工件表面进行喷淋冲洗，喷淋时间为60秒</w:t>
            </w:r>
            <w:r>
              <w:rPr>
                <w:rFonts w:hint="eastAsia" w:cs="Times New Roman"/>
                <w:sz w:val="24"/>
                <w:lang w:val="en-US" w:eastAsia="zh-CN"/>
              </w:rPr>
              <w:t>，</w:t>
            </w:r>
            <w:r>
              <w:rPr>
                <w:rFonts w:hint="eastAsia" w:ascii="Times New Roman" w:hAnsi="Times New Roman" w:cs="Times New Roman"/>
                <w:sz w:val="24"/>
                <w:lang w:val="en-US" w:eastAsia="zh-CN"/>
              </w:rPr>
              <w:t>把除油剂均匀喷涂到工件表面，达到给工件表面除去浮尘、残渣、油脂、油污，使工件表面干净整洁，以保证在后续工序中产品品质。</w:t>
            </w:r>
          </w:p>
          <w:p w14:paraId="43C15529">
            <w:pPr>
              <w:spacing w:line="360" w:lineRule="auto"/>
              <w:ind w:firstLine="480" w:firstLineChars="200"/>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③</w:t>
            </w:r>
            <w:r>
              <w:rPr>
                <w:rFonts w:hint="eastAsia" w:ascii="Times New Roman" w:hAnsi="Times New Roman" w:cs="Times New Roman"/>
                <w:sz w:val="24"/>
                <w:lang w:val="en-US" w:eastAsia="zh-CN"/>
              </w:rPr>
              <w:t>除油：</w:t>
            </w:r>
            <w:r>
              <w:rPr>
                <w:rFonts w:hint="eastAsia" w:cs="Times New Roman"/>
                <w:sz w:val="24"/>
                <w:lang w:val="en-US" w:eastAsia="zh-CN"/>
              </w:rPr>
              <w:t>本工序</w:t>
            </w:r>
            <w:r>
              <w:rPr>
                <w:rFonts w:hint="eastAsia"/>
                <w:color w:val="000000" w:themeColor="text1"/>
                <w:sz w:val="24"/>
                <w:lang w:eastAsia="zh-CN"/>
                <w14:textFill>
                  <w14:solidFill>
                    <w14:schemeClr w14:val="tx1"/>
                  </w14:solidFill>
                </w14:textFill>
              </w:rPr>
              <w:t>采用</w:t>
            </w:r>
            <w:r>
              <w:rPr>
                <w:rFonts w:hint="eastAsia"/>
                <w:color w:val="000000" w:themeColor="text1"/>
                <w:sz w:val="24"/>
                <w:lang w:val="en-US" w:eastAsia="zh-CN"/>
                <w14:textFill>
                  <w14:solidFill>
                    <w14:schemeClr w14:val="tx1"/>
                  </w14:solidFill>
                </w14:textFill>
              </w:rPr>
              <w:t>40~50℃的温水对工件表面进行喷淋冲洗，喷淋时间为180秒</w:t>
            </w:r>
            <w:r>
              <w:rPr>
                <w:rFonts w:hint="eastAsia" w:cs="Times New Roman"/>
                <w:sz w:val="24"/>
                <w:lang w:val="en-US" w:eastAsia="zh-CN"/>
              </w:rPr>
              <w:t>，</w:t>
            </w:r>
            <w:r>
              <w:rPr>
                <w:rFonts w:hint="eastAsia" w:ascii="Times New Roman" w:hAnsi="Times New Roman" w:cs="Times New Roman"/>
                <w:sz w:val="24"/>
                <w:lang w:val="en-US" w:eastAsia="zh-CN"/>
              </w:rPr>
              <w:t>更进一步的确保工件表面的干净整洁，确保后续工序生产的高品质。</w:t>
            </w:r>
          </w:p>
          <w:p w14:paraId="66573A83">
            <w:pPr>
              <w:spacing w:line="360" w:lineRule="auto"/>
              <w:ind w:firstLine="480" w:firstLineChars="200"/>
              <w:rPr>
                <w:rFonts w:hint="eastAsia"/>
                <w:lang w:val="en-US" w:eastAsia="zh-CN"/>
              </w:rPr>
            </w:pPr>
            <w:r>
              <w:rPr>
                <w:rFonts w:hint="eastAsia" w:ascii="Times New Roman" w:hAnsi="Times New Roman" w:cs="Times New Roman"/>
                <w:sz w:val="24"/>
                <w:lang w:val="en-US" w:eastAsia="zh-CN"/>
              </w:rPr>
              <w:t>④2道水洗：除油</w:t>
            </w:r>
            <w:r>
              <w:rPr>
                <w:rFonts w:hint="eastAsia" w:ascii="宋体" w:hAnsi="宋体" w:eastAsia="宋体" w:cs="宋体"/>
                <w:color w:val="000000"/>
                <w:kern w:val="0"/>
                <w:sz w:val="24"/>
                <w:szCs w:val="24"/>
                <w:lang w:val="en-US" w:eastAsia="zh-CN" w:bidi="ar"/>
              </w:rPr>
              <w:t>后金属表面会带有残留的</w:t>
            </w:r>
            <w:r>
              <w:rPr>
                <w:rFonts w:hint="eastAsia" w:ascii="Times New Roman" w:hAnsi="Times New Roman" w:cs="Times New Roman"/>
                <w:sz w:val="24"/>
                <w:lang w:val="en-US" w:eastAsia="zh-CN"/>
              </w:rPr>
              <w:t>除油</w:t>
            </w:r>
            <w:r>
              <w:rPr>
                <w:rFonts w:hint="eastAsia" w:ascii="宋体" w:hAnsi="宋体" w:eastAsia="宋体" w:cs="宋体"/>
                <w:color w:val="000000"/>
                <w:kern w:val="0"/>
                <w:sz w:val="24"/>
                <w:szCs w:val="24"/>
                <w:lang w:val="en-US" w:eastAsia="zh-CN" w:bidi="ar"/>
              </w:rPr>
              <w:t>液，为确保工件清洁度，需用自来水进行清洗。工件需进行</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道常温水洗，</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道</w:t>
            </w:r>
            <w:r>
              <w:rPr>
                <w:rFonts w:hint="eastAsia"/>
                <w:color w:val="000000" w:themeColor="text1"/>
                <w:sz w:val="24"/>
                <w:lang w:val="en-US" w:eastAsia="zh-CN"/>
                <w14:textFill>
                  <w14:solidFill>
                    <w14:schemeClr w14:val="tx1"/>
                  </w14:solidFill>
                </w14:textFill>
              </w:rPr>
              <w:t>时间均为40秒，</w:t>
            </w:r>
            <w:r>
              <w:rPr>
                <w:rFonts w:hint="eastAsia" w:ascii="宋体" w:hAnsi="宋体" w:eastAsia="宋体" w:cs="宋体"/>
                <w:color w:val="000000"/>
                <w:kern w:val="0"/>
                <w:sz w:val="24"/>
                <w:szCs w:val="24"/>
                <w:lang w:val="en-US" w:eastAsia="zh-CN" w:bidi="ar"/>
              </w:rPr>
              <w:t>水洗方式为喷淋式。</w:t>
            </w:r>
          </w:p>
          <w:p w14:paraId="1B00C228">
            <w:pPr>
              <w:numPr>
                <w:ilvl w:val="0"/>
                <w:numId w:val="0"/>
              </w:numPr>
              <w:spacing w:line="360" w:lineRule="auto"/>
              <w:ind w:firstLine="480" w:firstLineChars="200"/>
              <w:jc w:val="left"/>
              <w:rPr>
                <w:rFonts w:hint="default"/>
                <w:lang w:val="en-US" w:eastAsia="zh-CN"/>
              </w:rPr>
            </w:pPr>
            <w:r>
              <w:rPr>
                <w:rFonts w:hint="eastAsia" w:ascii="Times New Roman" w:hAnsi="Times New Roman" w:cs="Times New Roman"/>
                <w:sz w:val="24"/>
                <w:lang w:val="en-US" w:eastAsia="zh-CN"/>
              </w:rPr>
              <w:t>⑤水洗表调：</w:t>
            </w:r>
            <w:r>
              <w:rPr>
                <w:rFonts w:hint="eastAsia" w:ascii="宋体" w:hAnsi="宋体" w:eastAsia="宋体" w:cs="宋体"/>
                <w:color w:val="000000"/>
                <w:kern w:val="0"/>
                <w:sz w:val="24"/>
                <w:szCs w:val="24"/>
                <w:lang w:val="en-US" w:eastAsia="zh-CN" w:bidi="ar"/>
              </w:rPr>
              <w:t>水</w:t>
            </w:r>
            <w:r>
              <w:rPr>
                <w:rFonts w:hint="eastAsia" w:ascii="Times New Roman" w:hAnsi="Times New Roman" w:eastAsia="宋体" w:cs="Times New Roman"/>
                <w:sz w:val="24"/>
                <w:lang w:val="en-US" w:eastAsia="zh-CN"/>
              </w:rPr>
              <w:t>洗后工件</w:t>
            </w:r>
            <w:r>
              <w:rPr>
                <w:rFonts w:hint="eastAsia" w:ascii="Times New Roman" w:hAnsi="Times New Roman" w:cs="Times New Roman"/>
                <w:sz w:val="24"/>
                <w:lang w:val="en-US" w:eastAsia="zh-CN"/>
              </w:rPr>
              <w:t>经过清洗在进入陶化前，需要进行表调，本项目</w:t>
            </w:r>
            <w:r>
              <w:rPr>
                <w:rFonts w:hint="eastAsia" w:cs="Times New Roman"/>
                <w:sz w:val="24"/>
                <w:lang w:val="en-US" w:eastAsia="zh-CN"/>
              </w:rPr>
              <w:t>采用</w:t>
            </w:r>
            <w:r>
              <w:rPr>
                <w:rFonts w:hint="eastAsia" w:ascii="Times New Roman" w:hAnsi="Times New Roman" w:cs="Times New Roman"/>
                <w:sz w:val="24"/>
                <w:lang w:val="en-US" w:eastAsia="zh-CN"/>
              </w:rPr>
              <w:t>水洗</w:t>
            </w:r>
            <w:r>
              <w:rPr>
                <w:rFonts w:hint="eastAsia" w:ascii="宋体" w:hAnsi="宋体" w:eastAsia="宋体" w:cs="宋体"/>
                <w:color w:val="000000"/>
                <w:kern w:val="0"/>
                <w:sz w:val="24"/>
                <w:szCs w:val="24"/>
                <w:lang w:val="en-US" w:eastAsia="zh-CN" w:bidi="ar"/>
              </w:rPr>
              <w:t>喷淋</w:t>
            </w:r>
            <w:r>
              <w:rPr>
                <w:rFonts w:hint="eastAsia" w:ascii="Times New Roman" w:hAnsi="Times New Roman" w:cs="Times New Roman"/>
                <w:sz w:val="24"/>
                <w:lang w:val="en-US" w:eastAsia="zh-CN"/>
              </w:rPr>
              <w:t>表调，</w:t>
            </w:r>
            <w:r>
              <w:rPr>
                <w:rFonts w:hint="eastAsia" w:ascii="宋体" w:hAnsi="宋体" w:eastAsia="宋体" w:cs="宋体"/>
                <w:color w:val="000000"/>
                <w:kern w:val="0"/>
                <w:sz w:val="24"/>
                <w:szCs w:val="24"/>
                <w:lang w:val="en-US" w:eastAsia="zh-CN" w:bidi="ar"/>
              </w:rPr>
              <w:t>表调时间约为</w:t>
            </w:r>
            <w:r>
              <w:rPr>
                <w:rFonts w:hint="eastAsia" w:ascii="Times New Roman" w:hAnsi="Times New Roman" w:eastAsia="宋体" w:cs="Times New Roman"/>
                <w:color w:val="000000"/>
                <w:kern w:val="0"/>
                <w:sz w:val="24"/>
                <w:szCs w:val="24"/>
                <w:lang w:val="en-US" w:eastAsia="zh-CN" w:bidi="ar"/>
              </w:rPr>
              <w:t>40</w:t>
            </w:r>
            <w:r>
              <w:rPr>
                <w:rFonts w:hint="default" w:ascii="Times New Roman" w:hAnsi="Times New Roman" w:eastAsia="宋体" w:cs="Times New Roman"/>
                <w:color w:val="000000"/>
                <w:kern w:val="0"/>
                <w:sz w:val="24"/>
                <w:szCs w:val="24"/>
                <w:lang w:val="en-US" w:eastAsia="zh-CN" w:bidi="ar"/>
              </w:rPr>
              <w:t>s</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cs="Times New Roman"/>
                <w:sz w:val="24"/>
                <w:lang w:val="en-US" w:eastAsia="zh-CN"/>
              </w:rPr>
              <w:t>调整残留在工件表面除油剂的酸碱物质，防止对电泳工艺产生不良影响。</w:t>
            </w:r>
          </w:p>
          <w:p w14:paraId="0A32B93B">
            <w:pPr>
              <w:numPr>
                <w:ilvl w:val="0"/>
                <w:numId w:val="0"/>
              </w:numPr>
              <w:spacing w:line="360" w:lineRule="auto"/>
              <w:ind w:firstLine="480" w:firstLineChars="200"/>
              <w:jc w:val="left"/>
              <w:rPr>
                <w:rFonts w:hint="default"/>
                <w:lang w:val="en-US" w:eastAsia="zh-CN"/>
              </w:rPr>
            </w:pPr>
            <w:r>
              <w:rPr>
                <w:rFonts w:hint="eastAsia" w:cs="Times New Roman"/>
                <w:sz w:val="24"/>
                <w:lang w:val="en-US" w:eastAsia="zh-CN"/>
              </w:rPr>
              <w:t>⑥</w:t>
            </w:r>
            <w:r>
              <w:rPr>
                <w:rFonts w:hint="eastAsia" w:ascii="Times New Roman" w:hAnsi="Times New Roman" w:cs="Times New Roman"/>
                <w:sz w:val="24"/>
                <w:lang w:val="en-US" w:eastAsia="zh-CN"/>
              </w:rPr>
              <w:t>陶化：陶化也称作硅烷喷淋，在陶化池中加入陶化剂，工件进入陶化区域后，通过喷淋的方式将陶化剂水溶液喷洒在工件上，</w:t>
            </w:r>
            <w:r>
              <w:rPr>
                <w:rFonts w:hint="eastAsia" w:ascii="宋体" w:hAnsi="宋体" w:eastAsia="宋体" w:cs="宋体"/>
                <w:color w:val="000000"/>
                <w:kern w:val="0"/>
                <w:sz w:val="24"/>
                <w:szCs w:val="24"/>
                <w:lang w:val="en-US" w:eastAsia="zh-CN" w:bidi="ar"/>
              </w:rPr>
              <w:t>时间约为</w:t>
            </w:r>
            <w:r>
              <w:rPr>
                <w:rFonts w:hint="eastAsia" w:ascii="Times New Roman" w:hAnsi="Times New Roman" w:eastAsia="宋体" w:cs="Times New Roman"/>
                <w:color w:val="000000"/>
                <w:kern w:val="0"/>
                <w:sz w:val="24"/>
                <w:szCs w:val="24"/>
                <w:lang w:val="en-US" w:eastAsia="zh-CN" w:bidi="ar"/>
              </w:rPr>
              <w:t>180</w:t>
            </w:r>
            <w:r>
              <w:rPr>
                <w:rFonts w:hint="default" w:ascii="Times New Roman" w:hAnsi="Times New Roman" w:eastAsia="宋体" w:cs="Times New Roman"/>
                <w:color w:val="000000"/>
                <w:kern w:val="0"/>
                <w:sz w:val="24"/>
                <w:szCs w:val="24"/>
                <w:lang w:val="en-US" w:eastAsia="zh-CN" w:bidi="ar"/>
              </w:rPr>
              <w:t>s</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cs="Times New Roman"/>
                <w:sz w:val="24"/>
                <w:lang w:val="en-US" w:eastAsia="zh-CN"/>
              </w:rPr>
              <w:t>陶化剂水溶液中硅烷通常以水解的形式存在：</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HYPERLINK "https://baike.baidu.com/item/%E7%A1%85%E7%83%B7" \t "https://baike.baidu.com/item/_blank" </w:instrText>
            </w:r>
            <w:r>
              <w:rPr>
                <w:rFonts w:hint="eastAsia" w:ascii="Times New Roman" w:hAnsi="Times New Roman" w:cs="Times New Roman"/>
                <w:sz w:val="24"/>
                <w:lang w:val="en-US" w:eastAsia="zh-CN"/>
              </w:rPr>
              <w:fldChar w:fldCharType="separate"/>
            </w:r>
            <w:r>
              <w:rPr>
                <w:rFonts w:hint="eastAsia" w:ascii="Times New Roman" w:hAnsi="Times New Roman" w:cs="Times New Roman"/>
                <w:sz w:val="24"/>
                <w:lang w:val="en-US" w:eastAsia="zh-CN"/>
              </w:rPr>
              <w:t>硅烷</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水解后通过其SiOH</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HYPERLINK "https://baike.baidu.com/item/%E5%9F%BA%E5%9B%A2" \t "https://baike.baidu.com/item/_blank" </w:instrText>
            </w:r>
            <w:r>
              <w:rPr>
                <w:rFonts w:hint="eastAsia" w:ascii="Times New Roman" w:hAnsi="Times New Roman" w:cs="Times New Roman"/>
                <w:sz w:val="24"/>
                <w:lang w:val="en-US" w:eastAsia="zh-CN"/>
              </w:rPr>
              <w:fldChar w:fldCharType="separate"/>
            </w:r>
            <w:r>
              <w:rPr>
                <w:rFonts w:hint="eastAsia" w:ascii="Times New Roman" w:hAnsi="Times New Roman" w:cs="Times New Roman"/>
                <w:sz w:val="24"/>
                <w:lang w:val="en-US" w:eastAsia="zh-CN"/>
              </w:rPr>
              <w:t>基团</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与金属表面的MeOH基（M表示金属）的</w:t>
            </w:r>
            <w:r>
              <w:rPr>
                <w:rFonts w:hint="eastAsia" w:cs="Times New Roman"/>
                <w:sz w:val="24"/>
                <w:lang w:val="en-US" w:eastAsia="zh-CN"/>
              </w:rPr>
              <w:t>缩合反应</w:t>
            </w:r>
            <w:r>
              <w:rPr>
                <w:rFonts w:hint="eastAsia" w:ascii="Times New Roman" w:hAnsi="Times New Roman" w:cs="Times New Roman"/>
                <w:sz w:val="24"/>
                <w:lang w:val="en-US" w:eastAsia="zh-CN"/>
              </w:rPr>
              <w:t>而快速</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HYPERLINK "https://baike.baidu.com/item/%E5%90%B8%E9%99%84" \t "https://baike.baidu.com/item/_blank" </w:instrText>
            </w:r>
            <w:r>
              <w:rPr>
                <w:rFonts w:hint="eastAsia" w:ascii="Times New Roman" w:hAnsi="Times New Roman" w:cs="Times New Roman"/>
                <w:sz w:val="24"/>
                <w:lang w:val="en-US" w:eastAsia="zh-CN"/>
              </w:rPr>
              <w:fldChar w:fldCharType="separate"/>
            </w:r>
            <w:r>
              <w:rPr>
                <w:rFonts w:hint="eastAsia" w:ascii="Times New Roman" w:hAnsi="Times New Roman" w:cs="Times New Roman"/>
                <w:sz w:val="24"/>
                <w:lang w:val="en-US" w:eastAsia="zh-CN"/>
              </w:rPr>
              <w:t>吸附</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于金属表面，形成三维网状结构的硅烷膜。该硅烷膜在烘干过程中和后道的电泳漆通过交联反应结合在一起，形成牢固的</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HYPERLINK "https://baike.baidu.com/item/%E5%8C%96%E5%AD%A6%E9%94%AE" \t "https://baike.baidu.com/item/_blank" </w:instrText>
            </w:r>
            <w:r>
              <w:rPr>
                <w:rFonts w:hint="eastAsia" w:ascii="Times New Roman" w:hAnsi="Times New Roman" w:cs="Times New Roman"/>
                <w:sz w:val="24"/>
                <w:lang w:val="en-US" w:eastAsia="zh-CN"/>
              </w:rPr>
              <w:fldChar w:fldCharType="separate"/>
            </w:r>
            <w:r>
              <w:rPr>
                <w:rFonts w:hint="eastAsia" w:ascii="Times New Roman" w:hAnsi="Times New Roman" w:cs="Times New Roman"/>
                <w:sz w:val="24"/>
                <w:lang w:val="en-US" w:eastAsia="zh-CN"/>
              </w:rPr>
              <w:t>化学键</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。这样，工件、硅烷和电泳漆之间可以通过化学键形成稳固的</w:t>
            </w:r>
            <w:r>
              <w:rPr>
                <w:rFonts w:hint="eastAsia" w:ascii="Times New Roman" w:hAnsi="Times New Roman" w:cs="Times New Roman"/>
                <w:sz w:val="24"/>
                <w:lang w:val="en-US" w:eastAsia="zh-CN"/>
              </w:rPr>
              <w:fldChar w:fldCharType="begin"/>
            </w:r>
            <w:r>
              <w:rPr>
                <w:rFonts w:hint="eastAsia" w:ascii="Times New Roman" w:hAnsi="Times New Roman" w:cs="Times New Roman"/>
                <w:sz w:val="24"/>
                <w:lang w:val="en-US" w:eastAsia="zh-CN"/>
              </w:rPr>
              <w:instrText xml:space="preserve"> HYPERLINK "https://baike.baidu.com/item/%E8%86%9C%E5%B1%82" \t "https://baike.baidu.com/item/_blank" </w:instrText>
            </w:r>
            <w:r>
              <w:rPr>
                <w:rFonts w:hint="eastAsia" w:ascii="Times New Roman" w:hAnsi="Times New Roman" w:cs="Times New Roman"/>
                <w:sz w:val="24"/>
                <w:lang w:val="en-US" w:eastAsia="zh-CN"/>
              </w:rPr>
              <w:fldChar w:fldCharType="separate"/>
            </w:r>
            <w:r>
              <w:rPr>
                <w:rFonts w:hint="eastAsia" w:ascii="Times New Roman" w:hAnsi="Times New Roman" w:cs="Times New Roman"/>
                <w:sz w:val="24"/>
                <w:lang w:val="en-US" w:eastAsia="zh-CN"/>
              </w:rPr>
              <w:t>膜层</w:t>
            </w:r>
            <w:r>
              <w:rPr>
                <w:rFonts w:hint="eastAsia" w:ascii="Times New Roman" w:hAnsi="Times New Roman" w:cs="Times New Roman"/>
                <w:sz w:val="24"/>
                <w:lang w:val="en-US" w:eastAsia="zh-CN"/>
              </w:rPr>
              <w:fldChar w:fldCharType="end"/>
            </w:r>
            <w:r>
              <w:rPr>
                <w:rFonts w:hint="eastAsia" w:ascii="Times New Roman" w:hAnsi="Times New Roman" w:cs="Times New Roman"/>
                <w:sz w:val="24"/>
                <w:lang w:val="en-US" w:eastAsia="zh-CN"/>
              </w:rPr>
              <w:t>结构。</w:t>
            </w:r>
          </w:p>
          <w:p w14:paraId="4F716B8E">
            <w:pPr>
              <w:spacing w:line="360" w:lineRule="auto"/>
              <w:ind w:firstLine="480" w:firstLineChars="200"/>
              <w:rPr>
                <w:rFonts w:hint="eastAsia" w:ascii="Times New Roman" w:hAnsi="Times New Roman" w:cs="Times New Roman"/>
                <w:sz w:val="24"/>
                <w:lang w:val="en-US" w:eastAsia="zh-CN"/>
              </w:rPr>
            </w:pPr>
            <w:r>
              <w:rPr>
                <w:rFonts w:hint="default" w:ascii="Times New Roman" w:hAnsi="Times New Roman" w:cs="Times New Roman"/>
                <w:sz w:val="24"/>
                <w:lang w:val="en-US" w:eastAsia="zh-CN"/>
              </w:rPr>
              <w:t>电泳涂装</w:t>
            </w:r>
            <w:r>
              <w:rPr>
                <w:rFonts w:hint="eastAsia" w:ascii="Times New Roman" w:hAnsi="Times New Roman" w:cs="Times New Roman"/>
                <w:sz w:val="24"/>
                <w:lang w:val="en-US" w:eastAsia="zh-CN"/>
              </w:rPr>
              <w:t>：纯水洗</w:t>
            </w:r>
            <w:r>
              <w:rPr>
                <w:rFonts w:hint="default" w:ascii="Times New Roman" w:hAnsi="Times New Roman" w:cs="Times New Roman"/>
                <w:sz w:val="24"/>
                <w:lang w:val="en-US" w:eastAsia="zh-CN"/>
              </w:rPr>
              <w:t>→电泳涂装→</w:t>
            </w:r>
            <w:r>
              <w:rPr>
                <w:rFonts w:hint="eastAsia" w:ascii="Times New Roman" w:hAnsi="Times New Roman" w:cs="Times New Roman"/>
                <w:sz w:val="24"/>
                <w:lang w:val="en-US" w:eastAsia="zh-CN"/>
              </w:rPr>
              <w:t>2道超滤水洗</w:t>
            </w:r>
            <w:r>
              <w:rPr>
                <w:rFonts w:hint="default" w:ascii="Times New Roman" w:hAnsi="Times New Roman" w:cs="Times New Roman"/>
                <w:sz w:val="24"/>
                <w:lang w:val="en-US" w:eastAsia="zh-CN"/>
              </w:rPr>
              <w:t>→烘干→下线</w:t>
            </w:r>
            <w:r>
              <w:rPr>
                <w:rFonts w:hint="eastAsia" w:ascii="Times New Roman" w:hAnsi="Times New Roman" w:cs="Times New Roman"/>
                <w:sz w:val="24"/>
                <w:lang w:val="en-US" w:eastAsia="zh-CN"/>
              </w:rPr>
              <w:t>。本项目采用阴极电泳涂装方式，该工序包括1个电泳槽、2套超滤装置、1个纯水洗槽、1个阳极系统（维持电泳系统离子平衡、调节pH值）。</w:t>
            </w:r>
          </w:p>
          <w:p w14:paraId="361702EE">
            <w:pPr>
              <w:numPr>
                <w:ilvl w:val="0"/>
                <w:numId w:val="0"/>
              </w:numPr>
              <w:spacing w:line="360" w:lineRule="auto"/>
              <w:ind w:firstLine="480" w:firstLineChars="200"/>
              <w:jc w:val="left"/>
              <w:rPr>
                <w:rFonts w:hint="default" w:ascii="Times New Roman" w:hAnsi="Times New Roman" w:cs="Times New Roman"/>
                <w:sz w:val="24"/>
                <w:lang w:val="en-US" w:eastAsia="zh-CN"/>
              </w:rPr>
            </w:pPr>
            <w:r>
              <w:rPr>
                <w:rFonts w:hint="eastAsia" w:cs="Times New Roman"/>
                <w:sz w:val="24"/>
                <w:lang w:val="en-US" w:eastAsia="zh-CN"/>
              </w:rPr>
              <w:t>⑦</w:t>
            </w:r>
            <w:r>
              <w:rPr>
                <w:rFonts w:hint="eastAsia" w:ascii="Times New Roman" w:hAnsi="Times New Roman" w:cs="Times New Roman"/>
                <w:sz w:val="24"/>
                <w:lang w:val="en-US" w:eastAsia="zh-CN"/>
              </w:rPr>
              <w:t>纯水洗：经前处理</w:t>
            </w:r>
            <w:r>
              <w:rPr>
                <w:rFonts w:hint="eastAsia"/>
                <w:bCs/>
                <w:color w:val="000000"/>
                <w:sz w:val="24"/>
                <w:highlight w:val="none"/>
              </w:rPr>
              <w:t>完毕后在进入纯水洗槽进行纯水洗，</w:t>
            </w:r>
            <w:r>
              <w:rPr>
                <w:rFonts w:hint="eastAsia"/>
                <w:sz w:val="24"/>
              </w:rPr>
              <w:t>除去工件表面的陶化液</w:t>
            </w:r>
            <w:r>
              <w:rPr>
                <w:rFonts w:hint="eastAsia"/>
                <w:bCs/>
                <w:color w:val="000000"/>
                <w:sz w:val="24"/>
                <w:highlight w:val="none"/>
              </w:rPr>
              <w:t>，采用喷淋的方式</w:t>
            </w:r>
            <w:r>
              <w:rPr>
                <w:rFonts w:hint="eastAsia"/>
                <w:bCs/>
                <w:color w:val="000000"/>
                <w:sz w:val="24"/>
                <w:highlight w:val="none"/>
                <w:lang w:eastAsia="zh-CN"/>
              </w:rPr>
              <w:t>，</w:t>
            </w:r>
            <w:r>
              <w:rPr>
                <w:rFonts w:hint="eastAsia" w:ascii="宋体" w:hAnsi="宋体" w:eastAsia="宋体" w:cs="宋体"/>
                <w:color w:val="000000"/>
                <w:kern w:val="0"/>
                <w:sz w:val="24"/>
                <w:szCs w:val="24"/>
                <w:lang w:val="en-US" w:eastAsia="zh-CN" w:bidi="ar"/>
              </w:rPr>
              <w:t>时间约为</w:t>
            </w:r>
            <w:r>
              <w:rPr>
                <w:rFonts w:hint="eastAsia" w:ascii="Times New Roman" w:hAnsi="Times New Roman" w:eastAsia="宋体" w:cs="Times New Roman"/>
                <w:color w:val="000000"/>
                <w:kern w:val="0"/>
                <w:sz w:val="24"/>
                <w:szCs w:val="24"/>
                <w:lang w:val="en-US" w:eastAsia="zh-CN" w:bidi="ar"/>
              </w:rPr>
              <w:t>40</w:t>
            </w:r>
            <w:r>
              <w:rPr>
                <w:rFonts w:hint="default" w:ascii="Times New Roman" w:hAnsi="Times New Roman" w:eastAsia="宋体" w:cs="Times New Roman"/>
                <w:color w:val="000000"/>
                <w:kern w:val="0"/>
                <w:sz w:val="24"/>
                <w:szCs w:val="24"/>
                <w:lang w:val="en-US" w:eastAsia="zh-CN" w:bidi="ar"/>
              </w:rPr>
              <w:t>s</w:t>
            </w:r>
            <w:r>
              <w:rPr>
                <w:rFonts w:hint="eastAsia"/>
                <w:bCs/>
                <w:color w:val="000000"/>
                <w:sz w:val="24"/>
                <w:highlight w:val="none"/>
              </w:rPr>
              <w:t>。</w:t>
            </w:r>
            <w:r>
              <w:rPr>
                <w:rFonts w:hint="eastAsia"/>
                <w:sz w:val="24"/>
              </w:rPr>
              <w:t>为后续电泳做准备</w:t>
            </w:r>
            <w:r>
              <w:rPr>
                <w:sz w:val="24"/>
              </w:rPr>
              <w:t>（纯水洗降低工件导电率，同时能够防止水中杂质产生污染斑痕涂膜）</w:t>
            </w:r>
            <w:r>
              <w:rPr>
                <w:rFonts w:hint="eastAsia"/>
                <w:sz w:val="24"/>
              </w:rPr>
              <w:t>。</w:t>
            </w:r>
          </w:p>
          <w:p w14:paraId="62D1C247">
            <w:pPr>
              <w:autoSpaceDE w:val="0"/>
              <w:autoSpaceDN w:val="0"/>
              <w:adjustRightIn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⑧电泳：纯水洗后的工件电泳槽进行电泳处理，电泳槽内为电泳涂料，工件浸入电泳涂料通过电沉积的方式，使工件表面形成电泳漆膜。将工件作为阴极，利用电泳整流电源将输入三相380V或单相220V转化成直流电加于工件与阳极（不锈钢板，属于阳极系统）之间，使槽液发生电解反应，将电泳涂料沉积在工件表面。电泳槽体两端设置阳极隔膜系统，将阳极不锈钢板半封闭在阳极罩中，敞开面装有离子选择性的隔膜，选择性通过</w:t>
            </w:r>
            <w:r>
              <w:rPr>
                <w:rFonts w:hint="eastAsia" w:cs="Times New Roman"/>
                <w:sz w:val="24"/>
                <w:lang w:val="en-US" w:eastAsia="zh-CN"/>
              </w:rPr>
              <w:t>离子级</w:t>
            </w:r>
            <w:r>
              <w:rPr>
                <w:rFonts w:hint="eastAsia" w:ascii="Times New Roman" w:hAnsi="Times New Roman" w:cs="Times New Roman"/>
                <w:sz w:val="24"/>
                <w:lang w:val="en-US" w:eastAsia="zh-CN"/>
              </w:rPr>
              <w:t>带电电荷。极罩中装有纯水，开缸或更换阳极液（含纯水及少量醋酸）时需加入少量醋酸使阳极液的导电率保持在400μs以上。在电泳过程中，根据pH、导电率、固体份含量等工艺要求对槽液进行检测和调节，使各项工艺参数保持在有效范围，以维持所获漆膜的质量稳定。</w:t>
            </w:r>
          </w:p>
          <w:p w14:paraId="43E3CC85">
            <w:pPr>
              <w:autoSpaceDE w:val="0"/>
              <w:autoSpaceDN w:val="0"/>
              <w:adjustRightInd w:val="0"/>
              <w:spacing w:line="360" w:lineRule="auto"/>
              <w:ind w:firstLine="480" w:firstLineChars="200"/>
            </w:pPr>
            <w:r>
              <w:rPr>
                <w:rFonts w:hint="eastAsia" w:cs="Times New Roman"/>
                <w:bCs/>
                <w:color w:val="000000"/>
                <w:sz w:val="24"/>
                <w:highlight w:val="none"/>
                <w:lang w:val="en-US" w:eastAsia="zh-CN"/>
              </w:rPr>
              <w:t>⑨</w:t>
            </w:r>
            <w:r>
              <w:rPr>
                <w:rFonts w:hint="eastAsia" w:ascii="Times New Roman" w:hAnsi="Times New Roman" w:cs="Times New Roman"/>
                <w:bCs/>
                <w:color w:val="000000"/>
                <w:sz w:val="24"/>
                <w:highlight w:val="none"/>
                <w:lang w:val="en-US" w:eastAsia="zh-CN"/>
              </w:rPr>
              <w:t>2道超滤洗：电泳后的工件表面带有较多的电泳涂料，设置电泳漆回收系统（超滤</w:t>
            </w:r>
            <w:r>
              <w:rPr>
                <w:rFonts w:hint="eastAsia" w:cs="Times New Roman"/>
                <w:bCs/>
                <w:color w:val="000000"/>
                <w:sz w:val="24"/>
                <w:highlight w:val="none"/>
                <w:lang w:val="en-US" w:eastAsia="zh-CN"/>
              </w:rPr>
              <w:t>（UF）</w:t>
            </w:r>
            <w:r>
              <w:rPr>
                <w:rFonts w:hint="eastAsia" w:ascii="Times New Roman" w:hAnsi="Times New Roman" w:cs="Times New Roman"/>
                <w:bCs/>
                <w:color w:val="000000"/>
                <w:sz w:val="24"/>
                <w:highlight w:val="none"/>
                <w:lang w:val="en-US" w:eastAsia="zh-CN"/>
              </w:rPr>
              <w:t>系统），采用纯水对工件进行水洗，去除表面未附着的电泳涂料，本项目采用逆洗连通管，采用</w:t>
            </w:r>
            <w:r>
              <w:rPr>
                <w:rFonts w:hint="default" w:ascii="Times New Roman" w:hAnsi="Times New Roman" w:cs="Times New Roman"/>
                <w:bCs/>
                <w:color w:val="000000"/>
                <w:sz w:val="24"/>
                <w:highlight w:val="none"/>
                <w:lang w:val="en-US" w:eastAsia="zh-CN"/>
              </w:rPr>
              <w:t>UF0</w:t>
            </w:r>
            <w:r>
              <w:rPr>
                <w:rFonts w:hint="eastAsia" w:ascii="Times New Roman" w:hAnsi="Times New Roman" w:cs="Times New Roman"/>
                <w:bCs/>
                <w:color w:val="000000"/>
                <w:sz w:val="24"/>
                <w:highlight w:val="none"/>
                <w:lang w:val="en-US" w:eastAsia="zh-CN"/>
              </w:rPr>
              <w:t>、</w:t>
            </w:r>
            <w:r>
              <w:rPr>
                <w:rFonts w:hint="default" w:ascii="Times New Roman" w:hAnsi="Times New Roman" w:cs="Times New Roman"/>
                <w:bCs/>
                <w:color w:val="000000"/>
                <w:sz w:val="24"/>
                <w:highlight w:val="none"/>
                <w:lang w:val="en-US" w:eastAsia="zh-CN"/>
              </w:rPr>
              <w:t>UF1</w:t>
            </w:r>
            <w:r>
              <w:rPr>
                <w:rFonts w:hint="eastAsia" w:ascii="Times New Roman" w:hAnsi="Times New Roman" w:cs="Times New Roman"/>
                <w:bCs/>
                <w:color w:val="000000"/>
                <w:sz w:val="24"/>
                <w:highlight w:val="none"/>
                <w:lang w:val="en-US" w:eastAsia="zh-CN"/>
              </w:rPr>
              <w:t>二级超循环水洗滤膜。经过超滤装置后，电泳涂料中的浓缩液返回电泳工序重新使用，超滤后的清液（超滤水）回流到纯水洗工序，对上漆后的工件进行超滤水洗，超滤工序不产生废水。</w:t>
            </w:r>
          </w:p>
          <w:p w14:paraId="3E591FC2">
            <w:pPr>
              <w:autoSpaceDE w:val="0"/>
              <w:autoSpaceDN w:val="0"/>
              <w:adjustRightInd w:val="0"/>
              <w:spacing w:line="360" w:lineRule="auto"/>
              <w:ind w:firstLine="480" w:firstLineChars="200"/>
              <w:rPr>
                <w:rFonts w:hint="eastAsia" w:ascii="Times New Roman" w:hAnsi="Times New Roman" w:cs="Times New Roman"/>
                <w:bCs/>
                <w:color w:val="000000"/>
                <w:sz w:val="24"/>
                <w:highlight w:val="none"/>
                <w:lang w:val="en-US" w:eastAsia="zh-CN"/>
              </w:rPr>
            </w:pPr>
            <w:r>
              <w:rPr>
                <w:rFonts w:hint="eastAsia" w:cs="Times New Roman"/>
                <w:bCs/>
                <w:color w:val="000000"/>
                <w:sz w:val="24"/>
                <w:highlight w:val="none"/>
                <w:lang w:val="en-US" w:eastAsia="zh-CN"/>
              </w:rPr>
              <w:t>⑩</w:t>
            </w:r>
            <w:r>
              <w:rPr>
                <w:rFonts w:hint="eastAsia" w:ascii="Times New Roman" w:hAnsi="Times New Roman" w:cs="Times New Roman"/>
                <w:bCs/>
                <w:color w:val="000000"/>
                <w:sz w:val="24"/>
                <w:highlight w:val="none"/>
                <w:lang w:val="en-US" w:eastAsia="zh-CN"/>
              </w:rPr>
              <w:t>烘烤：水洗完成后，先自然晾干，再采用液化石油气热风炉供热对工件烘干。</w:t>
            </w:r>
          </w:p>
          <w:p w14:paraId="42F953B2">
            <w:pPr>
              <w:spacing w:line="360" w:lineRule="auto"/>
              <w:ind w:firstLine="480" w:firstLineChars="200"/>
              <w:rPr>
                <w:rFonts w:hint="eastAsia" w:ascii="Times New Roman" w:hAnsi="Times New Roman" w:cs="Times New Roman"/>
                <w:sz w:val="24"/>
                <w:lang w:val="en-US" w:eastAsia="zh-CN"/>
              </w:rPr>
            </w:pPr>
            <w:r>
              <w:rPr>
                <w:rFonts w:hint="default" w:ascii="Times New Roman" w:hAnsi="Times New Roman" w:cs="Times New Roman"/>
                <w:bCs/>
                <w:color w:val="000000"/>
                <w:sz w:val="24"/>
                <w:highlight w:val="none"/>
                <w:lang w:val="en-US" w:eastAsia="zh-CN"/>
              </w:rPr>
              <w:t>⑪</w:t>
            </w:r>
            <w:r>
              <w:rPr>
                <w:rFonts w:hint="eastAsia" w:ascii="Times New Roman" w:hAnsi="Times New Roman" w:cs="Times New Roman"/>
                <w:sz w:val="24"/>
                <w:lang w:val="en-US" w:eastAsia="zh-CN"/>
              </w:rPr>
              <w:t>下线：完成电泳涂装工序的产品，下线包装。</w:t>
            </w:r>
          </w:p>
          <w:p w14:paraId="0A0425A2">
            <w:pPr>
              <w:numPr>
                <w:ilvl w:val="0"/>
                <w:numId w:val="2"/>
              </w:numPr>
              <w:spacing w:line="360" w:lineRule="auto"/>
              <w:ind w:firstLine="480" w:firstLineChars="200"/>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纯水制备</w:t>
            </w:r>
          </w:p>
          <w:p w14:paraId="7BE41587">
            <w:pPr>
              <w:pStyle w:val="19"/>
              <w:rPr>
                <w:rFonts w:hint="eastAsia"/>
                <w:lang w:val="en-US" w:eastAsia="zh-CN"/>
              </w:rPr>
            </w:pPr>
            <w:r>
              <w:rPr>
                <w:rFonts w:hint="eastAsia"/>
                <w:lang w:val="en-US" w:eastAsia="zh-CN"/>
              </w:rPr>
              <w:object>
                <v:shape id="_x0000_i1029" o:spt="75" type="#_x0000_t75" style="height:118.5pt;width:288.75pt;" o:ole="t" filled="f" o:preferrelative="t" stroked="f" coordsize="21600,21600">
                  <v:path/>
                  <v:fill on="f" focussize="0,0"/>
                  <v:stroke on="f"/>
                  <v:imagedata r:id="rId23" o:title=""/>
                  <o:lock v:ext="edit" aspectratio="t"/>
                  <w10:wrap type="none"/>
                  <w10:anchorlock/>
                </v:shape>
                <o:OLEObject Type="Embed" ProgID="Visio.Drawing.15" ShapeID="_x0000_i1029" DrawAspect="Content" ObjectID="_1468075729" r:id="rId22">
                  <o:LockedField>false</o:LockedField>
                </o:OLEObject>
              </w:object>
            </w:r>
          </w:p>
          <w:p w14:paraId="7E0C8CCB">
            <w:pPr>
              <w:jc w:val="center"/>
              <w:rPr>
                <w:color w:val="auto"/>
                <w:sz w:val="24"/>
              </w:rPr>
            </w:pPr>
            <w:r>
              <w:rPr>
                <w:rFonts w:eastAsiaTheme="minorEastAsia"/>
                <w:b/>
                <w:bCs/>
                <w:color w:val="auto"/>
                <w:szCs w:val="21"/>
              </w:rPr>
              <w:t>图2</w:t>
            </w:r>
            <w:r>
              <w:rPr>
                <w:rFonts w:hint="eastAsia" w:eastAsiaTheme="minorEastAsia"/>
                <w:b/>
                <w:bCs/>
                <w:color w:val="auto"/>
                <w:szCs w:val="21"/>
              </w:rPr>
              <w:t>-</w:t>
            </w:r>
            <w:r>
              <w:rPr>
                <w:rFonts w:hint="eastAsia" w:eastAsiaTheme="minorEastAsia"/>
                <w:b/>
                <w:bCs/>
                <w:color w:val="auto"/>
                <w:szCs w:val="21"/>
                <w:lang w:val="en-US" w:eastAsia="zh-CN"/>
              </w:rPr>
              <w:t>6</w:t>
            </w:r>
            <w:r>
              <w:rPr>
                <w:rFonts w:eastAsiaTheme="minorEastAsia"/>
                <w:b/>
                <w:bCs/>
                <w:color w:val="auto"/>
                <w:szCs w:val="21"/>
              </w:rPr>
              <w:t xml:space="preserve">  </w:t>
            </w:r>
            <w:r>
              <w:rPr>
                <w:rFonts w:hint="eastAsia" w:eastAsiaTheme="minorEastAsia"/>
                <w:b/>
                <w:bCs/>
                <w:color w:val="auto"/>
                <w:szCs w:val="21"/>
                <w:lang w:val="en-US" w:eastAsia="zh-CN"/>
              </w:rPr>
              <w:t>纯水制备</w:t>
            </w:r>
            <w:r>
              <w:rPr>
                <w:rFonts w:ascii="Times New Roman" w:hAnsi="Times New Roman" w:cs="Times New Roman" w:eastAsiaTheme="minorEastAsia"/>
                <w:b/>
                <w:bCs/>
                <w:color w:val="auto"/>
                <w:szCs w:val="21"/>
              </w:rPr>
              <w:t>工艺流程及产污环节图</w:t>
            </w:r>
          </w:p>
          <w:p w14:paraId="48727346">
            <w:pPr>
              <w:pStyle w:val="27"/>
              <w:spacing w:line="360" w:lineRule="auto"/>
              <w:ind w:right="86" w:firstLine="480" w:firstLineChars="200"/>
              <w:jc w:val="left"/>
              <w:rPr>
                <w:rFonts w:hint="default" w:ascii="Times New Roman" w:hAnsi="Times New Roman" w:cs="Times New Roman" w:eastAsiaTheme="minorEastAsia"/>
                <w:sz w:val="24"/>
                <w:lang w:val="en-US" w:eastAsia="zh-CN"/>
              </w:rPr>
            </w:pPr>
            <w:r>
              <w:rPr>
                <w:rFonts w:hint="eastAsia" w:ascii="Times New Roman" w:hAnsi="Times New Roman" w:cs="Times New Roman" w:eastAsiaTheme="minorEastAsia"/>
                <w:sz w:val="24"/>
                <w:lang w:val="en-US" w:eastAsia="zh-CN"/>
              </w:rPr>
              <w:t>纯水制备系统采用反渗透工艺，以自来水为水源制备纯水供生产线使用，纯水制备率以50%计。主要产生废水，排入化粪池沉淀处理后排入沣西新城大王污水处理厂，经处理达标后排入新河；产生的废反渗透膜，暂存于一般固废暂存区，由纯水机厂家检修时回收处置。</w:t>
            </w:r>
          </w:p>
          <w:p w14:paraId="115DDF96">
            <w:pPr>
              <w:spacing w:line="360" w:lineRule="auto"/>
              <w:rPr>
                <w:rFonts w:hint="eastAsia" w:ascii="Times New Roman" w:hAnsi="Times New Roman" w:cs="Times New Roman" w:eastAsiaTheme="minorEastAsia"/>
                <w:b/>
                <w:bCs/>
                <w:kern w:val="2"/>
                <w:sz w:val="24"/>
                <w:szCs w:val="24"/>
                <w:lang w:val="en-US" w:eastAsia="zh-CN" w:bidi="zh-CN"/>
              </w:rPr>
            </w:pPr>
            <w:r>
              <w:rPr>
                <w:rFonts w:hint="eastAsia" w:ascii="Times New Roman" w:hAnsi="Times New Roman" w:cs="Times New Roman" w:eastAsiaTheme="minorEastAsia"/>
                <w:b/>
                <w:bCs/>
                <w:kern w:val="2"/>
                <w:sz w:val="24"/>
                <w:szCs w:val="24"/>
                <w:lang w:val="en-US" w:eastAsia="zh-CN" w:bidi="zh-CN"/>
              </w:rPr>
              <w:t>3.</w:t>
            </w:r>
            <w:r>
              <w:rPr>
                <w:rFonts w:hint="default" w:ascii="Times New Roman" w:hAnsi="Times New Roman" w:cs="Times New Roman" w:eastAsiaTheme="minorEastAsia"/>
                <w:b/>
                <w:bCs/>
                <w:kern w:val="2"/>
                <w:sz w:val="24"/>
                <w:szCs w:val="24"/>
                <w:lang w:val="en-US" w:eastAsia="zh-CN" w:bidi="zh-CN"/>
              </w:rPr>
              <w:t>项目污染因素一览表</w:t>
            </w:r>
          </w:p>
          <w:p w14:paraId="276CE97E">
            <w:pPr>
              <w:widowControl/>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表2-</w:t>
            </w:r>
            <w:r>
              <w:rPr>
                <w:rFonts w:hint="eastAsia" w:cs="Times New Roman"/>
                <w:b/>
                <w:bCs/>
                <w:color w:val="auto"/>
                <w:highlight w:val="none"/>
                <w:lang w:val="en-US" w:eastAsia="zh-CN"/>
              </w:rPr>
              <w:t xml:space="preserve">7 </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eastAsia="zh-CN"/>
              </w:rPr>
              <w:t>本</w:t>
            </w:r>
            <w:r>
              <w:rPr>
                <w:rFonts w:hint="default" w:ascii="Times New Roman" w:hAnsi="Times New Roman" w:eastAsia="宋体" w:cs="Times New Roman"/>
                <w:b/>
                <w:bCs/>
                <w:color w:val="auto"/>
                <w:highlight w:val="none"/>
              </w:rPr>
              <w:t>项目污染物产排情况一览表</w:t>
            </w:r>
          </w:p>
          <w:tbl>
            <w:tblPr>
              <w:tblStyle w:val="20"/>
              <w:tblW w:w="794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46"/>
              <w:gridCol w:w="1704"/>
              <w:gridCol w:w="4746"/>
            </w:tblGrid>
            <w:tr w14:paraId="07D45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410" w:type="pct"/>
                  <w:tcBorders>
                    <w:tl2br w:val="nil"/>
                    <w:tr2bl w:val="nil"/>
                  </w:tcBorders>
                  <w:vAlign w:val="center"/>
                </w:tcPr>
                <w:p w14:paraId="6D995D84">
                  <w:pPr>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类别</w:t>
                  </w:r>
                </w:p>
              </w:tc>
              <w:tc>
                <w:tcPr>
                  <w:tcW w:w="1604" w:type="pct"/>
                  <w:gridSpan w:val="2"/>
                  <w:tcBorders>
                    <w:tl2br w:val="nil"/>
                    <w:tr2bl w:val="nil"/>
                  </w:tcBorders>
                  <w:vAlign w:val="center"/>
                </w:tcPr>
                <w:p w14:paraId="33BA9E74">
                  <w:pPr>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污染工序</w:t>
                  </w:r>
                </w:p>
              </w:tc>
              <w:tc>
                <w:tcPr>
                  <w:tcW w:w="2985" w:type="pct"/>
                  <w:tcBorders>
                    <w:tl2br w:val="nil"/>
                    <w:tr2bl w:val="nil"/>
                  </w:tcBorders>
                  <w:vAlign w:val="center"/>
                </w:tcPr>
                <w:p w14:paraId="3F22B0E2">
                  <w:pPr>
                    <w:spacing w:line="240" w:lineRule="auto"/>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主要污染物</w:t>
                  </w:r>
                </w:p>
              </w:tc>
            </w:tr>
            <w:tr w14:paraId="6227A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restart"/>
                  <w:tcBorders>
                    <w:tl2br w:val="nil"/>
                    <w:tr2bl w:val="nil"/>
                  </w:tcBorders>
                  <w:vAlign w:val="center"/>
                </w:tcPr>
                <w:p w14:paraId="15D56152">
                  <w:pPr>
                    <w:widowControl/>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废气</w:t>
                  </w:r>
                </w:p>
              </w:tc>
              <w:tc>
                <w:tcPr>
                  <w:tcW w:w="532" w:type="pct"/>
                  <w:vMerge w:val="restart"/>
                  <w:tcBorders>
                    <w:tl2br w:val="nil"/>
                    <w:tr2bl w:val="nil"/>
                  </w:tcBorders>
                  <w:vAlign w:val="center"/>
                </w:tcPr>
                <w:p w14:paraId="12FE0438">
                  <w:pPr>
                    <w:widowControl/>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热固性粉末涂料</w:t>
                  </w:r>
                  <w:r>
                    <w:rPr>
                      <w:rFonts w:hint="eastAsia" w:ascii="Times New Roman" w:hAnsi="Times New Roman" w:eastAsia="宋体" w:cs="Times New Roman"/>
                      <w:color w:val="auto"/>
                      <w:highlight w:val="none"/>
                      <w:lang w:val="en-US" w:eastAsia="zh-CN"/>
                    </w:rPr>
                    <w:t>生产线</w:t>
                  </w:r>
                </w:p>
              </w:tc>
              <w:tc>
                <w:tcPr>
                  <w:tcW w:w="1071" w:type="pct"/>
                  <w:tcBorders>
                    <w:tl2br w:val="nil"/>
                    <w:tr2bl w:val="nil"/>
                  </w:tcBorders>
                  <w:shd w:val="clear" w:color="auto" w:fill="auto"/>
                  <w:vAlign w:val="center"/>
                </w:tcPr>
                <w:p w14:paraId="2D4CCEB2">
                  <w:pPr>
                    <w:widowControl/>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称料投料</w:t>
                  </w:r>
                </w:p>
              </w:tc>
              <w:tc>
                <w:tcPr>
                  <w:tcW w:w="2985" w:type="pct"/>
                  <w:tcBorders>
                    <w:tl2br w:val="nil"/>
                    <w:tr2bl w:val="nil"/>
                  </w:tcBorders>
                  <w:vAlign w:val="center"/>
                </w:tcPr>
                <w:p w14:paraId="2E8B170B">
                  <w:pPr>
                    <w:spacing w:line="240" w:lineRule="auto"/>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颗粒物</w:t>
                  </w:r>
                </w:p>
              </w:tc>
            </w:tr>
            <w:tr w14:paraId="20C3D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270D45DB">
                  <w:pPr>
                    <w:widowControl/>
                    <w:spacing w:line="240" w:lineRule="auto"/>
                    <w:jc w:val="center"/>
                    <w:rPr>
                      <w:rFonts w:hint="default" w:ascii="Times New Roman" w:hAnsi="Times New Roman" w:eastAsia="宋体" w:cs="Times New Roman"/>
                      <w:color w:val="auto"/>
                      <w:highlight w:val="none"/>
                      <w:lang w:val="en-US" w:eastAsia="zh-CN"/>
                    </w:rPr>
                  </w:pPr>
                </w:p>
              </w:tc>
              <w:tc>
                <w:tcPr>
                  <w:tcW w:w="532" w:type="pct"/>
                  <w:vMerge w:val="continue"/>
                  <w:tcBorders>
                    <w:tl2br w:val="nil"/>
                    <w:tr2bl w:val="nil"/>
                  </w:tcBorders>
                  <w:vAlign w:val="center"/>
                </w:tcPr>
                <w:p w14:paraId="493E92E1">
                  <w:pPr>
                    <w:widowControl/>
                    <w:spacing w:line="240" w:lineRule="auto"/>
                    <w:jc w:val="center"/>
                    <w:rPr>
                      <w:rFonts w:hint="default" w:ascii="Times New Roman" w:hAnsi="Times New Roman" w:eastAsia="宋体" w:cs="Times New Roman"/>
                      <w:color w:val="auto"/>
                      <w:highlight w:val="none"/>
                      <w:lang w:val="en-US" w:eastAsia="zh-CN"/>
                    </w:rPr>
                  </w:pPr>
                </w:p>
              </w:tc>
              <w:tc>
                <w:tcPr>
                  <w:tcW w:w="1071" w:type="pct"/>
                  <w:tcBorders>
                    <w:tl2br w:val="nil"/>
                    <w:tr2bl w:val="nil"/>
                  </w:tcBorders>
                  <w:shd w:val="clear" w:color="auto" w:fill="auto"/>
                  <w:vAlign w:val="center"/>
                </w:tcPr>
                <w:p w14:paraId="1CDDFF57">
                  <w:pPr>
                    <w:widowControl/>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熔融挤出、压片</w:t>
                  </w:r>
                </w:p>
              </w:tc>
              <w:tc>
                <w:tcPr>
                  <w:tcW w:w="2985" w:type="pct"/>
                  <w:tcBorders>
                    <w:tl2br w:val="nil"/>
                    <w:tr2bl w:val="nil"/>
                  </w:tcBorders>
                  <w:vAlign w:val="center"/>
                </w:tcPr>
                <w:p w14:paraId="26ACE448">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r>
            <w:tr w14:paraId="2F336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4F0B7EE4">
                  <w:pPr>
                    <w:widowControl/>
                    <w:spacing w:line="240" w:lineRule="auto"/>
                    <w:jc w:val="center"/>
                    <w:rPr>
                      <w:rFonts w:hint="default" w:ascii="Times New Roman" w:hAnsi="Times New Roman" w:eastAsia="宋体" w:cs="Times New Roman"/>
                      <w:color w:val="auto"/>
                      <w:highlight w:val="none"/>
                      <w:lang w:val="en-US" w:eastAsia="zh-CN"/>
                    </w:rPr>
                  </w:pPr>
                </w:p>
              </w:tc>
              <w:tc>
                <w:tcPr>
                  <w:tcW w:w="532" w:type="pct"/>
                  <w:vMerge w:val="continue"/>
                  <w:tcBorders>
                    <w:tl2br w:val="nil"/>
                    <w:tr2bl w:val="nil"/>
                  </w:tcBorders>
                  <w:vAlign w:val="center"/>
                </w:tcPr>
                <w:p w14:paraId="474CC3A6">
                  <w:pPr>
                    <w:widowControl/>
                    <w:spacing w:line="240" w:lineRule="auto"/>
                    <w:jc w:val="center"/>
                    <w:rPr>
                      <w:rFonts w:hint="eastAsia" w:ascii="Times New Roman" w:hAnsi="Times New Roman" w:eastAsia="宋体" w:cs="Times New Roman"/>
                      <w:color w:val="auto"/>
                      <w:highlight w:val="none"/>
                      <w:lang w:val="en-US" w:eastAsia="zh-CN"/>
                    </w:rPr>
                  </w:pPr>
                </w:p>
              </w:tc>
              <w:tc>
                <w:tcPr>
                  <w:tcW w:w="1071" w:type="pct"/>
                  <w:tcBorders>
                    <w:tl2br w:val="nil"/>
                    <w:tr2bl w:val="nil"/>
                  </w:tcBorders>
                  <w:shd w:val="clear" w:color="auto" w:fill="auto"/>
                  <w:vAlign w:val="center"/>
                </w:tcPr>
                <w:p w14:paraId="14EEE1D6">
                  <w:pPr>
                    <w:widowControl/>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磨粉机磨粉</w:t>
                  </w:r>
                </w:p>
              </w:tc>
              <w:tc>
                <w:tcPr>
                  <w:tcW w:w="2985" w:type="pct"/>
                  <w:tcBorders>
                    <w:tl2br w:val="nil"/>
                    <w:tr2bl w:val="nil"/>
                  </w:tcBorders>
                  <w:vAlign w:val="center"/>
                </w:tcPr>
                <w:p w14:paraId="299004B1">
                  <w:pPr>
                    <w:spacing w:line="240" w:lineRule="auto"/>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颗粒物</w:t>
                  </w:r>
                </w:p>
              </w:tc>
            </w:tr>
            <w:tr w14:paraId="3D699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1A80BB99">
                  <w:pPr>
                    <w:widowControl/>
                    <w:spacing w:line="240" w:lineRule="auto"/>
                    <w:jc w:val="center"/>
                    <w:rPr>
                      <w:rFonts w:hint="default" w:ascii="Times New Roman" w:hAnsi="Times New Roman" w:eastAsia="宋体" w:cs="Times New Roman"/>
                      <w:color w:val="auto"/>
                      <w:highlight w:val="none"/>
                      <w:lang w:val="en-US" w:eastAsia="zh-CN"/>
                    </w:rPr>
                  </w:pPr>
                </w:p>
              </w:tc>
              <w:tc>
                <w:tcPr>
                  <w:tcW w:w="532" w:type="pct"/>
                  <w:vMerge w:val="continue"/>
                  <w:tcBorders>
                    <w:tl2br w:val="nil"/>
                    <w:tr2bl w:val="nil"/>
                  </w:tcBorders>
                  <w:vAlign w:val="center"/>
                </w:tcPr>
                <w:p w14:paraId="7B441944">
                  <w:pPr>
                    <w:widowControl/>
                    <w:spacing w:line="240" w:lineRule="auto"/>
                    <w:jc w:val="center"/>
                    <w:rPr>
                      <w:rFonts w:hint="default" w:ascii="Times New Roman" w:hAnsi="Times New Roman" w:eastAsia="宋体" w:cs="Times New Roman"/>
                      <w:color w:val="auto"/>
                      <w:highlight w:val="none"/>
                      <w:lang w:val="en-US" w:eastAsia="zh-CN"/>
                    </w:rPr>
                  </w:pPr>
                </w:p>
              </w:tc>
              <w:tc>
                <w:tcPr>
                  <w:tcW w:w="1071" w:type="pct"/>
                  <w:tcBorders>
                    <w:tl2br w:val="nil"/>
                    <w:tr2bl w:val="nil"/>
                  </w:tcBorders>
                  <w:shd w:val="clear" w:color="auto" w:fill="auto"/>
                  <w:vAlign w:val="center"/>
                </w:tcPr>
                <w:p w14:paraId="1AF72804">
                  <w:pPr>
                    <w:widowControl/>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检验包装入库</w:t>
                  </w:r>
                </w:p>
              </w:tc>
              <w:tc>
                <w:tcPr>
                  <w:tcW w:w="2985" w:type="pct"/>
                  <w:tcBorders>
                    <w:tl2br w:val="nil"/>
                    <w:tr2bl w:val="nil"/>
                  </w:tcBorders>
                  <w:vAlign w:val="center"/>
                </w:tcPr>
                <w:p w14:paraId="673885E5">
                  <w:pPr>
                    <w:spacing w:line="240" w:lineRule="auto"/>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颗粒物</w:t>
                  </w:r>
                </w:p>
              </w:tc>
            </w:tr>
            <w:tr w14:paraId="738FE1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4903C3C8">
                  <w:pPr>
                    <w:widowControl/>
                    <w:spacing w:line="240" w:lineRule="auto"/>
                    <w:jc w:val="center"/>
                    <w:rPr>
                      <w:rFonts w:hint="default" w:ascii="Times New Roman" w:hAnsi="Times New Roman" w:eastAsia="宋体" w:cs="Times New Roman"/>
                      <w:color w:val="auto"/>
                      <w:highlight w:val="none"/>
                      <w:lang w:val="en-US" w:eastAsia="zh-CN"/>
                    </w:rPr>
                  </w:pPr>
                </w:p>
              </w:tc>
              <w:tc>
                <w:tcPr>
                  <w:tcW w:w="532" w:type="pct"/>
                  <w:vMerge w:val="restart"/>
                  <w:tcBorders>
                    <w:tl2br w:val="nil"/>
                    <w:tr2bl w:val="nil"/>
                  </w:tcBorders>
                  <w:vAlign w:val="center"/>
                </w:tcPr>
                <w:p w14:paraId="4CB91306">
                  <w:pPr>
                    <w:widowControl/>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喷涂生产线</w:t>
                  </w:r>
                </w:p>
              </w:tc>
              <w:tc>
                <w:tcPr>
                  <w:tcW w:w="1071" w:type="pct"/>
                  <w:tcBorders>
                    <w:tl2br w:val="nil"/>
                    <w:tr2bl w:val="nil"/>
                  </w:tcBorders>
                  <w:vAlign w:val="center"/>
                </w:tcPr>
                <w:p w14:paraId="77576CC8">
                  <w:pPr>
                    <w:widowControl/>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喷粉</w:t>
                  </w:r>
                </w:p>
              </w:tc>
              <w:tc>
                <w:tcPr>
                  <w:tcW w:w="2985" w:type="pct"/>
                  <w:tcBorders>
                    <w:tl2br w:val="nil"/>
                    <w:tr2bl w:val="nil"/>
                  </w:tcBorders>
                  <w:vAlign w:val="center"/>
                </w:tcPr>
                <w:p w14:paraId="1DD0B0A3">
                  <w:pPr>
                    <w:spacing w:line="240" w:lineRule="auto"/>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颗粒物</w:t>
                  </w:r>
                </w:p>
              </w:tc>
            </w:tr>
            <w:tr w14:paraId="784AAE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3952B430">
                  <w:pPr>
                    <w:widowControl/>
                    <w:spacing w:line="240" w:lineRule="auto"/>
                    <w:jc w:val="center"/>
                    <w:rPr>
                      <w:rFonts w:hint="default" w:ascii="Times New Roman" w:hAnsi="Times New Roman" w:eastAsia="宋体" w:cs="Times New Roman"/>
                      <w:color w:val="auto"/>
                      <w:highlight w:val="none"/>
                      <w:lang w:val="en-US" w:eastAsia="zh-CN"/>
                    </w:rPr>
                  </w:pPr>
                </w:p>
              </w:tc>
              <w:tc>
                <w:tcPr>
                  <w:tcW w:w="532" w:type="pct"/>
                  <w:vMerge w:val="continue"/>
                  <w:tcBorders>
                    <w:tl2br w:val="nil"/>
                    <w:tr2bl w:val="nil"/>
                  </w:tcBorders>
                  <w:vAlign w:val="center"/>
                </w:tcPr>
                <w:p w14:paraId="3B7B0153">
                  <w:pPr>
                    <w:widowControl/>
                    <w:spacing w:line="240" w:lineRule="auto"/>
                    <w:jc w:val="center"/>
                    <w:rPr>
                      <w:rFonts w:hint="default" w:ascii="Times New Roman" w:hAnsi="Times New Roman" w:eastAsia="宋体" w:cs="Times New Roman"/>
                      <w:color w:val="auto"/>
                      <w:highlight w:val="none"/>
                      <w:lang w:val="en-US" w:eastAsia="zh-CN"/>
                    </w:rPr>
                  </w:pPr>
                </w:p>
              </w:tc>
              <w:tc>
                <w:tcPr>
                  <w:tcW w:w="1071" w:type="pct"/>
                  <w:tcBorders>
                    <w:tl2br w:val="nil"/>
                    <w:tr2bl w:val="nil"/>
                  </w:tcBorders>
                  <w:vAlign w:val="center"/>
                </w:tcPr>
                <w:p w14:paraId="6F87EC6D">
                  <w:pPr>
                    <w:widowControl/>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固化</w:t>
                  </w:r>
                </w:p>
              </w:tc>
              <w:tc>
                <w:tcPr>
                  <w:tcW w:w="2985" w:type="pct"/>
                  <w:tcBorders>
                    <w:tl2br w:val="nil"/>
                    <w:tr2bl w:val="nil"/>
                  </w:tcBorders>
                  <w:vAlign w:val="center"/>
                </w:tcPr>
                <w:p w14:paraId="73CAE035">
                  <w:pPr>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r>
                    <w:rPr>
                      <w:rFonts w:hint="eastAsia" w:cs="Times New Roman"/>
                      <w:color w:val="auto"/>
                      <w:highlight w:val="none"/>
                      <w:lang w:val="en-US" w:eastAsia="zh-CN"/>
                    </w:rPr>
                    <w:t>、颗粒物、SO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、NO</w:t>
                  </w:r>
                  <w:r>
                    <w:rPr>
                      <w:rFonts w:hint="eastAsia" w:cs="Times New Roman"/>
                      <w:color w:val="auto"/>
                      <w:highlight w:val="none"/>
                      <w:vertAlign w:val="subscript"/>
                      <w:lang w:val="en-US" w:eastAsia="zh-CN"/>
                    </w:rPr>
                    <w:t>X</w:t>
                  </w:r>
                </w:p>
              </w:tc>
            </w:tr>
            <w:tr w14:paraId="68A12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3E3DE5C0">
                  <w:pPr>
                    <w:widowControl/>
                    <w:spacing w:line="240" w:lineRule="auto"/>
                    <w:jc w:val="center"/>
                    <w:rPr>
                      <w:rFonts w:hint="default" w:ascii="Times New Roman" w:hAnsi="Times New Roman" w:eastAsia="宋体" w:cs="Times New Roman"/>
                      <w:color w:val="auto"/>
                      <w:highlight w:val="none"/>
                      <w:lang w:val="en-US" w:eastAsia="zh-CN"/>
                    </w:rPr>
                  </w:pPr>
                </w:p>
              </w:tc>
              <w:tc>
                <w:tcPr>
                  <w:tcW w:w="532" w:type="pct"/>
                  <w:vMerge w:val="restart"/>
                  <w:tcBorders>
                    <w:tl2br w:val="nil"/>
                    <w:tr2bl w:val="nil"/>
                  </w:tcBorders>
                  <w:vAlign w:val="center"/>
                </w:tcPr>
                <w:p w14:paraId="0C10C42D">
                  <w:pPr>
                    <w:widowControl/>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电泳生产线</w:t>
                  </w:r>
                </w:p>
              </w:tc>
              <w:tc>
                <w:tcPr>
                  <w:tcW w:w="1071" w:type="pct"/>
                  <w:tcBorders>
                    <w:tl2br w:val="nil"/>
                    <w:tr2bl w:val="nil"/>
                  </w:tcBorders>
                  <w:vAlign w:val="center"/>
                </w:tcPr>
                <w:p w14:paraId="4E1EF2BE">
                  <w:pPr>
                    <w:widowControl/>
                    <w:spacing w:line="240" w:lineRule="auto"/>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电泳</w:t>
                  </w:r>
                </w:p>
              </w:tc>
              <w:tc>
                <w:tcPr>
                  <w:tcW w:w="2985" w:type="pct"/>
                  <w:tcBorders>
                    <w:tl2br w:val="nil"/>
                    <w:tr2bl w:val="nil"/>
                  </w:tcBorders>
                  <w:vAlign w:val="center"/>
                </w:tcPr>
                <w:p w14:paraId="14D2925D">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p>
              </w:tc>
            </w:tr>
            <w:tr w14:paraId="7D3F9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742B008A">
                  <w:pPr>
                    <w:widowControl/>
                    <w:spacing w:line="240" w:lineRule="auto"/>
                    <w:jc w:val="center"/>
                    <w:rPr>
                      <w:rFonts w:hint="default" w:ascii="Times New Roman" w:hAnsi="Times New Roman" w:eastAsia="宋体" w:cs="Times New Roman"/>
                      <w:color w:val="auto"/>
                      <w:highlight w:val="none"/>
                      <w:lang w:val="en-US" w:eastAsia="zh-CN"/>
                    </w:rPr>
                  </w:pPr>
                </w:p>
              </w:tc>
              <w:tc>
                <w:tcPr>
                  <w:tcW w:w="532" w:type="pct"/>
                  <w:vMerge w:val="continue"/>
                  <w:tcBorders>
                    <w:tl2br w:val="nil"/>
                    <w:tr2bl w:val="nil"/>
                  </w:tcBorders>
                  <w:vAlign w:val="center"/>
                </w:tcPr>
                <w:p w14:paraId="6D746B8A">
                  <w:pPr>
                    <w:widowControl/>
                    <w:spacing w:line="240" w:lineRule="auto"/>
                    <w:jc w:val="center"/>
                    <w:rPr>
                      <w:rFonts w:hint="default" w:ascii="Times New Roman" w:hAnsi="Times New Roman" w:eastAsia="宋体" w:cs="Times New Roman"/>
                      <w:color w:val="auto"/>
                      <w:highlight w:val="none"/>
                      <w:lang w:val="en-US" w:eastAsia="zh-CN"/>
                    </w:rPr>
                  </w:pPr>
                </w:p>
              </w:tc>
              <w:tc>
                <w:tcPr>
                  <w:tcW w:w="1071" w:type="pct"/>
                  <w:tcBorders>
                    <w:tl2br w:val="nil"/>
                    <w:tr2bl w:val="nil"/>
                  </w:tcBorders>
                  <w:vAlign w:val="center"/>
                </w:tcPr>
                <w:p w14:paraId="025A3730">
                  <w:pPr>
                    <w:widowControl/>
                    <w:spacing w:line="240" w:lineRule="auto"/>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烘干</w:t>
                  </w:r>
                </w:p>
              </w:tc>
              <w:tc>
                <w:tcPr>
                  <w:tcW w:w="2985" w:type="pct"/>
                  <w:tcBorders>
                    <w:tl2br w:val="nil"/>
                    <w:tr2bl w:val="nil"/>
                  </w:tcBorders>
                  <w:vAlign w:val="center"/>
                </w:tcPr>
                <w:p w14:paraId="50B56640">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非甲烷总烃</w:t>
                  </w:r>
                  <w:r>
                    <w:rPr>
                      <w:rFonts w:hint="eastAsia" w:cs="Times New Roman"/>
                      <w:color w:val="auto"/>
                      <w:highlight w:val="none"/>
                      <w:lang w:val="en-US" w:eastAsia="zh-CN"/>
                    </w:rPr>
                    <w:t>、颗粒物、SO</w:t>
                  </w:r>
                  <w:r>
                    <w:rPr>
                      <w:rFonts w:hint="eastAsia" w:cs="Times New Roman"/>
                      <w:color w:val="auto"/>
                      <w:highlight w:val="none"/>
                      <w:vertAlign w:val="subscript"/>
                      <w:lang w:val="en-US" w:eastAsia="zh-CN"/>
                    </w:rPr>
                    <w:t>2</w:t>
                  </w:r>
                  <w:r>
                    <w:rPr>
                      <w:rFonts w:hint="eastAsia" w:cs="Times New Roman"/>
                      <w:color w:val="auto"/>
                      <w:highlight w:val="none"/>
                      <w:lang w:val="en-US" w:eastAsia="zh-CN"/>
                    </w:rPr>
                    <w:t>、NO</w:t>
                  </w:r>
                  <w:r>
                    <w:rPr>
                      <w:rFonts w:hint="eastAsia" w:ascii="Times New Roman" w:hAnsi="Times New Roman" w:eastAsia="宋体" w:cs="Times New Roman"/>
                      <w:color w:val="auto"/>
                      <w:highlight w:val="none"/>
                      <w:vertAlign w:val="subscript"/>
                      <w:lang w:val="en-US" w:eastAsia="zh-CN"/>
                    </w:rPr>
                    <w:t>X</w:t>
                  </w:r>
                </w:p>
              </w:tc>
            </w:tr>
            <w:tr w14:paraId="3112D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restart"/>
                  <w:tcBorders>
                    <w:tl2br w:val="nil"/>
                    <w:tr2bl w:val="nil"/>
                  </w:tcBorders>
                  <w:vAlign w:val="center"/>
                </w:tcPr>
                <w:p w14:paraId="00FD18B5">
                  <w:pPr>
                    <w:spacing w:line="240" w:lineRule="auto"/>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w:t>
                  </w:r>
                </w:p>
              </w:tc>
              <w:tc>
                <w:tcPr>
                  <w:tcW w:w="1604" w:type="pct"/>
                  <w:gridSpan w:val="2"/>
                  <w:tcBorders>
                    <w:tl2br w:val="nil"/>
                    <w:tr2bl w:val="nil"/>
                  </w:tcBorders>
                  <w:vAlign w:val="center"/>
                </w:tcPr>
                <w:p w14:paraId="7BF102F7">
                  <w:pPr>
                    <w:spacing w:line="240" w:lineRule="auto"/>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职工日常生活</w:t>
                  </w:r>
                </w:p>
              </w:tc>
              <w:tc>
                <w:tcPr>
                  <w:tcW w:w="2985" w:type="pct"/>
                  <w:tcBorders>
                    <w:tl2br w:val="nil"/>
                    <w:tr2bl w:val="nil"/>
                  </w:tcBorders>
                  <w:vAlign w:val="center"/>
                </w:tcPr>
                <w:p w14:paraId="700FCF54">
                  <w:pPr>
                    <w:keepNext w:val="0"/>
                    <w:keepLines w:val="0"/>
                    <w:widowControl/>
                    <w:suppressLineNumbers w:val="0"/>
                    <w:jc w:val="center"/>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0"/>
                      <w:sz w:val="20"/>
                      <w:szCs w:val="20"/>
                      <w:lang w:val="en-US" w:eastAsia="zh-CN" w:bidi="ar"/>
                    </w:rPr>
                    <w:t>COD</w:t>
                  </w:r>
                  <w:r>
                    <w:rPr>
                      <w:rFonts w:hint="eastAsia" w:ascii="宋体" w:hAnsi="宋体" w:eastAsia="宋体" w:cs="宋体"/>
                      <w:color w:val="auto"/>
                      <w:kern w:val="0"/>
                      <w:sz w:val="20"/>
                      <w:szCs w:val="20"/>
                      <w:lang w:val="en-US" w:eastAsia="zh-CN" w:bidi="ar"/>
                    </w:rPr>
                    <w:t>、氨氮、</w:t>
                  </w:r>
                  <w:r>
                    <w:rPr>
                      <w:rFonts w:hint="default" w:ascii="Times New Roman" w:hAnsi="Times New Roman" w:eastAsia="宋体" w:cs="Times New Roman"/>
                      <w:color w:val="auto"/>
                      <w:kern w:val="0"/>
                      <w:sz w:val="20"/>
                      <w:szCs w:val="20"/>
                      <w:lang w:val="en-US" w:eastAsia="zh-CN" w:bidi="ar"/>
                    </w:rPr>
                    <w:t>BOD</w:t>
                  </w:r>
                  <w:r>
                    <w:rPr>
                      <w:rFonts w:hint="default" w:ascii="Times New Roman" w:hAnsi="Times New Roman" w:eastAsia="宋体" w:cs="Times New Roman"/>
                      <w:color w:val="auto"/>
                      <w:kern w:val="0"/>
                      <w:sz w:val="13"/>
                      <w:szCs w:val="13"/>
                      <w:lang w:val="en-US" w:eastAsia="zh-CN" w:bidi="ar"/>
                    </w:rPr>
                    <w:t>5</w:t>
                  </w:r>
                  <w:r>
                    <w:rPr>
                      <w:rFonts w:hint="eastAsia" w:ascii="宋体" w:hAnsi="宋体" w:eastAsia="宋体" w:cs="宋体"/>
                      <w:color w:val="auto"/>
                      <w:kern w:val="0"/>
                      <w:sz w:val="20"/>
                      <w:szCs w:val="20"/>
                      <w:lang w:val="en-US" w:eastAsia="zh-CN" w:bidi="ar"/>
                    </w:rPr>
                    <w:t>、</w:t>
                  </w:r>
                  <w:r>
                    <w:rPr>
                      <w:rFonts w:hint="default" w:ascii="Times New Roman" w:hAnsi="Times New Roman" w:eastAsia="宋体" w:cs="Times New Roman"/>
                      <w:color w:val="auto"/>
                      <w:kern w:val="0"/>
                      <w:sz w:val="20"/>
                      <w:szCs w:val="20"/>
                      <w:lang w:val="en-US" w:eastAsia="zh-CN" w:bidi="ar"/>
                    </w:rPr>
                    <w:t>SS</w:t>
                  </w:r>
                </w:p>
              </w:tc>
            </w:tr>
            <w:tr w14:paraId="5A6B4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continue"/>
                  <w:tcBorders>
                    <w:tl2br w:val="nil"/>
                    <w:tr2bl w:val="nil"/>
                  </w:tcBorders>
                  <w:vAlign w:val="center"/>
                </w:tcPr>
                <w:p w14:paraId="2F3D4EC6">
                  <w:pPr>
                    <w:spacing w:line="240" w:lineRule="auto"/>
                    <w:jc w:val="center"/>
                    <w:rPr>
                      <w:rFonts w:hint="default" w:ascii="Times New Roman" w:hAnsi="Times New Roman" w:eastAsia="宋体" w:cs="Times New Roman"/>
                      <w:color w:val="auto"/>
                      <w:highlight w:val="none"/>
                    </w:rPr>
                  </w:pPr>
                </w:p>
              </w:tc>
              <w:tc>
                <w:tcPr>
                  <w:tcW w:w="1604" w:type="pct"/>
                  <w:gridSpan w:val="2"/>
                  <w:tcBorders>
                    <w:tl2br w:val="nil"/>
                    <w:tr2bl w:val="nil"/>
                  </w:tcBorders>
                  <w:vAlign w:val="center"/>
                </w:tcPr>
                <w:p w14:paraId="339A52BF">
                  <w:pPr>
                    <w:spacing w:line="240" w:lineRule="auto"/>
                    <w:jc w:val="center"/>
                    <w:rPr>
                      <w:rFonts w:hint="default" w:eastAsia="宋体" w:cs="Times New Roman"/>
                      <w:color w:val="auto"/>
                      <w:highlight w:val="none"/>
                      <w:lang w:val="en-US" w:eastAsia="zh-CN"/>
                    </w:rPr>
                  </w:pPr>
                  <w:r>
                    <w:rPr>
                      <w:rFonts w:hint="eastAsia" w:cs="Times New Roman"/>
                      <w:color w:val="auto"/>
                      <w:highlight w:val="none"/>
                      <w:lang w:val="en-US" w:eastAsia="zh-CN"/>
                    </w:rPr>
                    <w:t>生产废水</w:t>
                  </w:r>
                </w:p>
              </w:tc>
              <w:tc>
                <w:tcPr>
                  <w:tcW w:w="2985" w:type="pct"/>
                  <w:tcBorders>
                    <w:tl2br w:val="nil"/>
                    <w:tr2bl w:val="nil"/>
                  </w:tcBorders>
                  <w:shd w:val="clear" w:color="auto" w:fill="auto"/>
                  <w:vAlign w:val="center"/>
                </w:tcPr>
                <w:p w14:paraId="075D43FD">
                  <w:pPr>
                    <w:spacing w:line="240" w:lineRule="auto"/>
                    <w:jc w:val="center"/>
                    <w:rPr>
                      <w:rFonts w:hint="eastAsia" w:ascii="Times New Roman" w:hAnsi="Times New Roman" w:cs="Times New Roman" w:eastAsiaTheme="minorEastAsia"/>
                      <w:b/>
                      <w:bCs/>
                      <w:kern w:val="2"/>
                      <w:sz w:val="21"/>
                      <w:szCs w:val="21"/>
                      <w:lang w:val="en-US" w:eastAsia="zh-CN" w:bidi="ar-SA"/>
                    </w:rPr>
                  </w:pPr>
                  <w:r>
                    <w:rPr>
                      <w:rFonts w:hint="eastAsia" w:ascii="Times New Roman" w:hAnsi="Times New Roman" w:cs="Times New Roman" w:eastAsiaTheme="minorEastAsia"/>
                      <w:sz w:val="21"/>
                      <w:szCs w:val="21"/>
                      <w:lang w:val="en-US" w:eastAsia="zh-CN"/>
                    </w:rPr>
                    <w:t>纯水制备系统废水</w:t>
                  </w:r>
                  <w:r>
                    <w:rPr>
                      <w:rFonts w:ascii="Times New Roman" w:hAnsi="Times New Roman" w:cs="Times New Roman" w:eastAsiaTheme="minorEastAsia"/>
                      <w:sz w:val="21"/>
                      <w:szCs w:val="21"/>
                      <w:lang w:val="en-US"/>
                    </w:rPr>
                    <w:t>进入化粪池沉淀处理后排入</w:t>
                  </w:r>
                  <w:r>
                    <w:rPr>
                      <w:rFonts w:hint="eastAsia" w:ascii="Times New Roman" w:hAnsi="Times New Roman" w:cs="Times New Roman" w:eastAsiaTheme="minorEastAsia"/>
                      <w:sz w:val="21"/>
                      <w:szCs w:val="21"/>
                      <w:lang w:val="en-US"/>
                    </w:rPr>
                    <w:t>沣西新城大王</w:t>
                  </w:r>
                  <w:r>
                    <w:rPr>
                      <w:rFonts w:ascii="Times New Roman" w:hAnsi="Times New Roman" w:cs="Times New Roman" w:eastAsiaTheme="minorEastAsia"/>
                      <w:sz w:val="21"/>
                      <w:szCs w:val="21"/>
                      <w:lang w:val="en-US"/>
                    </w:rPr>
                    <w:t>污水处理厂</w:t>
                  </w:r>
                </w:p>
              </w:tc>
            </w:tr>
            <w:tr w14:paraId="1A361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tcBorders>
                    <w:tl2br w:val="nil"/>
                    <w:tr2bl w:val="nil"/>
                  </w:tcBorders>
                  <w:vAlign w:val="center"/>
                </w:tcPr>
                <w:p w14:paraId="7764FA2B">
                  <w:pPr>
                    <w:spacing w:line="240" w:lineRule="auto"/>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噪声</w:t>
                  </w:r>
                </w:p>
              </w:tc>
              <w:tc>
                <w:tcPr>
                  <w:tcW w:w="1604" w:type="pct"/>
                  <w:gridSpan w:val="2"/>
                  <w:tcBorders>
                    <w:tl2br w:val="nil"/>
                    <w:tr2bl w:val="nil"/>
                  </w:tcBorders>
                  <w:vAlign w:val="center"/>
                </w:tcPr>
                <w:p w14:paraId="5F7EB945">
                  <w:pPr>
                    <w:spacing w:line="240" w:lineRule="auto"/>
                    <w:jc w:val="center"/>
                    <w:rPr>
                      <w:rFonts w:hint="default" w:eastAsia="宋体" w:cs="Times New Roman"/>
                      <w:color w:val="auto"/>
                      <w:highlight w:val="none"/>
                      <w:lang w:val="en-US" w:eastAsia="zh-CN"/>
                    </w:rPr>
                  </w:pPr>
                  <w:r>
                    <w:rPr>
                      <w:rFonts w:hint="eastAsia" w:cs="Times New Roman"/>
                      <w:color w:val="auto"/>
                      <w:highlight w:val="none"/>
                      <w:lang w:val="en-US" w:eastAsia="zh-CN"/>
                    </w:rPr>
                    <w:t>设备运行</w:t>
                  </w:r>
                </w:p>
              </w:tc>
              <w:tc>
                <w:tcPr>
                  <w:tcW w:w="2985" w:type="pct"/>
                  <w:tcBorders>
                    <w:tl2br w:val="nil"/>
                    <w:tr2bl w:val="nil"/>
                  </w:tcBorders>
                  <w:vAlign w:val="center"/>
                </w:tcPr>
                <w:p w14:paraId="5FD502DA">
                  <w:pPr>
                    <w:spacing w:line="240" w:lineRule="auto"/>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等效连续A声级</w:t>
                  </w:r>
                </w:p>
              </w:tc>
            </w:tr>
            <w:tr w14:paraId="46E78F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 w:type="pct"/>
                  <w:vMerge w:val="restart"/>
                  <w:tcBorders>
                    <w:tl2br w:val="nil"/>
                    <w:tr2bl w:val="nil"/>
                  </w:tcBorders>
                  <w:vAlign w:val="center"/>
                </w:tcPr>
                <w:p w14:paraId="0ED3FF98">
                  <w:pPr>
                    <w:widowControl/>
                    <w:spacing w:line="240" w:lineRule="auto"/>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固体废物</w:t>
                  </w:r>
                </w:p>
              </w:tc>
              <w:tc>
                <w:tcPr>
                  <w:tcW w:w="1604" w:type="pct"/>
                  <w:gridSpan w:val="2"/>
                  <w:tcBorders>
                    <w:tl2br w:val="nil"/>
                    <w:tr2bl w:val="nil"/>
                  </w:tcBorders>
                  <w:vAlign w:val="center"/>
                </w:tcPr>
                <w:p w14:paraId="529B40E0">
                  <w:pPr>
                    <w:spacing w:line="240" w:lineRule="auto"/>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生活垃圾</w:t>
                  </w:r>
                </w:p>
              </w:tc>
              <w:tc>
                <w:tcPr>
                  <w:tcW w:w="2985" w:type="pct"/>
                  <w:tcBorders>
                    <w:tl2br w:val="nil"/>
                    <w:tr2bl w:val="nil"/>
                  </w:tcBorders>
                  <w:vAlign w:val="center"/>
                </w:tcPr>
                <w:p w14:paraId="6563B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生活垃圾</w:t>
                  </w:r>
                </w:p>
              </w:tc>
            </w:tr>
            <w:tr w14:paraId="50C83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0" w:type="pct"/>
                  <w:vMerge w:val="continue"/>
                  <w:tcBorders>
                    <w:tl2br w:val="nil"/>
                    <w:tr2bl w:val="nil"/>
                  </w:tcBorders>
                  <w:vAlign w:val="center"/>
                </w:tcPr>
                <w:p w14:paraId="63F34C22">
                  <w:pPr>
                    <w:widowControl/>
                    <w:spacing w:line="240" w:lineRule="auto"/>
                    <w:jc w:val="center"/>
                    <w:rPr>
                      <w:rFonts w:hint="default" w:ascii="Times New Roman" w:hAnsi="Times New Roman" w:eastAsia="宋体" w:cs="Times New Roman"/>
                      <w:color w:val="auto"/>
                      <w:highlight w:val="none"/>
                      <w:lang w:val="en-US" w:eastAsia="zh-CN"/>
                    </w:rPr>
                  </w:pPr>
                </w:p>
              </w:tc>
              <w:tc>
                <w:tcPr>
                  <w:tcW w:w="1604" w:type="pct"/>
                  <w:gridSpan w:val="2"/>
                  <w:tcBorders>
                    <w:tl2br w:val="nil"/>
                    <w:tr2bl w:val="nil"/>
                  </w:tcBorders>
                  <w:vAlign w:val="center"/>
                </w:tcPr>
                <w:p w14:paraId="28D1686E">
                  <w:pPr>
                    <w:spacing w:line="240" w:lineRule="auto"/>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一般固废</w:t>
                  </w:r>
                </w:p>
              </w:tc>
              <w:tc>
                <w:tcPr>
                  <w:tcW w:w="2985" w:type="pct"/>
                  <w:tcBorders>
                    <w:tl2br w:val="nil"/>
                    <w:tr2bl w:val="nil"/>
                  </w:tcBorders>
                  <w:vAlign w:val="center"/>
                </w:tcPr>
                <w:p w14:paraId="3A5076FD">
                  <w:pPr>
                    <w:pStyle w:val="27"/>
                    <w:numPr>
                      <w:ilvl w:val="0"/>
                      <w:numId w:val="0"/>
                    </w:numPr>
                    <w:spacing w:line="240" w:lineRule="auto"/>
                    <w:jc w:val="center"/>
                    <w:rPr>
                      <w:rFonts w:hint="default" w:ascii="Times New Roman" w:hAnsi="Times New Roman" w:eastAsia="宋体" w:cs="Times New Roman"/>
                      <w:color w:val="auto"/>
                      <w:highlight w:val="none"/>
                      <w:lang w:val="en-US" w:eastAsia="zh-CN"/>
                    </w:rPr>
                  </w:pPr>
                  <w:r>
                    <w:rPr>
                      <w:rFonts w:hint="eastAsia" w:ascii="宋体" w:hAnsi="宋体" w:eastAsia="宋体" w:cs="Times New Roman"/>
                      <w:color w:val="auto"/>
                      <w:highlight w:val="none"/>
                      <w:lang w:val="en-US" w:eastAsia="zh-CN"/>
                    </w:rPr>
                    <w:t>废包装材料、收集的粉尘、粉末</w:t>
                  </w:r>
                  <w:r>
                    <w:rPr>
                      <w:rFonts w:hint="default" w:ascii="宋体" w:hAnsi="宋体" w:eastAsia="宋体" w:cs="Times New Roman"/>
                      <w:color w:val="auto"/>
                      <w:highlight w:val="none"/>
                      <w:lang w:val="en-US" w:eastAsia="zh-CN"/>
                    </w:rPr>
                    <w:t>不合格品</w:t>
                  </w:r>
                  <w:r>
                    <w:rPr>
                      <w:rFonts w:hint="eastAsia" w:ascii="宋体" w:hAnsi="宋体"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废反渗透膜</w:t>
                  </w:r>
                  <w:r>
                    <w:rPr>
                      <w:rFonts w:hint="eastAsia" w:ascii="Times New Roman" w:hAnsi="Times New Roman" w:cs="Times New Roman"/>
                      <w:color w:val="auto"/>
                      <w:highlight w:val="none"/>
                      <w:lang w:val="en-US" w:eastAsia="zh-CN"/>
                    </w:rPr>
                    <w:t>、废漆渣</w:t>
                  </w:r>
                </w:p>
              </w:tc>
            </w:tr>
            <w:tr w14:paraId="18F4D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10" w:type="pct"/>
                  <w:vMerge w:val="continue"/>
                  <w:tcBorders>
                    <w:tl2br w:val="nil"/>
                    <w:tr2bl w:val="nil"/>
                  </w:tcBorders>
                  <w:vAlign w:val="center"/>
                </w:tcPr>
                <w:p w14:paraId="3B9FC6A4">
                  <w:pPr>
                    <w:widowControl/>
                    <w:spacing w:line="240" w:lineRule="auto"/>
                    <w:jc w:val="center"/>
                    <w:rPr>
                      <w:rFonts w:hint="default" w:ascii="Times New Roman" w:hAnsi="Times New Roman" w:eastAsia="宋体" w:cs="Times New Roman"/>
                      <w:color w:val="auto"/>
                      <w:highlight w:val="none"/>
                      <w:lang w:val="en-US" w:eastAsia="zh-CN"/>
                    </w:rPr>
                  </w:pPr>
                </w:p>
              </w:tc>
              <w:tc>
                <w:tcPr>
                  <w:tcW w:w="1604" w:type="pct"/>
                  <w:gridSpan w:val="2"/>
                  <w:tcBorders>
                    <w:tl2br w:val="nil"/>
                    <w:tr2bl w:val="nil"/>
                  </w:tcBorders>
                  <w:vAlign w:val="center"/>
                </w:tcPr>
                <w:p w14:paraId="3C873C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eastAsia="宋体" w:cs="Times New Roman"/>
                      <w:color w:val="auto"/>
                      <w:highlight w:val="none"/>
                      <w:lang w:val="en-US" w:eastAsia="zh-CN"/>
                    </w:rPr>
                  </w:pPr>
                  <w:r>
                    <w:rPr>
                      <w:rFonts w:hint="eastAsia" w:eastAsia="宋体" w:cs="Times New Roman"/>
                      <w:color w:val="auto"/>
                      <w:highlight w:val="none"/>
                      <w:lang w:val="en-US" w:eastAsia="zh-CN"/>
                    </w:rPr>
                    <w:t>危险废物</w:t>
                  </w:r>
                </w:p>
              </w:tc>
              <w:tc>
                <w:tcPr>
                  <w:tcW w:w="2985" w:type="pct"/>
                  <w:tcBorders>
                    <w:tl2br w:val="nil"/>
                    <w:tr2bl w:val="nil"/>
                  </w:tcBorders>
                  <w:vAlign w:val="center"/>
                </w:tcPr>
                <w:p w14:paraId="38BDDF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废机油及废油桶、废活性炭、废超滤芯、</w:t>
                  </w:r>
                  <w:r>
                    <w:rPr>
                      <w:rFonts w:hint="eastAsia" w:cs="Times New Roman"/>
                      <w:color w:val="auto"/>
                      <w:highlight w:val="none"/>
                      <w:lang w:val="en-US" w:eastAsia="zh-CN"/>
                    </w:rPr>
                    <w:t>废油槽渣、废陶化槽渣以及废</w:t>
                  </w:r>
                  <w:r>
                    <w:rPr>
                      <w:rFonts w:hint="eastAsia" w:ascii="宋体" w:hAnsi="宋体" w:cs="Times New Roman"/>
                      <w:color w:val="auto"/>
                      <w:highlight w:val="none"/>
                      <w:lang w:val="en-US" w:eastAsia="zh-CN"/>
                    </w:rPr>
                    <w:t>电泳</w:t>
                  </w:r>
                  <w:r>
                    <w:rPr>
                      <w:rFonts w:hint="default" w:ascii="宋体" w:hAnsi="宋体" w:eastAsia="宋体" w:cs="Times New Roman"/>
                      <w:color w:val="auto"/>
                      <w:highlight w:val="none"/>
                      <w:lang w:val="en-US" w:eastAsia="zh-CN"/>
                    </w:rPr>
                    <w:t>漆渣</w:t>
                  </w:r>
                </w:p>
              </w:tc>
            </w:tr>
          </w:tbl>
          <w:p w14:paraId="7B9AB596">
            <w:pPr>
              <w:pStyle w:val="15"/>
              <w:spacing w:line="360" w:lineRule="auto"/>
              <w:ind w:left="0" w:leftChars="0" w:firstLine="0" w:firstLineChars="0"/>
              <w:rPr>
                <w:rFonts w:eastAsiaTheme="minorEastAsia"/>
              </w:rPr>
            </w:pPr>
          </w:p>
        </w:tc>
      </w:tr>
      <w:tr w14:paraId="7BE41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2" w:type="dxa"/>
            <w:tcBorders>
              <w:tl2br w:val="nil"/>
              <w:tr2bl w:val="nil"/>
            </w:tcBorders>
            <w:noWrap/>
            <w:vAlign w:val="center"/>
          </w:tcPr>
          <w:p w14:paraId="054122C3">
            <w:pPr>
              <w:pStyle w:val="16"/>
              <w:adjustRightInd w:val="0"/>
              <w:snapToGri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bCs/>
                <w:kern w:val="2"/>
                <w:szCs w:val="24"/>
              </w:rPr>
              <w:t>与项目有关的原有环境污染问题</w:t>
            </w:r>
          </w:p>
        </w:tc>
        <w:tc>
          <w:tcPr>
            <w:tcW w:w="8157" w:type="dxa"/>
            <w:tcBorders>
              <w:tl2br w:val="nil"/>
              <w:tr2bl w:val="nil"/>
            </w:tcBorders>
            <w:noWrap/>
            <w:vAlign w:val="center"/>
          </w:tcPr>
          <w:p w14:paraId="76F1D787">
            <w:pPr>
              <w:pStyle w:val="27"/>
              <w:spacing w:line="360" w:lineRule="auto"/>
              <w:ind w:right="86" w:firstLine="480" w:firstLineChars="200"/>
              <w:rPr>
                <w:rFonts w:ascii="Times New Roman" w:hAnsi="Times New Roman" w:cs="Times New Roman" w:eastAsiaTheme="minorEastAsia"/>
                <w:sz w:val="24"/>
                <w:lang w:val="en-US"/>
              </w:rPr>
            </w:pPr>
            <w:r>
              <w:rPr>
                <w:rFonts w:ascii="Times New Roman" w:hAnsi="Times New Roman" w:cs="Times New Roman" w:eastAsiaTheme="minorEastAsia"/>
                <w:sz w:val="24"/>
                <w:lang w:val="en-US"/>
              </w:rPr>
              <w:t>本项目为新建项目，项目方</w:t>
            </w:r>
            <w:r>
              <w:rPr>
                <w:rFonts w:hint="eastAsia" w:ascii="Times New Roman" w:hAnsi="Times New Roman" w:cs="Times New Roman" w:eastAsiaTheme="minorEastAsia"/>
                <w:sz w:val="24"/>
                <w:lang w:val="en-US"/>
              </w:rPr>
              <w:t>租赁空厂房</w:t>
            </w:r>
            <w:r>
              <w:rPr>
                <w:rFonts w:ascii="Times New Roman" w:hAnsi="Times New Roman" w:cs="Times New Roman" w:eastAsiaTheme="minorEastAsia"/>
                <w:sz w:val="24"/>
                <w:lang w:val="en-US"/>
              </w:rPr>
              <w:t>进行项目建设</w:t>
            </w:r>
            <w:r>
              <w:rPr>
                <w:rFonts w:hint="eastAsia" w:ascii="Times New Roman" w:hAnsi="Times New Roman" w:cs="Times New Roman" w:eastAsiaTheme="minorEastAsia"/>
                <w:sz w:val="24"/>
                <w:lang w:val="en-US"/>
              </w:rPr>
              <w:t>，</w:t>
            </w:r>
            <w:r>
              <w:rPr>
                <w:rFonts w:ascii="Times New Roman" w:hAnsi="Times New Roman" w:cs="Times New Roman" w:eastAsiaTheme="minorEastAsia"/>
                <w:sz w:val="24"/>
                <w:lang w:val="en-US"/>
              </w:rPr>
              <w:t>不存在与本项目有关的原有污染问题。</w:t>
            </w:r>
          </w:p>
          <w:p w14:paraId="1DC61FF7">
            <w:pPr>
              <w:pStyle w:val="27"/>
              <w:spacing w:line="360" w:lineRule="auto"/>
              <w:ind w:right="86" w:firstLine="480" w:firstLineChars="200"/>
              <w:rPr>
                <w:rFonts w:ascii="Times New Roman" w:hAnsi="Times New Roman" w:cs="Times New Roman" w:eastAsiaTheme="minorEastAsia"/>
                <w:sz w:val="24"/>
                <w:lang w:val="en-US"/>
              </w:rPr>
            </w:pPr>
          </w:p>
          <w:p w14:paraId="5B1A0E9A">
            <w:pPr>
              <w:pStyle w:val="27"/>
              <w:spacing w:line="360" w:lineRule="auto"/>
              <w:ind w:right="86" w:firstLine="480" w:firstLineChars="200"/>
              <w:rPr>
                <w:rFonts w:ascii="Times New Roman" w:hAnsi="Times New Roman" w:cs="Times New Roman" w:eastAsiaTheme="minorEastAsia"/>
                <w:sz w:val="24"/>
                <w:lang w:val="en-US"/>
              </w:rPr>
            </w:pPr>
          </w:p>
          <w:p w14:paraId="0CFADC17">
            <w:pPr>
              <w:pStyle w:val="27"/>
              <w:spacing w:line="360" w:lineRule="auto"/>
              <w:ind w:right="86" w:firstLine="480" w:firstLineChars="200"/>
              <w:rPr>
                <w:rFonts w:ascii="Times New Roman" w:hAnsi="Times New Roman" w:cs="Times New Roman" w:eastAsiaTheme="minorEastAsia"/>
                <w:sz w:val="24"/>
                <w:lang w:val="en-US"/>
              </w:rPr>
            </w:pPr>
          </w:p>
          <w:p w14:paraId="7782DB31">
            <w:pPr>
              <w:pStyle w:val="27"/>
              <w:spacing w:line="360" w:lineRule="auto"/>
              <w:ind w:right="86" w:firstLine="480" w:firstLineChars="200"/>
              <w:rPr>
                <w:rFonts w:ascii="Times New Roman" w:hAnsi="Times New Roman" w:cs="Times New Roman" w:eastAsiaTheme="minorEastAsia"/>
                <w:sz w:val="24"/>
                <w:lang w:val="en-US"/>
              </w:rPr>
            </w:pPr>
          </w:p>
          <w:p w14:paraId="2B429024">
            <w:pPr>
              <w:pStyle w:val="27"/>
              <w:spacing w:line="360" w:lineRule="auto"/>
              <w:ind w:right="86" w:firstLine="480" w:firstLineChars="200"/>
              <w:rPr>
                <w:rFonts w:ascii="Times New Roman" w:hAnsi="Times New Roman" w:cs="Times New Roman" w:eastAsiaTheme="minorEastAsia"/>
                <w:sz w:val="24"/>
                <w:lang w:val="en-US"/>
              </w:rPr>
            </w:pPr>
          </w:p>
          <w:p w14:paraId="5B60419F">
            <w:pPr>
              <w:pStyle w:val="27"/>
              <w:spacing w:line="360" w:lineRule="auto"/>
              <w:ind w:right="86" w:firstLine="480" w:firstLineChars="200"/>
              <w:rPr>
                <w:rFonts w:ascii="Times New Roman" w:hAnsi="Times New Roman" w:cs="Times New Roman" w:eastAsiaTheme="minorEastAsia"/>
                <w:sz w:val="24"/>
                <w:lang w:val="en-US"/>
              </w:rPr>
            </w:pPr>
          </w:p>
          <w:p w14:paraId="7C61A160">
            <w:pPr>
              <w:pStyle w:val="27"/>
              <w:spacing w:line="360" w:lineRule="auto"/>
              <w:ind w:right="86" w:firstLine="480" w:firstLineChars="200"/>
              <w:rPr>
                <w:rFonts w:ascii="Times New Roman" w:hAnsi="Times New Roman" w:cs="Times New Roman" w:eastAsiaTheme="minorEastAsia"/>
                <w:sz w:val="24"/>
                <w:lang w:val="en-US"/>
              </w:rPr>
            </w:pPr>
          </w:p>
          <w:p w14:paraId="01915E73">
            <w:pPr>
              <w:pStyle w:val="27"/>
              <w:spacing w:line="360" w:lineRule="auto"/>
              <w:ind w:right="86" w:firstLine="480" w:firstLineChars="200"/>
              <w:rPr>
                <w:rFonts w:ascii="Times New Roman" w:hAnsi="Times New Roman" w:cs="Times New Roman" w:eastAsiaTheme="minorEastAsia"/>
                <w:sz w:val="24"/>
                <w:lang w:val="en-US"/>
              </w:rPr>
            </w:pPr>
          </w:p>
          <w:p w14:paraId="691697A6">
            <w:pPr>
              <w:pStyle w:val="27"/>
              <w:spacing w:line="360" w:lineRule="auto"/>
              <w:ind w:right="86" w:firstLine="480" w:firstLineChars="200"/>
              <w:rPr>
                <w:rFonts w:ascii="Times New Roman" w:hAnsi="Times New Roman" w:cs="Times New Roman" w:eastAsiaTheme="minorEastAsia"/>
                <w:sz w:val="24"/>
                <w:lang w:val="en-US"/>
              </w:rPr>
            </w:pPr>
          </w:p>
          <w:p w14:paraId="4CBCD425">
            <w:pPr>
              <w:pStyle w:val="27"/>
              <w:spacing w:line="360" w:lineRule="auto"/>
              <w:ind w:right="86" w:firstLine="480" w:firstLineChars="200"/>
              <w:rPr>
                <w:rFonts w:ascii="Times New Roman" w:hAnsi="Times New Roman" w:cs="Times New Roman" w:eastAsiaTheme="minorEastAsia"/>
                <w:sz w:val="24"/>
                <w:lang w:val="en-US"/>
              </w:rPr>
            </w:pPr>
          </w:p>
          <w:p w14:paraId="74F86585">
            <w:pPr>
              <w:pStyle w:val="27"/>
              <w:spacing w:line="360" w:lineRule="auto"/>
              <w:ind w:right="86" w:firstLine="480" w:firstLineChars="200"/>
              <w:rPr>
                <w:rFonts w:ascii="Times New Roman" w:hAnsi="Times New Roman" w:cs="Times New Roman" w:eastAsiaTheme="minorEastAsia"/>
                <w:sz w:val="24"/>
                <w:lang w:val="en-US"/>
              </w:rPr>
            </w:pPr>
          </w:p>
          <w:p w14:paraId="03B4E54B">
            <w:pPr>
              <w:pStyle w:val="27"/>
              <w:spacing w:line="360" w:lineRule="auto"/>
              <w:ind w:right="86" w:firstLine="480" w:firstLineChars="200"/>
              <w:rPr>
                <w:rFonts w:ascii="Times New Roman" w:hAnsi="Times New Roman" w:cs="Times New Roman" w:eastAsiaTheme="minorEastAsia"/>
                <w:sz w:val="24"/>
                <w:lang w:val="en-US"/>
              </w:rPr>
            </w:pPr>
          </w:p>
          <w:p w14:paraId="6C6E6AED">
            <w:pPr>
              <w:pStyle w:val="27"/>
              <w:spacing w:line="360" w:lineRule="auto"/>
              <w:ind w:right="86" w:firstLine="480" w:firstLineChars="200"/>
              <w:rPr>
                <w:rFonts w:ascii="Times New Roman" w:hAnsi="Times New Roman" w:cs="Times New Roman" w:eastAsiaTheme="minorEastAsia"/>
                <w:sz w:val="24"/>
                <w:lang w:val="en-US"/>
              </w:rPr>
            </w:pPr>
          </w:p>
          <w:p w14:paraId="79DDE7BE">
            <w:pPr>
              <w:pStyle w:val="27"/>
              <w:spacing w:line="360" w:lineRule="auto"/>
              <w:ind w:right="86" w:firstLine="480" w:firstLineChars="200"/>
              <w:rPr>
                <w:rFonts w:ascii="Times New Roman" w:hAnsi="Times New Roman" w:cs="Times New Roman" w:eastAsiaTheme="minorEastAsia"/>
                <w:sz w:val="24"/>
                <w:lang w:val="en-US"/>
              </w:rPr>
            </w:pPr>
          </w:p>
          <w:p w14:paraId="1D571532">
            <w:pPr>
              <w:pStyle w:val="27"/>
              <w:spacing w:line="360" w:lineRule="auto"/>
              <w:ind w:right="86" w:firstLine="480" w:firstLineChars="200"/>
              <w:rPr>
                <w:rFonts w:ascii="Times New Roman" w:hAnsi="Times New Roman" w:cs="Times New Roman" w:eastAsiaTheme="minorEastAsia"/>
                <w:sz w:val="24"/>
                <w:lang w:val="en-US"/>
              </w:rPr>
            </w:pPr>
          </w:p>
          <w:p w14:paraId="58A7A8D4">
            <w:pPr>
              <w:pStyle w:val="27"/>
              <w:spacing w:line="360" w:lineRule="auto"/>
              <w:ind w:right="86" w:firstLine="480" w:firstLineChars="200"/>
              <w:rPr>
                <w:rFonts w:ascii="Times New Roman" w:hAnsi="Times New Roman" w:cs="Times New Roman" w:eastAsiaTheme="minorEastAsia"/>
                <w:sz w:val="24"/>
                <w:lang w:val="en-US"/>
              </w:rPr>
            </w:pPr>
          </w:p>
          <w:p w14:paraId="21F4899F">
            <w:pPr>
              <w:pStyle w:val="27"/>
              <w:spacing w:line="360" w:lineRule="auto"/>
              <w:ind w:right="86"/>
              <w:rPr>
                <w:rFonts w:ascii="Times New Roman" w:hAnsi="Times New Roman" w:cs="Times New Roman" w:eastAsiaTheme="minorEastAsia"/>
                <w:sz w:val="24"/>
                <w:lang w:val="en-US"/>
              </w:rPr>
            </w:pPr>
          </w:p>
        </w:tc>
      </w:tr>
    </w:tbl>
    <w:p w14:paraId="08734ED1">
      <w:pPr>
        <w:rPr>
          <w:b/>
          <w:bCs/>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BD56C47">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cs="Times New Roman" w:eastAsiaTheme="minorEastAsia"/>
          <w:b/>
          <w:bCs/>
          <w:snapToGrid w:val="0"/>
          <w:color w:val="auto"/>
          <w:sz w:val="30"/>
          <w:szCs w:val="30"/>
        </w:rPr>
      </w:pPr>
      <w:bookmarkStart w:id="3" w:name="_Toc27645"/>
      <w:bookmarkStart w:id="4" w:name="_Toc1009"/>
      <w:r>
        <w:rPr>
          <w:rFonts w:ascii="Times New Roman" w:hAnsi="Times New Roman" w:cs="Times New Roman" w:eastAsiaTheme="minorEastAsia"/>
          <w:b/>
          <w:bCs/>
          <w:snapToGrid w:val="0"/>
          <w:color w:val="auto"/>
          <w:sz w:val="30"/>
          <w:szCs w:val="30"/>
        </w:rPr>
        <w:t>三、区域环境质量现状、环境保护目标及评价标准</w:t>
      </w:r>
      <w:bookmarkEnd w:id="3"/>
      <w:bookmarkEnd w:id="4"/>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31DC7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Borders>
              <w:tl2br w:val="nil"/>
              <w:tr2bl w:val="nil"/>
            </w:tcBorders>
            <w:noWrap/>
            <w:vAlign w:val="center"/>
          </w:tcPr>
          <w:p w14:paraId="27C08DF7">
            <w:pPr>
              <w:adjustRightInd w:val="0"/>
              <w:snapToGrid w:val="0"/>
              <w:jc w:val="center"/>
              <w:rPr>
                <w:rFonts w:eastAsiaTheme="minorEastAsia"/>
                <w:color w:val="auto"/>
                <w:kern w:val="0"/>
                <w:sz w:val="24"/>
              </w:rPr>
            </w:pPr>
            <w:r>
              <w:rPr>
                <w:rFonts w:eastAsiaTheme="minorEastAsia"/>
                <w:color w:val="auto"/>
                <w:kern w:val="0"/>
                <w:sz w:val="24"/>
              </w:rPr>
              <w:t>区域</w:t>
            </w:r>
          </w:p>
          <w:p w14:paraId="3642007E">
            <w:pPr>
              <w:adjustRightInd w:val="0"/>
              <w:snapToGrid w:val="0"/>
              <w:jc w:val="center"/>
              <w:rPr>
                <w:rFonts w:eastAsiaTheme="minorEastAsia"/>
                <w:color w:val="auto"/>
                <w:kern w:val="0"/>
                <w:sz w:val="24"/>
              </w:rPr>
            </w:pPr>
            <w:r>
              <w:rPr>
                <w:rFonts w:eastAsiaTheme="minorEastAsia"/>
                <w:color w:val="auto"/>
                <w:kern w:val="0"/>
                <w:sz w:val="24"/>
              </w:rPr>
              <w:t>环境</w:t>
            </w:r>
          </w:p>
          <w:p w14:paraId="525A18AA">
            <w:pPr>
              <w:adjustRightInd w:val="0"/>
              <w:snapToGrid w:val="0"/>
              <w:jc w:val="center"/>
              <w:rPr>
                <w:rFonts w:eastAsiaTheme="minorEastAsia"/>
                <w:color w:val="auto"/>
                <w:kern w:val="0"/>
                <w:sz w:val="24"/>
              </w:rPr>
            </w:pPr>
            <w:r>
              <w:rPr>
                <w:rFonts w:eastAsiaTheme="minorEastAsia"/>
                <w:color w:val="auto"/>
                <w:kern w:val="0"/>
                <w:sz w:val="24"/>
              </w:rPr>
              <w:t>质量</w:t>
            </w:r>
          </w:p>
          <w:p w14:paraId="18D7E47B">
            <w:pPr>
              <w:adjustRightInd w:val="0"/>
              <w:snapToGrid w:val="0"/>
              <w:jc w:val="center"/>
              <w:rPr>
                <w:rFonts w:eastAsiaTheme="minorEastAsia"/>
                <w:color w:val="auto"/>
                <w:kern w:val="0"/>
                <w:szCs w:val="21"/>
              </w:rPr>
            </w:pPr>
            <w:r>
              <w:rPr>
                <w:rFonts w:eastAsiaTheme="minorEastAsia"/>
                <w:color w:val="auto"/>
                <w:kern w:val="0"/>
                <w:sz w:val="24"/>
              </w:rPr>
              <w:t>现状</w:t>
            </w:r>
          </w:p>
        </w:tc>
        <w:tc>
          <w:tcPr>
            <w:tcW w:w="8190" w:type="dxa"/>
            <w:tcBorders>
              <w:tl2br w:val="nil"/>
              <w:tr2bl w:val="nil"/>
            </w:tcBorders>
            <w:noWrap/>
            <w:vAlign w:val="center"/>
          </w:tcPr>
          <w:p w14:paraId="30F00925">
            <w:pPr>
              <w:spacing w:line="360" w:lineRule="auto"/>
              <w:rPr>
                <w:rFonts w:eastAsiaTheme="minorEastAsia"/>
                <w:b/>
                <w:bCs/>
                <w:color w:val="auto"/>
                <w:sz w:val="24"/>
              </w:rPr>
            </w:pPr>
            <w:r>
              <w:rPr>
                <w:rFonts w:hint="eastAsia" w:eastAsiaTheme="minorEastAsia"/>
                <w:b/>
                <w:bCs/>
                <w:color w:val="auto"/>
                <w:sz w:val="24"/>
                <w:lang w:val="en-US" w:eastAsia="zh-CN"/>
              </w:rPr>
              <w:t>1.</w:t>
            </w:r>
            <w:r>
              <w:rPr>
                <w:rFonts w:eastAsiaTheme="minorEastAsia"/>
                <w:b/>
                <w:bCs/>
                <w:color w:val="auto"/>
                <w:sz w:val="24"/>
              </w:rPr>
              <w:t>环</w:t>
            </w:r>
            <w:bookmarkStart w:id="5" w:name="_Toc297732136"/>
            <w:bookmarkStart w:id="6" w:name="_Toc298482615"/>
            <w:r>
              <w:rPr>
                <w:rFonts w:eastAsiaTheme="minorEastAsia"/>
                <w:b/>
                <w:bCs/>
                <w:color w:val="auto"/>
                <w:sz w:val="24"/>
              </w:rPr>
              <w:t>境空</w:t>
            </w:r>
            <w:bookmarkEnd w:id="5"/>
            <w:bookmarkEnd w:id="6"/>
            <w:r>
              <w:rPr>
                <w:rFonts w:eastAsiaTheme="minorEastAsia"/>
                <w:b/>
                <w:bCs/>
                <w:color w:val="auto"/>
                <w:sz w:val="24"/>
              </w:rPr>
              <w:t>气质量现状</w:t>
            </w:r>
          </w:p>
          <w:p w14:paraId="724195C3">
            <w:pPr>
              <w:pStyle w:val="27"/>
              <w:spacing w:line="360" w:lineRule="auto"/>
              <w:ind w:right="86"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t>本项目位于</w:t>
            </w:r>
            <w:r>
              <w:rPr>
                <w:rFonts w:hint="eastAsia" w:eastAsiaTheme="minorEastAsia"/>
                <w:color w:val="auto"/>
                <w:kern w:val="0"/>
                <w:sz w:val="24"/>
              </w:rPr>
              <w:t>陕西省西咸新区沣西新城</w:t>
            </w:r>
            <w:r>
              <w:rPr>
                <w:rFonts w:hint="eastAsia" w:eastAsiaTheme="minorEastAsia"/>
                <w:color w:val="auto"/>
                <w:kern w:val="0"/>
                <w:sz w:val="24"/>
                <w:lang w:eastAsia="zh-CN"/>
              </w:rPr>
              <w:t>大王街办</w:t>
            </w:r>
            <w:r>
              <w:rPr>
                <w:rFonts w:hint="eastAsia" w:eastAsiaTheme="minorEastAsia"/>
                <w:color w:val="auto"/>
                <w:kern w:val="0"/>
                <w:sz w:val="24"/>
              </w:rPr>
              <w:t>大王西村西宝十字口南路西7号</w:t>
            </w:r>
            <w:r>
              <w:rPr>
                <w:rFonts w:hint="eastAsia" w:ascii="Times New Roman" w:hAnsi="Times New Roman" w:cs="Times New Roman" w:eastAsiaTheme="minorEastAsia"/>
                <w:color w:val="auto"/>
                <w:sz w:val="24"/>
                <w:lang w:val="en-US"/>
              </w:rPr>
              <w:t>，</w:t>
            </w:r>
            <w:r>
              <w:rPr>
                <w:rFonts w:ascii="Times New Roman" w:hAnsi="Times New Roman" w:cs="Times New Roman" w:eastAsiaTheme="minorEastAsia"/>
                <w:color w:val="auto"/>
                <w:sz w:val="24"/>
                <w:lang w:val="en-US"/>
              </w:rPr>
              <w:t>根据大气功能区划，本项目所在地为二类功能区，环境空气质量标准执行《环境空气质量标准》（GB3095-2012）二级标准要求。环境空气现状调查方法采用收集评价范围内近三年的相关资料</w:t>
            </w:r>
            <w:r>
              <w:rPr>
                <w:rFonts w:hint="eastAsia" w:ascii="Times New Roman" w:hAnsi="Times New Roman" w:cs="Times New Roman" w:eastAsiaTheme="minorEastAsia"/>
                <w:color w:val="auto"/>
                <w:sz w:val="24"/>
                <w:lang w:val="en-US"/>
              </w:rPr>
              <w:t>并补充监测</w:t>
            </w:r>
            <w:r>
              <w:rPr>
                <w:rFonts w:ascii="Times New Roman" w:hAnsi="Times New Roman" w:cs="Times New Roman" w:eastAsiaTheme="minorEastAsia"/>
                <w:color w:val="auto"/>
                <w:sz w:val="24"/>
                <w:lang w:val="en-US"/>
              </w:rPr>
              <w:t>的方法。</w:t>
            </w:r>
          </w:p>
          <w:p w14:paraId="36013C9F">
            <w:pPr>
              <w:pStyle w:val="27"/>
              <w:spacing w:line="360" w:lineRule="auto"/>
              <w:ind w:right="86"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t>按照《建设项目环境影响报告表编制技术指南（污染影响类）（试行）》规定，</w:t>
            </w:r>
            <w:r>
              <w:rPr>
                <w:rFonts w:hint="eastAsia" w:ascii="Times New Roman" w:hAnsi="Times New Roman" w:cs="Times New Roman" w:eastAsiaTheme="minorEastAsia"/>
                <w:color w:val="auto"/>
                <w:sz w:val="24"/>
                <w:lang w:val="en-US" w:eastAsia="zh-CN"/>
              </w:rPr>
              <w:t>“</w:t>
            </w:r>
            <w:r>
              <w:rPr>
                <w:rFonts w:ascii="Times New Roman" w:hAnsi="Times New Roman" w:cs="Times New Roman" w:eastAsiaTheme="minorEastAsia"/>
                <w:color w:val="auto"/>
                <w:sz w:val="24"/>
                <w:lang w:val="en-US"/>
              </w:rPr>
              <w:t>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km范围内近3年的现有监测数据</w:t>
            </w:r>
            <w:r>
              <w:rPr>
                <w:rFonts w:hint="eastAsia" w:ascii="Times New Roman" w:hAnsi="Times New Roman" w:cs="Times New Roman" w:eastAsiaTheme="minorEastAsia"/>
                <w:color w:val="auto"/>
                <w:sz w:val="24"/>
                <w:lang w:val="en-US" w:eastAsia="zh-CN"/>
              </w:rPr>
              <w:t>”</w:t>
            </w:r>
            <w:r>
              <w:rPr>
                <w:rFonts w:ascii="Times New Roman" w:hAnsi="Times New Roman" w:cs="Times New Roman" w:eastAsiaTheme="minorEastAsia"/>
                <w:color w:val="auto"/>
                <w:sz w:val="24"/>
                <w:lang w:val="en-US"/>
              </w:rPr>
              <w:t>。</w:t>
            </w:r>
          </w:p>
          <w:p w14:paraId="3747F42B">
            <w:pPr>
              <w:numPr>
                <w:ilvl w:val="0"/>
                <w:numId w:val="3"/>
              </w:numPr>
              <w:spacing w:line="360" w:lineRule="auto"/>
              <w:ind w:firstLine="480" w:firstLineChars="200"/>
              <w:rPr>
                <w:rFonts w:eastAsiaTheme="minorEastAsia"/>
                <w:color w:val="auto"/>
                <w:sz w:val="24"/>
              </w:rPr>
            </w:pPr>
            <w:r>
              <w:rPr>
                <w:rFonts w:eastAsiaTheme="minorEastAsia"/>
                <w:color w:val="auto"/>
                <w:sz w:val="24"/>
              </w:rPr>
              <w:t>环境空气质量现状</w:t>
            </w:r>
          </w:p>
          <w:p w14:paraId="000C86D9">
            <w:pPr>
              <w:spacing w:line="360" w:lineRule="auto"/>
              <w:ind w:firstLine="480" w:firstLineChars="200"/>
              <w:rPr>
                <w:rFonts w:eastAsiaTheme="minorEastAsia"/>
                <w:color w:val="auto"/>
                <w:sz w:val="24"/>
              </w:rPr>
            </w:pPr>
            <w:r>
              <w:rPr>
                <w:rFonts w:eastAsiaTheme="minorEastAsia"/>
                <w:color w:val="auto"/>
                <w:sz w:val="24"/>
              </w:rPr>
              <w:t>本次评价常规污染物环境质量现状引用陕西省生态环境厅办公室于202</w:t>
            </w:r>
            <w:r>
              <w:rPr>
                <w:rFonts w:hint="eastAsia" w:eastAsiaTheme="minorEastAsia"/>
                <w:color w:val="auto"/>
                <w:sz w:val="24"/>
                <w:lang w:val="en-US" w:eastAsia="zh-CN"/>
              </w:rPr>
              <w:t>4</w:t>
            </w:r>
            <w:r>
              <w:rPr>
                <w:rFonts w:eastAsiaTheme="minorEastAsia"/>
                <w:color w:val="auto"/>
                <w:sz w:val="24"/>
              </w:rPr>
              <w:t>年1月1</w:t>
            </w:r>
            <w:r>
              <w:rPr>
                <w:rFonts w:hint="eastAsia" w:eastAsiaTheme="minorEastAsia"/>
                <w:color w:val="auto"/>
                <w:sz w:val="24"/>
                <w:lang w:val="en-US" w:eastAsia="zh-CN"/>
              </w:rPr>
              <w:t>9</w:t>
            </w:r>
            <w:r>
              <w:rPr>
                <w:rFonts w:eastAsiaTheme="minorEastAsia"/>
                <w:color w:val="auto"/>
                <w:sz w:val="24"/>
              </w:rPr>
              <w:t>日发布的《20</w:t>
            </w:r>
            <w:r>
              <w:rPr>
                <w:rFonts w:hint="eastAsia" w:eastAsiaTheme="minorEastAsia"/>
                <w:color w:val="auto"/>
                <w:sz w:val="24"/>
                <w:lang w:val="en-US" w:eastAsia="zh-CN"/>
              </w:rPr>
              <w:t>23</w:t>
            </w:r>
            <w:r>
              <w:rPr>
                <w:rFonts w:eastAsiaTheme="minorEastAsia"/>
                <w:color w:val="auto"/>
                <w:sz w:val="24"/>
              </w:rPr>
              <w:t>年12月及1~12月全省环境空气质量状况》中西安市西咸新区20</w:t>
            </w:r>
            <w:r>
              <w:rPr>
                <w:rFonts w:hint="eastAsia" w:eastAsiaTheme="minorEastAsia"/>
                <w:color w:val="auto"/>
                <w:sz w:val="24"/>
                <w:lang w:val="en-US" w:eastAsia="zh-CN"/>
              </w:rPr>
              <w:t>23</w:t>
            </w:r>
            <w:r>
              <w:rPr>
                <w:rFonts w:eastAsiaTheme="minorEastAsia"/>
                <w:color w:val="auto"/>
                <w:sz w:val="24"/>
              </w:rPr>
              <w:t>年1~12月的数据及结论。20</w:t>
            </w:r>
            <w:r>
              <w:rPr>
                <w:rFonts w:hint="eastAsia" w:eastAsiaTheme="minorEastAsia"/>
                <w:color w:val="auto"/>
                <w:sz w:val="24"/>
                <w:lang w:val="en-US" w:eastAsia="zh-CN"/>
              </w:rPr>
              <w:t>23</w:t>
            </w:r>
            <w:r>
              <w:rPr>
                <w:rFonts w:eastAsiaTheme="minorEastAsia"/>
                <w:color w:val="auto"/>
                <w:sz w:val="24"/>
              </w:rPr>
              <w:t>年西安市西咸新区空气质量状况统计表3-1。</w:t>
            </w:r>
          </w:p>
          <w:p w14:paraId="319168FA">
            <w:pPr>
              <w:jc w:val="center"/>
              <w:rPr>
                <w:rFonts w:eastAsiaTheme="minorEastAsia"/>
                <w:b/>
                <w:bCs/>
                <w:color w:val="auto"/>
                <w:szCs w:val="21"/>
              </w:rPr>
            </w:pPr>
            <w:r>
              <w:rPr>
                <w:rFonts w:eastAsiaTheme="minorEastAsia"/>
                <w:b/>
                <w:bCs/>
                <w:color w:val="auto"/>
                <w:szCs w:val="21"/>
              </w:rPr>
              <w:t>表3-1  202</w:t>
            </w:r>
            <w:r>
              <w:rPr>
                <w:rFonts w:hint="eastAsia" w:eastAsiaTheme="minorEastAsia"/>
                <w:b/>
                <w:bCs/>
                <w:color w:val="auto"/>
                <w:szCs w:val="21"/>
                <w:lang w:val="en-US" w:eastAsia="zh-CN"/>
              </w:rPr>
              <w:t>3</w:t>
            </w:r>
            <w:r>
              <w:rPr>
                <w:rFonts w:eastAsiaTheme="minorEastAsia"/>
                <w:b/>
                <w:bCs/>
                <w:color w:val="auto"/>
                <w:szCs w:val="21"/>
              </w:rPr>
              <w:t>年1~12月西安市西咸新区环境空气质量监测结果统计表</w:t>
            </w:r>
          </w:p>
          <w:tbl>
            <w:tblPr>
              <w:tblStyle w:val="20"/>
              <w:tblW w:w="794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15"/>
              <w:gridCol w:w="1872"/>
              <w:gridCol w:w="1508"/>
              <w:gridCol w:w="1087"/>
              <w:gridCol w:w="938"/>
              <w:gridCol w:w="1012"/>
            </w:tblGrid>
            <w:tr w14:paraId="79B15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restart"/>
                  <w:tcBorders>
                    <w:tl2br w:val="nil"/>
                    <w:tr2bl w:val="nil"/>
                  </w:tcBorders>
                  <w:noWrap/>
                  <w:vAlign w:val="center"/>
                </w:tcPr>
                <w:p w14:paraId="1DAA8DFC">
                  <w:pPr>
                    <w:tabs>
                      <w:tab w:val="left" w:pos="2601"/>
                    </w:tabs>
                    <w:spacing w:line="320" w:lineRule="exact"/>
                    <w:jc w:val="center"/>
                    <w:rPr>
                      <w:rFonts w:eastAsiaTheme="minorEastAsia"/>
                      <w:b/>
                      <w:bCs/>
                      <w:color w:val="auto"/>
                      <w:szCs w:val="21"/>
                      <w:lang w:val="zh-CN"/>
                    </w:rPr>
                  </w:pPr>
                  <w:r>
                    <w:rPr>
                      <w:rFonts w:eastAsiaTheme="minorEastAsia"/>
                      <w:b/>
                      <w:bCs/>
                      <w:color w:val="auto"/>
                      <w:szCs w:val="21"/>
                      <w:lang w:val="zh-CN"/>
                    </w:rPr>
                    <w:t>县区</w:t>
                  </w:r>
                </w:p>
              </w:tc>
              <w:tc>
                <w:tcPr>
                  <w:tcW w:w="815" w:type="dxa"/>
                  <w:vMerge w:val="restart"/>
                  <w:tcBorders>
                    <w:tl2br w:val="nil"/>
                    <w:tr2bl w:val="nil"/>
                  </w:tcBorders>
                  <w:noWrap/>
                  <w:vAlign w:val="center"/>
                </w:tcPr>
                <w:p w14:paraId="21BF07D0">
                  <w:pPr>
                    <w:tabs>
                      <w:tab w:val="left" w:pos="2601"/>
                    </w:tabs>
                    <w:spacing w:line="320" w:lineRule="exact"/>
                    <w:jc w:val="center"/>
                    <w:rPr>
                      <w:rFonts w:eastAsiaTheme="minorEastAsia"/>
                      <w:b/>
                      <w:bCs/>
                      <w:color w:val="auto"/>
                      <w:szCs w:val="21"/>
                      <w:lang w:val="zh-CN"/>
                    </w:rPr>
                  </w:pPr>
                  <w:r>
                    <w:rPr>
                      <w:rFonts w:eastAsiaTheme="minorEastAsia"/>
                      <w:b/>
                      <w:bCs/>
                      <w:color w:val="auto"/>
                      <w:szCs w:val="21"/>
                      <w:lang w:val="zh-CN"/>
                    </w:rPr>
                    <w:t>项目</w:t>
                  </w:r>
                </w:p>
              </w:tc>
              <w:tc>
                <w:tcPr>
                  <w:tcW w:w="1872" w:type="dxa"/>
                  <w:vMerge w:val="restart"/>
                  <w:tcBorders>
                    <w:tl2br w:val="nil"/>
                    <w:tr2bl w:val="nil"/>
                  </w:tcBorders>
                  <w:noWrap/>
                  <w:vAlign w:val="center"/>
                </w:tcPr>
                <w:p w14:paraId="3D56B490">
                  <w:pPr>
                    <w:tabs>
                      <w:tab w:val="left" w:pos="2601"/>
                    </w:tabs>
                    <w:spacing w:line="320" w:lineRule="exact"/>
                    <w:jc w:val="center"/>
                    <w:rPr>
                      <w:rFonts w:eastAsiaTheme="minorEastAsia"/>
                      <w:b/>
                      <w:bCs/>
                      <w:color w:val="auto"/>
                      <w:szCs w:val="21"/>
                      <w:lang w:val="zh-CN"/>
                    </w:rPr>
                  </w:pPr>
                  <w:r>
                    <w:rPr>
                      <w:rFonts w:eastAsiaTheme="minorEastAsia"/>
                      <w:b/>
                      <w:bCs/>
                      <w:color w:val="auto"/>
                      <w:szCs w:val="21"/>
                      <w:lang w:val="zh-CN"/>
                    </w:rPr>
                    <w:t>浓度（均值）</w:t>
                  </w:r>
                </w:p>
              </w:tc>
              <w:tc>
                <w:tcPr>
                  <w:tcW w:w="1508" w:type="dxa"/>
                  <w:vMerge w:val="restart"/>
                  <w:tcBorders>
                    <w:tl2br w:val="nil"/>
                    <w:tr2bl w:val="nil"/>
                  </w:tcBorders>
                  <w:noWrap/>
                  <w:vAlign w:val="center"/>
                </w:tcPr>
                <w:p w14:paraId="473F60FB">
                  <w:pPr>
                    <w:tabs>
                      <w:tab w:val="left" w:pos="2601"/>
                    </w:tabs>
                    <w:spacing w:line="320" w:lineRule="exact"/>
                    <w:jc w:val="center"/>
                    <w:rPr>
                      <w:rFonts w:eastAsiaTheme="minorEastAsia"/>
                      <w:b/>
                      <w:bCs/>
                      <w:color w:val="auto"/>
                      <w:szCs w:val="21"/>
                    </w:rPr>
                  </w:pPr>
                  <w:r>
                    <w:rPr>
                      <w:rFonts w:eastAsiaTheme="minorEastAsia"/>
                      <w:b/>
                      <w:bCs/>
                      <w:color w:val="auto"/>
                      <w:szCs w:val="21"/>
                    </w:rPr>
                    <w:t>平均时间</w:t>
                  </w:r>
                </w:p>
              </w:tc>
              <w:tc>
                <w:tcPr>
                  <w:tcW w:w="1087" w:type="dxa"/>
                  <w:tcBorders>
                    <w:tl2br w:val="nil"/>
                    <w:tr2bl w:val="nil"/>
                  </w:tcBorders>
                  <w:noWrap/>
                  <w:vAlign w:val="center"/>
                </w:tcPr>
                <w:p w14:paraId="5D426806">
                  <w:pPr>
                    <w:tabs>
                      <w:tab w:val="left" w:pos="2601"/>
                    </w:tabs>
                    <w:spacing w:line="320" w:lineRule="exact"/>
                    <w:jc w:val="center"/>
                    <w:rPr>
                      <w:rFonts w:eastAsiaTheme="minorEastAsia"/>
                      <w:b/>
                      <w:bCs/>
                      <w:color w:val="auto"/>
                      <w:szCs w:val="21"/>
                      <w:lang w:val="zh-CN"/>
                    </w:rPr>
                  </w:pPr>
                  <w:r>
                    <w:rPr>
                      <w:rFonts w:eastAsiaTheme="minorEastAsia"/>
                      <w:b/>
                      <w:bCs/>
                      <w:color w:val="auto"/>
                      <w:szCs w:val="21"/>
                      <w:lang w:val="zh-CN"/>
                    </w:rPr>
                    <w:t>标准限值</w:t>
                  </w:r>
                </w:p>
              </w:tc>
              <w:tc>
                <w:tcPr>
                  <w:tcW w:w="938" w:type="dxa"/>
                  <w:vMerge w:val="restart"/>
                  <w:tcBorders>
                    <w:tl2br w:val="nil"/>
                    <w:tr2bl w:val="nil"/>
                  </w:tcBorders>
                  <w:noWrap/>
                  <w:vAlign w:val="center"/>
                </w:tcPr>
                <w:p w14:paraId="6C24A6B6">
                  <w:pPr>
                    <w:tabs>
                      <w:tab w:val="left" w:pos="2601"/>
                    </w:tabs>
                    <w:spacing w:line="320" w:lineRule="exact"/>
                    <w:jc w:val="center"/>
                    <w:rPr>
                      <w:rFonts w:eastAsiaTheme="minorEastAsia"/>
                      <w:b/>
                      <w:bCs/>
                      <w:color w:val="auto"/>
                      <w:szCs w:val="21"/>
                      <w:lang w:val="zh-CN"/>
                    </w:rPr>
                  </w:pPr>
                  <w:r>
                    <w:rPr>
                      <w:rFonts w:eastAsiaTheme="minorEastAsia"/>
                      <w:b/>
                      <w:bCs/>
                      <w:color w:val="auto"/>
                      <w:szCs w:val="21"/>
                      <w:lang w:val="zh-CN"/>
                    </w:rPr>
                    <w:t>达标</w:t>
                  </w:r>
                </w:p>
                <w:p w14:paraId="7E9A3D10">
                  <w:pPr>
                    <w:tabs>
                      <w:tab w:val="left" w:pos="2601"/>
                    </w:tabs>
                    <w:spacing w:line="320" w:lineRule="exact"/>
                    <w:jc w:val="center"/>
                    <w:rPr>
                      <w:rFonts w:eastAsiaTheme="minorEastAsia"/>
                      <w:b/>
                      <w:bCs/>
                      <w:color w:val="auto"/>
                      <w:szCs w:val="21"/>
                      <w:lang w:val="zh-CN"/>
                    </w:rPr>
                  </w:pPr>
                  <w:r>
                    <w:rPr>
                      <w:rFonts w:eastAsiaTheme="minorEastAsia"/>
                      <w:b/>
                      <w:bCs/>
                      <w:color w:val="auto"/>
                      <w:szCs w:val="21"/>
                      <w:lang w:val="zh-CN"/>
                    </w:rPr>
                    <w:t>情况</w:t>
                  </w:r>
                </w:p>
              </w:tc>
              <w:tc>
                <w:tcPr>
                  <w:tcW w:w="1012" w:type="dxa"/>
                  <w:vMerge w:val="restart"/>
                  <w:tcBorders>
                    <w:tl2br w:val="nil"/>
                    <w:tr2bl w:val="nil"/>
                  </w:tcBorders>
                  <w:noWrap/>
                  <w:vAlign w:val="center"/>
                </w:tcPr>
                <w:p w14:paraId="1E1D57D9">
                  <w:pPr>
                    <w:tabs>
                      <w:tab w:val="left" w:pos="2601"/>
                    </w:tabs>
                    <w:spacing w:line="320" w:lineRule="exact"/>
                    <w:jc w:val="center"/>
                    <w:rPr>
                      <w:rFonts w:eastAsiaTheme="minorEastAsia"/>
                      <w:b/>
                      <w:bCs/>
                      <w:color w:val="auto"/>
                      <w:szCs w:val="21"/>
                      <w:lang w:val="zh-CN"/>
                    </w:rPr>
                  </w:pPr>
                  <w:r>
                    <w:rPr>
                      <w:rFonts w:eastAsiaTheme="minorEastAsia"/>
                      <w:b/>
                      <w:bCs/>
                      <w:color w:val="auto"/>
                      <w:szCs w:val="21"/>
                      <w:lang w:val="zh-CN"/>
                    </w:rPr>
                    <w:t>占标率（</w:t>
                  </w:r>
                  <w:r>
                    <w:rPr>
                      <w:rFonts w:eastAsiaTheme="minorEastAsia"/>
                      <w:b/>
                      <w:bCs/>
                      <w:color w:val="auto"/>
                      <w:szCs w:val="21"/>
                    </w:rPr>
                    <w:t>%</w:t>
                  </w:r>
                  <w:r>
                    <w:rPr>
                      <w:rFonts w:eastAsiaTheme="minorEastAsia"/>
                      <w:b/>
                      <w:bCs/>
                      <w:color w:val="auto"/>
                      <w:szCs w:val="21"/>
                      <w:lang w:val="zh-CN"/>
                    </w:rPr>
                    <w:t>）</w:t>
                  </w:r>
                </w:p>
              </w:tc>
            </w:tr>
            <w:tr w14:paraId="75242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tcBorders>
                    <w:tl2br w:val="nil"/>
                    <w:tr2bl w:val="nil"/>
                  </w:tcBorders>
                  <w:noWrap/>
                  <w:vAlign w:val="center"/>
                </w:tcPr>
                <w:p w14:paraId="69913FF5">
                  <w:pPr>
                    <w:tabs>
                      <w:tab w:val="left" w:pos="2601"/>
                    </w:tabs>
                    <w:spacing w:line="320" w:lineRule="exact"/>
                    <w:jc w:val="center"/>
                    <w:rPr>
                      <w:rFonts w:eastAsiaTheme="minorEastAsia"/>
                      <w:color w:val="auto"/>
                      <w:szCs w:val="21"/>
                      <w:lang w:val="zh-CN"/>
                    </w:rPr>
                  </w:pPr>
                </w:p>
              </w:tc>
              <w:tc>
                <w:tcPr>
                  <w:tcW w:w="815" w:type="dxa"/>
                  <w:vMerge w:val="continue"/>
                  <w:tcBorders>
                    <w:tl2br w:val="nil"/>
                    <w:tr2bl w:val="nil"/>
                  </w:tcBorders>
                  <w:noWrap/>
                  <w:vAlign w:val="center"/>
                </w:tcPr>
                <w:p w14:paraId="57B85EC1">
                  <w:pPr>
                    <w:tabs>
                      <w:tab w:val="left" w:pos="2601"/>
                    </w:tabs>
                    <w:spacing w:line="320" w:lineRule="exact"/>
                    <w:jc w:val="center"/>
                    <w:rPr>
                      <w:rFonts w:eastAsiaTheme="minorEastAsia"/>
                      <w:color w:val="auto"/>
                      <w:szCs w:val="21"/>
                      <w:lang w:val="zh-CN"/>
                    </w:rPr>
                  </w:pPr>
                </w:p>
              </w:tc>
              <w:tc>
                <w:tcPr>
                  <w:tcW w:w="1872" w:type="dxa"/>
                  <w:vMerge w:val="continue"/>
                  <w:tcBorders>
                    <w:tl2br w:val="nil"/>
                    <w:tr2bl w:val="nil"/>
                  </w:tcBorders>
                  <w:noWrap/>
                  <w:vAlign w:val="center"/>
                </w:tcPr>
                <w:p w14:paraId="49639214">
                  <w:pPr>
                    <w:tabs>
                      <w:tab w:val="left" w:pos="2601"/>
                    </w:tabs>
                    <w:spacing w:line="320" w:lineRule="exact"/>
                    <w:jc w:val="center"/>
                    <w:rPr>
                      <w:rFonts w:eastAsiaTheme="minorEastAsia"/>
                      <w:color w:val="auto"/>
                      <w:szCs w:val="21"/>
                      <w:lang w:val="zh-CN"/>
                    </w:rPr>
                  </w:pPr>
                </w:p>
              </w:tc>
              <w:tc>
                <w:tcPr>
                  <w:tcW w:w="1508" w:type="dxa"/>
                  <w:vMerge w:val="continue"/>
                  <w:tcBorders>
                    <w:tl2br w:val="nil"/>
                    <w:tr2bl w:val="nil"/>
                  </w:tcBorders>
                  <w:noWrap/>
                  <w:vAlign w:val="center"/>
                </w:tcPr>
                <w:p w14:paraId="51036656">
                  <w:pPr>
                    <w:tabs>
                      <w:tab w:val="left" w:pos="2601"/>
                    </w:tabs>
                    <w:spacing w:line="320" w:lineRule="exact"/>
                    <w:jc w:val="center"/>
                    <w:rPr>
                      <w:rFonts w:eastAsiaTheme="minorEastAsia"/>
                      <w:color w:val="auto"/>
                      <w:szCs w:val="21"/>
                      <w:lang w:val="zh-CN"/>
                    </w:rPr>
                  </w:pPr>
                </w:p>
              </w:tc>
              <w:tc>
                <w:tcPr>
                  <w:tcW w:w="1087" w:type="dxa"/>
                  <w:tcBorders>
                    <w:tl2br w:val="nil"/>
                    <w:tr2bl w:val="nil"/>
                  </w:tcBorders>
                  <w:noWrap/>
                  <w:vAlign w:val="center"/>
                </w:tcPr>
                <w:p w14:paraId="3CBC7C78">
                  <w:pPr>
                    <w:tabs>
                      <w:tab w:val="left" w:pos="2601"/>
                    </w:tabs>
                    <w:spacing w:line="320" w:lineRule="exact"/>
                    <w:jc w:val="center"/>
                    <w:rPr>
                      <w:rFonts w:eastAsiaTheme="minorEastAsia"/>
                      <w:color w:val="auto"/>
                      <w:szCs w:val="21"/>
                      <w:lang w:val="zh-CN"/>
                    </w:rPr>
                  </w:pPr>
                  <w:r>
                    <w:rPr>
                      <w:rFonts w:eastAsiaTheme="minorEastAsia"/>
                      <w:b/>
                      <w:bCs/>
                      <w:color w:val="auto"/>
                      <w:szCs w:val="21"/>
                      <w:lang w:val="zh-CN"/>
                    </w:rPr>
                    <w:t>二级</w:t>
                  </w:r>
                </w:p>
              </w:tc>
              <w:tc>
                <w:tcPr>
                  <w:tcW w:w="938" w:type="dxa"/>
                  <w:vMerge w:val="continue"/>
                  <w:tcBorders>
                    <w:tl2br w:val="nil"/>
                    <w:tr2bl w:val="nil"/>
                  </w:tcBorders>
                  <w:noWrap/>
                  <w:vAlign w:val="center"/>
                </w:tcPr>
                <w:p w14:paraId="4709AA2A">
                  <w:pPr>
                    <w:tabs>
                      <w:tab w:val="left" w:pos="2601"/>
                    </w:tabs>
                    <w:spacing w:line="320" w:lineRule="exact"/>
                    <w:jc w:val="center"/>
                    <w:rPr>
                      <w:rFonts w:eastAsiaTheme="minorEastAsia"/>
                      <w:color w:val="auto"/>
                      <w:szCs w:val="21"/>
                      <w:lang w:val="zh-CN"/>
                    </w:rPr>
                  </w:pPr>
                </w:p>
              </w:tc>
              <w:tc>
                <w:tcPr>
                  <w:tcW w:w="1012" w:type="dxa"/>
                  <w:vMerge w:val="continue"/>
                  <w:tcBorders>
                    <w:tl2br w:val="nil"/>
                    <w:tr2bl w:val="nil"/>
                  </w:tcBorders>
                  <w:noWrap/>
                  <w:vAlign w:val="center"/>
                </w:tcPr>
                <w:p w14:paraId="3748AC23">
                  <w:pPr>
                    <w:tabs>
                      <w:tab w:val="left" w:pos="2601"/>
                    </w:tabs>
                    <w:spacing w:line="320" w:lineRule="exact"/>
                    <w:jc w:val="center"/>
                    <w:rPr>
                      <w:rFonts w:eastAsiaTheme="minorEastAsia"/>
                      <w:color w:val="auto"/>
                      <w:szCs w:val="21"/>
                      <w:lang w:val="zh-CN"/>
                    </w:rPr>
                  </w:pPr>
                </w:p>
              </w:tc>
            </w:tr>
            <w:tr w14:paraId="163F3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restart"/>
                  <w:tcBorders>
                    <w:tl2br w:val="nil"/>
                    <w:tr2bl w:val="nil"/>
                  </w:tcBorders>
                  <w:noWrap/>
                  <w:vAlign w:val="center"/>
                </w:tcPr>
                <w:p w14:paraId="25B855AE">
                  <w:pPr>
                    <w:tabs>
                      <w:tab w:val="left" w:pos="2601"/>
                    </w:tabs>
                    <w:spacing w:line="320" w:lineRule="exact"/>
                    <w:jc w:val="center"/>
                    <w:rPr>
                      <w:rFonts w:eastAsiaTheme="minorEastAsia"/>
                      <w:color w:val="auto"/>
                      <w:szCs w:val="21"/>
                    </w:rPr>
                  </w:pPr>
                  <w:r>
                    <w:rPr>
                      <w:rFonts w:eastAsiaTheme="minorEastAsia"/>
                      <w:color w:val="auto"/>
                      <w:szCs w:val="21"/>
                    </w:rPr>
                    <w:t>西安市西咸新</w:t>
                  </w:r>
                </w:p>
                <w:p w14:paraId="2E26C085">
                  <w:pPr>
                    <w:tabs>
                      <w:tab w:val="left" w:pos="2601"/>
                    </w:tabs>
                    <w:spacing w:line="320" w:lineRule="exact"/>
                    <w:jc w:val="center"/>
                    <w:rPr>
                      <w:rFonts w:eastAsiaTheme="minorEastAsia"/>
                      <w:color w:val="auto"/>
                      <w:szCs w:val="21"/>
                      <w:lang w:val="zh-CN"/>
                    </w:rPr>
                  </w:pPr>
                  <w:r>
                    <w:rPr>
                      <w:rFonts w:eastAsiaTheme="minorEastAsia"/>
                      <w:color w:val="auto"/>
                      <w:szCs w:val="21"/>
                    </w:rPr>
                    <w:t>区</w:t>
                  </w:r>
                </w:p>
              </w:tc>
              <w:tc>
                <w:tcPr>
                  <w:tcW w:w="815" w:type="dxa"/>
                  <w:tcBorders>
                    <w:tl2br w:val="nil"/>
                    <w:tr2bl w:val="nil"/>
                  </w:tcBorders>
                  <w:noWrap/>
                  <w:vAlign w:val="center"/>
                </w:tcPr>
                <w:p w14:paraId="7F434374">
                  <w:pPr>
                    <w:tabs>
                      <w:tab w:val="left" w:pos="2601"/>
                    </w:tabs>
                    <w:spacing w:line="320" w:lineRule="exact"/>
                    <w:jc w:val="center"/>
                    <w:rPr>
                      <w:rFonts w:eastAsiaTheme="minorEastAsia"/>
                      <w:color w:val="auto"/>
                      <w:szCs w:val="21"/>
                    </w:rPr>
                  </w:pPr>
                  <w:r>
                    <w:rPr>
                      <w:rFonts w:eastAsiaTheme="minorEastAsia"/>
                      <w:color w:val="auto"/>
                      <w:szCs w:val="21"/>
                    </w:rPr>
                    <w:t>PM</w:t>
                  </w:r>
                  <w:r>
                    <w:rPr>
                      <w:rFonts w:eastAsiaTheme="minorEastAsia"/>
                      <w:color w:val="auto"/>
                      <w:szCs w:val="21"/>
                      <w:vertAlign w:val="subscript"/>
                    </w:rPr>
                    <w:t>10</w:t>
                  </w:r>
                </w:p>
              </w:tc>
              <w:tc>
                <w:tcPr>
                  <w:tcW w:w="1872" w:type="dxa"/>
                  <w:tcBorders>
                    <w:tl2br w:val="nil"/>
                    <w:tr2bl w:val="nil"/>
                  </w:tcBorders>
                  <w:noWrap/>
                  <w:vAlign w:val="center"/>
                </w:tcPr>
                <w:p w14:paraId="5C0F1CC4">
                  <w:pPr>
                    <w:tabs>
                      <w:tab w:val="left" w:pos="2601"/>
                    </w:tabs>
                    <w:spacing w:line="320" w:lineRule="exact"/>
                    <w:jc w:val="center"/>
                    <w:rPr>
                      <w:rFonts w:eastAsiaTheme="minorEastAsia"/>
                      <w:color w:val="auto"/>
                      <w:szCs w:val="21"/>
                    </w:rPr>
                  </w:pPr>
                  <w:r>
                    <w:rPr>
                      <w:rFonts w:hint="eastAsia" w:eastAsiaTheme="minorEastAsia"/>
                      <w:color w:val="auto"/>
                      <w:szCs w:val="21"/>
                      <w:lang w:val="en-US" w:eastAsia="zh-CN"/>
                    </w:rPr>
                    <w:t>82</w:t>
                  </w:r>
                  <w:r>
                    <w:rPr>
                      <w:rFonts w:eastAsiaTheme="minorEastAsia"/>
                      <w:color w:val="auto"/>
                      <w:szCs w:val="21"/>
                      <w:lang w:val="zh-CN"/>
                    </w:rPr>
                    <w:t>µg/m</w:t>
                  </w:r>
                  <w:r>
                    <w:rPr>
                      <w:rFonts w:eastAsiaTheme="minorEastAsia"/>
                      <w:color w:val="auto"/>
                      <w:szCs w:val="21"/>
                      <w:vertAlign w:val="superscript"/>
                    </w:rPr>
                    <w:t>3</w:t>
                  </w:r>
                </w:p>
              </w:tc>
              <w:tc>
                <w:tcPr>
                  <w:tcW w:w="1508" w:type="dxa"/>
                  <w:tcBorders>
                    <w:tl2br w:val="nil"/>
                    <w:tr2bl w:val="nil"/>
                  </w:tcBorders>
                  <w:noWrap/>
                  <w:vAlign w:val="center"/>
                </w:tcPr>
                <w:p w14:paraId="775EE8C6">
                  <w:pPr>
                    <w:tabs>
                      <w:tab w:val="left" w:pos="2601"/>
                    </w:tabs>
                    <w:spacing w:line="320" w:lineRule="exact"/>
                    <w:jc w:val="center"/>
                    <w:rPr>
                      <w:rFonts w:eastAsiaTheme="minorEastAsia"/>
                      <w:color w:val="auto"/>
                      <w:szCs w:val="21"/>
                    </w:rPr>
                  </w:pPr>
                  <w:r>
                    <w:rPr>
                      <w:rFonts w:eastAsiaTheme="minorEastAsia"/>
                      <w:color w:val="auto"/>
                      <w:szCs w:val="21"/>
                    </w:rPr>
                    <w:t>年均值</w:t>
                  </w:r>
                </w:p>
              </w:tc>
              <w:tc>
                <w:tcPr>
                  <w:tcW w:w="1087" w:type="dxa"/>
                  <w:tcBorders>
                    <w:tl2br w:val="nil"/>
                    <w:tr2bl w:val="nil"/>
                  </w:tcBorders>
                  <w:noWrap/>
                  <w:vAlign w:val="center"/>
                </w:tcPr>
                <w:p w14:paraId="21A73EF5">
                  <w:pPr>
                    <w:tabs>
                      <w:tab w:val="left" w:pos="2601"/>
                    </w:tabs>
                    <w:spacing w:line="320" w:lineRule="exact"/>
                    <w:jc w:val="center"/>
                    <w:rPr>
                      <w:rFonts w:eastAsiaTheme="minorEastAsia"/>
                      <w:color w:val="auto"/>
                      <w:szCs w:val="21"/>
                    </w:rPr>
                  </w:pPr>
                  <w:r>
                    <w:rPr>
                      <w:rFonts w:eastAsiaTheme="minorEastAsia"/>
                      <w:color w:val="auto"/>
                      <w:szCs w:val="21"/>
                    </w:rPr>
                    <w:t>70</w:t>
                  </w:r>
                  <w:r>
                    <w:rPr>
                      <w:rFonts w:eastAsiaTheme="minorEastAsia"/>
                      <w:color w:val="auto"/>
                      <w:szCs w:val="21"/>
                      <w:lang w:val="zh-CN"/>
                    </w:rPr>
                    <w:t>µg/m</w:t>
                  </w:r>
                  <w:r>
                    <w:rPr>
                      <w:rFonts w:eastAsiaTheme="minorEastAsia"/>
                      <w:color w:val="auto"/>
                      <w:szCs w:val="21"/>
                      <w:vertAlign w:val="superscript"/>
                    </w:rPr>
                    <w:t>3</w:t>
                  </w:r>
                </w:p>
              </w:tc>
              <w:tc>
                <w:tcPr>
                  <w:tcW w:w="938" w:type="dxa"/>
                  <w:tcBorders>
                    <w:tl2br w:val="nil"/>
                    <w:tr2bl w:val="nil"/>
                  </w:tcBorders>
                  <w:noWrap/>
                  <w:vAlign w:val="center"/>
                </w:tcPr>
                <w:p w14:paraId="24A989D9">
                  <w:pPr>
                    <w:spacing w:line="320" w:lineRule="exact"/>
                    <w:jc w:val="center"/>
                    <w:rPr>
                      <w:rFonts w:eastAsiaTheme="minorEastAsia"/>
                      <w:color w:val="auto"/>
                      <w:szCs w:val="21"/>
                      <w:lang w:val="zh-CN"/>
                    </w:rPr>
                  </w:pPr>
                  <w:r>
                    <w:rPr>
                      <w:rFonts w:eastAsiaTheme="minorEastAsia"/>
                      <w:color w:val="auto"/>
                      <w:szCs w:val="21"/>
                      <w:lang w:val="zh-CN"/>
                    </w:rPr>
                    <w:t>不达标</w:t>
                  </w:r>
                </w:p>
              </w:tc>
              <w:tc>
                <w:tcPr>
                  <w:tcW w:w="1012" w:type="dxa"/>
                  <w:tcBorders>
                    <w:tl2br w:val="nil"/>
                    <w:tr2bl w:val="nil"/>
                  </w:tcBorders>
                  <w:noWrap/>
                  <w:vAlign w:val="center"/>
                </w:tcPr>
                <w:p w14:paraId="6CE4806C">
                  <w:pPr>
                    <w:tabs>
                      <w:tab w:val="left" w:pos="2601"/>
                    </w:tabs>
                    <w:spacing w:line="320" w:lineRule="exact"/>
                    <w:jc w:val="center"/>
                    <w:rPr>
                      <w:rFonts w:hint="default" w:eastAsiaTheme="minorEastAsia"/>
                      <w:color w:val="auto"/>
                      <w:szCs w:val="21"/>
                      <w:lang w:val="en-US" w:eastAsia="zh-CN"/>
                    </w:rPr>
                  </w:pPr>
                  <w:r>
                    <w:rPr>
                      <w:rFonts w:hint="eastAsia" w:eastAsiaTheme="minorEastAsia"/>
                      <w:color w:val="auto"/>
                      <w:szCs w:val="21"/>
                      <w:lang w:val="en-US" w:eastAsia="zh-CN"/>
                    </w:rPr>
                    <w:t>117.14%</w:t>
                  </w:r>
                </w:p>
              </w:tc>
            </w:tr>
            <w:tr w14:paraId="2207E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tcBorders>
                    <w:tl2br w:val="nil"/>
                    <w:tr2bl w:val="nil"/>
                  </w:tcBorders>
                  <w:noWrap/>
                  <w:vAlign w:val="center"/>
                </w:tcPr>
                <w:p w14:paraId="1F56914E">
                  <w:pPr>
                    <w:tabs>
                      <w:tab w:val="left" w:pos="2601"/>
                    </w:tabs>
                    <w:spacing w:line="320" w:lineRule="exact"/>
                    <w:jc w:val="center"/>
                    <w:rPr>
                      <w:rFonts w:eastAsiaTheme="minorEastAsia"/>
                      <w:color w:val="auto"/>
                      <w:szCs w:val="21"/>
                      <w:lang w:val="zh-CN"/>
                    </w:rPr>
                  </w:pPr>
                </w:p>
              </w:tc>
              <w:tc>
                <w:tcPr>
                  <w:tcW w:w="815" w:type="dxa"/>
                  <w:tcBorders>
                    <w:tl2br w:val="nil"/>
                    <w:tr2bl w:val="nil"/>
                  </w:tcBorders>
                  <w:noWrap/>
                  <w:vAlign w:val="center"/>
                </w:tcPr>
                <w:p w14:paraId="2EF57837">
                  <w:pPr>
                    <w:tabs>
                      <w:tab w:val="left" w:pos="2601"/>
                    </w:tabs>
                    <w:spacing w:line="320" w:lineRule="exact"/>
                    <w:jc w:val="center"/>
                    <w:rPr>
                      <w:rFonts w:eastAsiaTheme="minorEastAsia"/>
                      <w:color w:val="auto"/>
                      <w:szCs w:val="21"/>
                    </w:rPr>
                  </w:pPr>
                  <w:r>
                    <w:rPr>
                      <w:rFonts w:eastAsiaTheme="minorEastAsia"/>
                      <w:color w:val="auto"/>
                      <w:szCs w:val="21"/>
                    </w:rPr>
                    <w:t>PM</w:t>
                  </w:r>
                  <w:r>
                    <w:rPr>
                      <w:rFonts w:eastAsiaTheme="minorEastAsia"/>
                      <w:color w:val="auto"/>
                      <w:szCs w:val="21"/>
                      <w:vertAlign w:val="subscript"/>
                    </w:rPr>
                    <w:t>2.5</w:t>
                  </w:r>
                </w:p>
              </w:tc>
              <w:tc>
                <w:tcPr>
                  <w:tcW w:w="1872" w:type="dxa"/>
                  <w:tcBorders>
                    <w:tl2br w:val="nil"/>
                    <w:tr2bl w:val="nil"/>
                  </w:tcBorders>
                  <w:noWrap/>
                  <w:vAlign w:val="center"/>
                </w:tcPr>
                <w:p w14:paraId="3D901015">
                  <w:pPr>
                    <w:tabs>
                      <w:tab w:val="left" w:pos="2601"/>
                    </w:tabs>
                    <w:spacing w:line="320" w:lineRule="exact"/>
                    <w:jc w:val="center"/>
                    <w:rPr>
                      <w:rFonts w:eastAsiaTheme="minorEastAsia"/>
                      <w:color w:val="auto"/>
                      <w:szCs w:val="21"/>
                    </w:rPr>
                  </w:pPr>
                  <w:r>
                    <w:rPr>
                      <w:rFonts w:eastAsiaTheme="minorEastAsia"/>
                      <w:color w:val="auto"/>
                      <w:szCs w:val="21"/>
                    </w:rPr>
                    <w:t>48</w:t>
                  </w:r>
                  <w:r>
                    <w:rPr>
                      <w:rFonts w:eastAsiaTheme="minorEastAsia"/>
                      <w:color w:val="auto"/>
                      <w:szCs w:val="21"/>
                      <w:lang w:val="zh-CN"/>
                    </w:rPr>
                    <w:t>µg/m</w:t>
                  </w:r>
                  <w:r>
                    <w:rPr>
                      <w:rFonts w:eastAsiaTheme="minorEastAsia"/>
                      <w:color w:val="auto"/>
                      <w:szCs w:val="21"/>
                      <w:vertAlign w:val="superscript"/>
                    </w:rPr>
                    <w:t>3</w:t>
                  </w:r>
                </w:p>
              </w:tc>
              <w:tc>
                <w:tcPr>
                  <w:tcW w:w="1508" w:type="dxa"/>
                  <w:tcBorders>
                    <w:tl2br w:val="nil"/>
                    <w:tr2bl w:val="nil"/>
                  </w:tcBorders>
                  <w:noWrap/>
                  <w:vAlign w:val="center"/>
                </w:tcPr>
                <w:p w14:paraId="597CFA14">
                  <w:pPr>
                    <w:tabs>
                      <w:tab w:val="left" w:pos="2601"/>
                    </w:tabs>
                    <w:spacing w:line="320" w:lineRule="exact"/>
                    <w:jc w:val="center"/>
                    <w:rPr>
                      <w:rFonts w:eastAsiaTheme="minorEastAsia"/>
                      <w:color w:val="auto"/>
                      <w:szCs w:val="21"/>
                    </w:rPr>
                  </w:pPr>
                  <w:r>
                    <w:rPr>
                      <w:rFonts w:eastAsiaTheme="minorEastAsia"/>
                      <w:color w:val="auto"/>
                      <w:szCs w:val="21"/>
                    </w:rPr>
                    <w:t>年均值</w:t>
                  </w:r>
                </w:p>
              </w:tc>
              <w:tc>
                <w:tcPr>
                  <w:tcW w:w="1087" w:type="dxa"/>
                  <w:tcBorders>
                    <w:tl2br w:val="nil"/>
                    <w:tr2bl w:val="nil"/>
                  </w:tcBorders>
                  <w:noWrap/>
                  <w:vAlign w:val="center"/>
                </w:tcPr>
                <w:p w14:paraId="05B05438">
                  <w:pPr>
                    <w:tabs>
                      <w:tab w:val="left" w:pos="2601"/>
                    </w:tabs>
                    <w:spacing w:line="320" w:lineRule="exact"/>
                    <w:jc w:val="center"/>
                    <w:rPr>
                      <w:rFonts w:eastAsiaTheme="minorEastAsia"/>
                      <w:color w:val="auto"/>
                      <w:szCs w:val="21"/>
                    </w:rPr>
                  </w:pPr>
                  <w:r>
                    <w:rPr>
                      <w:rFonts w:eastAsiaTheme="minorEastAsia"/>
                      <w:color w:val="auto"/>
                      <w:szCs w:val="21"/>
                    </w:rPr>
                    <w:t>35</w:t>
                  </w:r>
                  <w:r>
                    <w:rPr>
                      <w:rFonts w:eastAsiaTheme="minorEastAsia"/>
                      <w:color w:val="auto"/>
                      <w:szCs w:val="21"/>
                      <w:lang w:val="zh-CN"/>
                    </w:rPr>
                    <w:t>µg/m</w:t>
                  </w:r>
                  <w:r>
                    <w:rPr>
                      <w:rFonts w:eastAsiaTheme="minorEastAsia"/>
                      <w:color w:val="auto"/>
                      <w:szCs w:val="21"/>
                      <w:vertAlign w:val="superscript"/>
                    </w:rPr>
                    <w:t>3</w:t>
                  </w:r>
                </w:p>
              </w:tc>
              <w:tc>
                <w:tcPr>
                  <w:tcW w:w="938" w:type="dxa"/>
                  <w:tcBorders>
                    <w:tl2br w:val="nil"/>
                    <w:tr2bl w:val="nil"/>
                  </w:tcBorders>
                  <w:noWrap/>
                  <w:vAlign w:val="center"/>
                </w:tcPr>
                <w:p w14:paraId="443D690B">
                  <w:pPr>
                    <w:spacing w:line="320" w:lineRule="exact"/>
                    <w:jc w:val="center"/>
                    <w:rPr>
                      <w:rFonts w:eastAsiaTheme="minorEastAsia"/>
                      <w:color w:val="auto"/>
                      <w:szCs w:val="21"/>
                      <w:lang w:val="zh-CN"/>
                    </w:rPr>
                  </w:pPr>
                  <w:r>
                    <w:rPr>
                      <w:rFonts w:eastAsiaTheme="minorEastAsia"/>
                      <w:color w:val="auto"/>
                      <w:szCs w:val="21"/>
                      <w:lang w:val="zh-CN"/>
                    </w:rPr>
                    <w:t>不达标</w:t>
                  </w:r>
                </w:p>
              </w:tc>
              <w:tc>
                <w:tcPr>
                  <w:tcW w:w="1012" w:type="dxa"/>
                  <w:tcBorders>
                    <w:tl2br w:val="nil"/>
                    <w:tr2bl w:val="nil"/>
                  </w:tcBorders>
                  <w:noWrap/>
                  <w:vAlign w:val="center"/>
                </w:tcPr>
                <w:p w14:paraId="4B718BAA">
                  <w:pPr>
                    <w:tabs>
                      <w:tab w:val="left" w:pos="2601"/>
                    </w:tabs>
                    <w:spacing w:line="320" w:lineRule="exact"/>
                    <w:jc w:val="center"/>
                    <w:rPr>
                      <w:rFonts w:hint="default" w:eastAsiaTheme="minorEastAsia"/>
                      <w:color w:val="auto"/>
                      <w:szCs w:val="21"/>
                      <w:lang w:val="en-US" w:eastAsia="zh-CN"/>
                    </w:rPr>
                  </w:pPr>
                  <w:r>
                    <w:rPr>
                      <w:rFonts w:hint="eastAsia" w:eastAsiaTheme="minorEastAsia"/>
                      <w:color w:val="auto"/>
                      <w:szCs w:val="21"/>
                      <w:lang w:val="en-US" w:eastAsia="zh-CN"/>
                    </w:rPr>
                    <w:t>137.14%</w:t>
                  </w:r>
                </w:p>
              </w:tc>
            </w:tr>
            <w:tr w14:paraId="2CF74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tcBorders>
                    <w:tl2br w:val="nil"/>
                    <w:tr2bl w:val="nil"/>
                  </w:tcBorders>
                  <w:noWrap/>
                  <w:vAlign w:val="center"/>
                </w:tcPr>
                <w:p w14:paraId="7C64E6B9">
                  <w:pPr>
                    <w:tabs>
                      <w:tab w:val="left" w:pos="2601"/>
                    </w:tabs>
                    <w:spacing w:line="320" w:lineRule="exact"/>
                    <w:jc w:val="center"/>
                    <w:rPr>
                      <w:rFonts w:eastAsiaTheme="minorEastAsia"/>
                      <w:color w:val="auto"/>
                      <w:szCs w:val="21"/>
                      <w:lang w:val="zh-CN"/>
                    </w:rPr>
                  </w:pPr>
                </w:p>
              </w:tc>
              <w:tc>
                <w:tcPr>
                  <w:tcW w:w="815" w:type="dxa"/>
                  <w:tcBorders>
                    <w:tl2br w:val="nil"/>
                    <w:tr2bl w:val="nil"/>
                  </w:tcBorders>
                  <w:noWrap/>
                  <w:vAlign w:val="center"/>
                </w:tcPr>
                <w:p w14:paraId="4991B052">
                  <w:pPr>
                    <w:tabs>
                      <w:tab w:val="left" w:pos="2601"/>
                    </w:tabs>
                    <w:spacing w:line="320" w:lineRule="exact"/>
                    <w:jc w:val="center"/>
                    <w:rPr>
                      <w:rFonts w:eastAsiaTheme="minorEastAsia"/>
                      <w:color w:val="auto"/>
                      <w:szCs w:val="21"/>
                    </w:rPr>
                  </w:pPr>
                  <w:r>
                    <w:rPr>
                      <w:rFonts w:eastAsiaTheme="minorEastAsia"/>
                      <w:color w:val="auto"/>
                      <w:szCs w:val="21"/>
                    </w:rPr>
                    <w:t>SO</w:t>
                  </w:r>
                  <w:r>
                    <w:rPr>
                      <w:rFonts w:eastAsiaTheme="minorEastAsia"/>
                      <w:color w:val="auto"/>
                      <w:szCs w:val="21"/>
                      <w:vertAlign w:val="subscript"/>
                    </w:rPr>
                    <w:t>2</w:t>
                  </w:r>
                </w:p>
              </w:tc>
              <w:tc>
                <w:tcPr>
                  <w:tcW w:w="1872" w:type="dxa"/>
                  <w:tcBorders>
                    <w:tl2br w:val="nil"/>
                    <w:tr2bl w:val="nil"/>
                  </w:tcBorders>
                  <w:noWrap/>
                  <w:vAlign w:val="center"/>
                </w:tcPr>
                <w:p w14:paraId="59CCBF7F">
                  <w:pPr>
                    <w:tabs>
                      <w:tab w:val="left" w:pos="2601"/>
                    </w:tabs>
                    <w:spacing w:line="320" w:lineRule="exact"/>
                    <w:jc w:val="center"/>
                    <w:rPr>
                      <w:rFonts w:eastAsiaTheme="minorEastAsia"/>
                      <w:color w:val="auto"/>
                      <w:szCs w:val="21"/>
                    </w:rPr>
                  </w:pPr>
                  <w:r>
                    <w:rPr>
                      <w:rFonts w:eastAsiaTheme="minorEastAsia"/>
                      <w:color w:val="auto"/>
                      <w:szCs w:val="21"/>
                    </w:rPr>
                    <w:t>7</w:t>
                  </w:r>
                  <w:r>
                    <w:rPr>
                      <w:rFonts w:eastAsiaTheme="minorEastAsia"/>
                      <w:color w:val="auto"/>
                      <w:szCs w:val="21"/>
                      <w:lang w:val="zh-CN"/>
                    </w:rPr>
                    <w:t>µg/m</w:t>
                  </w:r>
                  <w:r>
                    <w:rPr>
                      <w:rFonts w:eastAsiaTheme="minorEastAsia"/>
                      <w:color w:val="auto"/>
                      <w:szCs w:val="21"/>
                      <w:vertAlign w:val="superscript"/>
                    </w:rPr>
                    <w:t>3</w:t>
                  </w:r>
                </w:p>
              </w:tc>
              <w:tc>
                <w:tcPr>
                  <w:tcW w:w="1508" w:type="dxa"/>
                  <w:tcBorders>
                    <w:tl2br w:val="nil"/>
                    <w:tr2bl w:val="nil"/>
                  </w:tcBorders>
                  <w:noWrap/>
                  <w:vAlign w:val="center"/>
                </w:tcPr>
                <w:p w14:paraId="725F2F76">
                  <w:pPr>
                    <w:tabs>
                      <w:tab w:val="left" w:pos="2601"/>
                    </w:tabs>
                    <w:spacing w:line="320" w:lineRule="exact"/>
                    <w:jc w:val="center"/>
                    <w:rPr>
                      <w:rFonts w:eastAsiaTheme="minorEastAsia"/>
                      <w:color w:val="auto"/>
                      <w:szCs w:val="21"/>
                    </w:rPr>
                  </w:pPr>
                  <w:r>
                    <w:rPr>
                      <w:rFonts w:eastAsiaTheme="minorEastAsia"/>
                      <w:color w:val="auto"/>
                      <w:szCs w:val="21"/>
                    </w:rPr>
                    <w:t>年均值</w:t>
                  </w:r>
                </w:p>
              </w:tc>
              <w:tc>
                <w:tcPr>
                  <w:tcW w:w="1087" w:type="dxa"/>
                  <w:tcBorders>
                    <w:tl2br w:val="nil"/>
                    <w:tr2bl w:val="nil"/>
                  </w:tcBorders>
                  <w:noWrap/>
                  <w:vAlign w:val="center"/>
                </w:tcPr>
                <w:p w14:paraId="0DB8845D">
                  <w:pPr>
                    <w:tabs>
                      <w:tab w:val="left" w:pos="2601"/>
                    </w:tabs>
                    <w:spacing w:line="320" w:lineRule="exact"/>
                    <w:jc w:val="center"/>
                    <w:rPr>
                      <w:rFonts w:eastAsiaTheme="minorEastAsia"/>
                      <w:color w:val="auto"/>
                      <w:szCs w:val="21"/>
                    </w:rPr>
                  </w:pPr>
                  <w:r>
                    <w:rPr>
                      <w:rFonts w:eastAsiaTheme="minorEastAsia"/>
                      <w:color w:val="auto"/>
                      <w:szCs w:val="21"/>
                    </w:rPr>
                    <w:t>60</w:t>
                  </w:r>
                  <w:r>
                    <w:rPr>
                      <w:rFonts w:eastAsiaTheme="minorEastAsia"/>
                      <w:color w:val="auto"/>
                      <w:szCs w:val="21"/>
                      <w:lang w:val="zh-CN"/>
                    </w:rPr>
                    <w:t>µg/m</w:t>
                  </w:r>
                  <w:r>
                    <w:rPr>
                      <w:rFonts w:eastAsiaTheme="minorEastAsia"/>
                      <w:color w:val="auto"/>
                      <w:szCs w:val="21"/>
                      <w:vertAlign w:val="superscript"/>
                    </w:rPr>
                    <w:t>3</w:t>
                  </w:r>
                </w:p>
              </w:tc>
              <w:tc>
                <w:tcPr>
                  <w:tcW w:w="938" w:type="dxa"/>
                  <w:tcBorders>
                    <w:tl2br w:val="nil"/>
                    <w:tr2bl w:val="nil"/>
                  </w:tcBorders>
                  <w:noWrap/>
                  <w:vAlign w:val="center"/>
                </w:tcPr>
                <w:p w14:paraId="0C403737">
                  <w:pPr>
                    <w:tabs>
                      <w:tab w:val="left" w:pos="2601"/>
                    </w:tabs>
                    <w:spacing w:line="320" w:lineRule="exact"/>
                    <w:jc w:val="center"/>
                    <w:rPr>
                      <w:rFonts w:eastAsiaTheme="minorEastAsia"/>
                      <w:color w:val="auto"/>
                      <w:szCs w:val="21"/>
                      <w:lang w:val="zh-CN"/>
                    </w:rPr>
                  </w:pPr>
                  <w:r>
                    <w:rPr>
                      <w:rFonts w:eastAsiaTheme="minorEastAsia"/>
                      <w:color w:val="auto"/>
                      <w:szCs w:val="21"/>
                      <w:lang w:val="zh-CN"/>
                    </w:rPr>
                    <w:t>达标</w:t>
                  </w:r>
                </w:p>
              </w:tc>
              <w:tc>
                <w:tcPr>
                  <w:tcW w:w="1012" w:type="dxa"/>
                  <w:tcBorders>
                    <w:tl2br w:val="nil"/>
                    <w:tr2bl w:val="nil"/>
                  </w:tcBorders>
                  <w:noWrap/>
                  <w:vAlign w:val="center"/>
                </w:tcPr>
                <w:p w14:paraId="00CC0F40">
                  <w:pPr>
                    <w:tabs>
                      <w:tab w:val="left" w:pos="2601"/>
                    </w:tabs>
                    <w:spacing w:line="320" w:lineRule="exact"/>
                    <w:jc w:val="center"/>
                    <w:rPr>
                      <w:rFonts w:hint="default" w:eastAsiaTheme="minorEastAsia"/>
                      <w:color w:val="auto"/>
                      <w:szCs w:val="21"/>
                      <w:lang w:val="en-US" w:eastAsia="zh-CN"/>
                    </w:rPr>
                  </w:pPr>
                  <w:r>
                    <w:rPr>
                      <w:rFonts w:hint="eastAsia" w:eastAsiaTheme="minorEastAsia"/>
                      <w:color w:val="auto"/>
                      <w:szCs w:val="21"/>
                      <w:lang w:val="en-US" w:eastAsia="zh-CN"/>
                    </w:rPr>
                    <w:t>11.67%</w:t>
                  </w:r>
                </w:p>
              </w:tc>
            </w:tr>
            <w:tr w14:paraId="4123C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tcBorders>
                    <w:tl2br w:val="nil"/>
                    <w:tr2bl w:val="nil"/>
                  </w:tcBorders>
                  <w:noWrap/>
                  <w:vAlign w:val="center"/>
                </w:tcPr>
                <w:p w14:paraId="785388F8">
                  <w:pPr>
                    <w:tabs>
                      <w:tab w:val="left" w:pos="2601"/>
                    </w:tabs>
                    <w:spacing w:line="320" w:lineRule="exact"/>
                    <w:jc w:val="center"/>
                    <w:rPr>
                      <w:rFonts w:eastAsiaTheme="minorEastAsia"/>
                      <w:color w:val="auto"/>
                      <w:szCs w:val="21"/>
                      <w:lang w:val="zh-CN"/>
                    </w:rPr>
                  </w:pPr>
                </w:p>
              </w:tc>
              <w:tc>
                <w:tcPr>
                  <w:tcW w:w="815" w:type="dxa"/>
                  <w:tcBorders>
                    <w:tl2br w:val="nil"/>
                    <w:tr2bl w:val="nil"/>
                  </w:tcBorders>
                  <w:noWrap/>
                  <w:vAlign w:val="center"/>
                </w:tcPr>
                <w:p w14:paraId="22F98EA1">
                  <w:pPr>
                    <w:tabs>
                      <w:tab w:val="left" w:pos="2601"/>
                    </w:tabs>
                    <w:spacing w:line="320" w:lineRule="exact"/>
                    <w:jc w:val="center"/>
                    <w:rPr>
                      <w:rFonts w:eastAsiaTheme="minorEastAsia"/>
                      <w:color w:val="auto"/>
                      <w:szCs w:val="21"/>
                    </w:rPr>
                  </w:pPr>
                  <w:r>
                    <w:rPr>
                      <w:rFonts w:eastAsiaTheme="minorEastAsia"/>
                      <w:color w:val="auto"/>
                      <w:szCs w:val="21"/>
                    </w:rPr>
                    <w:t>NO</w:t>
                  </w:r>
                  <w:r>
                    <w:rPr>
                      <w:rFonts w:eastAsiaTheme="minorEastAsia"/>
                      <w:color w:val="auto"/>
                      <w:szCs w:val="21"/>
                      <w:vertAlign w:val="subscript"/>
                    </w:rPr>
                    <w:t>2</w:t>
                  </w:r>
                </w:p>
              </w:tc>
              <w:tc>
                <w:tcPr>
                  <w:tcW w:w="1872" w:type="dxa"/>
                  <w:tcBorders>
                    <w:tl2br w:val="nil"/>
                    <w:tr2bl w:val="nil"/>
                  </w:tcBorders>
                  <w:noWrap/>
                  <w:vAlign w:val="center"/>
                </w:tcPr>
                <w:p w14:paraId="53F17EA8">
                  <w:pPr>
                    <w:tabs>
                      <w:tab w:val="left" w:pos="2601"/>
                    </w:tabs>
                    <w:spacing w:line="320" w:lineRule="exact"/>
                    <w:jc w:val="center"/>
                    <w:rPr>
                      <w:rFonts w:eastAsiaTheme="minorEastAsia"/>
                      <w:color w:val="auto"/>
                      <w:szCs w:val="21"/>
                    </w:rPr>
                  </w:pPr>
                  <w:r>
                    <w:rPr>
                      <w:rFonts w:eastAsiaTheme="minorEastAsia"/>
                      <w:color w:val="auto"/>
                      <w:szCs w:val="21"/>
                    </w:rPr>
                    <w:t>38</w:t>
                  </w:r>
                  <w:r>
                    <w:rPr>
                      <w:rFonts w:eastAsiaTheme="minorEastAsia"/>
                      <w:color w:val="auto"/>
                      <w:szCs w:val="21"/>
                      <w:lang w:val="zh-CN"/>
                    </w:rPr>
                    <w:t>µg/m</w:t>
                  </w:r>
                  <w:r>
                    <w:rPr>
                      <w:rFonts w:eastAsiaTheme="minorEastAsia"/>
                      <w:color w:val="auto"/>
                      <w:szCs w:val="21"/>
                      <w:vertAlign w:val="superscript"/>
                    </w:rPr>
                    <w:t>3</w:t>
                  </w:r>
                </w:p>
              </w:tc>
              <w:tc>
                <w:tcPr>
                  <w:tcW w:w="1508" w:type="dxa"/>
                  <w:tcBorders>
                    <w:tl2br w:val="nil"/>
                    <w:tr2bl w:val="nil"/>
                  </w:tcBorders>
                  <w:noWrap/>
                  <w:vAlign w:val="center"/>
                </w:tcPr>
                <w:p w14:paraId="76D89FAC">
                  <w:pPr>
                    <w:tabs>
                      <w:tab w:val="left" w:pos="2601"/>
                    </w:tabs>
                    <w:spacing w:line="320" w:lineRule="exact"/>
                    <w:jc w:val="center"/>
                    <w:rPr>
                      <w:rFonts w:eastAsiaTheme="minorEastAsia"/>
                      <w:color w:val="auto"/>
                      <w:szCs w:val="21"/>
                    </w:rPr>
                  </w:pPr>
                  <w:r>
                    <w:rPr>
                      <w:rFonts w:eastAsiaTheme="minorEastAsia"/>
                      <w:color w:val="auto"/>
                      <w:szCs w:val="21"/>
                    </w:rPr>
                    <w:t>年均值</w:t>
                  </w:r>
                </w:p>
              </w:tc>
              <w:tc>
                <w:tcPr>
                  <w:tcW w:w="1087" w:type="dxa"/>
                  <w:tcBorders>
                    <w:tl2br w:val="nil"/>
                    <w:tr2bl w:val="nil"/>
                  </w:tcBorders>
                  <w:noWrap/>
                  <w:vAlign w:val="center"/>
                </w:tcPr>
                <w:p w14:paraId="6EA9ABA2">
                  <w:pPr>
                    <w:tabs>
                      <w:tab w:val="left" w:pos="2601"/>
                    </w:tabs>
                    <w:spacing w:line="320" w:lineRule="exact"/>
                    <w:jc w:val="center"/>
                    <w:rPr>
                      <w:rFonts w:eastAsiaTheme="minorEastAsia"/>
                      <w:color w:val="auto"/>
                      <w:szCs w:val="21"/>
                    </w:rPr>
                  </w:pPr>
                  <w:r>
                    <w:rPr>
                      <w:rFonts w:eastAsiaTheme="minorEastAsia"/>
                      <w:color w:val="auto"/>
                      <w:szCs w:val="21"/>
                    </w:rPr>
                    <w:t>40</w:t>
                  </w:r>
                  <w:r>
                    <w:rPr>
                      <w:rFonts w:eastAsiaTheme="minorEastAsia"/>
                      <w:color w:val="auto"/>
                      <w:szCs w:val="21"/>
                      <w:lang w:val="zh-CN"/>
                    </w:rPr>
                    <w:t>µg/m</w:t>
                  </w:r>
                  <w:r>
                    <w:rPr>
                      <w:rFonts w:eastAsiaTheme="minorEastAsia"/>
                      <w:color w:val="auto"/>
                      <w:szCs w:val="21"/>
                      <w:vertAlign w:val="superscript"/>
                    </w:rPr>
                    <w:t>3</w:t>
                  </w:r>
                </w:p>
              </w:tc>
              <w:tc>
                <w:tcPr>
                  <w:tcW w:w="938" w:type="dxa"/>
                  <w:tcBorders>
                    <w:tl2br w:val="nil"/>
                    <w:tr2bl w:val="nil"/>
                  </w:tcBorders>
                  <w:noWrap/>
                  <w:vAlign w:val="center"/>
                </w:tcPr>
                <w:p w14:paraId="5E5F91DA">
                  <w:pPr>
                    <w:tabs>
                      <w:tab w:val="left" w:pos="2601"/>
                    </w:tabs>
                    <w:spacing w:line="320" w:lineRule="exact"/>
                    <w:jc w:val="center"/>
                    <w:rPr>
                      <w:rFonts w:eastAsiaTheme="minorEastAsia"/>
                      <w:color w:val="auto"/>
                      <w:szCs w:val="21"/>
                    </w:rPr>
                  </w:pPr>
                  <w:r>
                    <w:rPr>
                      <w:rFonts w:eastAsiaTheme="minorEastAsia"/>
                      <w:color w:val="auto"/>
                      <w:szCs w:val="21"/>
                    </w:rPr>
                    <w:t>达标</w:t>
                  </w:r>
                </w:p>
              </w:tc>
              <w:tc>
                <w:tcPr>
                  <w:tcW w:w="1012" w:type="dxa"/>
                  <w:tcBorders>
                    <w:tl2br w:val="nil"/>
                    <w:tr2bl w:val="nil"/>
                  </w:tcBorders>
                  <w:noWrap/>
                  <w:vAlign w:val="center"/>
                </w:tcPr>
                <w:p w14:paraId="00ABE670">
                  <w:pPr>
                    <w:tabs>
                      <w:tab w:val="left" w:pos="2601"/>
                    </w:tabs>
                    <w:spacing w:line="320" w:lineRule="exact"/>
                    <w:jc w:val="center"/>
                    <w:rPr>
                      <w:rFonts w:hint="default" w:eastAsiaTheme="minorEastAsia"/>
                      <w:color w:val="auto"/>
                      <w:szCs w:val="21"/>
                      <w:lang w:val="en-US" w:eastAsia="zh-CN"/>
                    </w:rPr>
                  </w:pPr>
                  <w:r>
                    <w:rPr>
                      <w:rFonts w:hint="eastAsia" w:eastAsiaTheme="minorEastAsia"/>
                      <w:color w:val="auto"/>
                      <w:szCs w:val="21"/>
                      <w:lang w:val="en-US" w:eastAsia="zh-CN"/>
                    </w:rPr>
                    <w:t>95.00%</w:t>
                  </w:r>
                </w:p>
              </w:tc>
            </w:tr>
            <w:tr w14:paraId="49935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tcBorders>
                    <w:tl2br w:val="nil"/>
                    <w:tr2bl w:val="nil"/>
                  </w:tcBorders>
                  <w:noWrap/>
                  <w:vAlign w:val="center"/>
                </w:tcPr>
                <w:p w14:paraId="5A888200">
                  <w:pPr>
                    <w:tabs>
                      <w:tab w:val="left" w:pos="2601"/>
                    </w:tabs>
                    <w:spacing w:line="320" w:lineRule="exact"/>
                    <w:jc w:val="center"/>
                    <w:rPr>
                      <w:rFonts w:eastAsiaTheme="minorEastAsia"/>
                      <w:color w:val="auto"/>
                      <w:szCs w:val="21"/>
                      <w:lang w:val="zh-CN"/>
                    </w:rPr>
                  </w:pPr>
                </w:p>
              </w:tc>
              <w:tc>
                <w:tcPr>
                  <w:tcW w:w="815" w:type="dxa"/>
                  <w:tcBorders>
                    <w:tl2br w:val="nil"/>
                    <w:tr2bl w:val="nil"/>
                  </w:tcBorders>
                  <w:noWrap/>
                  <w:vAlign w:val="center"/>
                </w:tcPr>
                <w:p w14:paraId="203B41CE">
                  <w:pPr>
                    <w:tabs>
                      <w:tab w:val="left" w:pos="2601"/>
                    </w:tabs>
                    <w:spacing w:line="320" w:lineRule="exact"/>
                    <w:jc w:val="center"/>
                    <w:rPr>
                      <w:rFonts w:eastAsiaTheme="minorEastAsia"/>
                      <w:color w:val="auto"/>
                      <w:szCs w:val="21"/>
                    </w:rPr>
                  </w:pPr>
                  <w:r>
                    <w:rPr>
                      <w:rFonts w:eastAsiaTheme="minorEastAsia"/>
                      <w:color w:val="auto"/>
                      <w:szCs w:val="21"/>
                    </w:rPr>
                    <w:t>CO</w:t>
                  </w:r>
                </w:p>
              </w:tc>
              <w:tc>
                <w:tcPr>
                  <w:tcW w:w="1872" w:type="dxa"/>
                  <w:tcBorders>
                    <w:tl2br w:val="nil"/>
                    <w:tr2bl w:val="nil"/>
                  </w:tcBorders>
                  <w:noWrap/>
                  <w:vAlign w:val="center"/>
                </w:tcPr>
                <w:p w14:paraId="659B6BE4">
                  <w:pPr>
                    <w:tabs>
                      <w:tab w:val="left" w:pos="2601"/>
                    </w:tabs>
                    <w:spacing w:line="320" w:lineRule="exact"/>
                    <w:jc w:val="center"/>
                    <w:rPr>
                      <w:rFonts w:eastAsiaTheme="minorEastAsia"/>
                      <w:color w:val="auto"/>
                      <w:szCs w:val="21"/>
                      <w:vertAlign w:val="superscript"/>
                    </w:rPr>
                  </w:pPr>
                  <w:r>
                    <w:rPr>
                      <w:rFonts w:eastAsiaTheme="minorEastAsia"/>
                      <w:color w:val="auto"/>
                      <w:szCs w:val="21"/>
                    </w:rPr>
                    <w:t>1</w:t>
                  </w:r>
                  <w:r>
                    <w:rPr>
                      <w:rFonts w:hint="eastAsia" w:eastAsiaTheme="minorEastAsia"/>
                      <w:color w:val="auto"/>
                      <w:szCs w:val="21"/>
                      <w:lang w:val="en-US" w:eastAsia="zh-CN"/>
                    </w:rPr>
                    <w:t>.3</w:t>
                  </w:r>
                  <w:r>
                    <w:rPr>
                      <w:rFonts w:eastAsiaTheme="minorEastAsia"/>
                      <w:color w:val="auto"/>
                      <w:szCs w:val="21"/>
                    </w:rPr>
                    <w:t>m</w:t>
                  </w:r>
                  <w:r>
                    <w:rPr>
                      <w:rFonts w:eastAsiaTheme="minorEastAsia"/>
                      <w:color w:val="auto"/>
                      <w:szCs w:val="21"/>
                      <w:lang w:val="zh-CN"/>
                    </w:rPr>
                    <w:t>g/m</w:t>
                  </w:r>
                  <w:r>
                    <w:rPr>
                      <w:rFonts w:eastAsiaTheme="minorEastAsia"/>
                      <w:color w:val="auto"/>
                      <w:szCs w:val="21"/>
                      <w:vertAlign w:val="superscript"/>
                    </w:rPr>
                    <w:t>3</w:t>
                  </w:r>
                </w:p>
                <w:p w14:paraId="3A1B63EB">
                  <w:pPr>
                    <w:tabs>
                      <w:tab w:val="left" w:pos="2601"/>
                    </w:tabs>
                    <w:spacing w:line="320" w:lineRule="exact"/>
                    <w:jc w:val="center"/>
                    <w:rPr>
                      <w:rFonts w:eastAsiaTheme="minorEastAsia"/>
                      <w:color w:val="auto"/>
                      <w:szCs w:val="21"/>
                    </w:rPr>
                  </w:pPr>
                  <w:r>
                    <w:rPr>
                      <w:rFonts w:eastAsiaTheme="minorEastAsia"/>
                      <w:color w:val="auto"/>
                      <w:szCs w:val="21"/>
                    </w:rPr>
                    <w:t>（95位百分浓度）</w:t>
                  </w:r>
                </w:p>
              </w:tc>
              <w:tc>
                <w:tcPr>
                  <w:tcW w:w="1508" w:type="dxa"/>
                  <w:tcBorders>
                    <w:tl2br w:val="nil"/>
                    <w:tr2bl w:val="nil"/>
                  </w:tcBorders>
                  <w:noWrap/>
                  <w:vAlign w:val="center"/>
                </w:tcPr>
                <w:p w14:paraId="7A12E8F3">
                  <w:pPr>
                    <w:tabs>
                      <w:tab w:val="left" w:pos="2601"/>
                    </w:tabs>
                    <w:spacing w:line="320" w:lineRule="exact"/>
                    <w:jc w:val="center"/>
                    <w:rPr>
                      <w:rFonts w:eastAsiaTheme="minorEastAsia"/>
                      <w:color w:val="auto"/>
                      <w:szCs w:val="21"/>
                    </w:rPr>
                  </w:pPr>
                  <w:r>
                    <w:rPr>
                      <w:rFonts w:eastAsiaTheme="minorEastAsia"/>
                      <w:color w:val="auto"/>
                      <w:szCs w:val="21"/>
                    </w:rPr>
                    <w:t>24小时平均</w:t>
                  </w:r>
                </w:p>
              </w:tc>
              <w:tc>
                <w:tcPr>
                  <w:tcW w:w="1087" w:type="dxa"/>
                  <w:tcBorders>
                    <w:tl2br w:val="nil"/>
                    <w:tr2bl w:val="nil"/>
                  </w:tcBorders>
                  <w:noWrap/>
                  <w:vAlign w:val="center"/>
                </w:tcPr>
                <w:p w14:paraId="2194269D">
                  <w:pPr>
                    <w:tabs>
                      <w:tab w:val="left" w:pos="2601"/>
                    </w:tabs>
                    <w:spacing w:line="320" w:lineRule="exact"/>
                    <w:jc w:val="center"/>
                    <w:rPr>
                      <w:rFonts w:eastAsiaTheme="minorEastAsia"/>
                      <w:color w:val="auto"/>
                      <w:szCs w:val="21"/>
                    </w:rPr>
                  </w:pPr>
                  <w:r>
                    <w:rPr>
                      <w:rFonts w:eastAsiaTheme="minorEastAsia"/>
                      <w:color w:val="auto"/>
                      <w:szCs w:val="21"/>
                    </w:rPr>
                    <w:t>4m</w:t>
                  </w:r>
                  <w:r>
                    <w:rPr>
                      <w:rFonts w:eastAsiaTheme="minorEastAsia"/>
                      <w:color w:val="auto"/>
                      <w:szCs w:val="21"/>
                      <w:lang w:val="zh-CN"/>
                    </w:rPr>
                    <w:t>g/m</w:t>
                  </w:r>
                  <w:r>
                    <w:rPr>
                      <w:rFonts w:eastAsiaTheme="minorEastAsia"/>
                      <w:color w:val="auto"/>
                      <w:szCs w:val="21"/>
                      <w:vertAlign w:val="superscript"/>
                    </w:rPr>
                    <w:t>3</w:t>
                  </w:r>
                </w:p>
              </w:tc>
              <w:tc>
                <w:tcPr>
                  <w:tcW w:w="938" w:type="dxa"/>
                  <w:tcBorders>
                    <w:tl2br w:val="nil"/>
                    <w:tr2bl w:val="nil"/>
                  </w:tcBorders>
                  <w:noWrap/>
                  <w:vAlign w:val="center"/>
                </w:tcPr>
                <w:p w14:paraId="3BD22344">
                  <w:pPr>
                    <w:tabs>
                      <w:tab w:val="left" w:pos="2601"/>
                    </w:tabs>
                    <w:spacing w:line="320" w:lineRule="exact"/>
                    <w:jc w:val="center"/>
                    <w:rPr>
                      <w:rFonts w:eastAsiaTheme="minorEastAsia"/>
                      <w:color w:val="auto"/>
                      <w:szCs w:val="21"/>
                      <w:lang w:val="zh-CN"/>
                    </w:rPr>
                  </w:pPr>
                  <w:r>
                    <w:rPr>
                      <w:rFonts w:eastAsiaTheme="minorEastAsia"/>
                      <w:color w:val="auto"/>
                      <w:szCs w:val="21"/>
                      <w:lang w:val="zh-CN"/>
                    </w:rPr>
                    <w:t>达标</w:t>
                  </w:r>
                </w:p>
              </w:tc>
              <w:tc>
                <w:tcPr>
                  <w:tcW w:w="1012" w:type="dxa"/>
                  <w:tcBorders>
                    <w:tl2br w:val="nil"/>
                    <w:tr2bl w:val="nil"/>
                  </w:tcBorders>
                  <w:noWrap/>
                  <w:vAlign w:val="center"/>
                </w:tcPr>
                <w:p w14:paraId="353E4498">
                  <w:pPr>
                    <w:tabs>
                      <w:tab w:val="left" w:pos="2601"/>
                    </w:tabs>
                    <w:spacing w:line="320" w:lineRule="exact"/>
                    <w:jc w:val="center"/>
                    <w:rPr>
                      <w:rFonts w:hint="eastAsia" w:eastAsiaTheme="minorEastAsia"/>
                      <w:color w:val="auto"/>
                      <w:szCs w:val="21"/>
                      <w:lang w:val="en-US" w:eastAsia="zh-CN"/>
                    </w:rPr>
                  </w:pPr>
                  <w:r>
                    <w:rPr>
                      <w:rFonts w:hint="eastAsia" w:eastAsiaTheme="minorEastAsia"/>
                      <w:color w:val="auto"/>
                      <w:szCs w:val="21"/>
                      <w:lang w:val="en-US" w:eastAsia="zh-CN"/>
                    </w:rPr>
                    <w:t>32.50%</w:t>
                  </w:r>
                </w:p>
              </w:tc>
            </w:tr>
            <w:tr w14:paraId="54E95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12" w:type="dxa"/>
                  <w:vMerge w:val="continue"/>
                  <w:tcBorders>
                    <w:tl2br w:val="nil"/>
                    <w:tr2bl w:val="nil"/>
                  </w:tcBorders>
                  <w:noWrap/>
                  <w:vAlign w:val="center"/>
                </w:tcPr>
                <w:p w14:paraId="6CF9A82A">
                  <w:pPr>
                    <w:tabs>
                      <w:tab w:val="left" w:pos="2601"/>
                    </w:tabs>
                    <w:spacing w:line="320" w:lineRule="exact"/>
                    <w:jc w:val="center"/>
                    <w:rPr>
                      <w:rFonts w:eastAsiaTheme="minorEastAsia"/>
                      <w:color w:val="auto"/>
                      <w:szCs w:val="21"/>
                      <w:lang w:val="zh-CN"/>
                    </w:rPr>
                  </w:pPr>
                </w:p>
              </w:tc>
              <w:tc>
                <w:tcPr>
                  <w:tcW w:w="815" w:type="dxa"/>
                  <w:tcBorders>
                    <w:tl2br w:val="nil"/>
                    <w:tr2bl w:val="nil"/>
                  </w:tcBorders>
                  <w:noWrap/>
                  <w:vAlign w:val="center"/>
                </w:tcPr>
                <w:p w14:paraId="43A02AE8">
                  <w:pPr>
                    <w:tabs>
                      <w:tab w:val="left" w:pos="2601"/>
                    </w:tabs>
                    <w:spacing w:line="320" w:lineRule="exact"/>
                    <w:jc w:val="center"/>
                    <w:rPr>
                      <w:rFonts w:eastAsiaTheme="minorEastAsia"/>
                      <w:color w:val="auto"/>
                      <w:szCs w:val="21"/>
                    </w:rPr>
                  </w:pPr>
                  <w:r>
                    <w:rPr>
                      <w:rFonts w:eastAsiaTheme="minorEastAsia"/>
                      <w:color w:val="auto"/>
                      <w:szCs w:val="21"/>
                    </w:rPr>
                    <w:t>O</w:t>
                  </w:r>
                  <w:r>
                    <w:rPr>
                      <w:rFonts w:eastAsiaTheme="minorEastAsia"/>
                      <w:color w:val="auto"/>
                      <w:szCs w:val="21"/>
                      <w:vertAlign w:val="subscript"/>
                    </w:rPr>
                    <w:t>3</w:t>
                  </w:r>
                </w:p>
              </w:tc>
              <w:tc>
                <w:tcPr>
                  <w:tcW w:w="1872" w:type="dxa"/>
                  <w:tcBorders>
                    <w:tl2br w:val="nil"/>
                    <w:tr2bl w:val="nil"/>
                  </w:tcBorders>
                  <w:noWrap/>
                  <w:vAlign w:val="center"/>
                </w:tcPr>
                <w:p w14:paraId="6F5A5FF2">
                  <w:pPr>
                    <w:tabs>
                      <w:tab w:val="left" w:pos="2601"/>
                    </w:tabs>
                    <w:spacing w:line="320" w:lineRule="exact"/>
                    <w:jc w:val="center"/>
                    <w:rPr>
                      <w:rFonts w:eastAsiaTheme="minorEastAsia"/>
                      <w:color w:val="auto"/>
                      <w:szCs w:val="21"/>
                      <w:vertAlign w:val="superscript"/>
                    </w:rPr>
                  </w:pPr>
                  <w:r>
                    <w:rPr>
                      <w:rFonts w:eastAsiaTheme="minorEastAsia"/>
                      <w:color w:val="auto"/>
                      <w:szCs w:val="21"/>
                    </w:rPr>
                    <w:t>16</w:t>
                  </w:r>
                  <w:r>
                    <w:rPr>
                      <w:rFonts w:hint="eastAsia" w:eastAsiaTheme="minorEastAsia"/>
                      <w:color w:val="auto"/>
                      <w:szCs w:val="21"/>
                      <w:lang w:val="en-US" w:eastAsia="zh-CN"/>
                    </w:rPr>
                    <w:t>3</w:t>
                  </w:r>
                  <w:r>
                    <w:rPr>
                      <w:rFonts w:eastAsiaTheme="minorEastAsia"/>
                      <w:color w:val="auto"/>
                      <w:szCs w:val="21"/>
                      <w:lang w:val="zh-CN"/>
                    </w:rPr>
                    <w:t>µg/m</w:t>
                  </w:r>
                  <w:r>
                    <w:rPr>
                      <w:rFonts w:eastAsiaTheme="minorEastAsia"/>
                      <w:color w:val="auto"/>
                      <w:szCs w:val="21"/>
                      <w:vertAlign w:val="superscript"/>
                    </w:rPr>
                    <w:t>3</w:t>
                  </w:r>
                </w:p>
                <w:p w14:paraId="6303EBD9">
                  <w:pPr>
                    <w:tabs>
                      <w:tab w:val="left" w:pos="2601"/>
                    </w:tabs>
                    <w:spacing w:line="320" w:lineRule="exact"/>
                    <w:jc w:val="center"/>
                    <w:rPr>
                      <w:rFonts w:eastAsiaTheme="minorEastAsia"/>
                      <w:color w:val="auto"/>
                      <w:szCs w:val="21"/>
                    </w:rPr>
                  </w:pPr>
                  <w:r>
                    <w:rPr>
                      <w:rFonts w:eastAsiaTheme="minorEastAsia"/>
                      <w:color w:val="auto"/>
                      <w:szCs w:val="21"/>
                    </w:rPr>
                    <w:t>（90位百分浓度）</w:t>
                  </w:r>
                </w:p>
              </w:tc>
              <w:tc>
                <w:tcPr>
                  <w:tcW w:w="1508" w:type="dxa"/>
                  <w:tcBorders>
                    <w:tl2br w:val="nil"/>
                    <w:tr2bl w:val="nil"/>
                  </w:tcBorders>
                  <w:noWrap/>
                  <w:vAlign w:val="center"/>
                </w:tcPr>
                <w:p w14:paraId="1DBF355B">
                  <w:pPr>
                    <w:tabs>
                      <w:tab w:val="left" w:pos="2601"/>
                    </w:tabs>
                    <w:spacing w:line="320" w:lineRule="exact"/>
                    <w:jc w:val="center"/>
                    <w:rPr>
                      <w:rFonts w:eastAsiaTheme="minorEastAsia"/>
                      <w:color w:val="auto"/>
                      <w:szCs w:val="21"/>
                    </w:rPr>
                  </w:pPr>
                  <w:r>
                    <w:rPr>
                      <w:rFonts w:eastAsiaTheme="minorEastAsia"/>
                      <w:color w:val="auto"/>
                      <w:szCs w:val="21"/>
                    </w:rPr>
                    <w:t>日最大8小时平均</w:t>
                  </w:r>
                </w:p>
              </w:tc>
              <w:tc>
                <w:tcPr>
                  <w:tcW w:w="1087" w:type="dxa"/>
                  <w:tcBorders>
                    <w:tl2br w:val="nil"/>
                    <w:tr2bl w:val="nil"/>
                  </w:tcBorders>
                  <w:noWrap/>
                  <w:vAlign w:val="center"/>
                </w:tcPr>
                <w:p w14:paraId="4C564A17">
                  <w:pPr>
                    <w:tabs>
                      <w:tab w:val="left" w:pos="2601"/>
                    </w:tabs>
                    <w:spacing w:line="320" w:lineRule="exact"/>
                    <w:jc w:val="center"/>
                    <w:rPr>
                      <w:rFonts w:eastAsiaTheme="minorEastAsia"/>
                      <w:color w:val="auto"/>
                      <w:szCs w:val="21"/>
                    </w:rPr>
                  </w:pPr>
                  <w:r>
                    <w:rPr>
                      <w:rFonts w:eastAsiaTheme="minorEastAsia"/>
                      <w:color w:val="auto"/>
                      <w:szCs w:val="21"/>
                    </w:rPr>
                    <w:t>160</w:t>
                  </w:r>
                  <w:r>
                    <w:rPr>
                      <w:rFonts w:eastAsiaTheme="minorEastAsia"/>
                      <w:color w:val="auto"/>
                      <w:szCs w:val="21"/>
                      <w:lang w:val="zh-CN"/>
                    </w:rPr>
                    <w:t>µg/m</w:t>
                  </w:r>
                  <w:r>
                    <w:rPr>
                      <w:rFonts w:eastAsiaTheme="minorEastAsia"/>
                      <w:color w:val="auto"/>
                      <w:szCs w:val="21"/>
                      <w:vertAlign w:val="superscript"/>
                    </w:rPr>
                    <w:t>3</w:t>
                  </w:r>
                </w:p>
              </w:tc>
              <w:tc>
                <w:tcPr>
                  <w:tcW w:w="938" w:type="dxa"/>
                  <w:tcBorders>
                    <w:tl2br w:val="nil"/>
                    <w:tr2bl w:val="nil"/>
                  </w:tcBorders>
                  <w:noWrap/>
                  <w:vAlign w:val="center"/>
                </w:tcPr>
                <w:p w14:paraId="1FB0D12D">
                  <w:pPr>
                    <w:tabs>
                      <w:tab w:val="left" w:pos="2601"/>
                    </w:tabs>
                    <w:spacing w:line="320" w:lineRule="exact"/>
                    <w:jc w:val="center"/>
                    <w:rPr>
                      <w:rFonts w:eastAsiaTheme="minorEastAsia"/>
                      <w:color w:val="auto"/>
                      <w:szCs w:val="21"/>
                      <w:lang w:val="zh-CN"/>
                    </w:rPr>
                  </w:pPr>
                  <w:r>
                    <w:rPr>
                      <w:rFonts w:eastAsiaTheme="minorEastAsia"/>
                      <w:color w:val="auto"/>
                      <w:szCs w:val="21"/>
                      <w:lang w:val="zh-CN"/>
                    </w:rPr>
                    <w:t>不达标</w:t>
                  </w:r>
                </w:p>
              </w:tc>
              <w:tc>
                <w:tcPr>
                  <w:tcW w:w="1012" w:type="dxa"/>
                  <w:tcBorders>
                    <w:tl2br w:val="nil"/>
                    <w:tr2bl w:val="nil"/>
                  </w:tcBorders>
                  <w:noWrap/>
                  <w:vAlign w:val="center"/>
                </w:tcPr>
                <w:p w14:paraId="280273F9">
                  <w:pPr>
                    <w:tabs>
                      <w:tab w:val="left" w:pos="2601"/>
                    </w:tabs>
                    <w:spacing w:line="320" w:lineRule="exact"/>
                    <w:jc w:val="center"/>
                    <w:rPr>
                      <w:rFonts w:hint="eastAsia" w:eastAsiaTheme="minorEastAsia"/>
                      <w:color w:val="auto"/>
                      <w:szCs w:val="21"/>
                      <w:lang w:val="en-US" w:eastAsia="zh-CN"/>
                    </w:rPr>
                  </w:pPr>
                  <w:r>
                    <w:rPr>
                      <w:rFonts w:hint="eastAsia" w:eastAsiaTheme="minorEastAsia"/>
                      <w:color w:val="auto"/>
                      <w:szCs w:val="21"/>
                      <w:lang w:val="en-US" w:eastAsia="zh-CN"/>
                    </w:rPr>
                    <w:t>101.88%</w:t>
                  </w:r>
                </w:p>
              </w:tc>
            </w:tr>
          </w:tbl>
          <w:p w14:paraId="7A0950AC">
            <w:pPr>
              <w:pStyle w:val="29"/>
              <w:adjustRightInd/>
              <w:snapToGrid/>
              <w:spacing w:line="360" w:lineRule="auto"/>
              <w:ind w:firstLine="600" w:firstLineChars="250"/>
              <w:rPr>
                <w:rFonts w:hAnsi="Times New Roman" w:eastAsiaTheme="minorEastAsia"/>
                <w:color w:val="auto"/>
                <w:sz w:val="24"/>
                <w:szCs w:val="24"/>
              </w:rPr>
            </w:pPr>
            <w:r>
              <w:rPr>
                <w:rFonts w:hAnsi="Times New Roman" w:eastAsiaTheme="minorEastAsia"/>
                <w:color w:val="auto"/>
                <w:sz w:val="24"/>
                <w:szCs w:val="24"/>
                <w:lang w:val="en-US"/>
              </w:rPr>
              <w:t>从表3-1中可以看出，</w:t>
            </w:r>
            <w:r>
              <w:rPr>
                <w:rFonts w:hAnsi="Times New Roman" w:eastAsiaTheme="minorEastAsia"/>
                <w:color w:val="auto"/>
                <w:sz w:val="24"/>
                <w:szCs w:val="24"/>
              </w:rPr>
              <w:t>西咸新区环境空气中SO</w:t>
            </w:r>
            <w:r>
              <w:rPr>
                <w:rFonts w:hAnsi="Times New Roman" w:eastAsiaTheme="minorEastAsia"/>
                <w:color w:val="auto"/>
                <w:sz w:val="24"/>
                <w:szCs w:val="24"/>
                <w:vertAlign w:val="subscript"/>
              </w:rPr>
              <w:t>2</w:t>
            </w:r>
            <w:r>
              <w:rPr>
                <w:rFonts w:hAnsi="Times New Roman" w:eastAsiaTheme="minorEastAsia"/>
                <w:color w:val="auto"/>
                <w:sz w:val="24"/>
                <w:szCs w:val="24"/>
              </w:rPr>
              <w:t>、NO</w:t>
            </w:r>
            <w:r>
              <w:rPr>
                <w:rFonts w:hAnsi="Times New Roman" w:eastAsiaTheme="minorEastAsia"/>
                <w:color w:val="auto"/>
                <w:sz w:val="24"/>
                <w:szCs w:val="24"/>
                <w:vertAlign w:val="subscript"/>
              </w:rPr>
              <w:t>2</w:t>
            </w:r>
            <w:r>
              <w:rPr>
                <w:rFonts w:hAnsi="Times New Roman" w:eastAsiaTheme="minorEastAsia"/>
                <w:color w:val="auto"/>
                <w:sz w:val="24"/>
                <w:szCs w:val="24"/>
              </w:rPr>
              <w:t>年平均质量浓度和CO第95百分位数日平均质量浓度均可达到《环境空气质量标准》（GB3095-2012）及其修改单中二级标准要求；PM</w:t>
            </w:r>
            <w:r>
              <w:rPr>
                <w:rFonts w:hAnsi="Times New Roman" w:eastAsiaTheme="minorEastAsia"/>
                <w:color w:val="auto"/>
                <w:sz w:val="24"/>
                <w:szCs w:val="24"/>
                <w:vertAlign w:val="subscript"/>
              </w:rPr>
              <w:t>10</w:t>
            </w:r>
            <w:r>
              <w:rPr>
                <w:rFonts w:hAnsi="Times New Roman" w:eastAsiaTheme="minorEastAsia"/>
                <w:color w:val="auto"/>
                <w:sz w:val="24"/>
                <w:szCs w:val="24"/>
              </w:rPr>
              <w:t>、PM</w:t>
            </w:r>
            <w:r>
              <w:rPr>
                <w:rFonts w:hAnsi="Times New Roman" w:eastAsiaTheme="minorEastAsia"/>
                <w:color w:val="auto"/>
                <w:sz w:val="24"/>
                <w:szCs w:val="24"/>
                <w:vertAlign w:val="subscript"/>
              </w:rPr>
              <w:t>2.5</w:t>
            </w:r>
            <w:r>
              <w:rPr>
                <w:rFonts w:hAnsi="Times New Roman" w:eastAsiaTheme="minorEastAsia"/>
                <w:color w:val="auto"/>
                <w:sz w:val="24"/>
                <w:szCs w:val="24"/>
              </w:rPr>
              <w:t>年平均质量浓度、O</w:t>
            </w:r>
            <w:r>
              <w:rPr>
                <w:rFonts w:hAnsi="Times New Roman" w:eastAsiaTheme="minorEastAsia"/>
                <w:color w:val="auto"/>
                <w:sz w:val="24"/>
                <w:szCs w:val="24"/>
                <w:vertAlign w:val="subscript"/>
              </w:rPr>
              <w:t>3</w:t>
            </w:r>
            <w:r>
              <w:rPr>
                <w:rFonts w:hAnsi="Times New Roman" w:eastAsiaTheme="minorEastAsia"/>
                <w:color w:val="auto"/>
                <w:sz w:val="24"/>
                <w:szCs w:val="24"/>
              </w:rPr>
              <w:t>第90百分位数日最大8小时平均质量浓度超出《环境空气质量标准》（GB3095-2012）及其修改单中二级标准要求。因此，项目所在评价区域为不达标区。</w:t>
            </w:r>
          </w:p>
          <w:p w14:paraId="35DAC0F4">
            <w:pPr>
              <w:numPr>
                <w:ilvl w:val="0"/>
                <w:numId w:val="3"/>
              </w:numPr>
              <w:spacing w:line="360" w:lineRule="auto"/>
              <w:ind w:firstLine="480" w:firstLineChars="200"/>
              <w:rPr>
                <w:rFonts w:eastAsiaTheme="minorEastAsia"/>
                <w:color w:val="auto"/>
                <w:sz w:val="24"/>
              </w:rPr>
            </w:pPr>
            <w:r>
              <w:rPr>
                <w:rFonts w:eastAsiaTheme="minorEastAsia"/>
                <w:color w:val="auto"/>
                <w:sz w:val="24"/>
              </w:rPr>
              <w:t>其他污染物环境质量现状</w:t>
            </w:r>
          </w:p>
          <w:p w14:paraId="47418679">
            <w:pPr>
              <w:widowControl/>
              <w:spacing w:line="360" w:lineRule="auto"/>
              <w:ind w:firstLine="480" w:firstLineChars="200"/>
              <w:jc w:val="left"/>
              <w:rPr>
                <w:rFonts w:eastAsiaTheme="minorEastAsia"/>
                <w:color w:val="auto"/>
                <w:sz w:val="24"/>
              </w:rPr>
            </w:pPr>
            <w:r>
              <w:rPr>
                <w:rFonts w:eastAsiaTheme="minorEastAsia"/>
                <w:color w:val="auto"/>
                <w:sz w:val="24"/>
              </w:rPr>
              <w:t>为了解项目所在地区环境空气中特征因子NMHC</w:t>
            </w:r>
            <w:r>
              <w:rPr>
                <w:rFonts w:hint="eastAsia" w:eastAsiaTheme="minorEastAsia"/>
                <w:color w:val="auto"/>
                <w:sz w:val="24"/>
              </w:rPr>
              <w:t>、TSP</w:t>
            </w:r>
            <w:r>
              <w:rPr>
                <w:rFonts w:eastAsiaTheme="minorEastAsia"/>
                <w:color w:val="auto"/>
                <w:sz w:val="24"/>
              </w:rPr>
              <w:t>现状，特委托陕西凯伟胜检测技术服务有限公司对项目地环境空气中的NMHC</w:t>
            </w:r>
            <w:r>
              <w:rPr>
                <w:rFonts w:hint="eastAsia" w:eastAsiaTheme="minorEastAsia"/>
                <w:color w:val="auto"/>
                <w:sz w:val="24"/>
              </w:rPr>
              <w:t>、TSP</w:t>
            </w:r>
            <w:r>
              <w:rPr>
                <w:rFonts w:eastAsiaTheme="minorEastAsia"/>
                <w:color w:val="auto"/>
                <w:sz w:val="24"/>
              </w:rPr>
              <w:t>进行监测。</w:t>
            </w:r>
          </w:p>
          <w:p w14:paraId="0945F60E">
            <w:pPr>
              <w:spacing w:line="360" w:lineRule="auto"/>
              <w:ind w:firstLine="480"/>
              <w:rPr>
                <w:rFonts w:eastAsiaTheme="minorEastAsia"/>
                <w:color w:val="auto"/>
                <w:sz w:val="24"/>
              </w:rPr>
            </w:pPr>
            <w:r>
              <w:rPr>
                <w:rFonts w:eastAsiaTheme="minorEastAsia"/>
                <w:color w:val="auto"/>
                <w:sz w:val="24"/>
              </w:rPr>
              <w:t>监测因子：NMHC</w:t>
            </w:r>
            <w:r>
              <w:rPr>
                <w:rFonts w:hint="eastAsia" w:eastAsiaTheme="minorEastAsia"/>
                <w:color w:val="auto"/>
                <w:sz w:val="24"/>
              </w:rPr>
              <w:t>、TSP</w:t>
            </w:r>
          </w:p>
          <w:p w14:paraId="7DE7E7E1">
            <w:pPr>
              <w:spacing w:line="360" w:lineRule="auto"/>
              <w:ind w:firstLine="480"/>
              <w:rPr>
                <w:rFonts w:eastAsiaTheme="minorEastAsia"/>
                <w:color w:val="auto"/>
                <w:sz w:val="24"/>
              </w:rPr>
            </w:pPr>
            <w:r>
              <w:rPr>
                <w:rFonts w:eastAsiaTheme="minorEastAsia"/>
                <w:color w:val="auto"/>
                <w:sz w:val="24"/>
              </w:rPr>
              <w:t>监测时间：2023年</w:t>
            </w:r>
            <w:r>
              <w:rPr>
                <w:rFonts w:hint="eastAsia" w:eastAsiaTheme="minorEastAsia"/>
                <w:color w:val="auto"/>
                <w:sz w:val="24"/>
              </w:rPr>
              <w:t>10</w:t>
            </w:r>
            <w:r>
              <w:rPr>
                <w:rFonts w:eastAsiaTheme="minorEastAsia"/>
                <w:color w:val="auto"/>
                <w:sz w:val="24"/>
              </w:rPr>
              <w:t>月</w:t>
            </w:r>
            <w:r>
              <w:rPr>
                <w:rFonts w:hint="eastAsia" w:eastAsiaTheme="minorEastAsia"/>
                <w:color w:val="auto"/>
                <w:sz w:val="24"/>
              </w:rPr>
              <w:t>14</w:t>
            </w:r>
            <w:r>
              <w:rPr>
                <w:rFonts w:eastAsiaTheme="minorEastAsia"/>
                <w:color w:val="auto"/>
                <w:sz w:val="24"/>
              </w:rPr>
              <w:t>日-</w:t>
            </w:r>
            <w:r>
              <w:rPr>
                <w:rFonts w:hint="eastAsia" w:eastAsiaTheme="minorEastAsia"/>
                <w:color w:val="auto"/>
                <w:sz w:val="24"/>
              </w:rPr>
              <w:t>10</w:t>
            </w:r>
            <w:r>
              <w:rPr>
                <w:rFonts w:eastAsiaTheme="minorEastAsia"/>
                <w:color w:val="auto"/>
                <w:sz w:val="24"/>
              </w:rPr>
              <w:t>月</w:t>
            </w:r>
            <w:r>
              <w:rPr>
                <w:rFonts w:hint="eastAsia" w:eastAsiaTheme="minorEastAsia"/>
                <w:color w:val="auto"/>
                <w:sz w:val="24"/>
              </w:rPr>
              <w:t>17</w:t>
            </w:r>
            <w:r>
              <w:rPr>
                <w:rFonts w:eastAsiaTheme="minorEastAsia"/>
                <w:color w:val="auto"/>
                <w:sz w:val="24"/>
              </w:rPr>
              <w:t>日</w:t>
            </w:r>
          </w:p>
          <w:p w14:paraId="7E16074B">
            <w:pPr>
              <w:spacing w:line="360" w:lineRule="auto"/>
              <w:ind w:firstLine="480"/>
              <w:rPr>
                <w:rFonts w:eastAsiaTheme="minorEastAsia"/>
                <w:color w:val="auto"/>
                <w:sz w:val="24"/>
              </w:rPr>
            </w:pPr>
            <w:r>
              <w:rPr>
                <w:rFonts w:eastAsiaTheme="minorEastAsia"/>
                <w:color w:val="auto"/>
                <w:sz w:val="24"/>
              </w:rPr>
              <w:t>监测委托单位：陕西凯伟胜检测技术服务有限公司</w:t>
            </w:r>
          </w:p>
          <w:p w14:paraId="72167985">
            <w:pPr>
              <w:spacing w:line="360" w:lineRule="auto"/>
              <w:ind w:firstLine="480"/>
              <w:rPr>
                <w:rFonts w:eastAsiaTheme="minorEastAsia"/>
                <w:color w:val="auto"/>
                <w:sz w:val="24"/>
              </w:rPr>
            </w:pPr>
            <w:r>
              <w:rPr>
                <w:rFonts w:hint="eastAsia" w:eastAsiaTheme="minorEastAsia"/>
                <w:color w:val="auto"/>
                <w:sz w:val="24"/>
              </w:rPr>
              <w:t>监测点位：监测点位如下图所示。</w:t>
            </w:r>
          </w:p>
          <w:p w14:paraId="40132D03">
            <w:pPr>
              <w:pStyle w:val="19"/>
              <w:ind w:left="0" w:leftChars="0" w:firstLine="0"/>
              <w:jc w:val="center"/>
              <w:rPr>
                <w:color w:val="auto"/>
              </w:rPr>
            </w:pPr>
            <w:r>
              <w:rPr>
                <w:color w:val="auto"/>
              </w:rPr>
              <w:drawing>
                <wp:inline distT="0" distB="0" distL="0" distR="0">
                  <wp:extent cx="4224020" cy="1903095"/>
                  <wp:effectExtent l="0" t="0" r="508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4"/>
                          <a:stretch>
                            <a:fillRect/>
                          </a:stretch>
                        </pic:blipFill>
                        <pic:spPr>
                          <a:xfrm>
                            <a:off x="0" y="0"/>
                            <a:ext cx="4224020" cy="1903095"/>
                          </a:xfrm>
                          <a:prstGeom prst="rect">
                            <a:avLst/>
                          </a:prstGeom>
                        </pic:spPr>
                      </pic:pic>
                    </a:graphicData>
                  </a:graphic>
                </wp:inline>
              </w:drawing>
            </w:r>
          </w:p>
          <w:p w14:paraId="3B670D99">
            <w:pPr>
              <w:spacing w:before="240" w:beforeLines="100" w:after="240" w:afterLines="100"/>
              <w:jc w:val="center"/>
              <w:rPr>
                <w:rFonts w:eastAsiaTheme="minorEastAsia"/>
                <w:b/>
                <w:bCs/>
                <w:color w:val="auto"/>
                <w:szCs w:val="21"/>
              </w:rPr>
            </w:pPr>
            <w:r>
              <w:rPr>
                <w:rFonts w:hint="eastAsia" w:eastAsiaTheme="minorEastAsia"/>
                <w:b/>
                <w:bCs/>
                <w:color w:val="auto"/>
                <w:szCs w:val="21"/>
              </w:rPr>
              <w:t>图3-1  监测点位置示意图</w:t>
            </w:r>
          </w:p>
          <w:p w14:paraId="50EDBB2E">
            <w:pPr>
              <w:spacing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fldChar w:fldCharType="begin"/>
            </w:r>
            <w:r>
              <w:rPr>
                <w:rFonts w:ascii="Times New Roman" w:hAnsi="Times New Roman" w:cs="Times New Roman" w:eastAsiaTheme="minorEastAsia"/>
                <w:color w:val="auto"/>
                <w:sz w:val="24"/>
              </w:rPr>
              <w:instrText xml:space="preserve"> = 1 \* GB3 </w:instrText>
            </w:r>
            <w:r>
              <w:rPr>
                <w:rFonts w:ascii="Times New Roman" w:hAnsi="Times New Roman" w:cs="Times New Roman" w:eastAsiaTheme="minorEastAsia"/>
                <w:color w:val="auto"/>
                <w:sz w:val="24"/>
              </w:rPr>
              <w:fldChar w:fldCharType="separate"/>
            </w:r>
            <w:r>
              <w:rPr>
                <w:rFonts w:hint="eastAsia" w:ascii="Times New Roman" w:hAnsi="Times New Roman" w:cs="Times New Roman" w:eastAsiaTheme="minorEastAsia"/>
                <w:color w:val="auto"/>
                <w:sz w:val="24"/>
              </w:rPr>
              <w:t>①</w:t>
            </w:r>
            <w:r>
              <w:rPr>
                <w:rFonts w:ascii="Times New Roman" w:hAnsi="Times New Roman" w:cs="Times New Roman" w:eastAsiaTheme="minorEastAsia"/>
                <w:color w:val="auto"/>
                <w:sz w:val="24"/>
              </w:rPr>
              <w:fldChar w:fldCharType="end"/>
            </w:r>
            <w:r>
              <w:rPr>
                <w:rFonts w:ascii="Times New Roman" w:hAnsi="Times New Roman" w:cs="Times New Roman" w:eastAsiaTheme="minorEastAsia"/>
                <w:color w:val="auto"/>
                <w:sz w:val="24"/>
              </w:rPr>
              <w:t>非甲烷总烃</w:t>
            </w:r>
          </w:p>
          <w:p w14:paraId="6210AF89">
            <w:pPr>
              <w:spacing w:line="360" w:lineRule="auto"/>
              <w:ind w:firstLine="48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监测频次：4次/天，共3天</w:t>
            </w:r>
          </w:p>
          <w:p w14:paraId="39623BCF">
            <w:pPr>
              <w:jc w:val="center"/>
              <w:rPr>
                <w:rFonts w:eastAsiaTheme="minorEastAsia"/>
                <w:b/>
                <w:bCs/>
                <w:color w:val="auto"/>
                <w:szCs w:val="21"/>
              </w:rPr>
            </w:pPr>
            <w:r>
              <w:rPr>
                <w:rFonts w:eastAsiaTheme="minorEastAsia"/>
                <w:b/>
                <w:bCs/>
                <w:color w:val="auto"/>
                <w:szCs w:val="21"/>
              </w:rPr>
              <w:t xml:space="preserve">表3-2 </w:t>
            </w:r>
            <w:r>
              <w:rPr>
                <w:rFonts w:hint="eastAsia" w:eastAsiaTheme="minorEastAsia"/>
                <w:b/>
                <w:bCs/>
                <w:color w:val="auto"/>
                <w:szCs w:val="21"/>
              </w:rPr>
              <w:t xml:space="preserve"> </w:t>
            </w:r>
            <w:r>
              <w:rPr>
                <w:rFonts w:eastAsiaTheme="minorEastAsia"/>
                <w:b/>
                <w:bCs/>
                <w:color w:val="auto"/>
                <w:szCs w:val="21"/>
              </w:rPr>
              <w:t>NMHC环境质量现状监测表（单位：</w:t>
            </w:r>
            <w:r>
              <w:rPr>
                <w:rFonts w:hint="eastAsia" w:eastAsiaTheme="minorEastAsia"/>
                <w:b/>
                <w:bCs/>
                <w:color w:val="auto"/>
                <w:szCs w:val="21"/>
              </w:rPr>
              <w:t>m</w:t>
            </w:r>
            <w:r>
              <w:rPr>
                <w:rFonts w:eastAsiaTheme="minorEastAsia"/>
                <w:b/>
                <w:bCs/>
                <w:color w:val="auto"/>
                <w:szCs w:val="21"/>
              </w:rPr>
              <w:t>g/m</w:t>
            </w:r>
            <w:r>
              <w:rPr>
                <w:rFonts w:eastAsiaTheme="minorEastAsia"/>
                <w:b/>
                <w:bCs/>
                <w:color w:val="auto"/>
                <w:szCs w:val="21"/>
                <w:vertAlign w:val="superscript"/>
              </w:rPr>
              <w:t>3</w:t>
            </w:r>
            <w:r>
              <w:rPr>
                <w:rFonts w:eastAsiaTheme="minorEastAsia"/>
                <w:b/>
                <w:bCs/>
                <w:color w:val="auto"/>
                <w:szCs w:val="21"/>
              </w:rPr>
              <w:t>）</w:t>
            </w:r>
          </w:p>
          <w:tbl>
            <w:tblPr>
              <w:tblStyle w:val="21"/>
              <w:tblW w:w="76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195"/>
              <w:gridCol w:w="788"/>
              <w:gridCol w:w="661"/>
              <w:gridCol w:w="673"/>
              <w:gridCol w:w="744"/>
              <w:gridCol w:w="643"/>
              <w:gridCol w:w="666"/>
            </w:tblGrid>
            <w:tr w14:paraId="37164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268" w:type="dxa"/>
                  <w:vMerge w:val="restart"/>
                  <w:tcBorders>
                    <w:tl2br w:val="nil"/>
                    <w:tr2bl w:val="nil"/>
                  </w:tcBorders>
                  <w:vAlign w:val="center"/>
                </w:tcPr>
                <w:p w14:paraId="7622A56B">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eastAsiaTheme="minorEastAsia"/>
                      <w:b/>
                      <w:bCs/>
                      <w:color w:val="auto"/>
                      <w:sz w:val="21"/>
                      <w:szCs w:val="21"/>
                    </w:rPr>
                    <w:t>采样时间</w:t>
                  </w:r>
                </w:p>
              </w:tc>
              <w:tc>
                <w:tcPr>
                  <w:tcW w:w="1195" w:type="dxa"/>
                  <w:vMerge w:val="restart"/>
                  <w:tcBorders>
                    <w:tl2br w:val="nil"/>
                    <w:tr2bl w:val="nil"/>
                  </w:tcBorders>
                  <w:vAlign w:val="center"/>
                </w:tcPr>
                <w:p w14:paraId="3EEA7E87">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hint="eastAsia" w:eastAsiaTheme="minorEastAsia"/>
                      <w:b/>
                      <w:bCs/>
                      <w:color w:val="auto"/>
                      <w:sz w:val="21"/>
                      <w:szCs w:val="21"/>
                    </w:rPr>
                    <w:t>项目地</w:t>
                  </w:r>
                </w:p>
              </w:tc>
              <w:tc>
                <w:tcPr>
                  <w:tcW w:w="2866" w:type="dxa"/>
                  <w:gridSpan w:val="4"/>
                  <w:tcBorders>
                    <w:tl2br w:val="nil"/>
                    <w:tr2bl w:val="nil"/>
                  </w:tcBorders>
                  <w:vAlign w:val="center"/>
                </w:tcPr>
                <w:p w14:paraId="32174B9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eastAsiaTheme="minorEastAsia"/>
                      <w:b/>
                      <w:bCs/>
                      <w:color w:val="auto"/>
                      <w:sz w:val="21"/>
                      <w:szCs w:val="21"/>
                    </w:rPr>
                    <w:t>监测频次</w:t>
                  </w:r>
                </w:p>
              </w:tc>
              <w:tc>
                <w:tcPr>
                  <w:tcW w:w="643" w:type="dxa"/>
                  <w:vMerge w:val="restart"/>
                  <w:tcBorders>
                    <w:tl2br w:val="nil"/>
                    <w:tr2bl w:val="nil"/>
                  </w:tcBorders>
                  <w:vAlign w:val="center"/>
                </w:tcPr>
                <w:p w14:paraId="7B83E749">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hint="eastAsia" w:eastAsiaTheme="minorEastAsia"/>
                      <w:b/>
                      <w:bCs/>
                      <w:color w:val="auto"/>
                      <w:sz w:val="21"/>
                      <w:szCs w:val="21"/>
                    </w:rPr>
                    <w:t>平均值</w:t>
                  </w:r>
                </w:p>
              </w:tc>
              <w:tc>
                <w:tcPr>
                  <w:tcW w:w="666" w:type="dxa"/>
                  <w:vMerge w:val="restart"/>
                  <w:tcBorders>
                    <w:tl2br w:val="nil"/>
                    <w:tr2bl w:val="nil"/>
                  </w:tcBorders>
                  <w:vAlign w:val="center"/>
                </w:tcPr>
                <w:p w14:paraId="04A7FF2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eastAsiaTheme="minorEastAsia"/>
                      <w:b/>
                      <w:bCs/>
                      <w:color w:val="auto"/>
                      <w:sz w:val="21"/>
                      <w:szCs w:val="21"/>
                    </w:rPr>
                    <w:t>标准值</w:t>
                  </w:r>
                </w:p>
              </w:tc>
            </w:tr>
            <w:tr w14:paraId="628C1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68" w:type="dxa"/>
                  <w:vMerge w:val="continue"/>
                  <w:tcBorders>
                    <w:tl2br w:val="nil"/>
                    <w:tr2bl w:val="nil"/>
                  </w:tcBorders>
                  <w:vAlign w:val="center"/>
                </w:tcPr>
                <w:p w14:paraId="60711F28">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p>
              </w:tc>
              <w:tc>
                <w:tcPr>
                  <w:tcW w:w="1195" w:type="dxa"/>
                  <w:vMerge w:val="continue"/>
                  <w:tcBorders>
                    <w:tl2br w:val="nil"/>
                    <w:tr2bl w:val="nil"/>
                  </w:tcBorders>
                  <w:vAlign w:val="center"/>
                </w:tcPr>
                <w:p w14:paraId="67B2DB80">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p>
              </w:tc>
              <w:tc>
                <w:tcPr>
                  <w:tcW w:w="788" w:type="dxa"/>
                  <w:tcBorders>
                    <w:tl2br w:val="nil"/>
                    <w:tr2bl w:val="nil"/>
                  </w:tcBorders>
                  <w:vAlign w:val="center"/>
                </w:tcPr>
                <w:p w14:paraId="4D2DFEFB">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eastAsiaTheme="minorEastAsia"/>
                      <w:b/>
                      <w:bCs/>
                      <w:color w:val="auto"/>
                      <w:sz w:val="21"/>
                      <w:szCs w:val="21"/>
                    </w:rPr>
                    <w:t>第一次</w:t>
                  </w:r>
                </w:p>
              </w:tc>
              <w:tc>
                <w:tcPr>
                  <w:tcW w:w="661" w:type="dxa"/>
                  <w:tcBorders>
                    <w:tl2br w:val="nil"/>
                    <w:tr2bl w:val="nil"/>
                  </w:tcBorders>
                  <w:vAlign w:val="center"/>
                </w:tcPr>
                <w:p w14:paraId="2E43368A">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eastAsiaTheme="minorEastAsia"/>
                      <w:b/>
                      <w:bCs/>
                      <w:color w:val="auto"/>
                      <w:sz w:val="21"/>
                      <w:szCs w:val="21"/>
                    </w:rPr>
                    <w:t>第二次</w:t>
                  </w:r>
                </w:p>
              </w:tc>
              <w:tc>
                <w:tcPr>
                  <w:tcW w:w="673" w:type="dxa"/>
                  <w:tcBorders>
                    <w:tl2br w:val="nil"/>
                    <w:tr2bl w:val="nil"/>
                  </w:tcBorders>
                  <w:vAlign w:val="center"/>
                </w:tcPr>
                <w:p w14:paraId="60587F65">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eastAsiaTheme="minorEastAsia"/>
                      <w:b/>
                      <w:bCs/>
                      <w:color w:val="auto"/>
                      <w:sz w:val="21"/>
                      <w:szCs w:val="21"/>
                    </w:rPr>
                    <w:t>第三次</w:t>
                  </w:r>
                </w:p>
              </w:tc>
              <w:tc>
                <w:tcPr>
                  <w:tcW w:w="744" w:type="dxa"/>
                  <w:tcBorders>
                    <w:tl2br w:val="nil"/>
                    <w:tr2bl w:val="nil"/>
                  </w:tcBorders>
                  <w:vAlign w:val="center"/>
                </w:tcPr>
                <w:p w14:paraId="3089F284">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bCs/>
                      <w:color w:val="auto"/>
                      <w:sz w:val="21"/>
                      <w:szCs w:val="21"/>
                    </w:rPr>
                  </w:pPr>
                  <w:r>
                    <w:rPr>
                      <w:rFonts w:eastAsiaTheme="minorEastAsia"/>
                      <w:b/>
                      <w:bCs/>
                      <w:color w:val="auto"/>
                      <w:sz w:val="21"/>
                      <w:szCs w:val="21"/>
                    </w:rPr>
                    <w:t>第四次</w:t>
                  </w:r>
                </w:p>
              </w:tc>
              <w:tc>
                <w:tcPr>
                  <w:tcW w:w="643" w:type="dxa"/>
                  <w:vMerge w:val="continue"/>
                  <w:tcBorders>
                    <w:tl2br w:val="nil"/>
                    <w:tr2bl w:val="nil"/>
                  </w:tcBorders>
                  <w:vAlign w:val="center"/>
                </w:tcPr>
                <w:p w14:paraId="59FE9350">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c>
                <w:tcPr>
                  <w:tcW w:w="666" w:type="dxa"/>
                  <w:vMerge w:val="continue"/>
                  <w:tcBorders>
                    <w:tl2br w:val="nil"/>
                    <w:tr2bl w:val="nil"/>
                  </w:tcBorders>
                  <w:vAlign w:val="center"/>
                </w:tcPr>
                <w:p w14:paraId="0C5D9C76">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r>
            <w:tr w14:paraId="343FF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268" w:type="dxa"/>
                  <w:tcBorders>
                    <w:tl2br w:val="nil"/>
                    <w:tr2bl w:val="nil"/>
                  </w:tcBorders>
                  <w:vAlign w:val="center"/>
                </w:tcPr>
                <w:p w14:paraId="585EE7B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2023.</w:t>
                  </w:r>
                  <w:r>
                    <w:rPr>
                      <w:rFonts w:hint="eastAsia" w:eastAsiaTheme="minorEastAsia"/>
                      <w:color w:val="auto"/>
                      <w:sz w:val="21"/>
                      <w:szCs w:val="21"/>
                    </w:rPr>
                    <w:t>10</w:t>
                  </w:r>
                  <w:r>
                    <w:rPr>
                      <w:rFonts w:eastAsiaTheme="minorEastAsia"/>
                      <w:color w:val="auto"/>
                      <w:sz w:val="21"/>
                      <w:szCs w:val="21"/>
                    </w:rPr>
                    <w:t>.</w:t>
                  </w:r>
                  <w:r>
                    <w:rPr>
                      <w:rFonts w:hint="eastAsia" w:eastAsiaTheme="minorEastAsia"/>
                      <w:color w:val="auto"/>
                      <w:sz w:val="21"/>
                      <w:szCs w:val="21"/>
                    </w:rPr>
                    <w:t>14~</w:t>
                  </w:r>
                  <w:r>
                    <w:rPr>
                      <w:rFonts w:eastAsiaTheme="minorEastAsia"/>
                      <w:color w:val="auto"/>
                      <w:sz w:val="21"/>
                      <w:szCs w:val="21"/>
                    </w:rPr>
                    <w:t>2023.</w:t>
                  </w:r>
                  <w:r>
                    <w:rPr>
                      <w:rFonts w:hint="eastAsia" w:eastAsiaTheme="minorEastAsia"/>
                      <w:color w:val="auto"/>
                      <w:sz w:val="21"/>
                      <w:szCs w:val="21"/>
                    </w:rPr>
                    <w:t>10</w:t>
                  </w:r>
                  <w:r>
                    <w:rPr>
                      <w:rFonts w:eastAsiaTheme="minorEastAsia"/>
                      <w:color w:val="auto"/>
                      <w:sz w:val="21"/>
                      <w:szCs w:val="21"/>
                    </w:rPr>
                    <w:t>.</w:t>
                  </w:r>
                  <w:r>
                    <w:rPr>
                      <w:rFonts w:hint="eastAsia" w:eastAsiaTheme="minorEastAsia"/>
                      <w:color w:val="auto"/>
                      <w:sz w:val="21"/>
                      <w:szCs w:val="21"/>
                    </w:rPr>
                    <w:t>15</w:t>
                  </w:r>
                </w:p>
              </w:tc>
              <w:tc>
                <w:tcPr>
                  <w:tcW w:w="1195" w:type="dxa"/>
                  <w:vMerge w:val="restart"/>
                  <w:tcBorders>
                    <w:tl2br w:val="nil"/>
                    <w:tr2bl w:val="nil"/>
                  </w:tcBorders>
                  <w:vAlign w:val="center"/>
                </w:tcPr>
                <w:p w14:paraId="02E845B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北纬：34°</w:t>
                  </w:r>
                  <w:r>
                    <w:rPr>
                      <w:rFonts w:hint="eastAsia" w:eastAsiaTheme="minorEastAsia"/>
                      <w:color w:val="auto"/>
                      <w:sz w:val="21"/>
                      <w:szCs w:val="21"/>
                    </w:rPr>
                    <w:t>11</w:t>
                  </w:r>
                  <w:r>
                    <w:rPr>
                      <w:rFonts w:eastAsiaTheme="minorEastAsia"/>
                      <w:color w:val="auto"/>
                      <w:sz w:val="21"/>
                      <w:szCs w:val="21"/>
                    </w:rPr>
                    <w:t>′</w:t>
                  </w:r>
                  <w:r>
                    <w:rPr>
                      <w:rFonts w:hint="eastAsia" w:eastAsiaTheme="minorEastAsia"/>
                      <w:color w:val="auto"/>
                      <w:sz w:val="21"/>
                      <w:szCs w:val="21"/>
                    </w:rPr>
                    <w:t>19</w:t>
                  </w:r>
                  <w:r>
                    <w:rPr>
                      <w:rFonts w:eastAsiaTheme="minorEastAsia"/>
                      <w:color w:val="auto"/>
                      <w:sz w:val="21"/>
                      <w:szCs w:val="21"/>
                    </w:rPr>
                    <w:t>″</w:t>
                  </w:r>
                </w:p>
                <w:p w14:paraId="6A94F547">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东经：108°</w:t>
                  </w:r>
                  <w:r>
                    <w:rPr>
                      <w:rFonts w:hint="eastAsia" w:eastAsiaTheme="minorEastAsia"/>
                      <w:color w:val="auto"/>
                      <w:sz w:val="21"/>
                      <w:szCs w:val="21"/>
                    </w:rPr>
                    <w:t>37</w:t>
                  </w:r>
                  <w:r>
                    <w:rPr>
                      <w:rFonts w:eastAsiaTheme="minorEastAsia"/>
                      <w:color w:val="auto"/>
                      <w:sz w:val="21"/>
                      <w:szCs w:val="21"/>
                    </w:rPr>
                    <w:t>′</w:t>
                  </w:r>
                  <w:r>
                    <w:rPr>
                      <w:rFonts w:hint="eastAsia" w:eastAsiaTheme="minorEastAsia"/>
                      <w:color w:val="auto"/>
                      <w:sz w:val="21"/>
                      <w:szCs w:val="21"/>
                    </w:rPr>
                    <w:t>40</w:t>
                  </w:r>
                  <w:r>
                    <w:rPr>
                      <w:rFonts w:eastAsiaTheme="minorEastAsia"/>
                      <w:color w:val="auto"/>
                      <w:sz w:val="21"/>
                      <w:szCs w:val="21"/>
                    </w:rPr>
                    <w:t>″</w:t>
                  </w:r>
                </w:p>
              </w:tc>
              <w:tc>
                <w:tcPr>
                  <w:tcW w:w="788" w:type="dxa"/>
                  <w:tcBorders>
                    <w:tl2br w:val="nil"/>
                    <w:tr2bl w:val="nil"/>
                  </w:tcBorders>
                  <w:vAlign w:val="center"/>
                </w:tcPr>
                <w:p w14:paraId="032AEC51">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1.12</w:t>
                  </w:r>
                </w:p>
              </w:tc>
              <w:tc>
                <w:tcPr>
                  <w:tcW w:w="661" w:type="dxa"/>
                  <w:tcBorders>
                    <w:tl2br w:val="nil"/>
                    <w:tr2bl w:val="nil"/>
                  </w:tcBorders>
                  <w:vAlign w:val="center"/>
                </w:tcPr>
                <w:p w14:paraId="5B1AB4A2">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1.37</w:t>
                  </w:r>
                </w:p>
              </w:tc>
              <w:tc>
                <w:tcPr>
                  <w:tcW w:w="673" w:type="dxa"/>
                  <w:tcBorders>
                    <w:tl2br w:val="nil"/>
                    <w:tr2bl w:val="nil"/>
                  </w:tcBorders>
                  <w:vAlign w:val="center"/>
                </w:tcPr>
                <w:p w14:paraId="04CF64F2">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1.34</w:t>
                  </w:r>
                </w:p>
              </w:tc>
              <w:tc>
                <w:tcPr>
                  <w:tcW w:w="744" w:type="dxa"/>
                  <w:tcBorders>
                    <w:tl2br w:val="nil"/>
                    <w:tr2bl w:val="nil"/>
                  </w:tcBorders>
                  <w:vAlign w:val="center"/>
                </w:tcPr>
                <w:p w14:paraId="6CBA2DA9">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1.61</w:t>
                  </w:r>
                </w:p>
              </w:tc>
              <w:tc>
                <w:tcPr>
                  <w:tcW w:w="643" w:type="dxa"/>
                  <w:tcBorders>
                    <w:tl2br w:val="nil"/>
                    <w:tr2bl w:val="nil"/>
                  </w:tcBorders>
                  <w:vAlign w:val="center"/>
                </w:tcPr>
                <w:p w14:paraId="7212FF1A">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1.36</w:t>
                  </w:r>
                </w:p>
              </w:tc>
              <w:tc>
                <w:tcPr>
                  <w:tcW w:w="666" w:type="dxa"/>
                  <w:vMerge w:val="restart"/>
                  <w:tcBorders>
                    <w:tl2br w:val="nil"/>
                    <w:tr2bl w:val="nil"/>
                  </w:tcBorders>
                  <w:vAlign w:val="center"/>
                </w:tcPr>
                <w:p w14:paraId="2DAE1245">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2.0</w:t>
                  </w:r>
                </w:p>
              </w:tc>
            </w:tr>
            <w:tr w14:paraId="54097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268" w:type="dxa"/>
                  <w:tcBorders>
                    <w:tl2br w:val="nil"/>
                    <w:tr2bl w:val="nil"/>
                  </w:tcBorders>
                  <w:vAlign w:val="center"/>
                </w:tcPr>
                <w:p w14:paraId="356CD72D">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2023.</w:t>
                  </w:r>
                  <w:r>
                    <w:rPr>
                      <w:rFonts w:hint="eastAsia" w:eastAsiaTheme="minorEastAsia"/>
                      <w:color w:val="auto"/>
                      <w:sz w:val="21"/>
                      <w:szCs w:val="21"/>
                    </w:rPr>
                    <w:t>10</w:t>
                  </w:r>
                  <w:r>
                    <w:rPr>
                      <w:rFonts w:eastAsiaTheme="minorEastAsia"/>
                      <w:color w:val="auto"/>
                      <w:sz w:val="21"/>
                      <w:szCs w:val="21"/>
                    </w:rPr>
                    <w:t>.</w:t>
                  </w:r>
                  <w:r>
                    <w:rPr>
                      <w:rFonts w:hint="eastAsia" w:eastAsiaTheme="minorEastAsia"/>
                      <w:color w:val="auto"/>
                      <w:sz w:val="21"/>
                      <w:szCs w:val="21"/>
                    </w:rPr>
                    <w:t>15~</w:t>
                  </w:r>
                  <w:r>
                    <w:rPr>
                      <w:rFonts w:eastAsiaTheme="minorEastAsia"/>
                      <w:color w:val="auto"/>
                      <w:sz w:val="21"/>
                      <w:szCs w:val="21"/>
                    </w:rPr>
                    <w:t>2023.</w:t>
                  </w:r>
                  <w:r>
                    <w:rPr>
                      <w:rFonts w:hint="eastAsia" w:eastAsiaTheme="minorEastAsia"/>
                      <w:color w:val="auto"/>
                      <w:sz w:val="21"/>
                      <w:szCs w:val="21"/>
                    </w:rPr>
                    <w:t>10</w:t>
                  </w:r>
                  <w:r>
                    <w:rPr>
                      <w:rFonts w:eastAsiaTheme="minorEastAsia"/>
                      <w:color w:val="auto"/>
                      <w:sz w:val="21"/>
                      <w:szCs w:val="21"/>
                    </w:rPr>
                    <w:t>.</w:t>
                  </w:r>
                  <w:r>
                    <w:rPr>
                      <w:rFonts w:hint="eastAsia" w:eastAsiaTheme="minorEastAsia"/>
                      <w:color w:val="auto"/>
                      <w:sz w:val="21"/>
                      <w:szCs w:val="21"/>
                    </w:rPr>
                    <w:t>16</w:t>
                  </w:r>
                </w:p>
              </w:tc>
              <w:tc>
                <w:tcPr>
                  <w:tcW w:w="1195" w:type="dxa"/>
                  <w:vMerge w:val="continue"/>
                  <w:tcBorders>
                    <w:tl2br w:val="nil"/>
                    <w:tr2bl w:val="nil"/>
                  </w:tcBorders>
                  <w:vAlign w:val="center"/>
                </w:tcPr>
                <w:p w14:paraId="557B804C">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c>
                <w:tcPr>
                  <w:tcW w:w="788" w:type="dxa"/>
                  <w:tcBorders>
                    <w:tl2br w:val="nil"/>
                    <w:tr2bl w:val="nil"/>
                  </w:tcBorders>
                  <w:vAlign w:val="center"/>
                </w:tcPr>
                <w:p w14:paraId="3E6EB49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1.09</w:t>
                  </w:r>
                </w:p>
              </w:tc>
              <w:tc>
                <w:tcPr>
                  <w:tcW w:w="661" w:type="dxa"/>
                  <w:tcBorders>
                    <w:tl2br w:val="nil"/>
                    <w:tr2bl w:val="nil"/>
                  </w:tcBorders>
                  <w:vAlign w:val="center"/>
                </w:tcPr>
                <w:p w14:paraId="3CF5A5CA">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1.22</w:t>
                  </w:r>
                </w:p>
              </w:tc>
              <w:tc>
                <w:tcPr>
                  <w:tcW w:w="673" w:type="dxa"/>
                  <w:tcBorders>
                    <w:tl2br w:val="nil"/>
                    <w:tr2bl w:val="nil"/>
                  </w:tcBorders>
                  <w:vAlign w:val="center"/>
                </w:tcPr>
                <w:p w14:paraId="4FAE4F8D">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1.11</w:t>
                  </w:r>
                </w:p>
              </w:tc>
              <w:tc>
                <w:tcPr>
                  <w:tcW w:w="744" w:type="dxa"/>
                  <w:tcBorders>
                    <w:tl2br w:val="nil"/>
                    <w:tr2bl w:val="nil"/>
                  </w:tcBorders>
                  <w:vAlign w:val="center"/>
                </w:tcPr>
                <w:p w14:paraId="4EC4DAB9">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1.31</w:t>
                  </w:r>
                </w:p>
              </w:tc>
              <w:tc>
                <w:tcPr>
                  <w:tcW w:w="643" w:type="dxa"/>
                  <w:tcBorders>
                    <w:tl2br w:val="nil"/>
                    <w:tr2bl w:val="nil"/>
                  </w:tcBorders>
                  <w:vAlign w:val="center"/>
                </w:tcPr>
                <w:p w14:paraId="7F874A20">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1.18</w:t>
                  </w:r>
                </w:p>
              </w:tc>
              <w:tc>
                <w:tcPr>
                  <w:tcW w:w="666" w:type="dxa"/>
                  <w:vMerge w:val="continue"/>
                  <w:tcBorders>
                    <w:tl2br w:val="nil"/>
                    <w:tr2bl w:val="nil"/>
                  </w:tcBorders>
                  <w:vAlign w:val="center"/>
                </w:tcPr>
                <w:p w14:paraId="4B6AFB33">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r>
            <w:tr w14:paraId="599B01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68" w:type="dxa"/>
                  <w:tcBorders>
                    <w:tl2br w:val="nil"/>
                    <w:tr2bl w:val="nil"/>
                  </w:tcBorders>
                  <w:vAlign w:val="center"/>
                </w:tcPr>
                <w:p w14:paraId="2D4020ED">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2023.</w:t>
                  </w:r>
                  <w:r>
                    <w:rPr>
                      <w:rFonts w:hint="eastAsia" w:eastAsiaTheme="minorEastAsia"/>
                      <w:color w:val="auto"/>
                      <w:sz w:val="21"/>
                      <w:szCs w:val="21"/>
                    </w:rPr>
                    <w:t>10</w:t>
                  </w:r>
                  <w:r>
                    <w:rPr>
                      <w:rFonts w:eastAsiaTheme="minorEastAsia"/>
                      <w:color w:val="auto"/>
                      <w:sz w:val="21"/>
                      <w:szCs w:val="21"/>
                    </w:rPr>
                    <w:t>.</w:t>
                  </w:r>
                  <w:r>
                    <w:rPr>
                      <w:rFonts w:hint="eastAsia" w:eastAsiaTheme="minorEastAsia"/>
                      <w:color w:val="auto"/>
                      <w:sz w:val="21"/>
                      <w:szCs w:val="21"/>
                    </w:rPr>
                    <w:t>16~</w:t>
                  </w:r>
                  <w:r>
                    <w:rPr>
                      <w:rFonts w:eastAsiaTheme="minorEastAsia"/>
                      <w:color w:val="auto"/>
                      <w:sz w:val="21"/>
                      <w:szCs w:val="21"/>
                    </w:rPr>
                    <w:t>2023.</w:t>
                  </w:r>
                  <w:r>
                    <w:rPr>
                      <w:rFonts w:hint="eastAsia" w:eastAsiaTheme="minorEastAsia"/>
                      <w:color w:val="auto"/>
                      <w:sz w:val="21"/>
                      <w:szCs w:val="21"/>
                    </w:rPr>
                    <w:t>10</w:t>
                  </w:r>
                  <w:r>
                    <w:rPr>
                      <w:rFonts w:eastAsiaTheme="minorEastAsia"/>
                      <w:color w:val="auto"/>
                      <w:sz w:val="21"/>
                      <w:szCs w:val="21"/>
                    </w:rPr>
                    <w:t>.</w:t>
                  </w:r>
                  <w:r>
                    <w:rPr>
                      <w:rFonts w:hint="eastAsia" w:eastAsiaTheme="minorEastAsia"/>
                      <w:color w:val="auto"/>
                      <w:sz w:val="21"/>
                      <w:szCs w:val="21"/>
                    </w:rPr>
                    <w:t>17</w:t>
                  </w:r>
                </w:p>
              </w:tc>
              <w:tc>
                <w:tcPr>
                  <w:tcW w:w="1195" w:type="dxa"/>
                  <w:vMerge w:val="continue"/>
                  <w:tcBorders>
                    <w:tl2br w:val="nil"/>
                    <w:tr2bl w:val="nil"/>
                  </w:tcBorders>
                  <w:vAlign w:val="center"/>
                </w:tcPr>
                <w:p w14:paraId="3812837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c>
                <w:tcPr>
                  <w:tcW w:w="788" w:type="dxa"/>
                  <w:tcBorders>
                    <w:tl2br w:val="nil"/>
                    <w:tr2bl w:val="nil"/>
                  </w:tcBorders>
                  <w:vAlign w:val="center"/>
                </w:tcPr>
                <w:p w14:paraId="7B86A6CA">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1.51</w:t>
                  </w:r>
                </w:p>
              </w:tc>
              <w:tc>
                <w:tcPr>
                  <w:tcW w:w="661" w:type="dxa"/>
                  <w:tcBorders>
                    <w:tl2br w:val="nil"/>
                    <w:tr2bl w:val="nil"/>
                  </w:tcBorders>
                  <w:vAlign w:val="center"/>
                </w:tcPr>
                <w:p w14:paraId="0FE11844">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1.12</w:t>
                  </w:r>
                </w:p>
              </w:tc>
              <w:tc>
                <w:tcPr>
                  <w:tcW w:w="673" w:type="dxa"/>
                  <w:tcBorders>
                    <w:tl2br w:val="nil"/>
                    <w:tr2bl w:val="nil"/>
                  </w:tcBorders>
                  <w:vAlign w:val="center"/>
                </w:tcPr>
                <w:p w14:paraId="50C63A14">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1.14</w:t>
                  </w:r>
                </w:p>
              </w:tc>
              <w:tc>
                <w:tcPr>
                  <w:tcW w:w="744" w:type="dxa"/>
                  <w:tcBorders>
                    <w:tl2br w:val="nil"/>
                    <w:tr2bl w:val="nil"/>
                  </w:tcBorders>
                  <w:vAlign w:val="center"/>
                </w:tcPr>
                <w:p w14:paraId="53EC2404">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1.04</w:t>
                  </w:r>
                </w:p>
              </w:tc>
              <w:tc>
                <w:tcPr>
                  <w:tcW w:w="643" w:type="dxa"/>
                  <w:tcBorders>
                    <w:tl2br w:val="nil"/>
                    <w:tr2bl w:val="nil"/>
                  </w:tcBorders>
                  <w:vAlign w:val="center"/>
                </w:tcPr>
                <w:p w14:paraId="090BA135">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eastAsia" w:eastAsiaTheme="minorEastAsia"/>
                      <w:color w:val="auto"/>
                      <w:sz w:val="21"/>
                      <w:szCs w:val="21"/>
                    </w:rPr>
                    <w:t>1.20</w:t>
                  </w:r>
                </w:p>
              </w:tc>
              <w:tc>
                <w:tcPr>
                  <w:tcW w:w="666" w:type="dxa"/>
                  <w:vMerge w:val="continue"/>
                  <w:tcBorders>
                    <w:tl2br w:val="nil"/>
                    <w:tr2bl w:val="nil"/>
                  </w:tcBorders>
                  <w:vAlign w:val="center"/>
                </w:tcPr>
                <w:p w14:paraId="2CAB5F48">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r>
          </w:tbl>
          <w:p w14:paraId="1184C6F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eastAsiaTheme="minorEastAsia"/>
                <w:color w:val="auto"/>
                <w:kern w:val="0"/>
                <w:sz w:val="24"/>
                <w:lang w:bidi="ar"/>
              </w:rPr>
            </w:pPr>
            <w:r>
              <w:rPr>
                <w:rFonts w:eastAsiaTheme="minorEastAsia"/>
                <w:color w:val="auto"/>
                <w:kern w:val="0"/>
                <w:sz w:val="24"/>
                <w:lang w:bidi="ar"/>
              </w:rPr>
              <w:t>根据监测结果显示，非甲烷总烃符合《大气污染物综合排放标准详解》中限</w:t>
            </w:r>
            <w:r>
              <w:rPr>
                <w:rFonts w:hint="eastAsia" w:ascii="Times New Roman" w:hAnsi="Times New Roman" w:cs="Times New Roman" w:eastAsiaTheme="minorEastAsia"/>
                <w:color w:val="auto"/>
                <w:kern w:val="0"/>
                <w:sz w:val="24"/>
                <w:lang w:bidi="ar"/>
              </w:rPr>
              <w:t>值</w:t>
            </w:r>
            <w:r>
              <w:rPr>
                <w:rFonts w:ascii="Times New Roman" w:hAnsi="Times New Roman" w:cs="Times New Roman" w:eastAsiaTheme="minorEastAsia"/>
                <w:color w:val="auto"/>
                <w:kern w:val="0"/>
                <w:sz w:val="24"/>
                <w:lang w:bidi="ar"/>
              </w:rPr>
              <w:t>要求。</w:t>
            </w:r>
          </w:p>
          <w:p w14:paraId="701C178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eastAsiaTheme="minorEastAsia"/>
                <w:color w:val="auto"/>
                <w:kern w:val="0"/>
                <w:sz w:val="24"/>
                <w:lang w:bidi="ar"/>
              </w:rPr>
            </w:pPr>
            <w:r>
              <w:rPr>
                <w:rFonts w:ascii="Times New Roman" w:hAnsi="Times New Roman" w:cs="Times New Roman" w:eastAsiaTheme="minorEastAsia"/>
                <w:color w:val="auto"/>
                <w:kern w:val="0"/>
                <w:sz w:val="24"/>
                <w:lang w:bidi="ar"/>
              </w:rPr>
              <w:fldChar w:fldCharType="begin"/>
            </w:r>
            <w:r>
              <w:rPr>
                <w:rFonts w:ascii="Times New Roman" w:hAnsi="Times New Roman" w:cs="Times New Roman" w:eastAsiaTheme="minorEastAsia"/>
                <w:color w:val="auto"/>
                <w:kern w:val="0"/>
                <w:sz w:val="24"/>
                <w:lang w:bidi="ar"/>
              </w:rPr>
              <w:instrText xml:space="preserve"> </w:instrText>
            </w:r>
            <w:r>
              <w:rPr>
                <w:rFonts w:hint="eastAsia" w:ascii="Times New Roman" w:hAnsi="Times New Roman" w:cs="Times New Roman" w:eastAsiaTheme="minorEastAsia"/>
                <w:color w:val="auto"/>
                <w:kern w:val="0"/>
                <w:sz w:val="24"/>
                <w:lang w:bidi="ar"/>
              </w:rPr>
              <w:instrText xml:space="preserve">= 2 \* GB3</w:instrText>
            </w:r>
            <w:r>
              <w:rPr>
                <w:rFonts w:ascii="Times New Roman" w:hAnsi="Times New Roman" w:cs="Times New Roman" w:eastAsiaTheme="minorEastAsia"/>
                <w:color w:val="auto"/>
                <w:kern w:val="0"/>
                <w:sz w:val="24"/>
                <w:lang w:bidi="ar"/>
              </w:rPr>
              <w:instrText xml:space="preserve"> </w:instrText>
            </w:r>
            <w:r>
              <w:rPr>
                <w:rFonts w:ascii="Times New Roman" w:hAnsi="Times New Roman" w:cs="Times New Roman" w:eastAsiaTheme="minorEastAsia"/>
                <w:color w:val="auto"/>
                <w:kern w:val="0"/>
                <w:sz w:val="24"/>
                <w:lang w:bidi="ar"/>
              </w:rPr>
              <w:fldChar w:fldCharType="separate"/>
            </w:r>
            <w:r>
              <w:rPr>
                <w:rFonts w:hint="eastAsia" w:ascii="Times New Roman" w:hAnsi="Times New Roman" w:cs="Times New Roman" w:eastAsiaTheme="minorEastAsia"/>
                <w:color w:val="auto"/>
                <w:kern w:val="0"/>
                <w:sz w:val="24"/>
                <w:lang w:bidi="ar"/>
              </w:rPr>
              <w:t>②</w:t>
            </w:r>
            <w:r>
              <w:rPr>
                <w:rFonts w:ascii="Times New Roman" w:hAnsi="Times New Roman" w:cs="Times New Roman" w:eastAsiaTheme="minorEastAsia"/>
                <w:color w:val="auto"/>
                <w:kern w:val="0"/>
                <w:sz w:val="24"/>
                <w:lang w:bidi="ar"/>
              </w:rPr>
              <w:fldChar w:fldCharType="end"/>
            </w:r>
            <w:r>
              <w:rPr>
                <w:rFonts w:hint="eastAsia" w:ascii="Times New Roman" w:hAnsi="Times New Roman" w:cs="Times New Roman" w:eastAsiaTheme="minorEastAsia"/>
                <w:color w:val="auto"/>
                <w:kern w:val="0"/>
                <w:sz w:val="24"/>
                <w:lang w:bidi="ar"/>
              </w:rPr>
              <w:t>TSP</w:t>
            </w:r>
          </w:p>
          <w:p w14:paraId="5CAB639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eastAsiaTheme="minorEastAsia"/>
                <w:color w:val="auto"/>
                <w:kern w:val="0"/>
                <w:sz w:val="24"/>
                <w:lang w:bidi="ar"/>
              </w:rPr>
            </w:pPr>
            <w:r>
              <w:rPr>
                <w:rFonts w:ascii="Times New Roman" w:hAnsi="Times New Roman" w:cs="Times New Roman" w:eastAsiaTheme="minorEastAsia"/>
                <w:color w:val="auto"/>
                <w:kern w:val="0"/>
                <w:sz w:val="24"/>
                <w:lang w:bidi="ar"/>
              </w:rPr>
              <w:t>监测频次：24小时均值</w:t>
            </w:r>
            <w:r>
              <w:rPr>
                <w:rFonts w:hint="eastAsia" w:ascii="Times New Roman" w:hAnsi="Times New Roman" w:cs="Times New Roman" w:eastAsiaTheme="minorEastAsia"/>
                <w:color w:val="auto"/>
                <w:kern w:val="0"/>
                <w:sz w:val="24"/>
                <w:lang w:bidi="ar"/>
              </w:rPr>
              <w:t>，</w:t>
            </w:r>
            <w:r>
              <w:rPr>
                <w:rFonts w:ascii="Times New Roman" w:hAnsi="Times New Roman" w:cs="Times New Roman" w:eastAsiaTheme="minorEastAsia"/>
                <w:color w:val="auto"/>
                <w:kern w:val="0"/>
                <w:sz w:val="24"/>
                <w:lang w:bidi="ar"/>
              </w:rPr>
              <w:t>连续监测3天</w:t>
            </w:r>
          </w:p>
          <w:p w14:paraId="0218B49B">
            <w:pPr>
              <w:jc w:val="center"/>
              <w:rPr>
                <w:rFonts w:eastAsiaTheme="minorEastAsia"/>
                <w:b/>
                <w:bCs/>
                <w:color w:val="auto"/>
                <w:szCs w:val="21"/>
              </w:rPr>
            </w:pPr>
            <w:r>
              <w:rPr>
                <w:rFonts w:eastAsiaTheme="minorEastAsia"/>
                <w:b/>
                <w:bCs/>
                <w:color w:val="auto"/>
                <w:szCs w:val="21"/>
              </w:rPr>
              <w:t>表3-</w:t>
            </w:r>
            <w:r>
              <w:rPr>
                <w:rFonts w:hint="eastAsia" w:eastAsiaTheme="minorEastAsia"/>
                <w:b/>
                <w:bCs/>
                <w:color w:val="auto"/>
                <w:szCs w:val="21"/>
              </w:rPr>
              <w:t>3</w:t>
            </w:r>
            <w:r>
              <w:rPr>
                <w:rFonts w:eastAsiaTheme="minorEastAsia"/>
                <w:b/>
                <w:bCs/>
                <w:color w:val="auto"/>
                <w:szCs w:val="21"/>
              </w:rPr>
              <w:t xml:space="preserve"> </w:t>
            </w:r>
            <w:r>
              <w:rPr>
                <w:rFonts w:hint="eastAsia" w:eastAsiaTheme="minorEastAsia"/>
                <w:b/>
                <w:bCs/>
                <w:color w:val="auto"/>
                <w:szCs w:val="21"/>
              </w:rPr>
              <w:t xml:space="preserve"> TSP</w:t>
            </w:r>
            <w:r>
              <w:rPr>
                <w:rFonts w:eastAsiaTheme="minorEastAsia"/>
                <w:b/>
                <w:bCs/>
                <w:color w:val="auto"/>
                <w:szCs w:val="21"/>
              </w:rPr>
              <w:t>环境质量现状监测表（单位：</w:t>
            </w:r>
            <w:r>
              <w:rPr>
                <w:rFonts w:eastAsiaTheme="minorEastAsia"/>
                <w:b/>
                <w:bCs/>
                <w:color w:val="auto"/>
                <w:szCs w:val="21"/>
                <w:lang w:val="zh-CN"/>
              </w:rPr>
              <w:t>µg/m</w:t>
            </w:r>
            <w:r>
              <w:rPr>
                <w:rFonts w:eastAsiaTheme="minorEastAsia"/>
                <w:b/>
                <w:bCs/>
                <w:color w:val="auto"/>
                <w:szCs w:val="21"/>
                <w:vertAlign w:val="superscript"/>
              </w:rPr>
              <w:t>3</w:t>
            </w:r>
            <w:r>
              <w:rPr>
                <w:rFonts w:eastAsiaTheme="minorEastAsia"/>
                <w:b/>
                <w:bCs/>
                <w:color w:val="auto"/>
                <w:szCs w:val="21"/>
              </w:rPr>
              <w:t>）</w:t>
            </w:r>
          </w:p>
          <w:tbl>
            <w:tblPr>
              <w:tblStyle w:val="20"/>
              <w:tblW w:w="5000"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822"/>
              <w:gridCol w:w="1449"/>
              <w:gridCol w:w="1940"/>
              <w:gridCol w:w="1109"/>
            </w:tblGrid>
            <w:tr w14:paraId="7D37C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022" w:type="pct"/>
                  <w:tcBorders>
                    <w:tl2br w:val="nil"/>
                    <w:tr2bl w:val="nil"/>
                  </w:tcBorders>
                  <w:vAlign w:val="center"/>
                </w:tcPr>
                <w:p w14:paraId="30A8B6E3">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b/>
                      <w:bCs w:val="0"/>
                      <w:color w:val="auto"/>
                      <w:kern w:val="0"/>
                      <w:szCs w:val="21"/>
                    </w:rPr>
                  </w:pPr>
                  <w:r>
                    <w:rPr>
                      <w:b/>
                      <w:bCs w:val="0"/>
                      <w:color w:val="auto"/>
                      <w:kern w:val="0"/>
                      <w:szCs w:val="21"/>
                    </w:rPr>
                    <w:t>监测日期</w:t>
                  </w:r>
                </w:p>
              </w:tc>
              <w:tc>
                <w:tcPr>
                  <w:tcW w:w="1147" w:type="pct"/>
                  <w:tcBorders>
                    <w:tl2br w:val="nil"/>
                    <w:tr2bl w:val="nil"/>
                  </w:tcBorders>
                  <w:vAlign w:val="center"/>
                </w:tcPr>
                <w:p w14:paraId="59289FEC">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b/>
                      <w:bCs w:val="0"/>
                      <w:color w:val="auto"/>
                      <w:kern w:val="0"/>
                      <w:szCs w:val="21"/>
                    </w:rPr>
                  </w:pPr>
                  <w:r>
                    <w:rPr>
                      <w:rFonts w:hint="eastAsia"/>
                      <w:b/>
                      <w:bCs w:val="0"/>
                      <w:color w:val="auto"/>
                      <w:kern w:val="0"/>
                      <w:szCs w:val="21"/>
                    </w:rPr>
                    <w:t>项目地</w:t>
                  </w:r>
                </w:p>
              </w:tc>
              <w:tc>
                <w:tcPr>
                  <w:tcW w:w="912" w:type="pct"/>
                  <w:tcBorders>
                    <w:tl2br w:val="nil"/>
                    <w:tr2bl w:val="nil"/>
                  </w:tcBorders>
                  <w:vAlign w:val="center"/>
                </w:tcPr>
                <w:p w14:paraId="3A18C21E">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b/>
                      <w:bCs w:val="0"/>
                      <w:color w:val="auto"/>
                      <w:kern w:val="0"/>
                      <w:szCs w:val="21"/>
                    </w:rPr>
                  </w:pPr>
                  <w:r>
                    <w:rPr>
                      <w:b/>
                      <w:bCs w:val="0"/>
                      <w:color w:val="auto"/>
                      <w:kern w:val="0"/>
                      <w:szCs w:val="21"/>
                    </w:rPr>
                    <w:t>评价标准/（</w:t>
                  </w:r>
                  <w:r>
                    <w:rPr>
                      <w:rFonts w:hint="eastAsia" w:eastAsiaTheme="minorEastAsia"/>
                      <w:b/>
                      <w:bCs w:val="0"/>
                      <w:color w:val="auto"/>
                      <w:szCs w:val="21"/>
                    </w:rPr>
                    <w:t>u</w:t>
                  </w:r>
                  <w:r>
                    <w:rPr>
                      <w:rFonts w:eastAsiaTheme="minorEastAsia"/>
                      <w:b/>
                      <w:bCs w:val="0"/>
                      <w:color w:val="auto"/>
                      <w:szCs w:val="21"/>
                    </w:rPr>
                    <w:t>g/m</w:t>
                  </w:r>
                  <w:r>
                    <w:rPr>
                      <w:rFonts w:eastAsiaTheme="minorEastAsia"/>
                      <w:b/>
                      <w:bCs w:val="0"/>
                      <w:color w:val="auto"/>
                      <w:szCs w:val="21"/>
                      <w:vertAlign w:val="superscript"/>
                    </w:rPr>
                    <w:t>3</w:t>
                  </w:r>
                  <w:r>
                    <w:rPr>
                      <w:b/>
                      <w:bCs w:val="0"/>
                      <w:color w:val="auto"/>
                      <w:kern w:val="0"/>
                      <w:szCs w:val="21"/>
                    </w:rPr>
                    <w:t>）</w:t>
                  </w:r>
                </w:p>
              </w:tc>
              <w:tc>
                <w:tcPr>
                  <w:tcW w:w="1221" w:type="pct"/>
                  <w:tcBorders>
                    <w:tl2br w:val="nil"/>
                    <w:tr2bl w:val="nil"/>
                  </w:tcBorders>
                  <w:vAlign w:val="center"/>
                </w:tcPr>
                <w:p w14:paraId="66195CF0">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b/>
                      <w:bCs w:val="0"/>
                      <w:color w:val="auto"/>
                      <w:kern w:val="0"/>
                      <w:szCs w:val="21"/>
                    </w:rPr>
                  </w:pPr>
                  <w:r>
                    <w:rPr>
                      <w:b/>
                      <w:bCs w:val="0"/>
                      <w:color w:val="auto"/>
                      <w:kern w:val="0"/>
                      <w:szCs w:val="21"/>
                    </w:rPr>
                    <w:t>监测浓度/（</w:t>
                  </w:r>
                  <w:r>
                    <w:rPr>
                      <w:rFonts w:hint="eastAsia" w:eastAsiaTheme="minorEastAsia"/>
                      <w:b/>
                      <w:bCs w:val="0"/>
                      <w:color w:val="auto"/>
                      <w:szCs w:val="21"/>
                    </w:rPr>
                    <w:t>u</w:t>
                  </w:r>
                  <w:r>
                    <w:rPr>
                      <w:rFonts w:eastAsiaTheme="minorEastAsia"/>
                      <w:b/>
                      <w:bCs w:val="0"/>
                      <w:color w:val="auto"/>
                      <w:szCs w:val="21"/>
                    </w:rPr>
                    <w:t>g/m</w:t>
                  </w:r>
                  <w:r>
                    <w:rPr>
                      <w:rFonts w:eastAsiaTheme="minorEastAsia"/>
                      <w:b/>
                      <w:bCs w:val="0"/>
                      <w:color w:val="auto"/>
                      <w:szCs w:val="21"/>
                      <w:vertAlign w:val="superscript"/>
                    </w:rPr>
                    <w:t>3</w:t>
                  </w:r>
                  <w:r>
                    <w:rPr>
                      <w:b/>
                      <w:bCs w:val="0"/>
                      <w:color w:val="auto"/>
                      <w:kern w:val="0"/>
                      <w:szCs w:val="21"/>
                    </w:rPr>
                    <w:t>）</w:t>
                  </w:r>
                </w:p>
              </w:tc>
              <w:tc>
                <w:tcPr>
                  <w:tcW w:w="698" w:type="pct"/>
                  <w:tcBorders>
                    <w:tl2br w:val="nil"/>
                    <w:tr2bl w:val="nil"/>
                  </w:tcBorders>
                  <w:vAlign w:val="center"/>
                </w:tcPr>
                <w:p w14:paraId="6252C1CC">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b/>
                      <w:bCs w:val="0"/>
                      <w:color w:val="auto"/>
                      <w:kern w:val="0"/>
                      <w:szCs w:val="21"/>
                    </w:rPr>
                  </w:pPr>
                  <w:r>
                    <w:rPr>
                      <w:b/>
                      <w:bCs w:val="0"/>
                      <w:color w:val="auto"/>
                      <w:kern w:val="0"/>
                      <w:szCs w:val="21"/>
                    </w:rPr>
                    <w:t>达标情况</w:t>
                  </w:r>
                </w:p>
              </w:tc>
            </w:tr>
            <w:tr w14:paraId="08D9E4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tcBorders>
                    <w:tl2br w:val="nil"/>
                    <w:tr2bl w:val="nil"/>
                  </w:tcBorders>
                  <w:vAlign w:val="center"/>
                </w:tcPr>
                <w:p w14:paraId="406ADBC6">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eastAsiaTheme="minorEastAsia"/>
                      <w:color w:val="auto"/>
                      <w:szCs w:val="21"/>
                    </w:rPr>
                    <w:t>2023.</w:t>
                  </w:r>
                  <w:r>
                    <w:rPr>
                      <w:rFonts w:hint="eastAsia" w:eastAsiaTheme="minorEastAsia"/>
                      <w:color w:val="auto"/>
                      <w:szCs w:val="21"/>
                    </w:rPr>
                    <w:t>10</w:t>
                  </w:r>
                  <w:r>
                    <w:rPr>
                      <w:rFonts w:eastAsiaTheme="minorEastAsia"/>
                      <w:color w:val="auto"/>
                      <w:szCs w:val="21"/>
                    </w:rPr>
                    <w:t>.</w:t>
                  </w:r>
                  <w:r>
                    <w:rPr>
                      <w:rFonts w:hint="eastAsia" w:eastAsiaTheme="minorEastAsia"/>
                      <w:color w:val="auto"/>
                      <w:szCs w:val="21"/>
                    </w:rPr>
                    <w:t>14~15</w:t>
                  </w:r>
                </w:p>
              </w:tc>
              <w:tc>
                <w:tcPr>
                  <w:tcW w:w="1147" w:type="pct"/>
                  <w:vMerge w:val="restart"/>
                  <w:tcBorders>
                    <w:tl2br w:val="nil"/>
                    <w:tr2bl w:val="nil"/>
                  </w:tcBorders>
                  <w:vAlign w:val="center"/>
                </w:tcPr>
                <w:p w14:paraId="24062493">
                  <w:pPr>
                    <w:pStyle w:val="19"/>
                    <w:keepNext w:val="0"/>
                    <w:keepLines w:val="0"/>
                    <w:pageBreakBefore w:val="0"/>
                    <w:widowControl w:val="0"/>
                    <w:kinsoku/>
                    <w:wordWrap/>
                    <w:overflowPunct/>
                    <w:topLinePunct w:val="0"/>
                    <w:bidi w:val="0"/>
                    <w:snapToGrid/>
                    <w:spacing w:after="0" w:afterLines="0"/>
                    <w:ind w:left="0" w:leftChars="0" w:firstLine="0" w:firstLineChars="0"/>
                    <w:jc w:val="center"/>
                    <w:textAlignment w:val="auto"/>
                    <w:rPr>
                      <w:rFonts w:eastAsiaTheme="minorEastAsia"/>
                      <w:color w:val="auto"/>
                      <w:sz w:val="21"/>
                      <w:szCs w:val="21"/>
                    </w:rPr>
                  </w:pPr>
                  <w:r>
                    <w:rPr>
                      <w:rFonts w:eastAsiaTheme="minorEastAsia"/>
                      <w:color w:val="auto"/>
                      <w:sz w:val="21"/>
                      <w:szCs w:val="21"/>
                    </w:rPr>
                    <w:t>北纬：34°</w:t>
                  </w:r>
                  <w:r>
                    <w:rPr>
                      <w:rFonts w:hint="eastAsia" w:eastAsiaTheme="minorEastAsia"/>
                      <w:color w:val="auto"/>
                      <w:sz w:val="21"/>
                      <w:szCs w:val="21"/>
                    </w:rPr>
                    <w:t>11</w:t>
                  </w:r>
                  <w:r>
                    <w:rPr>
                      <w:rFonts w:eastAsiaTheme="minorEastAsia"/>
                      <w:color w:val="auto"/>
                      <w:sz w:val="21"/>
                      <w:szCs w:val="21"/>
                    </w:rPr>
                    <w:t>′</w:t>
                  </w:r>
                  <w:r>
                    <w:rPr>
                      <w:rFonts w:hint="eastAsia" w:eastAsiaTheme="minorEastAsia"/>
                      <w:color w:val="auto"/>
                      <w:sz w:val="21"/>
                      <w:szCs w:val="21"/>
                    </w:rPr>
                    <w:t>19</w:t>
                  </w:r>
                  <w:r>
                    <w:rPr>
                      <w:rFonts w:eastAsiaTheme="minorEastAsia"/>
                      <w:color w:val="auto"/>
                      <w:sz w:val="21"/>
                      <w:szCs w:val="21"/>
                    </w:rPr>
                    <w:t>″</w:t>
                  </w:r>
                </w:p>
                <w:p w14:paraId="706F8EC1">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eastAsiaTheme="minorEastAsia"/>
                      <w:color w:val="auto"/>
                      <w:szCs w:val="21"/>
                    </w:rPr>
                    <w:t>东经：108°</w:t>
                  </w:r>
                  <w:r>
                    <w:rPr>
                      <w:rFonts w:hint="eastAsia" w:eastAsiaTheme="minorEastAsia"/>
                      <w:color w:val="auto"/>
                      <w:szCs w:val="21"/>
                    </w:rPr>
                    <w:t>37</w:t>
                  </w:r>
                  <w:r>
                    <w:rPr>
                      <w:rFonts w:eastAsiaTheme="minorEastAsia"/>
                      <w:color w:val="auto"/>
                      <w:szCs w:val="21"/>
                    </w:rPr>
                    <w:t>′</w:t>
                  </w:r>
                  <w:r>
                    <w:rPr>
                      <w:rFonts w:hint="eastAsia" w:eastAsiaTheme="minorEastAsia"/>
                      <w:color w:val="auto"/>
                      <w:szCs w:val="21"/>
                    </w:rPr>
                    <w:t>40</w:t>
                  </w:r>
                  <w:r>
                    <w:rPr>
                      <w:rFonts w:eastAsiaTheme="minorEastAsia"/>
                      <w:color w:val="auto"/>
                      <w:szCs w:val="21"/>
                    </w:rPr>
                    <w:t>″</w:t>
                  </w:r>
                </w:p>
              </w:tc>
              <w:tc>
                <w:tcPr>
                  <w:tcW w:w="912" w:type="pct"/>
                  <w:vMerge w:val="restart"/>
                  <w:tcBorders>
                    <w:tl2br w:val="nil"/>
                    <w:tr2bl w:val="nil"/>
                  </w:tcBorders>
                  <w:vAlign w:val="center"/>
                </w:tcPr>
                <w:p w14:paraId="16B68AFA">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hint="eastAsia"/>
                      <w:color w:val="auto"/>
                      <w:kern w:val="0"/>
                      <w:szCs w:val="21"/>
                    </w:rPr>
                    <w:t>300</w:t>
                  </w:r>
                </w:p>
              </w:tc>
              <w:tc>
                <w:tcPr>
                  <w:tcW w:w="1221" w:type="pct"/>
                  <w:tcBorders>
                    <w:tl2br w:val="nil"/>
                    <w:tr2bl w:val="nil"/>
                  </w:tcBorders>
                  <w:vAlign w:val="center"/>
                </w:tcPr>
                <w:p w14:paraId="2118AEA1">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hint="eastAsia"/>
                      <w:color w:val="auto"/>
                      <w:kern w:val="0"/>
                      <w:szCs w:val="21"/>
                    </w:rPr>
                    <w:t>35</w:t>
                  </w:r>
                </w:p>
              </w:tc>
              <w:tc>
                <w:tcPr>
                  <w:tcW w:w="698" w:type="pct"/>
                  <w:tcBorders>
                    <w:tl2br w:val="nil"/>
                    <w:tr2bl w:val="nil"/>
                  </w:tcBorders>
                  <w:vAlign w:val="center"/>
                </w:tcPr>
                <w:p w14:paraId="56ADAE40">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color w:val="auto"/>
                      <w:kern w:val="0"/>
                      <w:szCs w:val="21"/>
                    </w:rPr>
                    <w:t>达标</w:t>
                  </w:r>
                </w:p>
              </w:tc>
            </w:tr>
            <w:tr w14:paraId="7072A4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tcBorders>
                    <w:tl2br w:val="nil"/>
                    <w:tr2bl w:val="nil"/>
                  </w:tcBorders>
                  <w:vAlign w:val="center"/>
                </w:tcPr>
                <w:p w14:paraId="389DBEF0">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eastAsiaTheme="minorEastAsia"/>
                      <w:color w:val="auto"/>
                      <w:szCs w:val="21"/>
                    </w:rPr>
                    <w:t>2023.</w:t>
                  </w:r>
                  <w:r>
                    <w:rPr>
                      <w:rFonts w:hint="eastAsia" w:eastAsiaTheme="minorEastAsia"/>
                      <w:color w:val="auto"/>
                      <w:szCs w:val="21"/>
                    </w:rPr>
                    <w:t>10</w:t>
                  </w:r>
                  <w:r>
                    <w:rPr>
                      <w:rFonts w:eastAsiaTheme="minorEastAsia"/>
                      <w:color w:val="auto"/>
                      <w:szCs w:val="21"/>
                    </w:rPr>
                    <w:t>.</w:t>
                  </w:r>
                  <w:r>
                    <w:rPr>
                      <w:rFonts w:hint="eastAsia" w:eastAsiaTheme="minorEastAsia"/>
                      <w:color w:val="auto"/>
                      <w:szCs w:val="21"/>
                    </w:rPr>
                    <w:t>15~16</w:t>
                  </w:r>
                </w:p>
              </w:tc>
              <w:tc>
                <w:tcPr>
                  <w:tcW w:w="1147" w:type="pct"/>
                  <w:vMerge w:val="continue"/>
                  <w:tcBorders>
                    <w:tl2br w:val="nil"/>
                    <w:tr2bl w:val="nil"/>
                  </w:tcBorders>
                  <w:vAlign w:val="center"/>
                </w:tcPr>
                <w:p w14:paraId="5B2BB7B0">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p>
              </w:tc>
              <w:tc>
                <w:tcPr>
                  <w:tcW w:w="912" w:type="pct"/>
                  <w:vMerge w:val="continue"/>
                  <w:tcBorders>
                    <w:tl2br w:val="nil"/>
                    <w:tr2bl w:val="nil"/>
                  </w:tcBorders>
                  <w:vAlign w:val="center"/>
                </w:tcPr>
                <w:p w14:paraId="41290571">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p>
              </w:tc>
              <w:tc>
                <w:tcPr>
                  <w:tcW w:w="1221" w:type="pct"/>
                  <w:tcBorders>
                    <w:tl2br w:val="nil"/>
                    <w:tr2bl w:val="nil"/>
                  </w:tcBorders>
                  <w:vAlign w:val="center"/>
                </w:tcPr>
                <w:p w14:paraId="17FD85D7">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hint="eastAsia"/>
                      <w:color w:val="auto"/>
                      <w:kern w:val="0"/>
                      <w:szCs w:val="21"/>
                    </w:rPr>
                    <w:t>33</w:t>
                  </w:r>
                </w:p>
              </w:tc>
              <w:tc>
                <w:tcPr>
                  <w:tcW w:w="698" w:type="pct"/>
                  <w:tcBorders>
                    <w:tl2br w:val="nil"/>
                    <w:tr2bl w:val="nil"/>
                  </w:tcBorders>
                  <w:vAlign w:val="center"/>
                </w:tcPr>
                <w:p w14:paraId="5C769E2E">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color w:val="auto"/>
                      <w:kern w:val="0"/>
                      <w:szCs w:val="21"/>
                    </w:rPr>
                    <w:t>达标</w:t>
                  </w:r>
                </w:p>
              </w:tc>
            </w:tr>
            <w:tr w14:paraId="3C49F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pct"/>
                  <w:tcBorders>
                    <w:tl2br w:val="nil"/>
                    <w:tr2bl w:val="nil"/>
                  </w:tcBorders>
                  <w:vAlign w:val="center"/>
                </w:tcPr>
                <w:p w14:paraId="75C4C913">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eastAsiaTheme="minorEastAsia"/>
                      <w:color w:val="auto"/>
                      <w:szCs w:val="21"/>
                    </w:rPr>
                    <w:t>2023.</w:t>
                  </w:r>
                  <w:r>
                    <w:rPr>
                      <w:rFonts w:hint="eastAsia" w:eastAsiaTheme="minorEastAsia"/>
                      <w:color w:val="auto"/>
                      <w:szCs w:val="21"/>
                    </w:rPr>
                    <w:t>10</w:t>
                  </w:r>
                  <w:r>
                    <w:rPr>
                      <w:rFonts w:eastAsiaTheme="minorEastAsia"/>
                      <w:color w:val="auto"/>
                      <w:szCs w:val="21"/>
                    </w:rPr>
                    <w:t>.</w:t>
                  </w:r>
                  <w:r>
                    <w:rPr>
                      <w:rFonts w:hint="eastAsia" w:eastAsiaTheme="minorEastAsia"/>
                      <w:color w:val="auto"/>
                      <w:szCs w:val="21"/>
                    </w:rPr>
                    <w:t>16~17</w:t>
                  </w:r>
                </w:p>
              </w:tc>
              <w:tc>
                <w:tcPr>
                  <w:tcW w:w="1147" w:type="pct"/>
                  <w:vMerge w:val="continue"/>
                  <w:tcBorders>
                    <w:tl2br w:val="nil"/>
                    <w:tr2bl w:val="nil"/>
                  </w:tcBorders>
                  <w:vAlign w:val="center"/>
                </w:tcPr>
                <w:p w14:paraId="33AF1972">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p>
              </w:tc>
              <w:tc>
                <w:tcPr>
                  <w:tcW w:w="912" w:type="pct"/>
                  <w:vMerge w:val="continue"/>
                  <w:tcBorders>
                    <w:tl2br w:val="nil"/>
                    <w:tr2bl w:val="nil"/>
                  </w:tcBorders>
                  <w:vAlign w:val="center"/>
                </w:tcPr>
                <w:p w14:paraId="6EC06B0D">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p>
              </w:tc>
              <w:tc>
                <w:tcPr>
                  <w:tcW w:w="1221" w:type="pct"/>
                  <w:tcBorders>
                    <w:tl2br w:val="nil"/>
                    <w:tr2bl w:val="nil"/>
                  </w:tcBorders>
                  <w:vAlign w:val="center"/>
                </w:tcPr>
                <w:p w14:paraId="19BB4549">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rFonts w:hint="eastAsia"/>
                      <w:color w:val="auto"/>
                      <w:kern w:val="0"/>
                      <w:szCs w:val="21"/>
                    </w:rPr>
                    <w:t>33</w:t>
                  </w:r>
                </w:p>
              </w:tc>
              <w:tc>
                <w:tcPr>
                  <w:tcW w:w="698" w:type="pct"/>
                  <w:tcBorders>
                    <w:tl2br w:val="nil"/>
                    <w:tr2bl w:val="nil"/>
                  </w:tcBorders>
                  <w:vAlign w:val="center"/>
                </w:tcPr>
                <w:p w14:paraId="0BE2DB5D">
                  <w:pPr>
                    <w:keepNext w:val="0"/>
                    <w:keepLines w:val="0"/>
                    <w:pageBreakBefore w:val="0"/>
                    <w:widowControl w:val="0"/>
                    <w:kinsoku/>
                    <w:wordWrap/>
                    <w:overflowPunct/>
                    <w:topLinePunct w:val="0"/>
                    <w:autoSpaceDE w:val="0"/>
                    <w:autoSpaceDN w:val="0"/>
                    <w:bidi w:val="0"/>
                    <w:adjustRightInd w:val="0"/>
                    <w:snapToGrid/>
                    <w:ind w:firstLineChars="0"/>
                    <w:jc w:val="center"/>
                    <w:textAlignment w:val="auto"/>
                    <w:rPr>
                      <w:color w:val="auto"/>
                      <w:kern w:val="0"/>
                      <w:szCs w:val="21"/>
                    </w:rPr>
                  </w:pPr>
                  <w:r>
                    <w:rPr>
                      <w:color w:val="auto"/>
                      <w:kern w:val="0"/>
                      <w:szCs w:val="21"/>
                    </w:rPr>
                    <w:t>达标</w:t>
                  </w:r>
                </w:p>
              </w:tc>
            </w:tr>
          </w:tbl>
          <w:p w14:paraId="296B1D36">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eastAsiaTheme="minorEastAsia"/>
                <w:color w:val="auto"/>
                <w:kern w:val="0"/>
                <w:sz w:val="24"/>
                <w:lang w:bidi="ar"/>
              </w:rPr>
            </w:pPr>
            <w:r>
              <w:rPr>
                <w:rFonts w:ascii="Times New Roman" w:hAnsi="Times New Roman" w:cs="Times New Roman" w:eastAsiaTheme="minorEastAsia"/>
                <w:color w:val="auto"/>
                <w:kern w:val="0"/>
                <w:sz w:val="24"/>
                <w:lang w:bidi="ar"/>
              </w:rPr>
              <w:t>根据监测结果显示，</w:t>
            </w:r>
            <w:r>
              <w:rPr>
                <w:rFonts w:hint="eastAsia" w:ascii="Times New Roman" w:hAnsi="Times New Roman" w:cs="Times New Roman" w:eastAsiaTheme="minorEastAsia"/>
                <w:color w:val="auto"/>
                <w:kern w:val="0"/>
                <w:sz w:val="24"/>
                <w:lang w:bidi="ar"/>
              </w:rPr>
              <w:t>TSP</w:t>
            </w:r>
            <w:r>
              <w:rPr>
                <w:rFonts w:ascii="Times New Roman" w:hAnsi="Times New Roman" w:cs="Times New Roman" w:eastAsiaTheme="minorEastAsia"/>
                <w:color w:val="auto"/>
                <w:kern w:val="0"/>
                <w:sz w:val="24"/>
                <w:lang w:bidi="ar"/>
              </w:rPr>
              <w:t>符合《环境空气质量标准》（GB3095-2012）表2中二级标准要求</w:t>
            </w:r>
            <w:r>
              <w:rPr>
                <w:rFonts w:hint="eastAsia" w:ascii="Times New Roman" w:hAnsi="Times New Roman" w:cs="Times New Roman" w:eastAsiaTheme="minorEastAsia"/>
                <w:color w:val="auto"/>
                <w:kern w:val="0"/>
                <w:sz w:val="24"/>
                <w:lang w:bidi="ar"/>
              </w:rPr>
              <w:t>。</w:t>
            </w:r>
          </w:p>
          <w:p w14:paraId="3788F5BA">
            <w:pPr>
              <w:keepNext w:val="0"/>
              <w:keepLines w:val="0"/>
              <w:pageBreakBefore w:val="0"/>
              <w:widowControl/>
              <w:kinsoku/>
              <w:wordWrap/>
              <w:overflowPunct/>
              <w:topLinePunct w:val="0"/>
              <w:autoSpaceDE/>
              <w:autoSpaceDN/>
              <w:bidi w:val="0"/>
              <w:adjustRightInd/>
              <w:snapToGrid/>
              <w:spacing w:line="360" w:lineRule="auto"/>
              <w:jc w:val="left"/>
              <w:textAlignment w:val="auto"/>
              <w:rPr>
                <w:rFonts w:ascii="Times New Roman" w:hAnsi="Times New Roman" w:cs="Times New Roman" w:eastAsiaTheme="minorEastAsia"/>
                <w:b/>
                <w:bCs/>
                <w:color w:val="auto"/>
                <w:kern w:val="0"/>
                <w:sz w:val="24"/>
                <w:lang w:bidi="ar"/>
              </w:rPr>
            </w:pPr>
            <w:r>
              <w:rPr>
                <w:rFonts w:hint="eastAsia" w:ascii="Times New Roman" w:hAnsi="Times New Roman" w:cs="Times New Roman" w:eastAsiaTheme="minorEastAsia"/>
                <w:b/>
                <w:bCs/>
                <w:color w:val="auto"/>
                <w:kern w:val="0"/>
                <w:sz w:val="24"/>
                <w:lang w:val="en-US" w:eastAsia="zh-CN" w:bidi="ar"/>
              </w:rPr>
              <w:t>2.</w:t>
            </w:r>
            <w:r>
              <w:rPr>
                <w:rFonts w:ascii="Times New Roman" w:hAnsi="Times New Roman" w:cs="Times New Roman" w:eastAsiaTheme="minorEastAsia"/>
                <w:b/>
                <w:bCs/>
                <w:color w:val="auto"/>
                <w:kern w:val="0"/>
                <w:sz w:val="24"/>
                <w:lang w:bidi="ar"/>
              </w:rPr>
              <w:t>地表水环境质量现状</w:t>
            </w:r>
          </w:p>
          <w:p w14:paraId="477C47D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cs="Times New Roman" w:eastAsiaTheme="minorEastAsia"/>
                <w:color w:val="auto"/>
                <w:kern w:val="0"/>
                <w:sz w:val="24"/>
                <w:lang w:bidi="ar"/>
              </w:rPr>
            </w:pPr>
            <w:r>
              <w:rPr>
                <w:rFonts w:hint="default" w:ascii="Times New Roman" w:hAnsi="Times New Roman" w:cs="Times New Roman" w:eastAsiaTheme="minorEastAsia"/>
                <w:color w:val="auto"/>
                <w:kern w:val="0"/>
                <w:sz w:val="24"/>
                <w:lang w:bidi="ar"/>
              </w:rPr>
              <w:t>本项目附近无地表水环境保护目标，无需进行现状监测。</w:t>
            </w:r>
          </w:p>
          <w:p w14:paraId="75A5F68F">
            <w:pPr>
              <w:spacing w:line="360" w:lineRule="auto"/>
              <w:rPr>
                <w:rFonts w:eastAsiaTheme="minorEastAsia"/>
                <w:b/>
                <w:bCs/>
                <w:color w:val="auto"/>
                <w:sz w:val="24"/>
              </w:rPr>
            </w:pPr>
            <w:r>
              <w:rPr>
                <w:rFonts w:hint="eastAsia" w:eastAsiaTheme="minorEastAsia"/>
                <w:b/>
                <w:bCs/>
                <w:color w:val="auto"/>
                <w:sz w:val="24"/>
                <w:lang w:val="en-US" w:eastAsia="zh-CN"/>
              </w:rPr>
              <w:t>3.</w:t>
            </w:r>
            <w:r>
              <w:rPr>
                <w:rFonts w:eastAsiaTheme="minorEastAsia"/>
                <w:b/>
                <w:bCs/>
                <w:color w:val="auto"/>
                <w:sz w:val="24"/>
              </w:rPr>
              <w:t>声环境现状</w:t>
            </w:r>
          </w:p>
          <w:p w14:paraId="78C0C50D">
            <w:pPr>
              <w:pStyle w:val="30"/>
              <w:ind w:firstLine="480"/>
              <w:jc w:val="both"/>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根据《建设项目环境影响报告表编制技术指南》（污染影响类）中</w:t>
            </w:r>
            <w:r>
              <w:rPr>
                <w:rFonts w:hint="eastAsia" w:ascii="Times New Roman" w:hAnsi="Times New Roman" w:cs="Times New Roman" w:eastAsiaTheme="minorEastAsia"/>
                <w:color w:val="auto"/>
                <w:kern w:val="0"/>
                <w:sz w:val="24"/>
                <w:szCs w:val="24"/>
                <w:lang w:val="en-US" w:eastAsia="zh-CN" w:bidi="ar"/>
              </w:rPr>
              <w:t>“</w:t>
            </w:r>
            <w:r>
              <w:rPr>
                <w:rFonts w:hint="default" w:ascii="Times New Roman" w:hAnsi="Times New Roman" w:cs="Times New Roman" w:eastAsiaTheme="minorEastAsia"/>
                <w:color w:val="auto"/>
                <w:kern w:val="0"/>
                <w:sz w:val="24"/>
                <w:szCs w:val="24"/>
                <w:lang w:val="en-US" w:eastAsia="zh-CN" w:bidi="ar"/>
              </w:rPr>
              <w:t>厂界外周边50米范围内存在声环境保护目标的建设项目，应监测保护目标声环境质量现状并评价达标情况。</w:t>
            </w:r>
            <w:r>
              <w:rPr>
                <w:rFonts w:hint="eastAsia" w:ascii="Times New Roman" w:hAnsi="Times New Roman" w:cs="Times New Roman" w:eastAsiaTheme="minorEastAsia"/>
                <w:color w:val="auto"/>
                <w:kern w:val="0"/>
                <w:sz w:val="24"/>
                <w:szCs w:val="24"/>
                <w:lang w:val="en-US" w:eastAsia="zh-CN" w:bidi="ar"/>
              </w:rPr>
              <w:t>”</w:t>
            </w:r>
            <w:r>
              <w:rPr>
                <w:rFonts w:hint="default" w:ascii="Times New Roman" w:hAnsi="Times New Roman" w:cs="Times New Roman" w:eastAsiaTheme="minorEastAsia"/>
                <w:color w:val="auto"/>
                <w:kern w:val="0"/>
                <w:sz w:val="24"/>
                <w:szCs w:val="24"/>
                <w:lang w:val="en-US" w:eastAsia="zh-CN" w:bidi="ar"/>
              </w:rPr>
              <w:t>本项目厂界外50米范围内无医院、学校、机关、科研单位、住宅、自然保护区等声环境保护目标，可不进行声环境质量现状监测。</w:t>
            </w:r>
          </w:p>
          <w:p w14:paraId="62B12548">
            <w:pPr>
              <w:pStyle w:val="30"/>
              <w:ind w:left="0" w:leftChars="0" w:firstLine="0" w:firstLineChars="0"/>
              <w:jc w:val="both"/>
              <w:rPr>
                <w:rFonts w:eastAsiaTheme="minorEastAsia"/>
                <w:b/>
                <w:bCs/>
                <w:color w:val="auto"/>
                <w:sz w:val="24"/>
              </w:rPr>
            </w:pPr>
            <w:r>
              <w:rPr>
                <w:rFonts w:hint="eastAsia" w:cs="Times New Roman" w:eastAsiaTheme="minorEastAsia"/>
                <w:b/>
                <w:bCs/>
                <w:color w:val="auto"/>
                <w:kern w:val="2"/>
                <w:sz w:val="24"/>
                <w:szCs w:val="24"/>
                <w:lang w:val="en-US" w:eastAsia="zh-CN" w:bidi="ar-SA"/>
              </w:rPr>
              <w:t>4.</w:t>
            </w:r>
            <w:r>
              <w:rPr>
                <w:rFonts w:ascii="Times New Roman" w:hAnsi="Times New Roman" w:cs="Times New Roman" w:eastAsiaTheme="minorEastAsia"/>
                <w:b/>
                <w:bCs/>
                <w:color w:val="auto"/>
                <w:kern w:val="2"/>
                <w:sz w:val="24"/>
                <w:szCs w:val="24"/>
                <w:lang w:val="en-US" w:eastAsia="zh-CN" w:bidi="ar-SA"/>
              </w:rPr>
              <w:t>生态环境质量现状</w:t>
            </w:r>
          </w:p>
          <w:p w14:paraId="64348CC3">
            <w:pPr>
              <w:pStyle w:val="30"/>
              <w:ind w:firstLine="480"/>
              <w:rPr>
                <w:rFonts w:eastAsiaTheme="minorEastAsia"/>
                <w:color w:val="auto"/>
              </w:rPr>
            </w:pPr>
            <w:r>
              <w:rPr>
                <w:rFonts w:eastAsiaTheme="minorEastAsia"/>
                <w:color w:val="auto"/>
              </w:rPr>
              <w:t>本项目</w:t>
            </w:r>
            <w:r>
              <w:rPr>
                <w:rFonts w:hint="eastAsia" w:eastAsiaTheme="minorEastAsia"/>
                <w:color w:val="auto"/>
              </w:rPr>
              <w:t>租赁</w:t>
            </w:r>
            <w:r>
              <w:rPr>
                <w:rFonts w:eastAsiaTheme="minorEastAsia"/>
                <w:color w:val="auto"/>
              </w:rPr>
              <w:t>已建成厂房，建设项目无新增用地且用地范围内不含生态环境保护目标，</w:t>
            </w:r>
            <w:bookmarkStart w:id="7" w:name="OLE_LINK200"/>
            <w:bookmarkStart w:id="8" w:name="OLE_LINK201"/>
            <w:r>
              <w:rPr>
                <w:rFonts w:eastAsiaTheme="minorEastAsia"/>
                <w:color w:val="auto"/>
              </w:rPr>
              <w:t>本次评价不做生态环境现状调查。</w:t>
            </w:r>
            <w:bookmarkEnd w:id="7"/>
            <w:bookmarkEnd w:id="8"/>
          </w:p>
          <w:p w14:paraId="4237B5B5">
            <w:pPr>
              <w:tabs>
                <w:tab w:val="left" w:pos="4266"/>
              </w:tabs>
              <w:spacing w:line="360" w:lineRule="auto"/>
              <w:rPr>
                <w:rFonts w:eastAsiaTheme="minorEastAsia"/>
                <w:b/>
                <w:bCs/>
                <w:color w:val="auto"/>
                <w:sz w:val="24"/>
              </w:rPr>
            </w:pPr>
            <w:r>
              <w:rPr>
                <w:rFonts w:hint="eastAsia" w:eastAsiaTheme="minorEastAsia"/>
                <w:b/>
                <w:bCs/>
                <w:color w:val="auto"/>
                <w:sz w:val="24"/>
                <w:lang w:val="en-US" w:eastAsia="zh-CN"/>
              </w:rPr>
              <w:t>5</w:t>
            </w:r>
            <w:r>
              <w:rPr>
                <w:rFonts w:eastAsiaTheme="minorEastAsia"/>
                <w:b/>
                <w:bCs/>
                <w:color w:val="auto"/>
                <w:sz w:val="24"/>
              </w:rPr>
              <w:t>地下水、土壤环境质量现状</w:t>
            </w:r>
          </w:p>
          <w:p w14:paraId="0622744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项目环境影响报告表编制技术指南》（污染影响类）原则上不开展地下水环境质量现状调查。项目有完善的防渗措施及废水收集系统，建设项目不存在地下水环境污染途径的，不进行地下水环境质量现状调查。</w:t>
            </w:r>
          </w:p>
          <w:p w14:paraId="5ED3C9B2">
            <w:pPr>
              <w:keepNext/>
              <w:keepLines/>
              <w:shd w:val="clear"/>
              <w:spacing w:line="360" w:lineRule="auto"/>
              <w:ind w:firstLine="480" w:firstLineChars="200"/>
              <w:jc w:val="left"/>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要求，土壤环境原则上不开展环境质量现状调查，建设项目存在土壤环境污染途径的，应结合污染源、保护目标分布情况开展现状调查以留作背景值</w:t>
            </w:r>
            <w:r>
              <w:rPr>
                <w:rFonts w:hint="eastAsia" w:ascii="Times New Roman" w:hAnsi="Times New Roman" w:eastAsia="宋体" w:cs="Times New Roman"/>
                <w:color w:val="auto"/>
                <w:sz w:val="24"/>
                <w:highlight w:val="none"/>
                <w:lang w:val="en-US" w:eastAsia="zh-CN"/>
              </w:rPr>
              <w:t>。</w:t>
            </w:r>
          </w:p>
          <w:p w14:paraId="4C6FD1EC">
            <w:pPr>
              <w:spacing w:line="360" w:lineRule="auto"/>
              <w:ind w:firstLine="480" w:firstLineChars="200"/>
              <w:rPr>
                <w:rFonts w:eastAsiaTheme="minorEastAsia"/>
                <w:color w:val="auto"/>
                <w:kern w:val="0"/>
                <w:sz w:val="24"/>
                <w:szCs w:val="22"/>
                <w:lang w:bidi="ar"/>
              </w:rPr>
            </w:pPr>
            <w:r>
              <w:rPr>
                <w:rFonts w:hint="default" w:ascii="Times New Roman" w:hAnsi="Times New Roman" w:cs="Times New Roman" w:eastAsiaTheme="minorEastAsia"/>
                <w:color w:val="auto"/>
                <w:kern w:val="0"/>
                <w:sz w:val="24"/>
                <w:lang w:val="en-US" w:eastAsia="zh-CN" w:bidi="ar"/>
              </w:rPr>
              <w:t>本项目</w:t>
            </w:r>
            <w:r>
              <w:rPr>
                <w:rFonts w:hint="eastAsia" w:ascii="Times New Roman" w:hAnsi="Times New Roman" w:cs="Times New Roman" w:eastAsiaTheme="minorEastAsia"/>
                <w:color w:val="auto"/>
                <w:kern w:val="0"/>
                <w:sz w:val="24"/>
                <w:lang w:val="en-US" w:eastAsia="zh-CN" w:bidi="ar"/>
              </w:rPr>
              <w:t>属于涂料制造及金属表面处理及热处理加工</w:t>
            </w:r>
            <w:r>
              <w:rPr>
                <w:rFonts w:hint="default" w:ascii="Times New Roman" w:hAnsi="Times New Roman" w:cs="Times New Roman" w:eastAsiaTheme="minorEastAsia"/>
                <w:color w:val="auto"/>
                <w:kern w:val="0"/>
                <w:sz w:val="24"/>
                <w:lang w:val="en-US" w:eastAsia="zh-CN" w:bidi="ar"/>
              </w:rPr>
              <w:t>（主要产污工序为投料</w:t>
            </w:r>
            <w:r>
              <w:rPr>
                <w:rFonts w:hint="eastAsia" w:ascii="Times New Roman" w:hAnsi="Times New Roman" w:cs="Times New Roman" w:eastAsiaTheme="minorEastAsia"/>
                <w:color w:val="auto"/>
                <w:kern w:val="0"/>
                <w:sz w:val="24"/>
                <w:lang w:val="en-US" w:eastAsia="zh-CN" w:bidi="ar"/>
              </w:rPr>
              <w:t>、下料、研磨、熔融挤出、压片、电泳</w:t>
            </w:r>
            <w:r>
              <w:rPr>
                <w:rFonts w:hint="default" w:ascii="Times New Roman" w:hAnsi="Times New Roman" w:cs="Times New Roman" w:eastAsiaTheme="minorEastAsia"/>
                <w:color w:val="auto"/>
                <w:kern w:val="0"/>
                <w:sz w:val="24"/>
                <w:lang w:val="en-US" w:eastAsia="zh-CN" w:bidi="ar"/>
              </w:rPr>
              <w:t>喷粉</w:t>
            </w:r>
            <w:r>
              <w:rPr>
                <w:rFonts w:hint="eastAsia" w:ascii="Times New Roman" w:hAnsi="Times New Roman" w:cs="Times New Roman" w:eastAsiaTheme="minorEastAsia"/>
                <w:color w:val="auto"/>
                <w:kern w:val="0"/>
                <w:sz w:val="24"/>
                <w:lang w:val="en-US" w:eastAsia="zh-CN" w:bidi="ar"/>
              </w:rPr>
              <w:t>、固化及</w:t>
            </w:r>
            <w:r>
              <w:rPr>
                <w:rFonts w:hint="default" w:ascii="Times New Roman" w:hAnsi="Times New Roman" w:cs="Times New Roman" w:eastAsiaTheme="minorEastAsia"/>
                <w:color w:val="auto"/>
                <w:kern w:val="0"/>
                <w:sz w:val="24"/>
                <w:lang w:val="en-US" w:eastAsia="zh-CN" w:bidi="ar"/>
              </w:rPr>
              <w:t>热风炉燃烧）</w:t>
            </w:r>
            <w:r>
              <w:rPr>
                <w:rFonts w:ascii="宋体" w:hAnsi="宋体" w:eastAsia="宋体" w:cs="宋体"/>
                <w:color w:val="auto"/>
                <w:sz w:val="24"/>
                <w:szCs w:val="24"/>
                <w:highlight w:val="none"/>
              </w:rPr>
              <w:t>，本项目在已建成的车间内进行生产，生产车间已进行硬化处理。项目垂直入渗污染物主要为废润滑油</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废液</w:t>
            </w:r>
            <w:r>
              <w:rPr>
                <w:rFonts w:ascii="宋体" w:hAnsi="宋体" w:eastAsia="宋体" w:cs="宋体"/>
                <w:color w:val="auto"/>
                <w:sz w:val="24"/>
                <w:szCs w:val="24"/>
                <w:highlight w:val="none"/>
              </w:rPr>
              <w:t>，项目生产车间均已进行硬化处理，可以有效保证污染物不进入土壤环境。大气沉降主要污染物为颗粒物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非甲烷总烃</w:t>
            </w:r>
            <w:r>
              <w:rPr>
                <w:rFonts w:ascii="宋体" w:hAnsi="宋体" w:eastAsia="宋体" w:cs="宋体"/>
                <w:color w:val="auto"/>
                <w:sz w:val="24"/>
                <w:szCs w:val="24"/>
                <w:highlight w:val="none"/>
              </w:rPr>
              <w:t>，项目在密闭车间内进行生产，大气污染物大多沉降在项目区内，项目生产车间地面均已硬化处理，可以有效保证污染物不进入</w:t>
            </w:r>
            <w:r>
              <w:rPr>
                <w:rFonts w:hint="eastAsia" w:ascii="宋体" w:hAnsi="宋体" w:eastAsia="宋体" w:cs="宋体"/>
                <w:color w:val="auto"/>
                <w:sz w:val="24"/>
                <w:szCs w:val="24"/>
                <w:highlight w:val="none"/>
                <w:lang w:val="en-US" w:eastAsia="zh-CN"/>
              </w:rPr>
              <w:t>厂内</w:t>
            </w:r>
            <w:r>
              <w:rPr>
                <w:rFonts w:ascii="宋体" w:hAnsi="宋体" w:eastAsia="宋体" w:cs="宋体"/>
                <w:color w:val="auto"/>
                <w:sz w:val="24"/>
                <w:szCs w:val="24"/>
                <w:highlight w:val="none"/>
              </w:rPr>
              <w:t>土壤环境。</w:t>
            </w:r>
          </w:p>
        </w:tc>
      </w:tr>
      <w:tr w14:paraId="0A68A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800" w:type="dxa"/>
            <w:tcBorders>
              <w:tl2br w:val="nil"/>
              <w:tr2bl w:val="nil"/>
            </w:tcBorders>
            <w:noWrap/>
            <w:vAlign w:val="center"/>
          </w:tcPr>
          <w:p w14:paraId="58A9A570">
            <w:pPr>
              <w:adjustRightInd w:val="0"/>
              <w:snapToGrid w:val="0"/>
              <w:jc w:val="center"/>
              <w:rPr>
                <w:rFonts w:eastAsiaTheme="minorEastAsia"/>
                <w:color w:val="auto"/>
                <w:kern w:val="0"/>
                <w:sz w:val="24"/>
              </w:rPr>
            </w:pPr>
            <w:r>
              <w:rPr>
                <w:rFonts w:eastAsiaTheme="minorEastAsia"/>
                <w:color w:val="auto"/>
                <w:kern w:val="0"/>
                <w:sz w:val="24"/>
              </w:rPr>
              <w:t>环境</w:t>
            </w:r>
          </w:p>
          <w:p w14:paraId="4900F5F5">
            <w:pPr>
              <w:adjustRightInd w:val="0"/>
              <w:snapToGrid w:val="0"/>
              <w:jc w:val="center"/>
              <w:rPr>
                <w:rFonts w:eastAsiaTheme="minorEastAsia"/>
                <w:color w:val="auto"/>
                <w:kern w:val="0"/>
                <w:sz w:val="24"/>
              </w:rPr>
            </w:pPr>
            <w:r>
              <w:rPr>
                <w:rFonts w:eastAsiaTheme="minorEastAsia"/>
                <w:color w:val="auto"/>
                <w:kern w:val="0"/>
                <w:sz w:val="24"/>
              </w:rPr>
              <w:t>保护</w:t>
            </w:r>
          </w:p>
          <w:p w14:paraId="0CEFCE99">
            <w:pPr>
              <w:adjustRightInd w:val="0"/>
              <w:snapToGrid w:val="0"/>
              <w:jc w:val="center"/>
              <w:rPr>
                <w:rFonts w:eastAsiaTheme="minorEastAsia"/>
                <w:color w:val="auto"/>
                <w:kern w:val="0"/>
                <w:szCs w:val="21"/>
              </w:rPr>
            </w:pPr>
            <w:r>
              <w:rPr>
                <w:rFonts w:eastAsiaTheme="minorEastAsia"/>
                <w:color w:val="auto"/>
                <w:kern w:val="0"/>
                <w:sz w:val="24"/>
              </w:rPr>
              <w:t>目标</w:t>
            </w:r>
          </w:p>
        </w:tc>
        <w:tc>
          <w:tcPr>
            <w:tcW w:w="8190" w:type="dxa"/>
            <w:tcBorders>
              <w:tl2br w:val="nil"/>
              <w:tr2bl w:val="nil"/>
            </w:tcBorders>
            <w:noWrap/>
            <w:vAlign w:val="center"/>
          </w:tcPr>
          <w:p w14:paraId="1E260E0F">
            <w:pPr>
              <w:pStyle w:val="27"/>
              <w:spacing w:line="360" w:lineRule="auto"/>
              <w:rPr>
                <w:rFonts w:ascii="Times New Roman" w:hAnsi="Times New Roman" w:cs="Times New Roman" w:eastAsiaTheme="minorEastAsia"/>
                <w:color w:val="auto"/>
                <w:sz w:val="24"/>
              </w:rPr>
            </w:pPr>
            <w:r>
              <w:rPr>
                <w:rFonts w:hint="eastAsia" w:ascii="Times New Roman" w:hAnsi="Times New Roman" w:cs="Times New Roman" w:eastAsiaTheme="minorEastAsia"/>
                <w:b/>
                <w:bCs/>
                <w:color w:val="auto"/>
                <w:sz w:val="24"/>
                <w:lang w:val="en-US" w:eastAsia="zh-CN"/>
              </w:rPr>
              <w:t>1.</w:t>
            </w:r>
            <w:r>
              <w:rPr>
                <w:rFonts w:ascii="Times New Roman" w:hAnsi="Times New Roman" w:cs="Times New Roman" w:eastAsiaTheme="minorEastAsia"/>
                <w:b/>
                <w:bCs/>
                <w:color w:val="auto"/>
                <w:sz w:val="24"/>
                <w:lang w:val="en-US"/>
              </w:rPr>
              <w:t>大气环境保护目标</w:t>
            </w:r>
          </w:p>
          <w:p w14:paraId="0B668327">
            <w:pPr>
              <w:pStyle w:val="27"/>
              <w:spacing w:line="360" w:lineRule="auto"/>
              <w:ind w:firstLine="480" w:firstLineChars="200"/>
              <w:rPr>
                <w:rFonts w:ascii="Times New Roman" w:hAnsi="Times New Roman" w:cs="Times New Roman" w:eastAsiaTheme="minorEastAsia"/>
                <w:color w:val="auto"/>
                <w:sz w:val="24"/>
              </w:rPr>
            </w:pPr>
            <w:r>
              <w:rPr>
                <w:rFonts w:ascii="Times New Roman" w:hAnsi="Times New Roman" w:cs="Times New Roman" w:eastAsiaTheme="minorEastAsia"/>
                <w:color w:val="auto"/>
                <w:sz w:val="24"/>
                <w:lang w:val="en-US"/>
              </w:rPr>
              <w:t>厂界外500m范围内大气环境保护目标主要为居住区，详见表3-</w:t>
            </w:r>
            <w:r>
              <w:rPr>
                <w:rFonts w:hint="eastAsia" w:ascii="Times New Roman" w:hAnsi="Times New Roman" w:cs="Times New Roman" w:eastAsiaTheme="minorEastAsia"/>
                <w:color w:val="auto"/>
                <w:sz w:val="24"/>
                <w:lang w:val="en-US"/>
              </w:rPr>
              <w:t>4</w:t>
            </w:r>
            <w:r>
              <w:rPr>
                <w:rFonts w:ascii="Times New Roman" w:hAnsi="Times New Roman" w:cs="Times New Roman" w:eastAsiaTheme="minorEastAsia"/>
                <w:color w:val="auto"/>
                <w:sz w:val="24"/>
                <w:lang w:val="en-US"/>
              </w:rPr>
              <w:t>。</w:t>
            </w:r>
          </w:p>
          <w:p w14:paraId="235411A0">
            <w:pPr>
              <w:jc w:val="center"/>
              <w:rPr>
                <w:rFonts w:eastAsiaTheme="minorEastAsia"/>
                <w:b/>
                <w:bCs/>
                <w:color w:val="auto"/>
                <w:szCs w:val="21"/>
              </w:rPr>
            </w:pPr>
            <w:r>
              <w:rPr>
                <w:rFonts w:eastAsiaTheme="minorEastAsia"/>
                <w:b/>
                <w:bCs/>
                <w:color w:val="auto"/>
                <w:szCs w:val="21"/>
              </w:rPr>
              <w:t>表3-</w:t>
            </w:r>
            <w:r>
              <w:rPr>
                <w:rFonts w:hint="eastAsia" w:eastAsiaTheme="minorEastAsia"/>
                <w:b/>
                <w:bCs/>
                <w:color w:val="auto"/>
                <w:szCs w:val="21"/>
              </w:rPr>
              <w:t>4</w:t>
            </w:r>
            <w:r>
              <w:rPr>
                <w:rFonts w:eastAsiaTheme="minorEastAsia"/>
                <w:b/>
                <w:bCs/>
                <w:color w:val="auto"/>
                <w:szCs w:val="21"/>
              </w:rPr>
              <w:t xml:space="preserve"> </w:t>
            </w:r>
            <w:r>
              <w:rPr>
                <w:rFonts w:hint="eastAsia" w:eastAsiaTheme="minorEastAsia"/>
                <w:b/>
                <w:bCs/>
                <w:color w:val="auto"/>
                <w:szCs w:val="21"/>
              </w:rPr>
              <w:t xml:space="preserve"> </w:t>
            </w:r>
            <w:r>
              <w:rPr>
                <w:rFonts w:eastAsiaTheme="minorEastAsia"/>
                <w:b/>
                <w:bCs/>
                <w:color w:val="auto"/>
                <w:szCs w:val="21"/>
              </w:rPr>
              <w:t>建设项目环境空气保护目标统计表</w:t>
            </w:r>
          </w:p>
          <w:tbl>
            <w:tblPr>
              <w:tblStyle w:val="20"/>
              <w:tblW w:w="5000" w:type="pct"/>
              <w:jc w:val="center"/>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Layout w:type="fixed"/>
              <w:tblCellMar>
                <w:top w:w="0" w:type="dxa"/>
                <w:left w:w="108" w:type="dxa"/>
                <w:bottom w:w="0" w:type="dxa"/>
                <w:right w:w="108" w:type="dxa"/>
              </w:tblCellMar>
            </w:tblPr>
            <w:tblGrid>
              <w:gridCol w:w="1724"/>
              <w:gridCol w:w="1473"/>
              <w:gridCol w:w="1418"/>
              <w:gridCol w:w="750"/>
              <w:gridCol w:w="886"/>
              <w:gridCol w:w="873"/>
              <w:gridCol w:w="820"/>
            </w:tblGrid>
            <w:tr w14:paraId="1666FC9B">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85" w:type="pct"/>
                  <w:vMerge w:val="restart"/>
                  <w:noWrap/>
                  <w:vAlign w:val="center"/>
                </w:tcPr>
                <w:p w14:paraId="153F1C0B">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保护对象</w:t>
                  </w:r>
                </w:p>
              </w:tc>
              <w:tc>
                <w:tcPr>
                  <w:tcW w:w="1819" w:type="pct"/>
                  <w:gridSpan w:val="2"/>
                  <w:noWrap/>
                  <w:vAlign w:val="center"/>
                </w:tcPr>
                <w:p w14:paraId="4B56E006">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经纬度</w:t>
                  </w:r>
                </w:p>
              </w:tc>
              <w:tc>
                <w:tcPr>
                  <w:tcW w:w="472" w:type="pct"/>
                  <w:vMerge w:val="restart"/>
                  <w:noWrap/>
                  <w:vAlign w:val="center"/>
                </w:tcPr>
                <w:p w14:paraId="6C409774">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保护内容</w:t>
                  </w:r>
                </w:p>
              </w:tc>
              <w:tc>
                <w:tcPr>
                  <w:tcW w:w="557" w:type="pct"/>
                  <w:vMerge w:val="restart"/>
                  <w:noWrap/>
                  <w:vAlign w:val="center"/>
                </w:tcPr>
                <w:p w14:paraId="3E424733">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环境功能区</w:t>
                  </w:r>
                </w:p>
              </w:tc>
              <w:tc>
                <w:tcPr>
                  <w:tcW w:w="549" w:type="pct"/>
                  <w:vMerge w:val="restart"/>
                  <w:noWrap/>
                  <w:vAlign w:val="center"/>
                </w:tcPr>
                <w:p w14:paraId="564A4B87">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相对厂址方位</w:t>
                  </w:r>
                </w:p>
              </w:tc>
              <w:tc>
                <w:tcPr>
                  <w:tcW w:w="516" w:type="pct"/>
                  <w:vMerge w:val="restart"/>
                  <w:noWrap/>
                  <w:vAlign w:val="center"/>
                </w:tcPr>
                <w:p w14:paraId="2DC48777">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相对厂界距离</w:t>
                  </w:r>
                </w:p>
              </w:tc>
            </w:tr>
            <w:tr w14:paraId="37F626BE">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117" w:hRule="atLeast"/>
                <w:jc w:val="center"/>
              </w:trPr>
              <w:tc>
                <w:tcPr>
                  <w:tcW w:w="1085" w:type="pct"/>
                  <w:vMerge w:val="continue"/>
                  <w:noWrap/>
                  <w:vAlign w:val="center"/>
                </w:tcPr>
                <w:p w14:paraId="511DBCBB">
                  <w:pPr>
                    <w:adjustRightInd w:val="0"/>
                    <w:snapToGrid w:val="0"/>
                    <w:jc w:val="center"/>
                    <w:rPr>
                      <w:rFonts w:hint="default" w:ascii="Times New Roman" w:hAnsi="Times New Roman" w:cs="Times New Roman" w:eastAsiaTheme="minorEastAsia"/>
                      <w:snapToGrid w:val="0"/>
                      <w:color w:val="auto"/>
                      <w:kern w:val="0"/>
                      <w:szCs w:val="21"/>
                    </w:rPr>
                  </w:pPr>
                </w:p>
              </w:tc>
              <w:tc>
                <w:tcPr>
                  <w:tcW w:w="927" w:type="pct"/>
                  <w:noWrap/>
                  <w:vAlign w:val="center"/>
                </w:tcPr>
                <w:p w14:paraId="6CC62EF3">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E</w:t>
                  </w:r>
                </w:p>
              </w:tc>
              <w:tc>
                <w:tcPr>
                  <w:tcW w:w="892" w:type="pct"/>
                  <w:noWrap/>
                  <w:vAlign w:val="center"/>
                </w:tcPr>
                <w:p w14:paraId="17B1C4BB">
                  <w:pPr>
                    <w:adjustRightInd w:val="0"/>
                    <w:snapToGrid w:val="0"/>
                    <w:jc w:val="center"/>
                    <w:rPr>
                      <w:rFonts w:hint="default" w:ascii="Times New Roman" w:hAnsi="Times New Roman" w:cs="Times New Roman" w:eastAsiaTheme="minorEastAsia"/>
                      <w:b/>
                      <w:snapToGrid w:val="0"/>
                      <w:color w:val="auto"/>
                      <w:kern w:val="0"/>
                      <w:szCs w:val="21"/>
                    </w:rPr>
                  </w:pPr>
                  <w:r>
                    <w:rPr>
                      <w:rFonts w:hint="default" w:ascii="Times New Roman" w:hAnsi="Times New Roman" w:cs="Times New Roman" w:eastAsiaTheme="minorEastAsia"/>
                      <w:b/>
                      <w:snapToGrid w:val="0"/>
                      <w:color w:val="auto"/>
                      <w:kern w:val="0"/>
                      <w:szCs w:val="21"/>
                    </w:rPr>
                    <w:t>W</w:t>
                  </w:r>
                </w:p>
              </w:tc>
              <w:tc>
                <w:tcPr>
                  <w:tcW w:w="472" w:type="pct"/>
                  <w:vMerge w:val="continue"/>
                  <w:noWrap/>
                  <w:vAlign w:val="center"/>
                </w:tcPr>
                <w:p w14:paraId="3AEBA626">
                  <w:pPr>
                    <w:adjustRightInd w:val="0"/>
                    <w:snapToGrid w:val="0"/>
                    <w:jc w:val="center"/>
                    <w:rPr>
                      <w:rFonts w:hint="default" w:ascii="Times New Roman" w:hAnsi="Times New Roman" w:cs="Times New Roman" w:eastAsiaTheme="minorEastAsia"/>
                      <w:snapToGrid w:val="0"/>
                      <w:color w:val="auto"/>
                      <w:kern w:val="0"/>
                      <w:szCs w:val="21"/>
                    </w:rPr>
                  </w:pPr>
                </w:p>
              </w:tc>
              <w:tc>
                <w:tcPr>
                  <w:tcW w:w="557" w:type="pct"/>
                  <w:vMerge w:val="continue"/>
                  <w:noWrap/>
                  <w:vAlign w:val="center"/>
                </w:tcPr>
                <w:p w14:paraId="6BFBDA39">
                  <w:pPr>
                    <w:adjustRightInd w:val="0"/>
                    <w:snapToGrid w:val="0"/>
                    <w:jc w:val="center"/>
                    <w:rPr>
                      <w:rFonts w:hint="default" w:ascii="Times New Roman" w:hAnsi="Times New Roman" w:cs="Times New Roman" w:eastAsiaTheme="minorEastAsia"/>
                      <w:snapToGrid w:val="0"/>
                      <w:color w:val="auto"/>
                      <w:kern w:val="0"/>
                      <w:szCs w:val="21"/>
                    </w:rPr>
                  </w:pPr>
                </w:p>
              </w:tc>
              <w:tc>
                <w:tcPr>
                  <w:tcW w:w="549" w:type="pct"/>
                  <w:vMerge w:val="continue"/>
                  <w:noWrap/>
                  <w:vAlign w:val="center"/>
                </w:tcPr>
                <w:p w14:paraId="2A29B889">
                  <w:pPr>
                    <w:adjustRightInd w:val="0"/>
                    <w:snapToGrid w:val="0"/>
                    <w:jc w:val="center"/>
                    <w:rPr>
                      <w:rFonts w:hint="default" w:ascii="Times New Roman" w:hAnsi="Times New Roman" w:cs="Times New Roman" w:eastAsiaTheme="minorEastAsia"/>
                      <w:snapToGrid w:val="0"/>
                      <w:color w:val="auto"/>
                      <w:kern w:val="0"/>
                      <w:szCs w:val="21"/>
                    </w:rPr>
                  </w:pPr>
                </w:p>
              </w:tc>
              <w:tc>
                <w:tcPr>
                  <w:tcW w:w="516" w:type="pct"/>
                  <w:vMerge w:val="continue"/>
                  <w:noWrap/>
                  <w:vAlign w:val="center"/>
                </w:tcPr>
                <w:p w14:paraId="2A6848F1">
                  <w:pPr>
                    <w:adjustRightInd w:val="0"/>
                    <w:snapToGrid w:val="0"/>
                    <w:jc w:val="center"/>
                    <w:rPr>
                      <w:rFonts w:hint="default" w:ascii="Times New Roman" w:hAnsi="Times New Roman" w:cs="Times New Roman" w:eastAsiaTheme="minorEastAsia"/>
                      <w:snapToGrid w:val="0"/>
                      <w:color w:val="auto"/>
                      <w:kern w:val="0"/>
                      <w:szCs w:val="21"/>
                    </w:rPr>
                  </w:pPr>
                </w:p>
              </w:tc>
            </w:tr>
            <w:tr w14:paraId="6F1F84DD">
              <w:tblPrEx>
                <w:tblBorders>
                  <w:top w:val="single" w:color="000000" w:sz="12" w:space="0"/>
                  <w:left w:val="single" w:color="000000" w:sz="12" w:space="0"/>
                  <w:bottom w:val="single" w:color="000000" w:sz="12" w:space="0"/>
                  <w:right w:val="single" w:color="000000" w:sz="12" w:space="0"/>
                  <w:insideH w:val="single" w:color="auto" w:sz="6" w:space="0"/>
                  <w:insideV w:val="single" w:color="auto" w:sz="6" w:space="0"/>
                </w:tblBorders>
                <w:tblCellMar>
                  <w:top w:w="0" w:type="dxa"/>
                  <w:left w:w="108" w:type="dxa"/>
                  <w:bottom w:w="0" w:type="dxa"/>
                  <w:right w:w="108" w:type="dxa"/>
                </w:tblCellMar>
              </w:tblPrEx>
              <w:trPr>
                <w:trHeight w:val="697" w:hRule="atLeast"/>
                <w:jc w:val="center"/>
              </w:trPr>
              <w:tc>
                <w:tcPr>
                  <w:tcW w:w="1085" w:type="pct"/>
                  <w:noWrap/>
                  <w:vAlign w:val="center"/>
                </w:tcPr>
                <w:p w14:paraId="349F4645">
                  <w:pPr>
                    <w:spacing w:line="0" w:lineRule="atLeast"/>
                    <w:jc w:val="both"/>
                    <w:rPr>
                      <w:rFonts w:hint="default" w:ascii="Times New Roman" w:hAnsi="Times New Roman" w:cs="Times New Roman" w:eastAsiaTheme="minorEastAsia"/>
                      <w:snapToGrid w:val="0"/>
                      <w:color w:val="auto"/>
                      <w:kern w:val="0"/>
                      <w:szCs w:val="21"/>
                    </w:rPr>
                  </w:pPr>
                  <w:r>
                    <w:rPr>
                      <w:rFonts w:hint="default" w:ascii="Times New Roman" w:hAnsi="Times New Roman" w:cs="Times New Roman" w:eastAsiaTheme="minorEastAsia"/>
                      <w:snapToGrid w:val="0"/>
                      <w:kern w:val="0"/>
                      <w:szCs w:val="21"/>
                    </w:rPr>
                    <w:t>鄠邑区人民法院大王人民法庭</w:t>
                  </w:r>
                </w:p>
              </w:tc>
              <w:tc>
                <w:tcPr>
                  <w:tcW w:w="927" w:type="pct"/>
                  <w:noWrap/>
                  <w:vAlign w:val="center"/>
                </w:tcPr>
                <w:p w14:paraId="2F6F04D0">
                  <w:pPr>
                    <w:spacing w:line="0" w:lineRule="atLeas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108°38′23.02″</w:t>
                  </w:r>
                </w:p>
              </w:tc>
              <w:tc>
                <w:tcPr>
                  <w:tcW w:w="892" w:type="pct"/>
                  <w:noWrap/>
                  <w:vAlign w:val="center"/>
                </w:tcPr>
                <w:p w14:paraId="0D7DE07F">
                  <w:pPr>
                    <w:spacing w:line="0" w:lineRule="atLeast"/>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34°11′27.74″</w:t>
                  </w:r>
                </w:p>
              </w:tc>
              <w:tc>
                <w:tcPr>
                  <w:tcW w:w="472" w:type="pct"/>
                  <w:noWrap/>
                  <w:vAlign w:val="center"/>
                </w:tcPr>
                <w:p w14:paraId="6B35D7D6">
                  <w:pPr>
                    <w:adjustRightInd w:val="0"/>
                    <w:snapToGrid w:val="0"/>
                    <w:jc w:val="center"/>
                    <w:rPr>
                      <w:rFonts w:hint="default" w:ascii="Times New Roman" w:hAnsi="Times New Roman" w:cs="Times New Roman" w:eastAsiaTheme="minorEastAsia"/>
                      <w:bCs/>
                      <w:snapToGrid w:val="0"/>
                      <w:color w:val="auto"/>
                      <w:kern w:val="0"/>
                      <w:szCs w:val="21"/>
                    </w:rPr>
                  </w:pPr>
                  <w:r>
                    <w:rPr>
                      <w:rFonts w:hint="default" w:ascii="Times New Roman" w:hAnsi="Times New Roman" w:cs="Times New Roman" w:eastAsiaTheme="minorEastAsia"/>
                      <w:bCs/>
                      <w:snapToGrid w:val="0"/>
                      <w:color w:val="auto"/>
                      <w:kern w:val="0"/>
                      <w:szCs w:val="21"/>
                    </w:rPr>
                    <w:t>工作人员</w:t>
                  </w:r>
                </w:p>
              </w:tc>
              <w:tc>
                <w:tcPr>
                  <w:tcW w:w="557" w:type="pct"/>
                  <w:noWrap/>
                  <w:vAlign w:val="center"/>
                </w:tcPr>
                <w:p w14:paraId="3ECCA154">
                  <w:pPr>
                    <w:adjustRightInd w:val="0"/>
                    <w:snapToGrid w:val="0"/>
                    <w:jc w:val="center"/>
                    <w:rPr>
                      <w:rFonts w:hint="default" w:ascii="Times New Roman" w:hAnsi="Times New Roman" w:cs="Times New Roman" w:eastAsiaTheme="minorEastAsia"/>
                      <w:bCs/>
                      <w:snapToGrid w:val="0"/>
                      <w:color w:val="auto"/>
                      <w:kern w:val="0"/>
                      <w:szCs w:val="21"/>
                    </w:rPr>
                  </w:pPr>
                  <w:r>
                    <w:rPr>
                      <w:rFonts w:hint="default" w:ascii="Times New Roman" w:hAnsi="Times New Roman" w:cs="Times New Roman" w:eastAsiaTheme="minorEastAsia"/>
                      <w:bCs/>
                      <w:snapToGrid w:val="0"/>
                      <w:color w:val="auto"/>
                      <w:kern w:val="0"/>
                      <w:szCs w:val="21"/>
                    </w:rPr>
                    <w:t>环境空气2类</w:t>
                  </w:r>
                </w:p>
              </w:tc>
              <w:tc>
                <w:tcPr>
                  <w:tcW w:w="549" w:type="pct"/>
                  <w:noWrap/>
                  <w:vAlign w:val="center"/>
                </w:tcPr>
                <w:p w14:paraId="2766BF65">
                  <w:pPr>
                    <w:adjustRightInd w:val="0"/>
                    <w:snapToGrid w:val="0"/>
                    <w:jc w:val="center"/>
                    <w:rPr>
                      <w:rFonts w:hint="default" w:ascii="Times New Roman" w:hAnsi="Times New Roman" w:cs="Times New Roman" w:eastAsiaTheme="minorEastAsia"/>
                      <w:bCs/>
                      <w:snapToGrid w:val="0"/>
                      <w:color w:val="auto"/>
                      <w:kern w:val="0"/>
                      <w:szCs w:val="21"/>
                    </w:rPr>
                  </w:pPr>
                  <w:r>
                    <w:rPr>
                      <w:rFonts w:hint="default" w:ascii="Times New Roman" w:hAnsi="Times New Roman" w:cs="Times New Roman" w:eastAsiaTheme="minorEastAsia"/>
                      <w:bCs/>
                      <w:snapToGrid w:val="0"/>
                      <w:color w:val="auto"/>
                      <w:kern w:val="0"/>
                      <w:szCs w:val="21"/>
                    </w:rPr>
                    <w:t>东南侧</w:t>
                  </w:r>
                </w:p>
              </w:tc>
              <w:tc>
                <w:tcPr>
                  <w:tcW w:w="516" w:type="pct"/>
                  <w:noWrap/>
                  <w:vAlign w:val="center"/>
                </w:tcPr>
                <w:p w14:paraId="4843A505">
                  <w:pPr>
                    <w:adjustRightInd w:val="0"/>
                    <w:snapToGrid w:val="0"/>
                    <w:jc w:val="center"/>
                    <w:rPr>
                      <w:rFonts w:hint="default" w:ascii="Times New Roman" w:hAnsi="Times New Roman" w:cs="Times New Roman" w:eastAsiaTheme="minorEastAsia"/>
                      <w:bCs/>
                      <w:snapToGrid w:val="0"/>
                      <w:color w:val="auto"/>
                      <w:kern w:val="0"/>
                      <w:szCs w:val="21"/>
                    </w:rPr>
                  </w:pPr>
                  <w:r>
                    <w:rPr>
                      <w:rFonts w:hint="default" w:ascii="Times New Roman" w:hAnsi="Times New Roman" w:cs="Times New Roman" w:eastAsiaTheme="minorEastAsia"/>
                      <w:bCs/>
                      <w:snapToGrid w:val="0"/>
                      <w:color w:val="auto"/>
                      <w:kern w:val="0"/>
                      <w:szCs w:val="21"/>
                    </w:rPr>
                    <w:t>278m</w:t>
                  </w:r>
                </w:p>
              </w:tc>
            </w:tr>
          </w:tbl>
          <w:p w14:paraId="3F52C290">
            <w:pPr>
              <w:pStyle w:val="27"/>
              <w:spacing w:line="360" w:lineRule="auto"/>
              <w:rPr>
                <w:rFonts w:ascii="Times New Roman" w:hAnsi="Times New Roman" w:cs="Times New Roman" w:eastAsiaTheme="minorEastAsia"/>
                <w:color w:val="auto"/>
                <w:sz w:val="24"/>
              </w:rPr>
            </w:pPr>
            <w:r>
              <w:rPr>
                <w:rFonts w:hint="eastAsia" w:ascii="Times New Roman" w:hAnsi="Times New Roman" w:cs="Times New Roman" w:eastAsiaTheme="minorEastAsia"/>
                <w:b/>
                <w:bCs/>
                <w:color w:val="auto"/>
                <w:sz w:val="24"/>
                <w:lang w:val="en-US" w:eastAsia="zh-CN"/>
              </w:rPr>
              <w:t>2.</w:t>
            </w:r>
            <w:r>
              <w:rPr>
                <w:rFonts w:ascii="Times New Roman" w:hAnsi="Times New Roman" w:cs="Times New Roman" w:eastAsiaTheme="minorEastAsia"/>
                <w:b/>
                <w:bCs/>
                <w:color w:val="auto"/>
                <w:sz w:val="24"/>
                <w:lang w:val="en-US"/>
              </w:rPr>
              <w:t>地下水环境保护目标</w:t>
            </w:r>
          </w:p>
          <w:p w14:paraId="6814C678">
            <w:pPr>
              <w:pStyle w:val="27"/>
              <w:spacing w:line="360" w:lineRule="auto"/>
              <w:ind w:firstLine="480" w:firstLineChars="200"/>
              <w:rPr>
                <w:rFonts w:ascii="Times New Roman" w:hAnsi="Times New Roman" w:cs="Times New Roman" w:eastAsiaTheme="minorEastAsia"/>
                <w:color w:val="auto"/>
                <w:sz w:val="24"/>
              </w:rPr>
            </w:pPr>
            <w:r>
              <w:rPr>
                <w:rFonts w:ascii="Times New Roman" w:hAnsi="Times New Roman" w:cs="Times New Roman" w:eastAsiaTheme="minorEastAsia"/>
                <w:color w:val="auto"/>
                <w:sz w:val="24"/>
                <w:lang w:val="en-US"/>
              </w:rPr>
              <w:t>项目用地范围内及厂界外500米范围内不涉及地下水集中式饮用水水源和热水、矿泉水等特殊地下水资源保护目标。</w:t>
            </w:r>
          </w:p>
          <w:p w14:paraId="4D436F47">
            <w:pPr>
              <w:pStyle w:val="27"/>
              <w:spacing w:line="360" w:lineRule="auto"/>
              <w:rPr>
                <w:rFonts w:ascii="Times New Roman" w:hAnsi="Times New Roman" w:cs="Times New Roman" w:eastAsiaTheme="minorEastAsia"/>
                <w:b/>
                <w:bCs/>
                <w:color w:val="auto"/>
                <w:sz w:val="24"/>
                <w:lang w:val="en-US"/>
              </w:rPr>
            </w:pPr>
            <w:r>
              <w:rPr>
                <w:rFonts w:hint="eastAsia" w:ascii="Times New Roman" w:hAnsi="Times New Roman" w:cs="Times New Roman" w:eastAsiaTheme="minorEastAsia"/>
                <w:b/>
                <w:bCs/>
                <w:color w:val="auto"/>
                <w:sz w:val="24"/>
                <w:lang w:val="en-US" w:eastAsia="zh-CN"/>
              </w:rPr>
              <w:t>3.</w:t>
            </w:r>
            <w:r>
              <w:rPr>
                <w:rFonts w:ascii="Times New Roman" w:hAnsi="Times New Roman" w:cs="Times New Roman" w:eastAsiaTheme="minorEastAsia"/>
                <w:b/>
                <w:bCs/>
                <w:color w:val="auto"/>
                <w:sz w:val="24"/>
                <w:lang w:val="en-US"/>
              </w:rPr>
              <w:t>声环境保护目标</w:t>
            </w:r>
          </w:p>
          <w:p w14:paraId="73FFA23D">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t>本项目在厂界外50米范围内无保护目标。</w:t>
            </w:r>
          </w:p>
          <w:p w14:paraId="534BD2B6">
            <w:pPr>
              <w:pStyle w:val="27"/>
              <w:spacing w:line="360" w:lineRule="auto"/>
              <w:rPr>
                <w:rFonts w:ascii="Times New Roman" w:hAnsi="Times New Roman" w:cs="Times New Roman" w:eastAsiaTheme="minorEastAsia"/>
                <w:b/>
                <w:bCs/>
                <w:color w:val="auto"/>
                <w:sz w:val="24"/>
                <w:lang w:val="en-US"/>
              </w:rPr>
            </w:pPr>
            <w:r>
              <w:rPr>
                <w:rFonts w:hint="eastAsia" w:ascii="Times New Roman" w:hAnsi="Times New Roman" w:cs="Times New Roman" w:eastAsiaTheme="minorEastAsia"/>
                <w:b/>
                <w:bCs/>
                <w:color w:val="auto"/>
                <w:sz w:val="24"/>
                <w:lang w:val="en-US" w:eastAsia="zh-CN"/>
              </w:rPr>
              <w:t>4.</w:t>
            </w:r>
            <w:r>
              <w:rPr>
                <w:rFonts w:ascii="Times New Roman" w:hAnsi="Times New Roman" w:cs="Times New Roman" w:eastAsiaTheme="minorEastAsia"/>
                <w:b/>
                <w:bCs/>
                <w:color w:val="auto"/>
                <w:sz w:val="24"/>
                <w:lang w:val="en-US"/>
              </w:rPr>
              <w:t>生态环境保护目标</w:t>
            </w:r>
          </w:p>
          <w:p w14:paraId="08F9083A">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t>本项目所在地为人工生态环境，无珍稀濒危动植物，无生态环境保护目标。</w:t>
            </w:r>
          </w:p>
        </w:tc>
      </w:tr>
      <w:tr w14:paraId="20676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800" w:type="dxa"/>
            <w:tcBorders>
              <w:tl2br w:val="nil"/>
              <w:tr2bl w:val="nil"/>
            </w:tcBorders>
            <w:noWrap/>
            <w:tcMar>
              <w:left w:w="28" w:type="dxa"/>
              <w:right w:w="28" w:type="dxa"/>
            </w:tcMar>
            <w:vAlign w:val="center"/>
          </w:tcPr>
          <w:p w14:paraId="0C6C0D34">
            <w:pPr>
              <w:adjustRightInd w:val="0"/>
              <w:snapToGrid w:val="0"/>
              <w:jc w:val="center"/>
              <w:rPr>
                <w:rFonts w:eastAsiaTheme="minorEastAsia"/>
                <w:color w:val="auto"/>
                <w:kern w:val="0"/>
                <w:sz w:val="24"/>
              </w:rPr>
            </w:pPr>
            <w:r>
              <w:rPr>
                <w:rFonts w:eastAsiaTheme="minorEastAsia"/>
                <w:color w:val="auto"/>
                <w:kern w:val="0"/>
                <w:sz w:val="24"/>
              </w:rPr>
              <w:t>污染</w:t>
            </w:r>
          </w:p>
          <w:p w14:paraId="3BB59BC6">
            <w:pPr>
              <w:adjustRightInd w:val="0"/>
              <w:snapToGrid w:val="0"/>
              <w:jc w:val="center"/>
              <w:rPr>
                <w:rFonts w:eastAsiaTheme="minorEastAsia"/>
                <w:color w:val="auto"/>
                <w:kern w:val="0"/>
                <w:sz w:val="24"/>
              </w:rPr>
            </w:pPr>
            <w:r>
              <w:rPr>
                <w:rFonts w:eastAsiaTheme="minorEastAsia"/>
                <w:color w:val="auto"/>
                <w:kern w:val="0"/>
                <w:sz w:val="24"/>
              </w:rPr>
              <w:t>物排</w:t>
            </w:r>
          </w:p>
          <w:p w14:paraId="3A64A464">
            <w:pPr>
              <w:adjustRightInd w:val="0"/>
              <w:snapToGrid w:val="0"/>
              <w:jc w:val="center"/>
              <w:rPr>
                <w:rFonts w:eastAsiaTheme="minorEastAsia"/>
                <w:color w:val="auto"/>
                <w:kern w:val="0"/>
                <w:sz w:val="24"/>
              </w:rPr>
            </w:pPr>
            <w:r>
              <w:rPr>
                <w:rFonts w:eastAsiaTheme="minorEastAsia"/>
                <w:color w:val="auto"/>
                <w:kern w:val="0"/>
                <w:sz w:val="24"/>
              </w:rPr>
              <w:t>放控</w:t>
            </w:r>
          </w:p>
          <w:p w14:paraId="1CD821C9">
            <w:pPr>
              <w:adjustRightInd w:val="0"/>
              <w:snapToGrid w:val="0"/>
              <w:jc w:val="center"/>
              <w:rPr>
                <w:rFonts w:eastAsiaTheme="minorEastAsia"/>
                <w:color w:val="auto"/>
                <w:kern w:val="0"/>
                <w:sz w:val="24"/>
              </w:rPr>
            </w:pPr>
            <w:r>
              <w:rPr>
                <w:rFonts w:eastAsiaTheme="minorEastAsia"/>
                <w:color w:val="auto"/>
                <w:kern w:val="0"/>
                <w:sz w:val="24"/>
              </w:rPr>
              <w:t>制标</w:t>
            </w:r>
          </w:p>
          <w:p w14:paraId="228360DB">
            <w:pPr>
              <w:adjustRightInd w:val="0"/>
              <w:snapToGrid w:val="0"/>
              <w:jc w:val="center"/>
              <w:rPr>
                <w:rFonts w:eastAsiaTheme="minorEastAsia"/>
                <w:color w:val="auto"/>
                <w:kern w:val="0"/>
                <w:szCs w:val="21"/>
              </w:rPr>
            </w:pPr>
            <w:r>
              <w:rPr>
                <w:rFonts w:eastAsiaTheme="minorEastAsia"/>
                <w:color w:val="auto"/>
                <w:kern w:val="0"/>
                <w:sz w:val="24"/>
              </w:rPr>
              <w:t>准</w:t>
            </w:r>
          </w:p>
        </w:tc>
        <w:tc>
          <w:tcPr>
            <w:tcW w:w="8190" w:type="dxa"/>
            <w:tcBorders>
              <w:tl2br w:val="nil"/>
              <w:tr2bl w:val="nil"/>
            </w:tcBorders>
            <w:noWrap/>
            <w:vAlign w:val="center"/>
          </w:tcPr>
          <w:p w14:paraId="2F44540E">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Theme="minorEastAsia"/>
                <w:b/>
                <w:bCs/>
                <w:color w:val="auto"/>
                <w:sz w:val="24"/>
                <w:lang w:val="en-US" w:eastAsia="zh-CN"/>
              </w:rPr>
            </w:pPr>
            <w:r>
              <w:rPr>
                <w:rFonts w:hint="eastAsia" w:eastAsiaTheme="minorEastAsia"/>
                <w:b/>
                <w:bCs/>
                <w:color w:val="auto"/>
                <w:sz w:val="24"/>
                <w:lang w:val="en-US" w:eastAsia="zh-CN"/>
              </w:rPr>
              <w:t>1.</w:t>
            </w:r>
            <w:r>
              <w:rPr>
                <w:rFonts w:eastAsiaTheme="minorEastAsia"/>
                <w:b/>
                <w:bCs/>
                <w:color w:val="auto"/>
                <w:sz w:val="24"/>
                <w:lang w:val="en-US" w:eastAsia="zh-CN"/>
              </w:rPr>
              <w:t>大气污染物排放标准</w:t>
            </w:r>
          </w:p>
          <w:p w14:paraId="17A3B380">
            <w:pPr>
              <w:pStyle w:val="31"/>
              <w:keepNext w:val="0"/>
              <w:keepLines w:val="0"/>
              <w:pageBreakBefore w:val="0"/>
              <w:widowControl w:val="0"/>
              <w:kinsoku/>
              <w:wordWrap w:val="0"/>
              <w:overflowPunct/>
              <w:topLinePunct w:val="0"/>
              <w:autoSpaceDE/>
              <w:autoSpaceDN/>
              <w:bidi w:val="0"/>
              <w:adjustRightInd/>
              <w:snapToGrid/>
              <w:ind w:firstLine="480" w:firstLineChars="200"/>
              <w:textAlignment w:val="auto"/>
              <w:rPr>
                <w:rFonts w:eastAsiaTheme="minorEastAsia"/>
                <w:color w:val="auto"/>
              </w:rPr>
            </w:pPr>
            <w:r>
              <w:rPr>
                <w:rFonts w:eastAsiaTheme="minorEastAsia"/>
                <w:color w:val="auto"/>
              </w:rPr>
              <w:t>项目运营期</w:t>
            </w:r>
            <w:bookmarkStart w:id="9" w:name="OLE_LINK763"/>
            <w:bookmarkStart w:id="10" w:name="OLE_LINK762"/>
            <w:r>
              <w:rPr>
                <w:rFonts w:eastAsiaTheme="minorEastAsia"/>
                <w:color w:val="auto"/>
              </w:rPr>
              <w:t>产生的</w:t>
            </w:r>
            <w:r>
              <w:rPr>
                <w:rFonts w:hint="eastAsia" w:eastAsiaTheme="minorEastAsia"/>
                <w:color w:val="auto"/>
                <w:lang w:val="en-US" w:eastAsia="zh-CN"/>
              </w:rPr>
              <w:t>涂料生产线废气</w:t>
            </w:r>
            <w:r>
              <w:rPr>
                <w:rFonts w:eastAsiaTheme="minorEastAsia"/>
                <w:color w:val="auto"/>
              </w:rPr>
              <w:t>执行</w:t>
            </w:r>
            <w:r>
              <w:rPr>
                <w:rFonts w:hint="eastAsia" w:eastAsiaTheme="minorEastAsia"/>
                <w:color w:val="auto"/>
              </w:rPr>
              <w:t>《涂料、油墨及胶粘剂工业大气污染物排放标准》</w:t>
            </w:r>
            <w:r>
              <w:rPr>
                <w:rFonts w:eastAsiaTheme="minorEastAsia"/>
                <w:color w:val="auto"/>
              </w:rPr>
              <w:t>（GB</w:t>
            </w:r>
            <w:r>
              <w:rPr>
                <w:rFonts w:hint="eastAsia" w:eastAsiaTheme="minorEastAsia"/>
                <w:color w:val="auto"/>
              </w:rPr>
              <w:t>37824-2019</w:t>
            </w:r>
            <w:r>
              <w:rPr>
                <w:rFonts w:eastAsiaTheme="minorEastAsia"/>
                <w:color w:val="auto"/>
              </w:rPr>
              <w:t>）表2</w:t>
            </w:r>
            <w:bookmarkEnd w:id="9"/>
            <w:bookmarkEnd w:id="10"/>
            <w:r>
              <w:rPr>
                <w:rFonts w:hint="eastAsia" w:eastAsiaTheme="minorEastAsia"/>
                <w:color w:val="auto"/>
              </w:rPr>
              <w:t>重点地区特别排放限值，</w:t>
            </w:r>
            <w:r>
              <w:rPr>
                <w:rFonts w:eastAsiaTheme="minorEastAsia"/>
                <w:color w:val="auto"/>
              </w:rPr>
              <w:t>具体数值如下：</w:t>
            </w:r>
          </w:p>
          <w:p w14:paraId="65EDD94E">
            <w:pPr>
              <w:spacing w:before="120" w:beforeLines="50"/>
              <w:jc w:val="center"/>
              <w:rPr>
                <w:rFonts w:eastAsiaTheme="minorEastAsia"/>
                <w:b/>
                <w:bCs/>
                <w:color w:val="auto"/>
                <w:szCs w:val="21"/>
              </w:rPr>
            </w:pPr>
            <w:r>
              <w:rPr>
                <w:rFonts w:eastAsiaTheme="minorEastAsia"/>
                <w:b/>
                <w:bCs/>
                <w:color w:val="auto"/>
                <w:szCs w:val="21"/>
              </w:rPr>
              <w:t>表3-</w:t>
            </w:r>
            <w:r>
              <w:rPr>
                <w:rFonts w:hint="eastAsia" w:eastAsiaTheme="minorEastAsia"/>
                <w:b/>
                <w:bCs/>
                <w:color w:val="auto"/>
                <w:szCs w:val="21"/>
              </w:rPr>
              <w:t>5</w:t>
            </w:r>
            <w:r>
              <w:rPr>
                <w:rFonts w:eastAsiaTheme="minorEastAsia"/>
                <w:b/>
                <w:bCs/>
                <w:color w:val="auto"/>
                <w:szCs w:val="21"/>
              </w:rPr>
              <w:t xml:space="preserve"> </w:t>
            </w:r>
            <w:r>
              <w:rPr>
                <w:rFonts w:hint="eastAsia" w:eastAsiaTheme="minorEastAsia"/>
                <w:b/>
                <w:bCs/>
                <w:color w:val="auto"/>
                <w:szCs w:val="21"/>
              </w:rPr>
              <w:t xml:space="preserve"> 《涂料、油墨及胶粘剂工业大气污染物排放标准》</w:t>
            </w:r>
            <w:r>
              <w:rPr>
                <w:rFonts w:eastAsiaTheme="minorEastAsia"/>
                <w:b/>
                <w:bCs/>
                <w:color w:val="auto"/>
                <w:szCs w:val="21"/>
              </w:rPr>
              <w:t>（GB</w:t>
            </w:r>
            <w:r>
              <w:rPr>
                <w:rFonts w:hint="eastAsia" w:eastAsiaTheme="minorEastAsia"/>
                <w:b/>
                <w:bCs/>
                <w:color w:val="auto"/>
                <w:szCs w:val="21"/>
              </w:rPr>
              <w:t>37824-2019</w:t>
            </w:r>
            <w:r>
              <w:rPr>
                <w:rFonts w:eastAsiaTheme="minorEastAsia"/>
                <w:b/>
                <w:bCs/>
                <w:color w:val="auto"/>
                <w:szCs w:val="21"/>
              </w:rPr>
              <w:t>）表2</w:t>
            </w:r>
            <w:r>
              <w:rPr>
                <w:rFonts w:hint="eastAsia" w:eastAsiaTheme="minorEastAsia"/>
                <w:b/>
                <w:bCs/>
                <w:color w:val="auto"/>
                <w:szCs w:val="21"/>
              </w:rPr>
              <w:t>重点地区特别排放限值（单位：mg/m</w:t>
            </w:r>
            <w:r>
              <w:rPr>
                <w:rFonts w:hint="eastAsia" w:eastAsiaTheme="minorEastAsia"/>
                <w:b/>
                <w:bCs/>
                <w:color w:val="auto"/>
                <w:szCs w:val="21"/>
                <w:vertAlign w:val="superscript"/>
              </w:rPr>
              <w:t>3</w:t>
            </w:r>
            <w:r>
              <w:rPr>
                <w:rFonts w:hint="eastAsia" w:eastAsiaTheme="minorEastAsia"/>
                <w:b/>
                <w:bCs/>
                <w:color w:val="auto"/>
                <w:szCs w:val="21"/>
              </w:rPr>
              <w:t>）</w:t>
            </w:r>
          </w:p>
          <w:tbl>
            <w:tblPr>
              <w:tblStyle w:val="20"/>
              <w:tblW w:w="7958"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3466"/>
              <w:gridCol w:w="2943"/>
            </w:tblGrid>
            <w:tr w14:paraId="165BA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73" w:type="pct"/>
                  <w:tcBorders>
                    <w:tl2br w:val="nil"/>
                    <w:tr2bl w:val="nil"/>
                  </w:tcBorders>
                  <w:vAlign w:val="center"/>
                </w:tcPr>
                <w:p w14:paraId="110E09BE">
                  <w:pPr>
                    <w:jc w:val="center"/>
                    <w:rPr>
                      <w:rFonts w:eastAsiaTheme="minorEastAsia"/>
                      <w:b/>
                      <w:color w:val="auto"/>
                      <w:szCs w:val="21"/>
                    </w:rPr>
                  </w:pPr>
                  <w:r>
                    <w:rPr>
                      <w:rFonts w:eastAsiaTheme="minorEastAsia"/>
                      <w:b/>
                      <w:color w:val="auto"/>
                      <w:szCs w:val="21"/>
                    </w:rPr>
                    <w:t>污染物项目</w:t>
                  </w:r>
                </w:p>
              </w:tc>
              <w:tc>
                <w:tcPr>
                  <w:tcW w:w="2177" w:type="pct"/>
                  <w:tcBorders>
                    <w:tl2br w:val="nil"/>
                    <w:tr2bl w:val="nil"/>
                  </w:tcBorders>
                  <w:vAlign w:val="center"/>
                </w:tcPr>
                <w:p w14:paraId="72B94AF8">
                  <w:pPr>
                    <w:jc w:val="center"/>
                    <w:rPr>
                      <w:rFonts w:eastAsiaTheme="minorEastAsia"/>
                      <w:b/>
                      <w:color w:val="auto"/>
                      <w:szCs w:val="21"/>
                    </w:rPr>
                  </w:pPr>
                  <w:r>
                    <w:rPr>
                      <w:rFonts w:hint="eastAsia" w:eastAsiaTheme="minorEastAsia"/>
                      <w:b/>
                      <w:color w:val="auto"/>
                      <w:szCs w:val="21"/>
                    </w:rPr>
                    <w:t>涂料制造、油墨及类似产品</w:t>
                  </w:r>
                  <w:r>
                    <w:rPr>
                      <w:rFonts w:eastAsiaTheme="minorEastAsia"/>
                      <w:b/>
                      <w:color w:val="auto"/>
                      <w:szCs w:val="21"/>
                    </w:rPr>
                    <w:t>制造</w:t>
                  </w:r>
                </w:p>
              </w:tc>
              <w:tc>
                <w:tcPr>
                  <w:tcW w:w="1849" w:type="pct"/>
                  <w:tcBorders>
                    <w:tl2br w:val="nil"/>
                    <w:tr2bl w:val="nil"/>
                  </w:tcBorders>
                  <w:vAlign w:val="center"/>
                </w:tcPr>
                <w:p w14:paraId="1CF9A425">
                  <w:pPr>
                    <w:jc w:val="center"/>
                    <w:rPr>
                      <w:rFonts w:eastAsiaTheme="minorEastAsia"/>
                      <w:b/>
                      <w:color w:val="auto"/>
                      <w:szCs w:val="21"/>
                    </w:rPr>
                  </w:pPr>
                  <w:r>
                    <w:rPr>
                      <w:rFonts w:eastAsiaTheme="minorEastAsia"/>
                      <w:b/>
                      <w:color w:val="auto"/>
                      <w:szCs w:val="21"/>
                    </w:rPr>
                    <w:t>污染物排放监控位置</w:t>
                  </w:r>
                </w:p>
              </w:tc>
            </w:tr>
            <w:tr w14:paraId="302C5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73" w:type="pct"/>
                  <w:tcBorders>
                    <w:tl2br w:val="nil"/>
                    <w:tr2bl w:val="nil"/>
                  </w:tcBorders>
                  <w:vAlign w:val="center"/>
                </w:tcPr>
                <w:p w14:paraId="0B514009">
                  <w:pPr>
                    <w:jc w:val="center"/>
                    <w:rPr>
                      <w:rFonts w:eastAsiaTheme="minorEastAsia"/>
                      <w:color w:val="auto"/>
                      <w:szCs w:val="21"/>
                    </w:rPr>
                  </w:pPr>
                  <w:r>
                    <w:rPr>
                      <w:rFonts w:eastAsiaTheme="minorEastAsia"/>
                      <w:color w:val="auto"/>
                      <w:szCs w:val="21"/>
                    </w:rPr>
                    <w:t>NMHC</w:t>
                  </w:r>
                </w:p>
              </w:tc>
              <w:tc>
                <w:tcPr>
                  <w:tcW w:w="2177" w:type="pct"/>
                  <w:tcBorders>
                    <w:tl2br w:val="nil"/>
                    <w:tr2bl w:val="nil"/>
                  </w:tcBorders>
                  <w:vAlign w:val="center"/>
                </w:tcPr>
                <w:p w14:paraId="43943834">
                  <w:pPr>
                    <w:jc w:val="center"/>
                    <w:rPr>
                      <w:rFonts w:eastAsiaTheme="minorEastAsia"/>
                      <w:color w:val="auto"/>
                      <w:szCs w:val="21"/>
                    </w:rPr>
                  </w:pPr>
                  <w:r>
                    <w:rPr>
                      <w:rFonts w:eastAsiaTheme="minorEastAsia"/>
                      <w:color w:val="auto"/>
                      <w:szCs w:val="21"/>
                    </w:rPr>
                    <w:t>60</w:t>
                  </w:r>
                </w:p>
              </w:tc>
              <w:tc>
                <w:tcPr>
                  <w:tcW w:w="1849" w:type="pct"/>
                  <w:vMerge w:val="restart"/>
                  <w:tcBorders>
                    <w:tl2br w:val="nil"/>
                    <w:tr2bl w:val="nil"/>
                  </w:tcBorders>
                  <w:vAlign w:val="center"/>
                </w:tcPr>
                <w:p w14:paraId="72BCAF44">
                  <w:pPr>
                    <w:jc w:val="center"/>
                    <w:rPr>
                      <w:rFonts w:eastAsiaTheme="minorEastAsia"/>
                      <w:color w:val="auto"/>
                      <w:szCs w:val="21"/>
                    </w:rPr>
                  </w:pPr>
                  <w:r>
                    <w:rPr>
                      <w:rFonts w:eastAsiaTheme="minorEastAsia"/>
                      <w:color w:val="auto"/>
                      <w:szCs w:val="21"/>
                    </w:rPr>
                    <w:t>车间或生产设施排气筒</w:t>
                  </w:r>
                </w:p>
              </w:tc>
            </w:tr>
            <w:tr w14:paraId="5F528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73" w:type="pct"/>
                  <w:tcBorders>
                    <w:tl2br w:val="nil"/>
                    <w:tr2bl w:val="nil"/>
                  </w:tcBorders>
                  <w:vAlign w:val="center"/>
                </w:tcPr>
                <w:p w14:paraId="1C0B81FA">
                  <w:pPr>
                    <w:jc w:val="center"/>
                    <w:rPr>
                      <w:rFonts w:eastAsiaTheme="minorEastAsia"/>
                      <w:color w:val="auto"/>
                      <w:szCs w:val="21"/>
                    </w:rPr>
                  </w:pPr>
                  <w:r>
                    <w:rPr>
                      <w:rFonts w:hint="eastAsia" w:eastAsiaTheme="minorEastAsia"/>
                      <w:color w:val="auto"/>
                      <w:szCs w:val="21"/>
                    </w:rPr>
                    <w:t>颗粒物</w:t>
                  </w:r>
                </w:p>
              </w:tc>
              <w:tc>
                <w:tcPr>
                  <w:tcW w:w="2177" w:type="pct"/>
                  <w:tcBorders>
                    <w:tl2br w:val="nil"/>
                    <w:tr2bl w:val="nil"/>
                  </w:tcBorders>
                  <w:vAlign w:val="center"/>
                </w:tcPr>
                <w:p w14:paraId="4A86FE63">
                  <w:pPr>
                    <w:jc w:val="center"/>
                    <w:rPr>
                      <w:rFonts w:eastAsiaTheme="minorEastAsia"/>
                      <w:color w:val="auto"/>
                      <w:szCs w:val="21"/>
                    </w:rPr>
                  </w:pPr>
                  <w:r>
                    <w:rPr>
                      <w:rFonts w:hint="eastAsia" w:eastAsiaTheme="minorEastAsia"/>
                      <w:color w:val="auto"/>
                      <w:szCs w:val="21"/>
                    </w:rPr>
                    <w:t>20</w:t>
                  </w:r>
                </w:p>
              </w:tc>
              <w:tc>
                <w:tcPr>
                  <w:tcW w:w="1849" w:type="pct"/>
                  <w:vMerge w:val="continue"/>
                  <w:tcBorders>
                    <w:tl2br w:val="nil"/>
                    <w:tr2bl w:val="nil"/>
                  </w:tcBorders>
                  <w:vAlign w:val="center"/>
                </w:tcPr>
                <w:p w14:paraId="4315960D">
                  <w:pPr>
                    <w:jc w:val="center"/>
                    <w:rPr>
                      <w:rFonts w:eastAsiaTheme="minorEastAsia"/>
                      <w:color w:val="auto"/>
                      <w:szCs w:val="21"/>
                    </w:rPr>
                  </w:pPr>
                </w:p>
              </w:tc>
            </w:tr>
          </w:tbl>
          <w:p w14:paraId="58FDD053">
            <w:pPr>
              <w:pStyle w:val="31"/>
              <w:wordWrap w:val="0"/>
              <w:ind w:firstLine="480"/>
              <w:rPr>
                <w:rFonts w:eastAsiaTheme="minorEastAsia"/>
                <w:color w:val="auto"/>
              </w:rPr>
            </w:pP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运营期废气颗粒物执行《大气污染物综合排放标准》（GB16297-1996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表2有组织及无组织排放浓度限值</w:t>
            </w:r>
            <w:r>
              <w:rPr>
                <w:rFonts w:hint="eastAsia" w:eastAsia="宋体" w:cs="Times New Roman"/>
                <w:color w:val="auto"/>
                <w:sz w:val="24"/>
                <w:highlight w:val="none"/>
                <w:lang w:eastAsia="zh-CN"/>
              </w:rPr>
              <w:t>，</w:t>
            </w:r>
            <w:r>
              <w:rPr>
                <w:rFonts w:eastAsiaTheme="minorEastAsia"/>
                <w:color w:val="auto"/>
              </w:rPr>
              <w:t>具体数值如下：</w:t>
            </w:r>
          </w:p>
          <w:p w14:paraId="3BDE04C7">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表3-</w:t>
            </w:r>
            <w:r>
              <w:rPr>
                <w:rFonts w:hint="eastAsia" w:cs="Times New Roman" w:eastAsiaTheme="minorEastAsia"/>
                <w:b/>
                <w:bCs/>
                <w:color w:val="auto"/>
                <w:kern w:val="2"/>
                <w:sz w:val="21"/>
                <w:szCs w:val="21"/>
                <w:lang w:val="en-US" w:eastAsia="zh-CN" w:bidi="ar-SA"/>
              </w:rPr>
              <w:t>6</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《大气污染物综合排放标准》（GB16297-1996）表2（摘录）</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56"/>
              <w:gridCol w:w="1710"/>
              <w:gridCol w:w="1172"/>
              <w:gridCol w:w="1872"/>
              <w:gridCol w:w="833"/>
            </w:tblGrid>
            <w:tr w14:paraId="6CEE5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9" w:type="dxa"/>
                  <w:vMerge w:val="restart"/>
                  <w:tcBorders>
                    <w:tl2br w:val="nil"/>
                    <w:tr2bl w:val="nil"/>
                  </w:tcBorders>
                  <w:vAlign w:val="center"/>
                </w:tcPr>
                <w:p w14:paraId="5E3949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256" w:type="dxa"/>
                  <w:vMerge w:val="restart"/>
                  <w:tcBorders>
                    <w:tl2br w:val="nil"/>
                    <w:tr2bl w:val="nil"/>
                  </w:tcBorders>
                  <w:vAlign w:val="center"/>
                </w:tcPr>
                <w:p w14:paraId="23C426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最高允许排放浓度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2882" w:type="dxa"/>
                  <w:gridSpan w:val="2"/>
                  <w:tcBorders>
                    <w:tl2br w:val="nil"/>
                    <w:tr2bl w:val="nil"/>
                  </w:tcBorders>
                  <w:vAlign w:val="center"/>
                </w:tcPr>
                <w:p w14:paraId="46530C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c>
                <w:tcPr>
                  <w:tcW w:w="2705" w:type="dxa"/>
                  <w:gridSpan w:val="2"/>
                  <w:tcBorders>
                    <w:tl2br w:val="nil"/>
                    <w:tr2bl w:val="nil"/>
                  </w:tcBorders>
                  <w:vAlign w:val="center"/>
                </w:tcPr>
                <w:p w14:paraId="72FAA9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最高允许排放速率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r>
            <w:tr w14:paraId="1D9DE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49" w:type="dxa"/>
                  <w:vMerge w:val="continue"/>
                  <w:tcBorders>
                    <w:tl2br w:val="nil"/>
                    <w:tr2bl w:val="nil"/>
                  </w:tcBorders>
                  <w:vAlign w:val="center"/>
                </w:tcPr>
                <w:p w14:paraId="4F5767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rPr>
                  </w:pPr>
                </w:p>
              </w:tc>
              <w:tc>
                <w:tcPr>
                  <w:tcW w:w="1256" w:type="dxa"/>
                  <w:vMerge w:val="continue"/>
                  <w:tcBorders>
                    <w:tl2br w:val="nil"/>
                    <w:tr2bl w:val="nil"/>
                  </w:tcBorders>
                  <w:vAlign w:val="center"/>
                </w:tcPr>
                <w:p w14:paraId="58651D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rPr>
                  </w:pPr>
                </w:p>
              </w:tc>
              <w:tc>
                <w:tcPr>
                  <w:tcW w:w="1710" w:type="dxa"/>
                  <w:tcBorders>
                    <w:tl2br w:val="nil"/>
                    <w:tr2bl w:val="nil"/>
                  </w:tcBorders>
                  <w:vAlign w:val="center"/>
                </w:tcPr>
                <w:p w14:paraId="24CCAB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172" w:type="dxa"/>
                  <w:tcBorders>
                    <w:tl2br w:val="nil"/>
                    <w:tr2bl w:val="nil"/>
                  </w:tcBorders>
                  <w:vAlign w:val="center"/>
                </w:tcPr>
                <w:p w14:paraId="038EF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1872" w:type="dxa"/>
                  <w:tcBorders>
                    <w:tl2br w:val="nil"/>
                    <w:tr2bl w:val="nil"/>
                  </w:tcBorders>
                  <w:vAlign w:val="center"/>
                </w:tcPr>
                <w:p w14:paraId="691CBF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排气筒高度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lang w:eastAsia="zh-CN"/>
                    </w:rPr>
                    <w:t>）</w:t>
                  </w:r>
                </w:p>
              </w:tc>
              <w:tc>
                <w:tcPr>
                  <w:tcW w:w="833" w:type="dxa"/>
                  <w:tcBorders>
                    <w:tl2br w:val="nil"/>
                    <w:tr2bl w:val="nil"/>
                  </w:tcBorders>
                  <w:vAlign w:val="center"/>
                </w:tcPr>
                <w:p w14:paraId="7AD04B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二级</w:t>
                  </w:r>
                </w:p>
              </w:tc>
            </w:tr>
            <w:tr w14:paraId="1A382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9" w:type="dxa"/>
                  <w:tcBorders>
                    <w:tl2br w:val="nil"/>
                    <w:tr2bl w:val="nil"/>
                  </w:tcBorders>
                  <w:vAlign w:val="center"/>
                </w:tcPr>
                <w:p w14:paraId="2D2E8A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颗粒物</w:t>
                  </w:r>
                </w:p>
              </w:tc>
              <w:tc>
                <w:tcPr>
                  <w:tcW w:w="1256" w:type="dxa"/>
                  <w:tcBorders>
                    <w:tl2br w:val="nil"/>
                    <w:tr2bl w:val="nil"/>
                  </w:tcBorders>
                  <w:vAlign w:val="center"/>
                </w:tcPr>
                <w:p w14:paraId="7821C8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120</w:t>
                  </w:r>
                </w:p>
              </w:tc>
              <w:tc>
                <w:tcPr>
                  <w:tcW w:w="1710" w:type="dxa"/>
                  <w:tcBorders>
                    <w:tl2br w:val="nil"/>
                    <w:tr2bl w:val="nil"/>
                  </w:tcBorders>
                  <w:vAlign w:val="center"/>
                </w:tcPr>
                <w:p w14:paraId="4C487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周界外浓度最高点</w:t>
                  </w:r>
                </w:p>
              </w:tc>
              <w:tc>
                <w:tcPr>
                  <w:tcW w:w="1172" w:type="dxa"/>
                  <w:tcBorders>
                    <w:tl2br w:val="nil"/>
                    <w:tr2bl w:val="nil"/>
                  </w:tcBorders>
                  <w:vAlign w:val="center"/>
                </w:tcPr>
                <w:p w14:paraId="62B5D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872" w:type="dxa"/>
                  <w:tcBorders>
                    <w:tl2br w:val="nil"/>
                    <w:tr2bl w:val="nil"/>
                  </w:tcBorders>
                  <w:vAlign w:val="center"/>
                </w:tcPr>
                <w:p w14:paraId="76F268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c>
                <w:tcPr>
                  <w:tcW w:w="833" w:type="dxa"/>
                  <w:tcBorders>
                    <w:tl2br w:val="nil"/>
                    <w:tr2bl w:val="nil"/>
                  </w:tcBorders>
                  <w:vAlign w:val="center"/>
                </w:tcPr>
                <w:p w14:paraId="360D5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w:t>
                  </w:r>
                </w:p>
              </w:tc>
            </w:tr>
          </w:tbl>
          <w:p w14:paraId="185ADFE5">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项目运营期废气中</w:t>
            </w:r>
            <w:r>
              <w:rPr>
                <w:rFonts w:hint="eastAsia" w:ascii="Times New Roman" w:hAnsi="Times New Roman" w:eastAsia="宋体" w:cs="Times New Roman"/>
                <w:color w:val="auto"/>
                <w:kern w:val="0"/>
                <w:sz w:val="24"/>
                <w:szCs w:val="24"/>
                <w:highlight w:val="none"/>
                <w:lang w:val="en-US" w:eastAsia="zh-CN" w:bidi="ar-SA"/>
              </w:rPr>
              <w:t>有组织</w:t>
            </w:r>
            <w:r>
              <w:rPr>
                <w:rFonts w:hint="default" w:ascii="Times New Roman" w:hAnsi="Times New Roman" w:eastAsia="宋体" w:cs="Times New Roman"/>
                <w:color w:val="auto"/>
                <w:kern w:val="0"/>
                <w:sz w:val="24"/>
                <w:szCs w:val="24"/>
                <w:highlight w:val="none"/>
                <w:lang w:val="en-US" w:eastAsia="zh-CN" w:bidi="ar-SA"/>
              </w:rPr>
              <w:t>非甲烷总烃</w:t>
            </w:r>
            <w:r>
              <w:rPr>
                <w:rFonts w:hint="eastAsia" w:ascii="Times New Roman" w:hAnsi="Times New Roman" w:eastAsia="宋体" w:cs="Times New Roman"/>
                <w:color w:val="auto"/>
                <w:kern w:val="0"/>
                <w:sz w:val="24"/>
                <w:szCs w:val="24"/>
                <w:highlight w:val="none"/>
                <w:lang w:val="en-US" w:eastAsia="zh-CN" w:bidi="ar-SA"/>
              </w:rPr>
              <w:t>、厂内无组织非甲烷总烃</w:t>
            </w:r>
            <w:r>
              <w:rPr>
                <w:rFonts w:hint="default" w:ascii="Times New Roman" w:hAnsi="Times New Roman" w:eastAsia="宋体" w:cs="Times New Roman"/>
                <w:color w:val="auto"/>
                <w:kern w:val="0"/>
                <w:sz w:val="24"/>
                <w:szCs w:val="24"/>
                <w:highlight w:val="none"/>
                <w:lang w:val="en-US" w:eastAsia="zh-CN" w:bidi="ar-SA"/>
              </w:rPr>
              <w:t>执行《重污染天气重点行业应急减排措施制定技术指南》</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环办大气函</w:t>
            </w:r>
            <w:r>
              <w:rPr>
                <w:rFonts w:hint="eastAsia" w:ascii="Times New Roman" w:hAnsi="Times New Roman" w:eastAsia="宋体" w:cs="Times New Roman"/>
                <w:color w:val="auto"/>
                <w:kern w:val="0"/>
                <w:sz w:val="24"/>
                <w:szCs w:val="24"/>
                <w:highlight w:val="none"/>
                <w:lang w:val="en-US" w:eastAsia="zh-CN" w:bidi="ar-SA"/>
              </w:rPr>
              <w:t>〔2020〕</w:t>
            </w:r>
            <w:r>
              <w:rPr>
                <w:rFonts w:hint="default" w:ascii="Times New Roman" w:hAnsi="Times New Roman" w:eastAsia="宋体" w:cs="Times New Roman"/>
                <w:color w:val="auto"/>
                <w:kern w:val="0"/>
                <w:sz w:val="24"/>
                <w:szCs w:val="24"/>
                <w:highlight w:val="none"/>
                <w:lang w:val="en-US" w:eastAsia="zh-CN" w:bidi="ar-SA"/>
              </w:rPr>
              <w:t>340号</w:t>
            </w:r>
            <w:r>
              <w:rPr>
                <w:rFonts w:hint="eastAsia" w:ascii="Times New Roman" w:hAnsi="Times New Roman" w:eastAsia="宋体" w:cs="Times New Roman"/>
                <w:color w:val="auto"/>
                <w:kern w:val="0"/>
                <w:sz w:val="24"/>
                <w:szCs w:val="24"/>
                <w:highlight w:val="none"/>
                <w:lang w:val="en-US" w:eastAsia="zh-CN" w:bidi="ar-SA"/>
              </w:rPr>
              <w:t>）“</w:t>
            </w:r>
            <w:r>
              <w:rPr>
                <w:rFonts w:hint="default" w:ascii="Times New Roman" w:hAnsi="Times New Roman" w:eastAsia="宋体" w:cs="Times New Roman"/>
                <w:color w:val="auto"/>
                <w:kern w:val="0"/>
                <w:sz w:val="24"/>
                <w:szCs w:val="24"/>
                <w:highlight w:val="none"/>
                <w:lang w:val="en-US" w:eastAsia="zh-CN" w:bidi="ar-SA"/>
              </w:rPr>
              <w:t>39工业涂装</w:t>
            </w:r>
            <w:r>
              <w:rPr>
                <w:rFonts w:hint="eastAsia" w:ascii="Times New Roman" w:hAnsi="Times New Roman" w:eastAsia="宋体" w:cs="Times New Roman"/>
                <w:color w:val="auto"/>
                <w:kern w:val="0"/>
                <w:sz w:val="24"/>
                <w:szCs w:val="24"/>
                <w:highlight w:val="none"/>
                <w:lang w:val="en-US" w:eastAsia="zh-CN" w:bidi="ar-SA"/>
              </w:rPr>
              <w:t>”中排放限值</w:t>
            </w:r>
            <w:r>
              <w:rPr>
                <w:rFonts w:hint="default" w:ascii="Times New Roman" w:hAnsi="Times New Roman" w:eastAsia="宋体" w:cs="Times New Roman"/>
                <w:color w:val="auto"/>
                <w:kern w:val="0"/>
                <w:sz w:val="24"/>
                <w:szCs w:val="24"/>
                <w:highlight w:val="none"/>
                <w:lang w:val="en-US" w:eastAsia="zh-CN" w:bidi="ar-SA"/>
              </w:rPr>
              <w:t>，具体排放限值见下表：</w:t>
            </w:r>
          </w:p>
          <w:p w14:paraId="2205434D">
            <w:pPr>
              <w:pStyle w:val="32"/>
              <w:spacing w:line="240" w:lineRule="auto"/>
              <w:ind w:firstLine="422" w:firstLineChars="20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表3-</w:t>
            </w:r>
            <w:r>
              <w:rPr>
                <w:rFonts w:hint="eastAsia" w:ascii="Times New Roman" w:hAnsi="Times New Roman" w:cs="Times New Roman" w:eastAsiaTheme="minorEastAsia"/>
                <w:b/>
                <w:bCs/>
                <w:color w:val="auto"/>
                <w:kern w:val="2"/>
                <w:sz w:val="21"/>
                <w:szCs w:val="21"/>
                <w:lang w:val="en-US" w:eastAsia="zh-CN" w:bidi="ar-SA"/>
              </w:rPr>
              <w:t>7</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《重污染天气重点行业应急减排措施制定技术指南》（环办大气函〔2020〕340号）（摘录）</w:t>
            </w:r>
          </w:p>
          <w:tbl>
            <w:tblPr>
              <w:tblStyle w:val="21"/>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354"/>
              <w:gridCol w:w="1719"/>
              <w:gridCol w:w="1165"/>
              <w:gridCol w:w="1570"/>
              <w:gridCol w:w="1223"/>
            </w:tblGrid>
            <w:tr w14:paraId="4AEEE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571" w:type="pct"/>
                  <w:vMerge w:val="restart"/>
                  <w:tcBorders>
                    <w:tl2br w:val="nil"/>
                    <w:tr2bl w:val="nil"/>
                  </w:tcBorders>
                  <w:vAlign w:val="center"/>
                </w:tcPr>
                <w:p w14:paraId="42F45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852" w:type="pct"/>
                  <w:vMerge w:val="restart"/>
                  <w:tcBorders>
                    <w:tl2br w:val="nil"/>
                    <w:tr2bl w:val="nil"/>
                  </w:tcBorders>
                  <w:vAlign w:val="center"/>
                </w:tcPr>
                <w:p w14:paraId="2988FC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rPr>
                    <w:t>最高允许排放浓度</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lang w:eastAsia="zh-CN"/>
                    </w:rPr>
                    <w:t>）</w:t>
                  </w:r>
                </w:p>
              </w:tc>
              <w:tc>
                <w:tcPr>
                  <w:tcW w:w="3575" w:type="pct"/>
                  <w:gridSpan w:val="4"/>
                  <w:tcBorders>
                    <w:tl2br w:val="nil"/>
                    <w:tr2bl w:val="nil"/>
                  </w:tcBorders>
                  <w:vAlign w:val="center"/>
                </w:tcPr>
                <w:p w14:paraId="3E9839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lang w:eastAsia="zh-CN"/>
                    </w:rPr>
                  </w:pPr>
                  <w:r>
                    <w:rPr>
                      <w:rFonts w:hint="eastAsia" w:ascii="Times New Roman" w:hAnsi="Times New Roman" w:cs="宋体"/>
                      <w:b/>
                      <w:bCs/>
                      <w:color w:val="auto"/>
                      <w:highlight w:val="none"/>
                    </w:rPr>
                    <w:t>厂区内无组织</w:t>
                  </w:r>
                  <w:r>
                    <w:rPr>
                      <w:rFonts w:hint="default" w:ascii="Times New Roman" w:hAnsi="Times New Roman" w:eastAsia="宋体" w:cs="Times New Roman"/>
                      <w:b/>
                      <w:bCs/>
                      <w:color w:val="auto"/>
                      <w:highlight w:val="none"/>
                    </w:rPr>
                    <w:t>排放监控浓度限值</w:t>
                  </w:r>
                </w:p>
              </w:tc>
            </w:tr>
            <w:tr w14:paraId="1A6C8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pct"/>
                  <w:vMerge w:val="continue"/>
                  <w:tcBorders>
                    <w:tl2br w:val="nil"/>
                    <w:tr2bl w:val="nil"/>
                  </w:tcBorders>
                  <w:vAlign w:val="center"/>
                </w:tcPr>
                <w:p w14:paraId="460FC2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p>
              </w:tc>
              <w:tc>
                <w:tcPr>
                  <w:tcW w:w="852" w:type="pct"/>
                  <w:vMerge w:val="continue"/>
                  <w:tcBorders>
                    <w:tl2br w:val="nil"/>
                    <w:tr2bl w:val="nil"/>
                  </w:tcBorders>
                  <w:vAlign w:val="center"/>
                </w:tcPr>
                <w:p w14:paraId="707C10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p>
              </w:tc>
              <w:tc>
                <w:tcPr>
                  <w:tcW w:w="1082" w:type="pct"/>
                  <w:tcBorders>
                    <w:tl2br w:val="nil"/>
                    <w:tr2bl w:val="nil"/>
                  </w:tcBorders>
                  <w:vAlign w:val="center"/>
                </w:tcPr>
                <w:p w14:paraId="7B83E2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Cs w:val="21"/>
                      <w:highlight w:val="none"/>
                      <w:lang w:eastAsia="zh-CN"/>
                    </w:rPr>
                    <w:t>限值含义</w:t>
                  </w:r>
                </w:p>
              </w:tc>
              <w:tc>
                <w:tcPr>
                  <w:tcW w:w="733" w:type="pct"/>
                  <w:tcBorders>
                    <w:tl2br w:val="nil"/>
                    <w:tr2bl w:val="nil"/>
                  </w:tcBorders>
                  <w:vAlign w:val="center"/>
                </w:tcPr>
                <w:p w14:paraId="0191F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w:t>
                  </w:r>
                </w:p>
                <w:p w14:paraId="071D90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lang w:eastAsia="zh-CN"/>
                    </w:rPr>
                    <w:t>）</w:t>
                  </w:r>
                </w:p>
              </w:tc>
              <w:tc>
                <w:tcPr>
                  <w:tcW w:w="988" w:type="pct"/>
                  <w:tcBorders>
                    <w:tl2br w:val="nil"/>
                    <w:tr2bl w:val="nil"/>
                  </w:tcBorders>
                  <w:vAlign w:val="center"/>
                </w:tcPr>
                <w:p w14:paraId="38204F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szCs w:val="21"/>
                      <w:highlight w:val="none"/>
                      <w:lang w:eastAsia="zh-CN"/>
                    </w:rPr>
                    <w:t>限值含义</w:t>
                  </w:r>
                </w:p>
              </w:tc>
              <w:tc>
                <w:tcPr>
                  <w:tcW w:w="770" w:type="pct"/>
                  <w:tcBorders>
                    <w:tl2br w:val="nil"/>
                    <w:tr2bl w:val="nil"/>
                  </w:tcBorders>
                  <w:vAlign w:val="center"/>
                </w:tcPr>
                <w:p w14:paraId="60C4E8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w:t>
                  </w:r>
                </w:p>
                <w:p w14:paraId="0351C0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lang w:eastAsia="zh-CN"/>
                    </w:rPr>
                    <w:t>）</w:t>
                  </w:r>
                </w:p>
              </w:tc>
            </w:tr>
            <w:tr w14:paraId="6A147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1" w:type="pct"/>
                  <w:tcBorders>
                    <w:tl2br w:val="nil"/>
                    <w:tr2bl w:val="nil"/>
                  </w:tcBorders>
                  <w:vAlign w:val="center"/>
                </w:tcPr>
                <w:p w14:paraId="31C14A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rPr>
                  </w:pPr>
                  <w:r>
                    <w:rPr>
                      <w:rFonts w:ascii="Times New Roman" w:hAnsi="Times New Roman" w:cs="Times New Roman"/>
                      <w:b w:val="0"/>
                      <w:bCs w:val="0"/>
                      <w:color w:val="auto"/>
                      <w:highlight w:val="none"/>
                    </w:rPr>
                    <w:t>NMHC</w:t>
                  </w:r>
                </w:p>
              </w:tc>
              <w:tc>
                <w:tcPr>
                  <w:tcW w:w="852" w:type="pct"/>
                  <w:tcBorders>
                    <w:tl2br w:val="nil"/>
                    <w:tr2bl w:val="nil"/>
                  </w:tcBorders>
                  <w:vAlign w:val="center"/>
                </w:tcPr>
                <w:p w14:paraId="5EE126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ascii="Times New Roman" w:hAnsi="Times New Roman" w:cs="Times New Roman"/>
                      <w:b w:val="0"/>
                      <w:bCs w:val="0"/>
                      <w:color w:val="auto"/>
                      <w:highlight w:val="none"/>
                    </w:rPr>
                    <w:t>20-30</w:t>
                  </w:r>
                </w:p>
              </w:tc>
              <w:tc>
                <w:tcPr>
                  <w:tcW w:w="1082" w:type="pct"/>
                  <w:tcBorders>
                    <w:tl2br w:val="nil"/>
                    <w:tr2bl w:val="nil"/>
                  </w:tcBorders>
                  <w:vAlign w:val="center"/>
                </w:tcPr>
                <w:p w14:paraId="18BAD4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rPr>
                  </w:pPr>
                  <w:r>
                    <w:rPr>
                      <w:rFonts w:hint="eastAsia" w:ascii="Times New Roman" w:hAnsi="Times New Roman" w:cs="宋体"/>
                      <w:b w:val="0"/>
                      <w:bCs w:val="0"/>
                      <w:color w:val="auto"/>
                      <w:highlight w:val="none"/>
                    </w:rPr>
                    <w:t>小时平均浓度值</w:t>
                  </w:r>
                </w:p>
              </w:tc>
              <w:tc>
                <w:tcPr>
                  <w:tcW w:w="733" w:type="pct"/>
                  <w:tcBorders>
                    <w:tl2br w:val="nil"/>
                    <w:tr2bl w:val="nil"/>
                  </w:tcBorders>
                  <w:vAlign w:val="center"/>
                </w:tcPr>
                <w:p w14:paraId="4F6EDF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ascii="Times New Roman" w:hAnsi="Times New Roman" w:cs="Times New Roman"/>
                      <w:b w:val="0"/>
                      <w:bCs w:val="0"/>
                      <w:color w:val="auto"/>
                      <w:highlight w:val="none"/>
                    </w:rPr>
                    <w:t>6</w:t>
                  </w:r>
                </w:p>
              </w:tc>
              <w:tc>
                <w:tcPr>
                  <w:tcW w:w="988" w:type="pct"/>
                  <w:tcBorders>
                    <w:tl2br w:val="nil"/>
                    <w:tr2bl w:val="nil"/>
                  </w:tcBorders>
                  <w:vAlign w:val="center"/>
                </w:tcPr>
                <w:p w14:paraId="309AF7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hint="eastAsia" w:ascii="Times New Roman" w:hAnsi="Times New Roman" w:cs="宋体"/>
                      <w:b w:val="0"/>
                      <w:bCs w:val="0"/>
                      <w:color w:val="auto"/>
                      <w:highlight w:val="none"/>
                    </w:rPr>
                    <w:t>任意一次浓度</w:t>
                  </w:r>
                </w:p>
              </w:tc>
              <w:tc>
                <w:tcPr>
                  <w:tcW w:w="770" w:type="pct"/>
                  <w:tcBorders>
                    <w:tl2br w:val="nil"/>
                    <w:tr2bl w:val="nil"/>
                  </w:tcBorders>
                  <w:vAlign w:val="center"/>
                </w:tcPr>
                <w:p w14:paraId="41519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ascii="Times New Roman" w:hAnsi="Times New Roman" w:cs="Times New Roman"/>
                      <w:b w:val="0"/>
                      <w:bCs w:val="0"/>
                      <w:color w:val="auto"/>
                      <w:highlight w:val="none"/>
                    </w:rPr>
                    <w:t>20</w:t>
                  </w:r>
                </w:p>
              </w:tc>
            </w:tr>
          </w:tbl>
          <w:p w14:paraId="6D3725B3">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运营期</w:t>
            </w:r>
            <w:r>
              <w:rPr>
                <w:rFonts w:hint="default" w:ascii="Times New Roman" w:hAnsi="Times New Roman" w:eastAsia="宋体" w:cs="Times New Roman"/>
                <w:color w:val="auto"/>
                <w:sz w:val="24"/>
                <w:highlight w:val="none"/>
                <w:lang w:eastAsia="zh-CN"/>
              </w:rPr>
              <w:t>热风炉燃烧废气</w:t>
            </w:r>
            <w:r>
              <w:rPr>
                <w:rFonts w:hint="eastAsia" w:ascii="Times New Roman" w:hAnsi="Times New Roman" w:eastAsia="宋体" w:cs="Times New Roman"/>
                <w:color w:val="auto"/>
                <w:sz w:val="24"/>
                <w:highlight w:val="none"/>
                <w:lang w:val="en-US" w:eastAsia="zh-CN"/>
              </w:rPr>
              <w:t>中颗粒物、</w:t>
            </w:r>
            <w:r>
              <w:rPr>
                <w:rFonts w:hint="default" w:ascii="Times New Roman" w:hAnsi="Times New Roman" w:eastAsia="宋体" w:cs="Times New Roman"/>
                <w:color w:val="auto"/>
                <w:sz w:val="24"/>
                <w:highlight w:val="none"/>
              </w:rPr>
              <w:t>SO</w:t>
            </w:r>
            <w:r>
              <w:rPr>
                <w:rFonts w:hint="default" w:ascii="Times New Roman" w:hAnsi="Times New Roman" w:eastAsia="宋体" w:cs="Times New Roman"/>
                <w:color w:val="auto"/>
                <w:sz w:val="24"/>
                <w:highlight w:val="none"/>
                <w:vertAlign w:val="subscript"/>
              </w:rPr>
              <w:t>2</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NO</w:t>
            </w:r>
            <w:r>
              <w:rPr>
                <w:rFonts w:hint="default" w:ascii="Times New Roman" w:hAnsi="Times New Roman" w:eastAsia="宋体" w:cs="Times New Roman"/>
                <w:color w:val="auto"/>
                <w:sz w:val="24"/>
                <w:highlight w:val="none"/>
                <w:vertAlign w:val="subscript"/>
              </w:rPr>
              <w:t>X</w:t>
            </w:r>
            <w:r>
              <w:rPr>
                <w:rFonts w:hint="eastAsia" w:ascii="Times New Roman" w:hAnsi="Times New Roman" w:eastAsia="宋体" w:cs="Times New Roman"/>
                <w:color w:val="auto"/>
                <w:sz w:val="24"/>
                <w:highlight w:val="none"/>
                <w:lang w:eastAsia="zh-CN"/>
              </w:rPr>
              <w:t>有组织排放执行《</w:t>
            </w:r>
            <w:r>
              <w:rPr>
                <w:rFonts w:hint="default" w:ascii="Times New Roman" w:hAnsi="Times New Roman" w:eastAsia="宋体" w:cs="Times New Roman"/>
                <w:color w:val="auto"/>
                <w:sz w:val="24"/>
                <w:highlight w:val="none"/>
                <w:lang w:val="en-US" w:eastAsia="zh-CN"/>
              </w:rPr>
              <w:t>关于印发</w:t>
            </w:r>
            <w:r>
              <w:rPr>
                <w:rFonts w:hint="eastAsia" w:ascii="Times New Roman" w:hAnsi="Times New Roman" w:eastAsia="宋体" w:cs="Times New Roman"/>
                <w:color w:val="auto"/>
                <w:sz w:val="24"/>
                <w:highlight w:val="none"/>
                <w:lang w:val="en-US" w:eastAsia="zh-CN"/>
              </w:rPr>
              <w:t>〈工业炉窑大气污染综合治理方案〉</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的通知（环大气〔2019〕56号）中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三、</w:t>
            </w:r>
            <w:r>
              <w:rPr>
                <w:rFonts w:hint="eastAsia" w:ascii="Times New Roman" w:hAnsi="Times New Roman" w:eastAsia="宋体" w:cs="Times New Roman"/>
                <w:color w:val="auto"/>
                <w:sz w:val="24"/>
                <w:highlight w:val="none"/>
                <w:lang w:val="en-US" w:eastAsia="zh-CN"/>
              </w:rPr>
              <w:t>重点</w:t>
            </w:r>
            <w:r>
              <w:rPr>
                <w:rFonts w:hint="default" w:ascii="Times New Roman" w:hAnsi="Times New Roman" w:eastAsia="宋体" w:cs="Times New Roman"/>
                <w:color w:val="auto"/>
                <w:sz w:val="24"/>
                <w:highlight w:val="none"/>
                <w:lang w:val="en-US" w:eastAsia="zh-CN"/>
              </w:rPr>
              <w:t>任务—（</w:t>
            </w:r>
            <w:r>
              <w:rPr>
                <w:rFonts w:hint="eastAsia" w:ascii="Times New Roman" w:hAnsi="Times New Roman" w:eastAsia="宋体" w:cs="Times New Roman"/>
                <w:color w:val="auto"/>
                <w:sz w:val="24"/>
                <w:highlight w:val="none"/>
                <w:lang w:val="en-US" w:eastAsia="zh-CN"/>
              </w:rPr>
              <w:t>三</w:t>
            </w:r>
            <w:r>
              <w:rPr>
                <w:rFonts w:hint="default" w:ascii="Times New Roman" w:hAnsi="Times New Roman" w:eastAsia="宋体" w:cs="Times New Roman"/>
                <w:color w:val="auto"/>
                <w:sz w:val="24"/>
                <w:highlight w:val="none"/>
                <w:lang w:val="en-US" w:eastAsia="zh-CN"/>
              </w:rPr>
              <w:t>）实施污染深度治理</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其他未涉及的行业</w:t>
            </w:r>
            <w:r>
              <w:rPr>
                <w:rFonts w:hint="eastAsia" w:ascii="Times New Roman" w:hAnsi="Times New Roman" w:eastAsia="宋体" w:cs="Times New Roman"/>
                <w:color w:val="auto"/>
                <w:sz w:val="24"/>
                <w:highlight w:val="none"/>
                <w:lang w:val="en-US" w:eastAsia="zh-CN"/>
              </w:rPr>
              <w:t>重点区域</w:t>
            </w:r>
            <w:r>
              <w:rPr>
                <w:rFonts w:hint="default" w:ascii="Times New Roman" w:hAnsi="Times New Roman" w:eastAsia="宋体" w:cs="Times New Roman"/>
                <w:color w:val="auto"/>
                <w:sz w:val="24"/>
                <w:highlight w:val="none"/>
                <w:lang w:val="en-US" w:eastAsia="zh-CN"/>
              </w:rPr>
              <w:t>原则上按照颗粒物、二氧化硫</w:t>
            </w:r>
            <w:r>
              <w:rPr>
                <w:rFonts w:hint="eastAsia" w:ascii="Times New Roman" w:hAnsi="Times New Roman" w:eastAsia="宋体"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排放限值分别不高于30、200</w:t>
            </w:r>
            <w:r>
              <w:rPr>
                <w:rFonts w:hint="eastAsia" w:ascii="Times New Roman" w:hAnsi="Times New Roman" w:eastAsia="宋体" w:cs="Times New Roman"/>
                <w:color w:val="auto"/>
                <w:sz w:val="24"/>
                <w:highlight w:val="none"/>
                <w:lang w:val="en-US" w:eastAsia="zh-CN"/>
              </w:rPr>
              <w:t>、300</w:t>
            </w:r>
            <w:r>
              <w:rPr>
                <w:rFonts w:hint="default" w:ascii="Times New Roman" w:hAnsi="Times New Roman" w:eastAsia="宋体" w:cs="Times New Roman"/>
                <w:color w:val="auto"/>
                <w:sz w:val="24"/>
                <w:highlight w:val="none"/>
                <w:lang w:val="en-US" w:eastAsia="zh-CN"/>
              </w:rPr>
              <w:t>毫克/立方米实施改造</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具体排放限值见下表：</w:t>
            </w:r>
          </w:p>
          <w:p w14:paraId="7E13FC58">
            <w:pPr>
              <w:pStyle w:val="32"/>
              <w:spacing w:line="240" w:lineRule="auto"/>
              <w:ind w:firstLine="56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eastAsia" w:eastAsia="宋体" w:cs="Times New Roman"/>
                <w:b/>
                <w:color w:val="auto"/>
                <w:szCs w:val="21"/>
                <w:highlight w:val="none"/>
                <w:lang w:val="en-US" w:eastAsia="zh-CN"/>
              </w:rPr>
              <w:t xml:space="preserve">8  </w:t>
            </w:r>
            <w:r>
              <w:rPr>
                <w:rFonts w:hint="default" w:ascii="Times New Roman" w:hAnsi="Times New Roman" w:eastAsia="宋体" w:cs="Times New Roman"/>
                <w:b/>
                <w:color w:val="auto"/>
                <w:szCs w:val="21"/>
                <w:highlight w:val="none"/>
              </w:rPr>
              <w:t>《工业炉窑大气污染综合治理方案》相关排放限值要求</w:t>
            </w:r>
          </w:p>
          <w:tbl>
            <w:tblPr>
              <w:tblStyle w:val="20"/>
              <w:tblW w:w="72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449"/>
              <w:gridCol w:w="3850"/>
            </w:tblGrid>
            <w:tr w14:paraId="52FE0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01" w:hRule="atLeast"/>
                <w:jc w:val="center"/>
              </w:trPr>
              <w:tc>
                <w:tcPr>
                  <w:tcW w:w="2362" w:type="pct"/>
                  <w:tcBorders>
                    <w:tl2br w:val="nil"/>
                    <w:tr2bl w:val="nil"/>
                  </w:tcBorders>
                  <w:noWrap w:val="0"/>
                  <w:vAlign w:val="center"/>
                </w:tcPr>
                <w:p w14:paraId="48280A91">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Times New Roman" w:cs="Times New Roman"/>
                      <w:b/>
                      <w:bCs w:val="0"/>
                      <w:color w:val="auto"/>
                      <w:kern w:val="0"/>
                      <w:sz w:val="21"/>
                      <w:szCs w:val="21"/>
                      <w:lang w:val="en-US" w:eastAsia="zh-CN" w:bidi="ar-SA"/>
                    </w:rPr>
                  </w:pPr>
                  <w:r>
                    <w:rPr>
                      <w:rFonts w:hint="eastAsia" w:ascii="Times New Roman" w:hAnsi="Times New Roman" w:cs="Times New Roman"/>
                      <w:b/>
                      <w:bCs w:val="0"/>
                      <w:color w:val="auto"/>
                      <w:sz w:val="21"/>
                      <w:szCs w:val="21"/>
                      <w:lang w:eastAsia="zh-CN"/>
                    </w:rPr>
                    <w:t>污染物</w:t>
                  </w:r>
                </w:p>
              </w:tc>
              <w:tc>
                <w:tcPr>
                  <w:tcW w:w="2637" w:type="pct"/>
                  <w:tcBorders>
                    <w:tl2br w:val="nil"/>
                    <w:tr2bl w:val="nil"/>
                  </w:tcBorders>
                  <w:noWrap w:val="0"/>
                  <w:vAlign w:val="center"/>
                </w:tcPr>
                <w:p w14:paraId="2793AB3E">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eastAsia" w:ascii="Times New Roman" w:hAnsi="Times New Roman" w:cs="Times New Roman"/>
                      <w:b/>
                      <w:bCs w:val="0"/>
                      <w:color w:val="auto"/>
                      <w:sz w:val="21"/>
                      <w:szCs w:val="21"/>
                      <w:lang w:eastAsia="zh-CN"/>
                    </w:rPr>
                    <w:t>最高允许排放浓度</w:t>
                  </w:r>
                  <w:r>
                    <w:rPr>
                      <w:rFonts w:hint="eastAsia" w:ascii="Times New Roman" w:hAnsi="Times New Roman"/>
                      <w:b/>
                      <w:bCs w:val="0"/>
                      <w:color w:val="auto"/>
                      <w:kern w:val="0"/>
                      <w:szCs w:val="21"/>
                      <w:lang w:eastAsia="zh-CN"/>
                    </w:rPr>
                    <w:t>（</w:t>
                  </w:r>
                  <w:r>
                    <w:rPr>
                      <w:rFonts w:ascii="Times New Roman" w:hAnsi="Times New Roman"/>
                      <w:b/>
                      <w:bCs w:val="0"/>
                      <w:color w:val="auto"/>
                      <w:kern w:val="0"/>
                      <w:szCs w:val="21"/>
                    </w:rPr>
                    <w:t>mg/m</w:t>
                  </w:r>
                  <w:r>
                    <w:rPr>
                      <w:rFonts w:ascii="Times New Roman" w:hAnsi="Times New Roman"/>
                      <w:b/>
                      <w:bCs w:val="0"/>
                      <w:color w:val="auto"/>
                      <w:kern w:val="0"/>
                      <w:szCs w:val="21"/>
                      <w:vertAlign w:val="superscript"/>
                    </w:rPr>
                    <w:t>3</w:t>
                  </w:r>
                  <w:r>
                    <w:rPr>
                      <w:rFonts w:hint="eastAsia" w:ascii="Times New Roman" w:hAnsi="Times New Roman"/>
                      <w:b/>
                      <w:bCs w:val="0"/>
                      <w:color w:val="auto"/>
                      <w:kern w:val="0"/>
                      <w:szCs w:val="21"/>
                      <w:lang w:eastAsia="zh-CN"/>
                    </w:rPr>
                    <w:t>）</w:t>
                  </w:r>
                </w:p>
              </w:tc>
            </w:tr>
            <w:tr w14:paraId="385D5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362" w:type="pct"/>
                  <w:tcBorders>
                    <w:tl2br w:val="nil"/>
                    <w:tr2bl w:val="nil"/>
                  </w:tcBorders>
                  <w:noWrap w:val="0"/>
                  <w:vAlign w:val="center"/>
                </w:tcPr>
                <w:p w14:paraId="6A00A563">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颗粒物</w:t>
                  </w:r>
                </w:p>
              </w:tc>
              <w:tc>
                <w:tcPr>
                  <w:tcW w:w="2637" w:type="pct"/>
                  <w:tcBorders>
                    <w:tl2br w:val="nil"/>
                    <w:tr2bl w:val="nil"/>
                  </w:tcBorders>
                  <w:noWrap w:val="0"/>
                  <w:vAlign w:val="center"/>
                </w:tcPr>
                <w:p w14:paraId="209CA244">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30</w:t>
                  </w:r>
                </w:p>
              </w:tc>
            </w:tr>
            <w:tr w14:paraId="1E7CC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2362" w:type="pct"/>
                  <w:tcBorders>
                    <w:tl2br w:val="nil"/>
                    <w:tr2bl w:val="nil"/>
                  </w:tcBorders>
                  <w:noWrap w:val="0"/>
                  <w:vAlign w:val="center"/>
                </w:tcPr>
                <w:p w14:paraId="76458360">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eastAsia="zh-CN"/>
                    </w:rPr>
                    <w:t>SO</w:t>
                  </w:r>
                  <w:r>
                    <w:rPr>
                      <w:rFonts w:hint="eastAsia" w:ascii="Times New Roman" w:hAnsi="Times New Roman" w:cs="Times New Roman"/>
                      <w:b w:val="0"/>
                      <w:bCs/>
                      <w:color w:val="auto"/>
                      <w:sz w:val="21"/>
                      <w:szCs w:val="21"/>
                      <w:vertAlign w:val="subscript"/>
                      <w:lang w:eastAsia="zh-CN"/>
                    </w:rPr>
                    <w:t>2</w:t>
                  </w:r>
                </w:p>
              </w:tc>
              <w:tc>
                <w:tcPr>
                  <w:tcW w:w="2637" w:type="pct"/>
                  <w:tcBorders>
                    <w:tl2br w:val="nil"/>
                    <w:tr2bl w:val="nil"/>
                  </w:tcBorders>
                  <w:noWrap w:val="0"/>
                  <w:vAlign w:val="center"/>
                </w:tcPr>
                <w:p w14:paraId="0E5BECA4">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200</w:t>
                  </w:r>
                </w:p>
              </w:tc>
            </w:tr>
            <w:tr w14:paraId="4160D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2362" w:type="pct"/>
                  <w:tcBorders>
                    <w:tl2br w:val="nil"/>
                    <w:tr2bl w:val="nil"/>
                  </w:tcBorders>
                  <w:noWrap w:val="0"/>
                  <w:vAlign w:val="center"/>
                </w:tcPr>
                <w:p w14:paraId="72298D04">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eastAsia="zh-CN"/>
                    </w:rPr>
                    <w:t>NO</w:t>
                  </w:r>
                  <w:r>
                    <w:rPr>
                      <w:rFonts w:hint="eastAsia" w:ascii="Times New Roman" w:hAnsi="Times New Roman" w:cs="Times New Roman"/>
                      <w:b w:val="0"/>
                      <w:bCs/>
                      <w:color w:val="auto"/>
                      <w:sz w:val="21"/>
                      <w:szCs w:val="21"/>
                      <w:vertAlign w:val="subscript"/>
                      <w:lang w:val="en-US" w:eastAsia="zh-CN"/>
                    </w:rPr>
                    <w:t>x</w:t>
                  </w:r>
                </w:p>
              </w:tc>
              <w:tc>
                <w:tcPr>
                  <w:tcW w:w="2637" w:type="pct"/>
                  <w:tcBorders>
                    <w:tl2br w:val="nil"/>
                    <w:tr2bl w:val="nil"/>
                  </w:tcBorders>
                  <w:noWrap w:val="0"/>
                  <w:vAlign w:val="center"/>
                </w:tcPr>
                <w:p w14:paraId="7921CADF">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300</w:t>
                  </w:r>
                </w:p>
              </w:tc>
            </w:tr>
          </w:tbl>
          <w:p w14:paraId="386C7C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运</w:t>
            </w:r>
            <w:r>
              <w:rPr>
                <w:rFonts w:hint="default" w:ascii="Times New Roman" w:hAnsi="Times New Roman"/>
                <w:color w:val="auto"/>
                <w:sz w:val="24"/>
              </w:rPr>
              <w:t>营期</w:t>
            </w:r>
            <w:r>
              <w:rPr>
                <w:rFonts w:hint="default" w:ascii="Times New Roman" w:hAnsi="Times New Roman"/>
                <w:color w:val="auto"/>
                <w:sz w:val="24"/>
                <w:lang w:eastAsia="zh-CN"/>
              </w:rPr>
              <w:t>热风炉燃烧废气</w:t>
            </w:r>
            <w:r>
              <w:rPr>
                <w:rFonts w:hint="eastAsia" w:ascii="Times New Roman" w:hAnsi="Times New Roman"/>
                <w:color w:val="auto"/>
                <w:sz w:val="24"/>
                <w:lang w:val="en-US" w:eastAsia="zh-CN"/>
              </w:rPr>
              <w:t>中颗粒</w:t>
            </w:r>
            <w:r>
              <w:rPr>
                <w:rFonts w:hint="eastAsia" w:ascii="Times New Roman" w:hAnsi="Times New Roman" w:eastAsia="宋体" w:cs="Times New Roman"/>
                <w:color w:val="auto"/>
                <w:sz w:val="24"/>
                <w:lang w:val="en-US" w:eastAsia="zh-CN"/>
              </w:rPr>
              <w:t>物厂房外无组织颗粒物执行《工业炉窑大气污染物排放标准》（GB9078-1996）</w:t>
            </w:r>
            <w:r>
              <w:rPr>
                <w:rFonts w:hint="default" w:ascii="Times New Roman" w:hAnsi="Times New Roman" w:eastAsia="宋体" w:cs="Times New Roman"/>
                <w:color w:val="auto"/>
                <w:sz w:val="24"/>
                <w:highlight w:val="none"/>
                <w:lang w:eastAsia="zh-CN"/>
              </w:rPr>
              <w:t>表</w:t>
            </w:r>
            <w:r>
              <w:rPr>
                <w:rFonts w:hint="eastAsia"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lang w:val="en-US" w:eastAsia="zh-CN"/>
              </w:rPr>
              <w:t>中</w:t>
            </w:r>
            <w:r>
              <w:rPr>
                <w:rFonts w:hint="eastAsia" w:ascii="Times New Roman" w:hAnsi="Times New Roman" w:eastAsia="宋体" w:cs="Times New Roman"/>
                <w:color w:val="auto"/>
                <w:sz w:val="24"/>
                <w:highlight w:val="none"/>
                <w:lang w:val="en-US" w:eastAsia="zh-CN"/>
              </w:rPr>
              <w:t>有车间厂房-其他炉窑无组织排放烟（粉）尘最高允许浓度。</w:t>
            </w:r>
          </w:p>
          <w:p w14:paraId="3082E527">
            <w:pPr>
              <w:pStyle w:val="32"/>
              <w:spacing w:line="240" w:lineRule="auto"/>
              <w:ind w:firstLine="562"/>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eastAsia" w:eastAsia="宋体" w:cs="Times New Roman"/>
                <w:b/>
                <w:color w:val="auto"/>
                <w:szCs w:val="21"/>
                <w:highlight w:val="none"/>
                <w:lang w:val="en-US" w:eastAsia="zh-CN"/>
              </w:rPr>
              <w:t xml:space="preserve">-9 </w:t>
            </w:r>
            <w:r>
              <w:rPr>
                <w:rFonts w:hint="default" w:ascii="Times New Roman" w:hAnsi="Times New Roman" w:eastAsia="宋体" w:cs="Times New Roman"/>
                <w:b/>
                <w:color w:val="auto"/>
                <w:szCs w:val="21"/>
                <w:highlight w:val="none"/>
              </w:rPr>
              <w:t xml:space="preserve"> 《工业炉窑大气污染物排放标准》（GB9078-1996）表3</w:t>
            </w:r>
            <w:r>
              <w:rPr>
                <w:rFonts w:hint="default" w:ascii="Times New Roman" w:hAnsi="Times New Roman" w:eastAsia="宋体" w:cs="Times New Roman"/>
                <w:b/>
                <w:bCs/>
                <w:color w:val="auto"/>
                <w:kern w:val="0"/>
                <w:sz w:val="21"/>
                <w:szCs w:val="21"/>
                <w:highlight w:val="none"/>
                <w:lang w:val="en-US" w:eastAsia="zh-CN"/>
              </w:rPr>
              <w:t>（摘录）</w:t>
            </w:r>
          </w:p>
          <w:tbl>
            <w:tblPr>
              <w:tblStyle w:val="20"/>
              <w:tblW w:w="789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431"/>
              <w:gridCol w:w="2277"/>
              <w:gridCol w:w="4191"/>
            </w:tblGrid>
            <w:tr w14:paraId="7A0CA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18" w:hRule="atLeast"/>
                <w:jc w:val="center"/>
              </w:trPr>
              <w:tc>
                <w:tcPr>
                  <w:tcW w:w="905" w:type="pct"/>
                  <w:tcBorders>
                    <w:tl2br w:val="nil"/>
                    <w:tr2bl w:val="nil"/>
                  </w:tcBorders>
                  <w:noWrap w:val="0"/>
                  <w:vAlign w:val="center"/>
                </w:tcPr>
                <w:p w14:paraId="1CC3FCFF">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Times New Roman" w:cs="Times New Roman"/>
                      <w:b/>
                      <w:bCs w:val="0"/>
                      <w:color w:val="auto"/>
                      <w:kern w:val="0"/>
                      <w:sz w:val="21"/>
                      <w:szCs w:val="21"/>
                      <w:lang w:val="en-US" w:eastAsia="zh-CN" w:bidi="ar-SA"/>
                    </w:rPr>
                  </w:pPr>
                  <w:r>
                    <w:rPr>
                      <w:rFonts w:hint="eastAsia" w:ascii="Times New Roman" w:hAnsi="Times New Roman" w:cs="Times New Roman"/>
                      <w:b/>
                      <w:bCs w:val="0"/>
                      <w:color w:val="auto"/>
                      <w:sz w:val="21"/>
                      <w:szCs w:val="21"/>
                      <w:lang w:val="en-US" w:eastAsia="zh-CN"/>
                    </w:rPr>
                    <w:t>设置方式</w:t>
                  </w:r>
                </w:p>
              </w:tc>
              <w:tc>
                <w:tcPr>
                  <w:tcW w:w="1441" w:type="pct"/>
                  <w:tcBorders>
                    <w:tl2br w:val="nil"/>
                    <w:tr2bl w:val="nil"/>
                  </w:tcBorders>
                  <w:noWrap w:val="0"/>
                  <w:vAlign w:val="center"/>
                </w:tcPr>
                <w:p w14:paraId="1F1C8605">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bCs w:val="0"/>
                      <w:color w:val="auto"/>
                      <w:kern w:val="0"/>
                      <w:sz w:val="21"/>
                      <w:szCs w:val="21"/>
                      <w:lang w:val="en-US" w:eastAsia="zh-CN" w:bidi="ar-SA"/>
                    </w:rPr>
                  </w:pPr>
                  <w:r>
                    <w:rPr>
                      <w:rFonts w:hint="eastAsia" w:ascii="Times New Roman" w:hAnsi="Times New Roman" w:eastAsia="宋体" w:cs="Times New Roman"/>
                      <w:b/>
                      <w:bCs w:val="0"/>
                      <w:color w:val="auto"/>
                      <w:kern w:val="0"/>
                      <w:sz w:val="21"/>
                      <w:szCs w:val="21"/>
                      <w:lang w:val="en-US" w:eastAsia="zh-CN" w:bidi="ar-SA"/>
                    </w:rPr>
                    <w:t>炉窑类别</w:t>
                  </w:r>
                </w:p>
              </w:tc>
              <w:tc>
                <w:tcPr>
                  <w:tcW w:w="2652" w:type="pct"/>
                  <w:tcBorders>
                    <w:tl2br w:val="nil"/>
                    <w:tr2bl w:val="nil"/>
                  </w:tcBorders>
                  <w:noWrap w:val="0"/>
                  <w:vAlign w:val="center"/>
                </w:tcPr>
                <w:p w14:paraId="4CB449DE">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s="Times New Roman"/>
                      <w:b/>
                      <w:bCs w:val="0"/>
                      <w:color w:val="auto"/>
                      <w:sz w:val="21"/>
                      <w:szCs w:val="21"/>
                      <w:lang w:eastAsia="zh-CN"/>
                    </w:rPr>
                  </w:pPr>
                  <w:r>
                    <w:rPr>
                      <w:rFonts w:hint="eastAsia" w:ascii="Times New Roman" w:hAnsi="Times New Roman"/>
                      <w:b/>
                      <w:bCs w:val="0"/>
                      <w:color w:val="auto"/>
                      <w:kern w:val="0"/>
                      <w:szCs w:val="21"/>
                      <w:lang w:eastAsia="zh-CN"/>
                    </w:rPr>
                    <w:t>无组织排放烟（粉）尘最高允许浓度（</w:t>
                  </w:r>
                  <w:r>
                    <w:rPr>
                      <w:rFonts w:ascii="Times New Roman" w:hAnsi="Times New Roman"/>
                      <w:b/>
                      <w:bCs w:val="0"/>
                      <w:color w:val="auto"/>
                      <w:kern w:val="0"/>
                      <w:szCs w:val="21"/>
                    </w:rPr>
                    <w:t>mg/m</w:t>
                  </w:r>
                  <w:r>
                    <w:rPr>
                      <w:rFonts w:ascii="Times New Roman" w:hAnsi="Times New Roman"/>
                      <w:b/>
                      <w:bCs w:val="0"/>
                      <w:color w:val="auto"/>
                      <w:kern w:val="0"/>
                      <w:szCs w:val="21"/>
                      <w:vertAlign w:val="superscript"/>
                    </w:rPr>
                    <w:t>3</w:t>
                  </w:r>
                  <w:r>
                    <w:rPr>
                      <w:rFonts w:hint="eastAsia" w:ascii="Times New Roman" w:hAnsi="Times New Roman"/>
                      <w:b/>
                      <w:bCs w:val="0"/>
                      <w:color w:val="auto"/>
                      <w:kern w:val="0"/>
                      <w:szCs w:val="21"/>
                      <w:lang w:eastAsia="zh-CN"/>
                    </w:rPr>
                    <w:t>）</w:t>
                  </w:r>
                </w:p>
              </w:tc>
            </w:tr>
            <w:tr w14:paraId="119B5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905" w:type="pct"/>
                  <w:tcBorders>
                    <w:tl2br w:val="nil"/>
                    <w:tr2bl w:val="nil"/>
                  </w:tcBorders>
                  <w:noWrap w:val="0"/>
                  <w:vAlign w:val="center"/>
                </w:tcPr>
                <w:p w14:paraId="7E950763">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kern w:val="0"/>
                      <w:sz w:val="21"/>
                      <w:szCs w:val="21"/>
                      <w:lang w:val="en-US" w:eastAsia="zh-CN" w:bidi="ar-SA"/>
                    </w:rPr>
                  </w:pPr>
                  <w:r>
                    <w:rPr>
                      <w:rFonts w:hint="eastAsia" w:ascii="Times New Roman" w:hAnsi="Times New Roman" w:eastAsia="宋体" w:cs="Times New Roman"/>
                      <w:b w:val="0"/>
                      <w:bCs/>
                      <w:color w:val="auto"/>
                      <w:kern w:val="0"/>
                      <w:sz w:val="21"/>
                      <w:szCs w:val="21"/>
                      <w:lang w:val="en-US" w:eastAsia="zh-CN" w:bidi="ar-SA"/>
                    </w:rPr>
                    <w:t>有车间厂房</w:t>
                  </w:r>
                </w:p>
              </w:tc>
              <w:tc>
                <w:tcPr>
                  <w:tcW w:w="1441" w:type="pct"/>
                  <w:tcBorders>
                    <w:tl2br w:val="nil"/>
                    <w:tr2bl w:val="nil"/>
                  </w:tcBorders>
                  <w:noWrap w:val="0"/>
                  <w:vAlign w:val="center"/>
                </w:tcPr>
                <w:p w14:paraId="15EFEADE">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Times New Roman" w:cs="Times New Roman"/>
                      <w:b w:val="0"/>
                      <w:bCs/>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其他炉窑</w:t>
                  </w:r>
                </w:p>
              </w:tc>
              <w:tc>
                <w:tcPr>
                  <w:tcW w:w="2652" w:type="pct"/>
                  <w:tcBorders>
                    <w:tl2br w:val="nil"/>
                    <w:tr2bl w:val="nil"/>
                  </w:tcBorders>
                  <w:noWrap w:val="0"/>
                  <w:vAlign w:val="center"/>
                </w:tcPr>
                <w:p w14:paraId="4489DAC7">
                  <w:pPr>
                    <w:pStyle w:val="27"/>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5</w:t>
                  </w:r>
                </w:p>
              </w:tc>
            </w:tr>
          </w:tbl>
          <w:p w14:paraId="1F88F36B">
            <w:pPr>
              <w:keepNext w:val="0"/>
              <w:keepLines w:val="0"/>
              <w:pageBreakBefore w:val="0"/>
              <w:widowControl w:val="0"/>
              <w:numPr>
                <w:ilvl w:val="0"/>
                <w:numId w:val="0"/>
              </w:numPr>
              <w:kinsoku/>
              <w:wordWrap w:val="0"/>
              <w:overflowPunct/>
              <w:topLinePunct/>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项目</w:t>
            </w:r>
            <w:r>
              <w:rPr>
                <w:rFonts w:hint="default" w:ascii="Times New Roman" w:hAnsi="Times New Roman" w:eastAsia="宋体" w:cs="Times New Roman"/>
                <w:color w:val="auto"/>
                <w:sz w:val="24"/>
                <w:highlight w:val="none"/>
              </w:rPr>
              <w:t>运营期废气中</w:t>
            </w:r>
            <w:r>
              <w:rPr>
                <w:rFonts w:hint="eastAsia" w:ascii="Times New Roman" w:hAnsi="Times New Roman" w:eastAsia="宋体" w:cs="Times New Roman"/>
                <w:color w:val="auto"/>
                <w:sz w:val="24"/>
                <w:highlight w:val="none"/>
                <w:lang w:val="en-US" w:eastAsia="zh-CN"/>
              </w:rPr>
              <w:t>厂界无组织二氧化硫、氮氧化物</w:t>
            </w:r>
            <w:r>
              <w:rPr>
                <w:rFonts w:hint="default" w:ascii="Times New Roman" w:hAnsi="Times New Roman" w:eastAsia="宋体" w:cs="Times New Roman"/>
                <w:color w:val="auto"/>
                <w:sz w:val="24"/>
                <w:highlight w:val="none"/>
              </w:rPr>
              <w:t>执行《大气污染物综合排放标准》（GB16297-1996</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表2无组织排放浓度限值，具体排放限值见下表：</w:t>
            </w:r>
          </w:p>
          <w:p w14:paraId="70F2AFE0">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表3-</w:t>
            </w:r>
            <w:r>
              <w:rPr>
                <w:rFonts w:hint="eastAsia" w:eastAsia="宋体" w:cs="Times New Roman"/>
                <w:b/>
                <w:bCs/>
                <w:color w:val="auto"/>
                <w:szCs w:val="21"/>
                <w:highlight w:val="none"/>
                <w:lang w:val="en-US" w:eastAsia="zh-CN"/>
              </w:rPr>
              <w:t>1</w:t>
            </w:r>
            <w:r>
              <w:rPr>
                <w:rFonts w:hint="eastAsia" w:cs="Times New Roman"/>
                <w:b/>
                <w:bCs/>
                <w:color w:val="auto"/>
                <w:szCs w:val="21"/>
                <w:highlight w:val="none"/>
                <w:lang w:val="en-US" w:eastAsia="zh-CN"/>
              </w:rPr>
              <w:t>0</w:t>
            </w:r>
            <w:r>
              <w:rPr>
                <w:rFonts w:hint="eastAsia"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lang w:eastAsia="zh-CN"/>
              </w:rPr>
              <w:t xml:space="preserve"> 《大气污染物综合排放标准》（GB16297-1996）表2（摘录）</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46"/>
              <w:gridCol w:w="2582"/>
              <w:gridCol w:w="2911"/>
            </w:tblGrid>
            <w:tr w14:paraId="547EC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40" w:type="pct"/>
                  <w:vMerge w:val="restart"/>
                  <w:tcBorders>
                    <w:tl2br w:val="nil"/>
                    <w:tr2bl w:val="nil"/>
                  </w:tcBorders>
                  <w:vAlign w:val="center"/>
                </w:tcPr>
                <w:p w14:paraId="65A9EF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3459" w:type="pct"/>
                  <w:gridSpan w:val="2"/>
                  <w:tcBorders>
                    <w:tl2br w:val="nil"/>
                    <w:tr2bl w:val="nil"/>
                  </w:tcBorders>
                  <w:vAlign w:val="center"/>
                </w:tcPr>
                <w:p w14:paraId="122218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14:paraId="4AE6F1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40" w:type="pct"/>
                  <w:vMerge w:val="continue"/>
                  <w:tcBorders>
                    <w:tl2br w:val="nil"/>
                    <w:tr2bl w:val="nil"/>
                  </w:tcBorders>
                  <w:vAlign w:val="center"/>
                </w:tcPr>
                <w:p w14:paraId="1D9FA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p>
              </w:tc>
              <w:tc>
                <w:tcPr>
                  <w:tcW w:w="1626" w:type="pct"/>
                  <w:tcBorders>
                    <w:tl2br w:val="nil"/>
                    <w:tr2bl w:val="nil"/>
                  </w:tcBorders>
                  <w:vAlign w:val="center"/>
                </w:tcPr>
                <w:p w14:paraId="1C2580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1832" w:type="pct"/>
                  <w:tcBorders>
                    <w:tl2br w:val="nil"/>
                    <w:tr2bl w:val="nil"/>
                  </w:tcBorders>
                  <w:vAlign w:val="center"/>
                </w:tcPr>
                <w:p w14:paraId="4F5639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highlight w:val="none"/>
                      <w:lang w:eastAsia="zh-CN"/>
                    </w:rPr>
                  </w:pPr>
                  <w:r>
                    <w:rPr>
                      <w:rFonts w:hint="default" w:ascii="Times New Roman" w:hAnsi="Times New Roman" w:eastAsia="宋体" w:cs="Times New Roman"/>
                      <w:b/>
                      <w:bCs/>
                      <w:color w:val="auto"/>
                      <w:highlight w:val="none"/>
                    </w:rPr>
                    <w:t>浓度</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rPr>
                    <w:t>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lang w:eastAsia="zh-CN"/>
                    </w:rPr>
                    <w:t>）</w:t>
                  </w:r>
                </w:p>
              </w:tc>
            </w:tr>
            <w:tr w14:paraId="37D071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40" w:type="pct"/>
                  <w:tcBorders>
                    <w:tl2br w:val="nil"/>
                    <w:tr2bl w:val="nil"/>
                  </w:tcBorders>
                  <w:vAlign w:val="center"/>
                </w:tcPr>
                <w:p w14:paraId="32C3A8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b w:val="0"/>
                      <w:bCs w:val="0"/>
                      <w:color w:val="auto"/>
                      <w:highlight w:val="none"/>
                      <w:lang w:eastAsia="zh-CN"/>
                    </w:rPr>
                  </w:pPr>
                  <w:r>
                    <w:rPr>
                      <w:rFonts w:hint="eastAsia" w:ascii="Times New Roman" w:hAnsi="Times New Roman" w:eastAsia="宋体" w:cs="Times New Roman"/>
                      <w:b w:val="0"/>
                      <w:bCs w:val="0"/>
                      <w:color w:val="auto"/>
                      <w:highlight w:val="none"/>
                      <w:lang w:val="en-US" w:eastAsia="zh-CN"/>
                    </w:rPr>
                    <w:t>二氧化硫</w:t>
                  </w:r>
                </w:p>
              </w:tc>
              <w:tc>
                <w:tcPr>
                  <w:tcW w:w="1626" w:type="pct"/>
                  <w:vMerge w:val="restart"/>
                  <w:tcBorders>
                    <w:tl2br w:val="nil"/>
                    <w:tr2bl w:val="nil"/>
                  </w:tcBorders>
                  <w:vAlign w:val="center"/>
                </w:tcPr>
                <w:p w14:paraId="54091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rPr>
                  </w:pPr>
                  <w:r>
                    <w:rPr>
                      <w:rFonts w:hint="default" w:ascii="Times New Roman" w:hAnsi="Times New Roman" w:eastAsia="宋体" w:cs="Times New Roman"/>
                      <w:b w:val="0"/>
                      <w:bCs w:val="0"/>
                      <w:color w:val="auto"/>
                      <w:highlight w:val="none"/>
                    </w:rPr>
                    <w:t>周界外浓度最高点</w:t>
                  </w:r>
                </w:p>
              </w:tc>
              <w:tc>
                <w:tcPr>
                  <w:tcW w:w="1832" w:type="pct"/>
                  <w:tcBorders>
                    <w:tl2br w:val="nil"/>
                    <w:tr2bl w:val="nil"/>
                  </w:tcBorders>
                  <w:vAlign w:val="center"/>
                </w:tcPr>
                <w:p w14:paraId="3C9A61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0.40</w:t>
                  </w:r>
                </w:p>
              </w:tc>
            </w:tr>
            <w:tr w14:paraId="3EA41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540" w:type="pct"/>
                  <w:tcBorders>
                    <w:tl2br w:val="nil"/>
                    <w:tr2bl w:val="nil"/>
                  </w:tcBorders>
                  <w:vAlign w:val="center"/>
                </w:tcPr>
                <w:p w14:paraId="69CE3B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氮氧化物</w:t>
                  </w:r>
                </w:p>
              </w:tc>
              <w:tc>
                <w:tcPr>
                  <w:tcW w:w="1626" w:type="pct"/>
                  <w:vMerge w:val="continue"/>
                  <w:tcBorders>
                    <w:tl2br w:val="nil"/>
                    <w:tr2bl w:val="nil"/>
                  </w:tcBorders>
                  <w:vAlign w:val="center"/>
                </w:tcPr>
                <w:p w14:paraId="14079E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rPr>
                  </w:pPr>
                </w:p>
              </w:tc>
              <w:tc>
                <w:tcPr>
                  <w:tcW w:w="1832" w:type="pct"/>
                  <w:tcBorders>
                    <w:tl2br w:val="nil"/>
                    <w:tr2bl w:val="nil"/>
                  </w:tcBorders>
                  <w:vAlign w:val="center"/>
                </w:tcPr>
                <w:p w14:paraId="50A2E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0.12</w:t>
                  </w:r>
                </w:p>
              </w:tc>
            </w:tr>
          </w:tbl>
          <w:p w14:paraId="3DA9F2EA">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Theme="minorEastAsia"/>
                <w:b/>
                <w:bCs/>
                <w:color w:val="auto"/>
                <w:sz w:val="24"/>
              </w:rPr>
            </w:pPr>
            <w:r>
              <w:rPr>
                <w:rFonts w:hint="eastAsia" w:eastAsiaTheme="minorEastAsia"/>
                <w:b/>
                <w:bCs/>
                <w:color w:val="auto"/>
                <w:sz w:val="24"/>
                <w:lang w:val="en-US" w:eastAsia="zh-CN"/>
              </w:rPr>
              <w:t>2.</w:t>
            </w:r>
            <w:r>
              <w:rPr>
                <w:rFonts w:eastAsiaTheme="minorEastAsia"/>
                <w:b/>
                <w:bCs/>
                <w:color w:val="auto"/>
                <w:sz w:val="24"/>
              </w:rPr>
              <w:t>水污染物排放标准</w:t>
            </w:r>
          </w:p>
          <w:p w14:paraId="3EA5C403">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运营期废水执行《</w:t>
            </w:r>
            <w:bookmarkStart w:id="11" w:name="OLE_LINK111"/>
            <w:bookmarkStart w:id="12" w:name="OLE_LINK112"/>
            <w:r>
              <w:rPr>
                <w:rFonts w:eastAsiaTheme="minorEastAsia"/>
                <w:color w:val="auto"/>
                <w:kern w:val="0"/>
                <w:sz w:val="24"/>
              </w:rPr>
              <w:t>污水综合排放标准</w:t>
            </w:r>
            <w:bookmarkEnd w:id="11"/>
            <w:bookmarkEnd w:id="12"/>
            <w:r>
              <w:rPr>
                <w:rFonts w:eastAsiaTheme="minorEastAsia"/>
                <w:color w:val="auto"/>
                <w:kern w:val="0"/>
                <w:sz w:val="24"/>
              </w:rPr>
              <w:t>》（GB8978-1996）三级标准和《污水排入城镇下水道水质标准》（GB/T31962-2015）中B级标准。</w:t>
            </w:r>
          </w:p>
          <w:p w14:paraId="185D4EA5">
            <w:pPr>
              <w:jc w:val="center"/>
              <w:rPr>
                <w:rFonts w:eastAsiaTheme="minorEastAsia"/>
                <w:b/>
                <w:bCs/>
                <w:color w:val="auto"/>
                <w:szCs w:val="21"/>
              </w:rPr>
            </w:pPr>
            <w:r>
              <w:rPr>
                <w:rFonts w:eastAsiaTheme="minorEastAsia"/>
                <w:b/>
                <w:bCs/>
                <w:color w:val="auto"/>
                <w:szCs w:val="21"/>
              </w:rPr>
              <w:t>表3-</w:t>
            </w:r>
            <w:r>
              <w:rPr>
                <w:rFonts w:hint="eastAsia" w:eastAsiaTheme="minorEastAsia"/>
                <w:b/>
                <w:bCs/>
                <w:color w:val="auto"/>
                <w:szCs w:val="21"/>
                <w:lang w:val="en-US" w:eastAsia="zh-CN"/>
              </w:rPr>
              <w:t>11</w:t>
            </w:r>
            <w:r>
              <w:rPr>
                <w:rFonts w:eastAsiaTheme="minorEastAsia"/>
                <w:b/>
                <w:bCs/>
                <w:color w:val="auto"/>
                <w:szCs w:val="21"/>
              </w:rPr>
              <w:t xml:space="preserve">  废水排放标准</w:t>
            </w:r>
          </w:p>
          <w:tbl>
            <w:tblPr>
              <w:tblStyle w:val="20"/>
              <w:tblW w:w="807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7"/>
              <w:gridCol w:w="754"/>
              <w:gridCol w:w="641"/>
              <w:gridCol w:w="817"/>
              <w:gridCol w:w="793"/>
              <w:gridCol w:w="602"/>
              <w:gridCol w:w="764"/>
              <w:gridCol w:w="678"/>
              <w:gridCol w:w="644"/>
            </w:tblGrid>
            <w:tr w14:paraId="0F47F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1473" w:type="pct"/>
                  <w:tcBorders>
                    <w:tl2br w:val="nil"/>
                    <w:tr2bl w:val="nil"/>
                  </w:tcBorders>
                  <w:shd w:val="clear" w:color="auto" w:fill="auto"/>
                  <w:vAlign w:val="center"/>
                </w:tcPr>
                <w:p w14:paraId="504F5848">
                  <w:pPr>
                    <w:adjustRightInd w:val="0"/>
                    <w:snapToGrid w:val="0"/>
                    <w:jc w:val="center"/>
                    <w:rPr>
                      <w:rFonts w:eastAsiaTheme="minorEastAsia"/>
                      <w:b/>
                      <w:color w:val="auto"/>
                      <w:szCs w:val="21"/>
                      <w:lang w:bidi="ar"/>
                    </w:rPr>
                  </w:pPr>
                  <w:r>
                    <w:rPr>
                      <w:rFonts w:eastAsiaTheme="minorEastAsia"/>
                      <w:b/>
                      <w:color w:val="auto"/>
                      <w:szCs w:val="21"/>
                      <w:lang w:bidi="ar"/>
                    </w:rPr>
                    <w:t>执行标准</w:t>
                  </w:r>
                </w:p>
              </w:tc>
              <w:tc>
                <w:tcPr>
                  <w:tcW w:w="467" w:type="pct"/>
                  <w:tcBorders>
                    <w:tl2br w:val="nil"/>
                    <w:tr2bl w:val="nil"/>
                  </w:tcBorders>
                  <w:shd w:val="clear" w:color="auto" w:fill="auto"/>
                  <w:vAlign w:val="center"/>
                </w:tcPr>
                <w:p w14:paraId="0F8AB816">
                  <w:pPr>
                    <w:adjustRightInd w:val="0"/>
                    <w:snapToGrid w:val="0"/>
                    <w:jc w:val="center"/>
                    <w:rPr>
                      <w:rFonts w:eastAsiaTheme="minorEastAsia"/>
                      <w:b/>
                      <w:color w:val="auto"/>
                      <w:szCs w:val="21"/>
                      <w:lang w:bidi="ar"/>
                    </w:rPr>
                  </w:pPr>
                  <w:r>
                    <w:rPr>
                      <w:rFonts w:eastAsiaTheme="minorEastAsia"/>
                      <w:b/>
                      <w:color w:val="auto"/>
                      <w:szCs w:val="21"/>
                      <w:lang w:bidi="ar"/>
                    </w:rPr>
                    <w:t>单位</w:t>
                  </w:r>
                </w:p>
              </w:tc>
              <w:tc>
                <w:tcPr>
                  <w:tcW w:w="397" w:type="pct"/>
                  <w:tcBorders>
                    <w:tl2br w:val="nil"/>
                    <w:tr2bl w:val="nil"/>
                  </w:tcBorders>
                  <w:shd w:val="clear" w:color="auto" w:fill="auto"/>
                  <w:vAlign w:val="center"/>
                </w:tcPr>
                <w:p w14:paraId="16C12CAA">
                  <w:pPr>
                    <w:adjustRightInd w:val="0"/>
                    <w:snapToGrid w:val="0"/>
                    <w:jc w:val="center"/>
                    <w:rPr>
                      <w:rFonts w:eastAsiaTheme="minorEastAsia"/>
                      <w:b/>
                      <w:color w:val="auto"/>
                      <w:szCs w:val="21"/>
                      <w:lang w:bidi="ar"/>
                    </w:rPr>
                  </w:pPr>
                  <w:r>
                    <w:rPr>
                      <w:rFonts w:eastAsiaTheme="minorEastAsia"/>
                      <w:b/>
                      <w:color w:val="auto"/>
                      <w:szCs w:val="21"/>
                      <w:lang w:bidi="ar"/>
                    </w:rPr>
                    <w:t>pH</w:t>
                  </w:r>
                </w:p>
              </w:tc>
              <w:tc>
                <w:tcPr>
                  <w:tcW w:w="506" w:type="pct"/>
                  <w:tcBorders>
                    <w:tl2br w:val="nil"/>
                    <w:tr2bl w:val="nil"/>
                  </w:tcBorders>
                  <w:shd w:val="clear" w:color="auto" w:fill="auto"/>
                  <w:vAlign w:val="center"/>
                </w:tcPr>
                <w:p w14:paraId="2A2FA626">
                  <w:pPr>
                    <w:adjustRightInd w:val="0"/>
                    <w:snapToGrid w:val="0"/>
                    <w:jc w:val="center"/>
                    <w:rPr>
                      <w:rFonts w:eastAsiaTheme="minorEastAsia"/>
                      <w:b/>
                      <w:color w:val="auto"/>
                      <w:szCs w:val="21"/>
                      <w:lang w:bidi="ar"/>
                    </w:rPr>
                  </w:pPr>
                  <w:r>
                    <w:rPr>
                      <w:rFonts w:eastAsiaTheme="minorEastAsia"/>
                      <w:b/>
                      <w:color w:val="auto"/>
                      <w:szCs w:val="21"/>
                      <w:lang w:bidi="ar"/>
                    </w:rPr>
                    <w:t>COD</w:t>
                  </w:r>
                </w:p>
              </w:tc>
              <w:tc>
                <w:tcPr>
                  <w:tcW w:w="491" w:type="pct"/>
                  <w:tcBorders>
                    <w:tl2br w:val="nil"/>
                    <w:tr2bl w:val="nil"/>
                  </w:tcBorders>
                  <w:shd w:val="clear" w:color="auto" w:fill="auto"/>
                  <w:vAlign w:val="center"/>
                </w:tcPr>
                <w:p w14:paraId="09F2CCB2">
                  <w:pPr>
                    <w:adjustRightInd w:val="0"/>
                    <w:snapToGrid w:val="0"/>
                    <w:jc w:val="center"/>
                    <w:rPr>
                      <w:rFonts w:eastAsiaTheme="minorEastAsia"/>
                      <w:b/>
                      <w:color w:val="auto"/>
                      <w:szCs w:val="21"/>
                      <w:lang w:bidi="ar"/>
                    </w:rPr>
                  </w:pPr>
                  <w:r>
                    <w:rPr>
                      <w:rFonts w:eastAsiaTheme="minorEastAsia"/>
                      <w:b/>
                      <w:color w:val="auto"/>
                      <w:szCs w:val="21"/>
                      <w:lang w:bidi="ar"/>
                    </w:rPr>
                    <w:t>BOD</w:t>
                  </w:r>
                  <w:r>
                    <w:rPr>
                      <w:rFonts w:eastAsiaTheme="minorEastAsia"/>
                      <w:b/>
                      <w:color w:val="auto"/>
                      <w:szCs w:val="21"/>
                      <w:vertAlign w:val="subscript"/>
                      <w:lang w:bidi="ar"/>
                    </w:rPr>
                    <w:t>5</w:t>
                  </w:r>
                </w:p>
              </w:tc>
              <w:tc>
                <w:tcPr>
                  <w:tcW w:w="373" w:type="pct"/>
                  <w:tcBorders>
                    <w:tl2br w:val="nil"/>
                    <w:tr2bl w:val="nil"/>
                  </w:tcBorders>
                  <w:shd w:val="clear" w:color="auto" w:fill="auto"/>
                  <w:vAlign w:val="center"/>
                </w:tcPr>
                <w:p w14:paraId="10556992">
                  <w:pPr>
                    <w:adjustRightInd w:val="0"/>
                    <w:snapToGrid w:val="0"/>
                    <w:jc w:val="center"/>
                    <w:rPr>
                      <w:rFonts w:eastAsiaTheme="minorEastAsia"/>
                      <w:b/>
                      <w:color w:val="auto"/>
                      <w:szCs w:val="21"/>
                      <w:lang w:bidi="ar"/>
                    </w:rPr>
                  </w:pPr>
                  <w:r>
                    <w:rPr>
                      <w:rFonts w:eastAsiaTheme="minorEastAsia"/>
                      <w:b/>
                      <w:color w:val="auto"/>
                      <w:szCs w:val="21"/>
                      <w:lang w:bidi="ar"/>
                    </w:rPr>
                    <w:t>SS</w:t>
                  </w:r>
                </w:p>
              </w:tc>
              <w:tc>
                <w:tcPr>
                  <w:tcW w:w="473" w:type="pct"/>
                  <w:tcBorders>
                    <w:tl2br w:val="nil"/>
                    <w:tr2bl w:val="nil"/>
                  </w:tcBorders>
                  <w:shd w:val="clear" w:color="auto" w:fill="auto"/>
                  <w:vAlign w:val="center"/>
                </w:tcPr>
                <w:p w14:paraId="5DC50F64">
                  <w:pPr>
                    <w:adjustRightInd w:val="0"/>
                    <w:snapToGrid w:val="0"/>
                    <w:jc w:val="center"/>
                    <w:rPr>
                      <w:rFonts w:eastAsiaTheme="minorEastAsia"/>
                      <w:b/>
                      <w:color w:val="auto"/>
                      <w:szCs w:val="21"/>
                      <w:lang w:bidi="ar"/>
                    </w:rPr>
                  </w:pPr>
                  <w:r>
                    <w:rPr>
                      <w:rFonts w:eastAsiaTheme="minorEastAsia"/>
                      <w:b/>
                      <w:color w:val="auto"/>
                      <w:szCs w:val="21"/>
                      <w:lang w:bidi="ar"/>
                    </w:rPr>
                    <w:t>氨氮</w:t>
                  </w:r>
                </w:p>
              </w:tc>
              <w:tc>
                <w:tcPr>
                  <w:tcW w:w="420" w:type="pct"/>
                  <w:tcBorders>
                    <w:tl2br w:val="nil"/>
                    <w:tr2bl w:val="nil"/>
                  </w:tcBorders>
                  <w:shd w:val="clear" w:color="auto" w:fill="auto"/>
                  <w:vAlign w:val="center"/>
                </w:tcPr>
                <w:p w14:paraId="69B8F8D7">
                  <w:pPr>
                    <w:adjustRightInd w:val="0"/>
                    <w:snapToGrid w:val="0"/>
                    <w:jc w:val="center"/>
                    <w:rPr>
                      <w:rFonts w:eastAsiaTheme="minorEastAsia"/>
                      <w:b/>
                      <w:color w:val="auto"/>
                      <w:szCs w:val="21"/>
                      <w:lang w:bidi="ar"/>
                    </w:rPr>
                  </w:pPr>
                  <w:r>
                    <w:rPr>
                      <w:rFonts w:eastAsiaTheme="minorEastAsia"/>
                      <w:b/>
                      <w:color w:val="auto"/>
                      <w:szCs w:val="21"/>
                      <w:lang w:bidi="ar"/>
                    </w:rPr>
                    <w:t>总氮</w:t>
                  </w:r>
                </w:p>
              </w:tc>
              <w:tc>
                <w:tcPr>
                  <w:tcW w:w="399" w:type="pct"/>
                  <w:tcBorders>
                    <w:tl2br w:val="nil"/>
                    <w:tr2bl w:val="nil"/>
                  </w:tcBorders>
                  <w:shd w:val="clear" w:color="auto" w:fill="auto"/>
                  <w:vAlign w:val="center"/>
                </w:tcPr>
                <w:p w14:paraId="48A84036">
                  <w:pPr>
                    <w:adjustRightInd w:val="0"/>
                    <w:snapToGrid w:val="0"/>
                    <w:jc w:val="center"/>
                    <w:rPr>
                      <w:rFonts w:eastAsiaTheme="minorEastAsia"/>
                      <w:b/>
                      <w:color w:val="auto"/>
                      <w:szCs w:val="21"/>
                      <w:lang w:bidi="ar"/>
                    </w:rPr>
                  </w:pPr>
                  <w:r>
                    <w:rPr>
                      <w:rFonts w:eastAsiaTheme="minorEastAsia"/>
                      <w:b/>
                      <w:color w:val="auto"/>
                      <w:szCs w:val="21"/>
                      <w:lang w:bidi="ar"/>
                    </w:rPr>
                    <w:t>总磷</w:t>
                  </w:r>
                </w:p>
              </w:tc>
            </w:tr>
            <w:tr w14:paraId="7A042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3" w:type="pct"/>
                  <w:tcBorders>
                    <w:tl2br w:val="nil"/>
                    <w:tr2bl w:val="nil"/>
                  </w:tcBorders>
                  <w:shd w:val="clear" w:color="auto" w:fill="auto"/>
                  <w:vAlign w:val="center"/>
                </w:tcPr>
                <w:p w14:paraId="5D96FA27">
                  <w:pPr>
                    <w:jc w:val="center"/>
                    <w:rPr>
                      <w:rFonts w:eastAsiaTheme="minorEastAsia"/>
                      <w:color w:val="auto"/>
                      <w:kern w:val="24"/>
                      <w:szCs w:val="21"/>
                    </w:rPr>
                  </w:pPr>
                  <w:r>
                    <w:rPr>
                      <w:rFonts w:eastAsiaTheme="minorEastAsia"/>
                      <w:color w:val="auto"/>
                      <w:kern w:val="24"/>
                      <w:szCs w:val="21"/>
                    </w:rPr>
                    <w:t>《污水综合排放标准》（GB8978-1996）</w:t>
                  </w:r>
                </w:p>
              </w:tc>
              <w:tc>
                <w:tcPr>
                  <w:tcW w:w="467" w:type="pct"/>
                  <w:tcBorders>
                    <w:tl2br w:val="nil"/>
                    <w:tr2bl w:val="nil"/>
                  </w:tcBorders>
                  <w:shd w:val="clear" w:color="auto" w:fill="auto"/>
                  <w:vAlign w:val="center"/>
                </w:tcPr>
                <w:p w14:paraId="53529C89">
                  <w:pPr>
                    <w:adjustRightInd w:val="0"/>
                    <w:snapToGrid w:val="0"/>
                    <w:jc w:val="center"/>
                    <w:rPr>
                      <w:rFonts w:eastAsiaTheme="minorEastAsia"/>
                      <w:color w:val="auto"/>
                      <w:szCs w:val="21"/>
                      <w:lang w:bidi="ar"/>
                    </w:rPr>
                  </w:pPr>
                  <w:r>
                    <w:rPr>
                      <w:rFonts w:eastAsiaTheme="minorEastAsia"/>
                      <w:color w:val="auto"/>
                      <w:szCs w:val="21"/>
                      <w:lang w:bidi="ar"/>
                    </w:rPr>
                    <w:t>mg/L</w:t>
                  </w:r>
                </w:p>
              </w:tc>
              <w:tc>
                <w:tcPr>
                  <w:tcW w:w="397" w:type="pct"/>
                  <w:tcBorders>
                    <w:tl2br w:val="nil"/>
                    <w:tr2bl w:val="nil"/>
                  </w:tcBorders>
                  <w:shd w:val="clear" w:color="auto" w:fill="auto"/>
                  <w:vAlign w:val="center"/>
                </w:tcPr>
                <w:p w14:paraId="5E30B641">
                  <w:pPr>
                    <w:adjustRightInd w:val="0"/>
                    <w:snapToGrid w:val="0"/>
                    <w:jc w:val="center"/>
                    <w:rPr>
                      <w:rFonts w:eastAsiaTheme="minorEastAsia"/>
                      <w:color w:val="auto"/>
                      <w:szCs w:val="21"/>
                      <w:lang w:bidi="ar"/>
                    </w:rPr>
                  </w:pPr>
                  <w:r>
                    <w:rPr>
                      <w:rFonts w:eastAsiaTheme="minorEastAsia"/>
                      <w:color w:val="auto"/>
                      <w:szCs w:val="21"/>
                      <w:lang w:bidi="ar"/>
                    </w:rPr>
                    <w:t>6~9</w:t>
                  </w:r>
                </w:p>
              </w:tc>
              <w:tc>
                <w:tcPr>
                  <w:tcW w:w="506" w:type="pct"/>
                  <w:tcBorders>
                    <w:tl2br w:val="nil"/>
                    <w:tr2bl w:val="nil"/>
                  </w:tcBorders>
                  <w:shd w:val="clear" w:color="auto" w:fill="auto"/>
                  <w:vAlign w:val="center"/>
                </w:tcPr>
                <w:p w14:paraId="00E29F40">
                  <w:pPr>
                    <w:adjustRightInd w:val="0"/>
                    <w:snapToGrid w:val="0"/>
                    <w:jc w:val="center"/>
                    <w:rPr>
                      <w:rFonts w:eastAsiaTheme="minorEastAsia"/>
                      <w:color w:val="auto"/>
                      <w:szCs w:val="21"/>
                      <w:lang w:bidi="ar"/>
                    </w:rPr>
                  </w:pPr>
                  <w:r>
                    <w:rPr>
                      <w:rFonts w:eastAsiaTheme="minorEastAsia"/>
                      <w:color w:val="auto"/>
                      <w:szCs w:val="21"/>
                      <w:lang w:bidi="ar"/>
                    </w:rPr>
                    <w:t>500</w:t>
                  </w:r>
                </w:p>
              </w:tc>
              <w:tc>
                <w:tcPr>
                  <w:tcW w:w="491" w:type="pct"/>
                  <w:tcBorders>
                    <w:tl2br w:val="nil"/>
                    <w:tr2bl w:val="nil"/>
                  </w:tcBorders>
                  <w:shd w:val="clear" w:color="auto" w:fill="auto"/>
                  <w:vAlign w:val="center"/>
                </w:tcPr>
                <w:p w14:paraId="33F8BC29">
                  <w:pPr>
                    <w:adjustRightInd w:val="0"/>
                    <w:snapToGrid w:val="0"/>
                    <w:jc w:val="center"/>
                    <w:rPr>
                      <w:rFonts w:eastAsiaTheme="minorEastAsia"/>
                      <w:color w:val="auto"/>
                      <w:szCs w:val="21"/>
                      <w:lang w:bidi="ar"/>
                    </w:rPr>
                  </w:pPr>
                  <w:r>
                    <w:rPr>
                      <w:rFonts w:eastAsiaTheme="minorEastAsia"/>
                      <w:color w:val="auto"/>
                      <w:szCs w:val="21"/>
                      <w:lang w:bidi="ar"/>
                    </w:rPr>
                    <w:t>300</w:t>
                  </w:r>
                </w:p>
              </w:tc>
              <w:tc>
                <w:tcPr>
                  <w:tcW w:w="373" w:type="pct"/>
                  <w:tcBorders>
                    <w:tl2br w:val="nil"/>
                    <w:tr2bl w:val="nil"/>
                  </w:tcBorders>
                  <w:shd w:val="clear" w:color="auto" w:fill="auto"/>
                  <w:vAlign w:val="center"/>
                </w:tcPr>
                <w:p w14:paraId="1D86468B">
                  <w:pPr>
                    <w:adjustRightInd w:val="0"/>
                    <w:snapToGrid w:val="0"/>
                    <w:jc w:val="center"/>
                    <w:rPr>
                      <w:rFonts w:eastAsiaTheme="minorEastAsia"/>
                      <w:color w:val="auto"/>
                      <w:szCs w:val="21"/>
                      <w:lang w:bidi="ar"/>
                    </w:rPr>
                  </w:pPr>
                  <w:r>
                    <w:rPr>
                      <w:rFonts w:eastAsiaTheme="minorEastAsia"/>
                      <w:color w:val="auto"/>
                      <w:szCs w:val="21"/>
                      <w:lang w:bidi="ar"/>
                    </w:rPr>
                    <w:t>400</w:t>
                  </w:r>
                </w:p>
              </w:tc>
              <w:tc>
                <w:tcPr>
                  <w:tcW w:w="473" w:type="pct"/>
                  <w:tcBorders>
                    <w:tl2br w:val="nil"/>
                    <w:tr2bl w:val="nil"/>
                  </w:tcBorders>
                  <w:shd w:val="clear" w:color="auto" w:fill="auto"/>
                  <w:vAlign w:val="center"/>
                </w:tcPr>
                <w:p w14:paraId="4A1B1423">
                  <w:pPr>
                    <w:adjustRightInd w:val="0"/>
                    <w:snapToGrid w:val="0"/>
                    <w:jc w:val="center"/>
                    <w:rPr>
                      <w:rFonts w:eastAsiaTheme="minorEastAsia"/>
                      <w:color w:val="auto"/>
                      <w:szCs w:val="21"/>
                      <w:lang w:bidi="ar"/>
                    </w:rPr>
                  </w:pPr>
                  <w:r>
                    <w:rPr>
                      <w:rFonts w:eastAsiaTheme="minorEastAsia"/>
                      <w:color w:val="auto"/>
                      <w:szCs w:val="21"/>
                      <w:lang w:bidi="ar"/>
                    </w:rPr>
                    <w:t>/</w:t>
                  </w:r>
                </w:p>
              </w:tc>
              <w:tc>
                <w:tcPr>
                  <w:tcW w:w="420" w:type="pct"/>
                  <w:tcBorders>
                    <w:tl2br w:val="nil"/>
                    <w:tr2bl w:val="nil"/>
                  </w:tcBorders>
                  <w:shd w:val="clear" w:color="auto" w:fill="auto"/>
                  <w:vAlign w:val="center"/>
                </w:tcPr>
                <w:p w14:paraId="31DA41BC">
                  <w:pPr>
                    <w:adjustRightInd w:val="0"/>
                    <w:snapToGrid w:val="0"/>
                    <w:jc w:val="center"/>
                    <w:rPr>
                      <w:rFonts w:eastAsiaTheme="minorEastAsia"/>
                      <w:color w:val="auto"/>
                      <w:szCs w:val="21"/>
                      <w:lang w:bidi="ar"/>
                    </w:rPr>
                  </w:pPr>
                  <w:r>
                    <w:rPr>
                      <w:rFonts w:eastAsiaTheme="minorEastAsia"/>
                      <w:color w:val="auto"/>
                      <w:szCs w:val="21"/>
                      <w:lang w:bidi="ar"/>
                    </w:rPr>
                    <w:t>/</w:t>
                  </w:r>
                </w:p>
              </w:tc>
              <w:tc>
                <w:tcPr>
                  <w:tcW w:w="399" w:type="pct"/>
                  <w:tcBorders>
                    <w:tl2br w:val="nil"/>
                    <w:tr2bl w:val="nil"/>
                  </w:tcBorders>
                  <w:shd w:val="clear" w:color="auto" w:fill="auto"/>
                  <w:vAlign w:val="center"/>
                </w:tcPr>
                <w:p w14:paraId="2F934E95">
                  <w:pPr>
                    <w:adjustRightInd w:val="0"/>
                    <w:snapToGrid w:val="0"/>
                    <w:jc w:val="center"/>
                    <w:rPr>
                      <w:rFonts w:eastAsiaTheme="minorEastAsia"/>
                      <w:color w:val="auto"/>
                      <w:szCs w:val="21"/>
                      <w:lang w:bidi="ar"/>
                    </w:rPr>
                  </w:pPr>
                  <w:r>
                    <w:rPr>
                      <w:rFonts w:eastAsiaTheme="minorEastAsia"/>
                      <w:color w:val="auto"/>
                      <w:szCs w:val="21"/>
                      <w:lang w:bidi="ar"/>
                    </w:rPr>
                    <w:t>/</w:t>
                  </w:r>
                </w:p>
              </w:tc>
            </w:tr>
            <w:tr w14:paraId="23C29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473" w:type="pct"/>
                  <w:tcBorders>
                    <w:tl2br w:val="nil"/>
                    <w:tr2bl w:val="nil"/>
                  </w:tcBorders>
                  <w:shd w:val="clear" w:color="auto" w:fill="auto"/>
                  <w:vAlign w:val="center"/>
                </w:tcPr>
                <w:p w14:paraId="6EDEDF79">
                  <w:pPr>
                    <w:jc w:val="center"/>
                    <w:rPr>
                      <w:rFonts w:eastAsiaTheme="minorEastAsia"/>
                      <w:color w:val="auto"/>
                      <w:kern w:val="24"/>
                      <w:szCs w:val="21"/>
                    </w:rPr>
                  </w:pPr>
                  <w:r>
                    <w:rPr>
                      <w:rFonts w:eastAsiaTheme="minorEastAsia"/>
                      <w:color w:val="auto"/>
                      <w:kern w:val="24"/>
                      <w:szCs w:val="21"/>
                    </w:rPr>
                    <w:t>《污水排入城镇下水道水质标准》（GB/T31962-2015）</w:t>
                  </w:r>
                </w:p>
              </w:tc>
              <w:tc>
                <w:tcPr>
                  <w:tcW w:w="467" w:type="pct"/>
                  <w:tcBorders>
                    <w:tl2br w:val="nil"/>
                    <w:tr2bl w:val="nil"/>
                  </w:tcBorders>
                  <w:shd w:val="clear" w:color="auto" w:fill="auto"/>
                  <w:vAlign w:val="center"/>
                </w:tcPr>
                <w:p w14:paraId="3C12750E">
                  <w:pPr>
                    <w:adjustRightInd w:val="0"/>
                    <w:snapToGrid w:val="0"/>
                    <w:jc w:val="center"/>
                    <w:rPr>
                      <w:rFonts w:eastAsiaTheme="minorEastAsia"/>
                      <w:color w:val="auto"/>
                      <w:szCs w:val="21"/>
                      <w:lang w:bidi="ar"/>
                    </w:rPr>
                  </w:pPr>
                  <w:r>
                    <w:rPr>
                      <w:rFonts w:eastAsiaTheme="minorEastAsia"/>
                      <w:color w:val="auto"/>
                      <w:szCs w:val="21"/>
                      <w:lang w:bidi="ar"/>
                    </w:rPr>
                    <w:t>mg/L</w:t>
                  </w:r>
                </w:p>
              </w:tc>
              <w:tc>
                <w:tcPr>
                  <w:tcW w:w="397" w:type="pct"/>
                  <w:tcBorders>
                    <w:tl2br w:val="nil"/>
                    <w:tr2bl w:val="nil"/>
                  </w:tcBorders>
                  <w:shd w:val="clear" w:color="auto" w:fill="auto"/>
                  <w:vAlign w:val="center"/>
                </w:tcPr>
                <w:p w14:paraId="1C8B7393">
                  <w:pPr>
                    <w:adjustRightInd w:val="0"/>
                    <w:snapToGrid w:val="0"/>
                    <w:jc w:val="center"/>
                    <w:rPr>
                      <w:rFonts w:eastAsiaTheme="minorEastAsia"/>
                      <w:color w:val="auto"/>
                      <w:szCs w:val="21"/>
                      <w:lang w:bidi="ar"/>
                    </w:rPr>
                  </w:pPr>
                  <w:r>
                    <w:rPr>
                      <w:rFonts w:eastAsiaTheme="minorEastAsia"/>
                      <w:color w:val="auto"/>
                      <w:szCs w:val="21"/>
                      <w:lang w:bidi="ar"/>
                    </w:rPr>
                    <w:t>/</w:t>
                  </w:r>
                </w:p>
              </w:tc>
              <w:tc>
                <w:tcPr>
                  <w:tcW w:w="506" w:type="pct"/>
                  <w:tcBorders>
                    <w:tl2br w:val="nil"/>
                    <w:tr2bl w:val="nil"/>
                  </w:tcBorders>
                  <w:shd w:val="clear" w:color="auto" w:fill="auto"/>
                  <w:vAlign w:val="center"/>
                </w:tcPr>
                <w:p w14:paraId="1E3ECE5E">
                  <w:pPr>
                    <w:adjustRightInd w:val="0"/>
                    <w:snapToGrid w:val="0"/>
                    <w:jc w:val="center"/>
                    <w:rPr>
                      <w:rFonts w:eastAsiaTheme="minorEastAsia"/>
                      <w:color w:val="auto"/>
                      <w:szCs w:val="21"/>
                      <w:lang w:bidi="ar"/>
                    </w:rPr>
                  </w:pPr>
                  <w:r>
                    <w:rPr>
                      <w:rFonts w:eastAsiaTheme="minorEastAsia"/>
                      <w:color w:val="auto"/>
                      <w:szCs w:val="21"/>
                      <w:lang w:bidi="ar"/>
                    </w:rPr>
                    <w:t>/</w:t>
                  </w:r>
                </w:p>
              </w:tc>
              <w:tc>
                <w:tcPr>
                  <w:tcW w:w="491" w:type="pct"/>
                  <w:tcBorders>
                    <w:tl2br w:val="nil"/>
                    <w:tr2bl w:val="nil"/>
                  </w:tcBorders>
                  <w:shd w:val="clear" w:color="auto" w:fill="auto"/>
                  <w:vAlign w:val="center"/>
                </w:tcPr>
                <w:p w14:paraId="4DF9D006">
                  <w:pPr>
                    <w:adjustRightInd w:val="0"/>
                    <w:snapToGrid w:val="0"/>
                    <w:jc w:val="center"/>
                    <w:rPr>
                      <w:rFonts w:eastAsiaTheme="minorEastAsia"/>
                      <w:color w:val="auto"/>
                      <w:szCs w:val="21"/>
                      <w:lang w:bidi="ar"/>
                    </w:rPr>
                  </w:pPr>
                  <w:r>
                    <w:rPr>
                      <w:rFonts w:eastAsiaTheme="minorEastAsia"/>
                      <w:color w:val="auto"/>
                      <w:szCs w:val="21"/>
                      <w:lang w:bidi="ar"/>
                    </w:rPr>
                    <w:t>/</w:t>
                  </w:r>
                </w:p>
              </w:tc>
              <w:tc>
                <w:tcPr>
                  <w:tcW w:w="373" w:type="pct"/>
                  <w:tcBorders>
                    <w:tl2br w:val="nil"/>
                    <w:tr2bl w:val="nil"/>
                  </w:tcBorders>
                  <w:shd w:val="clear" w:color="auto" w:fill="auto"/>
                  <w:vAlign w:val="center"/>
                </w:tcPr>
                <w:p w14:paraId="55B89CD4">
                  <w:pPr>
                    <w:adjustRightInd w:val="0"/>
                    <w:snapToGrid w:val="0"/>
                    <w:jc w:val="center"/>
                    <w:rPr>
                      <w:rFonts w:eastAsiaTheme="minorEastAsia"/>
                      <w:color w:val="auto"/>
                      <w:szCs w:val="21"/>
                      <w:lang w:bidi="ar"/>
                    </w:rPr>
                  </w:pPr>
                  <w:r>
                    <w:rPr>
                      <w:rFonts w:eastAsiaTheme="minorEastAsia"/>
                      <w:color w:val="auto"/>
                      <w:szCs w:val="21"/>
                      <w:lang w:bidi="ar"/>
                    </w:rPr>
                    <w:t>/</w:t>
                  </w:r>
                </w:p>
              </w:tc>
              <w:tc>
                <w:tcPr>
                  <w:tcW w:w="473" w:type="pct"/>
                  <w:tcBorders>
                    <w:tl2br w:val="nil"/>
                    <w:tr2bl w:val="nil"/>
                  </w:tcBorders>
                  <w:shd w:val="clear" w:color="auto" w:fill="auto"/>
                  <w:vAlign w:val="center"/>
                </w:tcPr>
                <w:p w14:paraId="456370D0">
                  <w:pPr>
                    <w:adjustRightInd w:val="0"/>
                    <w:snapToGrid w:val="0"/>
                    <w:jc w:val="center"/>
                    <w:rPr>
                      <w:rFonts w:eastAsiaTheme="minorEastAsia"/>
                      <w:color w:val="auto"/>
                      <w:szCs w:val="21"/>
                      <w:lang w:bidi="ar"/>
                    </w:rPr>
                  </w:pPr>
                  <w:r>
                    <w:rPr>
                      <w:rFonts w:eastAsiaTheme="minorEastAsia"/>
                      <w:color w:val="auto"/>
                      <w:szCs w:val="21"/>
                      <w:lang w:bidi="ar"/>
                    </w:rPr>
                    <w:t>45</w:t>
                  </w:r>
                </w:p>
              </w:tc>
              <w:tc>
                <w:tcPr>
                  <w:tcW w:w="420" w:type="pct"/>
                  <w:tcBorders>
                    <w:tl2br w:val="nil"/>
                    <w:tr2bl w:val="nil"/>
                  </w:tcBorders>
                  <w:shd w:val="clear" w:color="auto" w:fill="auto"/>
                  <w:vAlign w:val="center"/>
                </w:tcPr>
                <w:p w14:paraId="2369786B">
                  <w:pPr>
                    <w:adjustRightInd w:val="0"/>
                    <w:snapToGrid w:val="0"/>
                    <w:jc w:val="center"/>
                    <w:rPr>
                      <w:rFonts w:eastAsiaTheme="minorEastAsia"/>
                      <w:color w:val="auto"/>
                      <w:szCs w:val="21"/>
                      <w:lang w:bidi="ar"/>
                    </w:rPr>
                  </w:pPr>
                  <w:r>
                    <w:rPr>
                      <w:rFonts w:eastAsiaTheme="minorEastAsia"/>
                      <w:color w:val="auto"/>
                      <w:szCs w:val="21"/>
                      <w:lang w:bidi="ar"/>
                    </w:rPr>
                    <w:t>70</w:t>
                  </w:r>
                </w:p>
              </w:tc>
              <w:tc>
                <w:tcPr>
                  <w:tcW w:w="399" w:type="pct"/>
                  <w:tcBorders>
                    <w:tl2br w:val="nil"/>
                    <w:tr2bl w:val="nil"/>
                  </w:tcBorders>
                  <w:shd w:val="clear" w:color="auto" w:fill="auto"/>
                  <w:vAlign w:val="center"/>
                </w:tcPr>
                <w:p w14:paraId="4A6C35EA">
                  <w:pPr>
                    <w:adjustRightInd w:val="0"/>
                    <w:snapToGrid w:val="0"/>
                    <w:jc w:val="center"/>
                    <w:rPr>
                      <w:rFonts w:eastAsiaTheme="minorEastAsia"/>
                      <w:color w:val="auto"/>
                      <w:szCs w:val="21"/>
                      <w:lang w:bidi="ar"/>
                    </w:rPr>
                  </w:pPr>
                  <w:r>
                    <w:rPr>
                      <w:rFonts w:eastAsiaTheme="minorEastAsia"/>
                      <w:color w:val="auto"/>
                      <w:szCs w:val="21"/>
                      <w:lang w:bidi="ar"/>
                    </w:rPr>
                    <w:t>8</w:t>
                  </w:r>
                </w:p>
              </w:tc>
            </w:tr>
          </w:tbl>
          <w:p w14:paraId="0F8D2C0F">
            <w:pPr>
              <w:keepNext w:val="0"/>
              <w:keepLines w:val="0"/>
              <w:pageBreakBefore w:val="0"/>
              <w:widowControl w:val="0"/>
              <w:kinsoku/>
              <w:wordWrap/>
              <w:overflowPunct/>
              <w:topLinePunct w:val="0"/>
              <w:autoSpaceDE/>
              <w:autoSpaceDN/>
              <w:bidi w:val="0"/>
              <w:adjustRightInd/>
              <w:snapToGrid/>
              <w:spacing w:line="360" w:lineRule="auto"/>
              <w:textAlignment w:val="auto"/>
              <w:rPr>
                <w:rFonts w:eastAsiaTheme="minorEastAsia"/>
                <w:b/>
                <w:bCs/>
                <w:color w:val="auto"/>
                <w:sz w:val="24"/>
              </w:rPr>
            </w:pPr>
            <w:r>
              <w:rPr>
                <w:rFonts w:hint="eastAsia" w:eastAsiaTheme="minorEastAsia"/>
                <w:b/>
                <w:bCs/>
                <w:color w:val="auto"/>
                <w:sz w:val="24"/>
                <w:lang w:val="en-US" w:eastAsia="zh-CN"/>
              </w:rPr>
              <w:t>3.</w:t>
            </w:r>
            <w:r>
              <w:rPr>
                <w:rFonts w:eastAsiaTheme="minorEastAsia"/>
                <w:b/>
                <w:bCs/>
                <w:color w:val="auto"/>
                <w:sz w:val="24"/>
              </w:rPr>
              <w:t>噪声排放标准</w:t>
            </w:r>
          </w:p>
          <w:p w14:paraId="540D9B45">
            <w:pPr>
              <w:adjustRightInd w:val="0"/>
              <w:snapToGrid w:val="0"/>
              <w:spacing w:line="360" w:lineRule="auto"/>
              <w:ind w:firstLine="480" w:firstLineChars="200"/>
              <w:rPr>
                <w:rFonts w:eastAsiaTheme="minorEastAsia"/>
                <w:color w:val="auto"/>
                <w:kern w:val="0"/>
                <w:sz w:val="24"/>
              </w:rPr>
            </w:pPr>
            <w:r>
              <w:rPr>
                <w:rFonts w:eastAsiaTheme="minorEastAsia"/>
                <w:color w:val="auto"/>
                <w:kern w:val="0"/>
                <w:sz w:val="24"/>
              </w:rPr>
              <w:t>运营期厂界噪声执行《工业企业厂界环境噪声排放标准》（GB12348-2008）</w:t>
            </w:r>
            <w:r>
              <w:rPr>
                <w:rFonts w:hint="eastAsia" w:eastAsiaTheme="minorEastAsia"/>
                <w:color w:val="auto"/>
                <w:kern w:val="0"/>
                <w:sz w:val="24"/>
              </w:rPr>
              <w:t>3</w:t>
            </w:r>
            <w:r>
              <w:rPr>
                <w:rFonts w:eastAsiaTheme="minorEastAsia"/>
                <w:color w:val="auto"/>
                <w:kern w:val="0"/>
                <w:sz w:val="24"/>
              </w:rPr>
              <w:t>类标准。</w:t>
            </w:r>
          </w:p>
          <w:p w14:paraId="2E5C1E81">
            <w:pPr>
              <w:jc w:val="center"/>
              <w:rPr>
                <w:rFonts w:eastAsiaTheme="minorEastAsia"/>
                <w:b/>
                <w:bCs/>
                <w:color w:val="auto"/>
                <w:szCs w:val="21"/>
              </w:rPr>
            </w:pPr>
            <w:r>
              <w:rPr>
                <w:rFonts w:eastAsiaTheme="minorEastAsia"/>
                <w:b/>
                <w:bCs/>
                <w:color w:val="auto"/>
                <w:szCs w:val="21"/>
              </w:rPr>
              <w:t>表3-</w:t>
            </w:r>
            <w:r>
              <w:rPr>
                <w:rFonts w:hint="eastAsia" w:eastAsiaTheme="minorEastAsia"/>
                <w:b/>
                <w:bCs/>
                <w:color w:val="auto"/>
                <w:szCs w:val="21"/>
                <w:lang w:val="en-US" w:eastAsia="zh-CN"/>
              </w:rPr>
              <w:t>12</w:t>
            </w:r>
            <w:r>
              <w:rPr>
                <w:rFonts w:eastAsiaTheme="minorEastAsia"/>
                <w:b/>
                <w:bCs/>
                <w:color w:val="auto"/>
                <w:szCs w:val="21"/>
              </w:rPr>
              <w:t xml:space="preserve">  厂界环境噪声排放标准  （单位：dB（A））</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26"/>
              <w:gridCol w:w="1415"/>
              <w:gridCol w:w="1900"/>
              <w:gridCol w:w="1500"/>
            </w:tblGrid>
            <w:tr w14:paraId="1E6275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68" w:type="pct"/>
                  <w:vMerge w:val="restart"/>
                  <w:tcBorders>
                    <w:tl2br w:val="nil"/>
                    <w:tr2bl w:val="nil"/>
                  </w:tcBorders>
                  <w:vAlign w:val="center"/>
                </w:tcPr>
                <w:p w14:paraId="2A61BC1F">
                  <w:pPr>
                    <w:spacing w:line="320" w:lineRule="atLeast"/>
                    <w:jc w:val="center"/>
                    <w:rPr>
                      <w:rFonts w:eastAsiaTheme="minorEastAsia"/>
                      <w:b/>
                      <w:bCs/>
                      <w:color w:val="auto"/>
                      <w:szCs w:val="21"/>
                    </w:rPr>
                  </w:pPr>
                  <w:r>
                    <w:rPr>
                      <w:rFonts w:eastAsiaTheme="minorEastAsia"/>
                      <w:b/>
                      <w:bCs/>
                      <w:color w:val="auto"/>
                      <w:szCs w:val="21"/>
                    </w:rPr>
                    <w:t>执行标准</w:t>
                  </w:r>
                </w:p>
              </w:tc>
              <w:tc>
                <w:tcPr>
                  <w:tcW w:w="890" w:type="pct"/>
                  <w:vMerge w:val="restart"/>
                  <w:tcBorders>
                    <w:tl2br w:val="nil"/>
                    <w:tr2bl w:val="nil"/>
                  </w:tcBorders>
                  <w:vAlign w:val="center"/>
                </w:tcPr>
                <w:p w14:paraId="34914FE9">
                  <w:pPr>
                    <w:spacing w:line="320" w:lineRule="atLeast"/>
                    <w:jc w:val="center"/>
                    <w:rPr>
                      <w:rFonts w:eastAsiaTheme="minorEastAsia"/>
                      <w:b/>
                      <w:bCs/>
                      <w:color w:val="auto"/>
                      <w:szCs w:val="21"/>
                    </w:rPr>
                  </w:pPr>
                  <w:r>
                    <w:rPr>
                      <w:rFonts w:eastAsiaTheme="minorEastAsia"/>
                      <w:b/>
                      <w:bCs/>
                      <w:color w:val="auto"/>
                      <w:szCs w:val="21"/>
                    </w:rPr>
                    <w:t>级别</w:t>
                  </w:r>
                </w:p>
              </w:tc>
              <w:tc>
                <w:tcPr>
                  <w:tcW w:w="2140" w:type="pct"/>
                  <w:gridSpan w:val="2"/>
                  <w:tcBorders>
                    <w:tl2br w:val="nil"/>
                    <w:tr2bl w:val="nil"/>
                  </w:tcBorders>
                  <w:vAlign w:val="center"/>
                </w:tcPr>
                <w:p w14:paraId="706C8B9F">
                  <w:pPr>
                    <w:spacing w:line="320" w:lineRule="atLeast"/>
                    <w:jc w:val="center"/>
                    <w:rPr>
                      <w:rFonts w:eastAsiaTheme="minorEastAsia"/>
                      <w:b/>
                      <w:bCs/>
                      <w:color w:val="auto"/>
                      <w:szCs w:val="21"/>
                    </w:rPr>
                  </w:pPr>
                  <w:r>
                    <w:rPr>
                      <w:rFonts w:eastAsiaTheme="minorEastAsia"/>
                      <w:b/>
                      <w:bCs/>
                      <w:color w:val="auto"/>
                      <w:szCs w:val="21"/>
                    </w:rPr>
                    <w:t>标准限值</w:t>
                  </w:r>
                </w:p>
              </w:tc>
            </w:tr>
            <w:tr w14:paraId="21E60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968" w:type="pct"/>
                  <w:vMerge w:val="continue"/>
                  <w:tcBorders>
                    <w:tl2br w:val="nil"/>
                    <w:tr2bl w:val="nil"/>
                  </w:tcBorders>
                  <w:vAlign w:val="center"/>
                </w:tcPr>
                <w:p w14:paraId="75F6AD7A">
                  <w:pPr>
                    <w:spacing w:line="320" w:lineRule="atLeast"/>
                    <w:jc w:val="center"/>
                    <w:rPr>
                      <w:rFonts w:eastAsiaTheme="minorEastAsia"/>
                      <w:b/>
                      <w:bCs/>
                      <w:color w:val="auto"/>
                      <w:szCs w:val="21"/>
                    </w:rPr>
                  </w:pPr>
                </w:p>
              </w:tc>
              <w:tc>
                <w:tcPr>
                  <w:tcW w:w="890" w:type="pct"/>
                  <w:vMerge w:val="continue"/>
                  <w:tcBorders>
                    <w:tl2br w:val="nil"/>
                    <w:tr2bl w:val="nil"/>
                  </w:tcBorders>
                  <w:vAlign w:val="center"/>
                </w:tcPr>
                <w:p w14:paraId="53CA3146">
                  <w:pPr>
                    <w:spacing w:line="320" w:lineRule="atLeast"/>
                    <w:jc w:val="center"/>
                    <w:rPr>
                      <w:rFonts w:eastAsiaTheme="minorEastAsia"/>
                      <w:b/>
                      <w:bCs/>
                      <w:color w:val="auto"/>
                      <w:szCs w:val="21"/>
                    </w:rPr>
                  </w:pPr>
                </w:p>
              </w:tc>
              <w:tc>
                <w:tcPr>
                  <w:tcW w:w="1196" w:type="pct"/>
                  <w:tcBorders>
                    <w:tl2br w:val="nil"/>
                    <w:tr2bl w:val="nil"/>
                  </w:tcBorders>
                  <w:vAlign w:val="center"/>
                </w:tcPr>
                <w:p w14:paraId="340A27FE">
                  <w:pPr>
                    <w:spacing w:line="320" w:lineRule="atLeast"/>
                    <w:jc w:val="center"/>
                    <w:rPr>
                      <w:rFonts w:eastAsiaTheme="minorEastAsia"/>
                      <w:b/>
                      <w:bCs/>
                      <w:color w:val="auto"/>
                      <w:szCs w:val="21"/>
                    </w:rPr>
                  </w:pPr>
                  <w:r>
                    <w:rPr>
                      <w:rFonts w:eastAsiaTheme="minorEastAsia"/>
                      <w:b/>
                      <w:bCs/>
                      <w:color w:val="auto"/>
                      <w:szCs w:val="21"/>
                    </w:rPr>
                    <w:t>昼间</w:t>
                  </w:r>
                </w:p>
              </w:tc>
              <w:tc>
                <w:tcPr>
                  <w:tcW w:w="944" w:type="pct"/>
                  <w:tcBorders>
                    <w:tl2br w:val="nil"/>
                    <w:tr2bl w:val="nil"/>
                  </w:tcBorders>
                  <w:vAlign w:val="center"/>
                </w:tcPr>
                <w:p w14:paraId="1E93483E">
                  <w:pPr>
                    <w:spacing w:line="320" w:lineRule="atLeast"/>
                    <w:jc w:val="center"/>
                    <w:rPr>
                      <w:rFonts w:eastAsiaTheme="minorEastAsia"/>
                      <w:b/>
                      <w:bCs/>
                      <w:color w:val="auto"/>
                      <w:szCs w:val="21"/>
                    </w:rPr>
                  </w:pPr>
                  <w:r>
                    <w:rPr>
                      <w:rFonts w:eastAsiaTheme="minorEastAsia"/>
                      <w:b/>
                      <w:bCs/>
                      <w:color w:val="auto"/>
                      <w:szCs w:val="21"/>
                    </w:rPr>
                    <w:t>夜间</w:t>
                  </w:r>
                </w:p>
              </w:tc>
            </w:tr>
            <w:tr w14:paraId="01FBB7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1968" w:type="pct"/>
                  <w:tcBorders>
                    <w:tl2br w:val="nil"/>
                    <w:tr2bl w:val="nil"/>
                  </w:tcBorders>
                  <w:vAlign w:val="center"/>
                </w:tcPr>
                <w:p w14:paraId="04F8DC44">
                  <w:pPr>
                    <w:adjustRightInd w:val="0"/>
                    <w:snapToGrid w:val="0"/>
                    <w:jc w:val="center"/>
                    <w:rPr>
                      <w:rFonts w:eastAsiaTheme="minorEastAsia"/>
                      <w:color w:val="auto"/>
                      <w:szCs w:val="21"/>
                    </w:rPr>
                  </w:pPr>
                  <w:r>
                    <w:rPr>
                      <w:rFonts w:eastAsiaTheme="minorEastAsia"/>
                      <w:color w:val="auto"/>
                      <w:szCs w:val="21"/>
                    </w:rPr>
                    <w:t>《工业企业厂界环境噪声排放标准》（GB12348-2008）</w:t>
                  </w:r>
                </w:p>
              </w:tc>
              <w:tc>
                <w:tcPr>
                  <w:tcW w:w="890" w:type="pct"/>
                  <w:tcBorders>
                    <w:tl2br w:val="nil"/>
                    <w:tr2bl w:val="nil"/>
                  </w:tcBorders>
                  <w:vAlign w:val="center"/>
                </w:tcPr>
                <w:p w14:paraId="0E03A544">
                  <w:pPr>
                    <w:spacing w:line="320" w:lineRule="atLeast"/>
                    <w:jc w:val="center"/>
                    <w:rPr>
                      <w:rFonts w:eastAsiaTheme="minorEastAsia"/>
                      <w:color w:val="auto"/>
                      <w:szCs w:val="21"/>
                    </w:rPr>
                  </w:pPr>
                  <w:r>
                    <w:rPr>
                      <w:rFonts w:hint="eastAsia" w:eastAsiaTheme="minorEastAsia"/>
                      <w:color w:val="auto"/>
                      <w:szCs w:val="21"/>
                    </w:rPr>
                    <w:t>3</w:t>
                  </w:r>
                  <w:r>
                    <w:rPr>
                      <w:rFonts w:eastAsiaTheme="minorEastAsia"/>
                      <w:color w:val="auto"/>
                      <w:szCs w:val="21"/>
                    </w:rPr>
                    <w:t>类</w:t>
                  </w:r>
                </w:p>
              </w:tc>
              <w:tc>
                <w:tcPr>
                  <w:tcW w:w="1196" w:type="pct"/>
                  <w:tcBorders>
                    <w:tl2br w:val="nil"/>
                    <w:tr2bl w:val="nil"/>
                  </w:tcBorders>
                  <w:vAlign w:val="center"/>
                </w:tcPr>
                <w:p w14:paraId="6CCC1E61">
                  <w:pPr>
                    <w:spacing w:line="320" w:lineRule="atLeast"/>
                    <w:jc w:val="center"/>
                    <w:rPr>
                      <w:rFonts w:eastAsiaTheme="minorEastAsia"/>
                      <w:color w:val="auto"/>
                      <w:szCs w:val="21"/>
                    </w:rPr>
                  </w:pPr>
                  <w:r>
                    <w:rPr>
                      <w:rFonts w:eastAsiaTheme="minorEastAsia"/>
                      <w:color w:val="auto"/>
                      <w:szCs w:val="21"/>
                    </w:rPr>
                    <w:t>6</w:t>
                  </w:r>
                  <w:r>
                    <w:rPr>
                      <w:rFonts w:hint="eastAsia" w:eastAsiaTheme="minorEastAsia"/>
                      <w:color w:val="auto"/>
                      <w:szCs w:val="21"/>
                    </w:rPr>
                    <w:t>5</w:t>
                  </w:r>
                </w:p>
              </w:tc>
              <w:tc>
                <w:tcPr>
                  <w:tcW w:w="944" w:type="pct"/>
                  <w:tcBorders>
                    <w:tl2br w:val="nil"/>
                    <w:tr2bl w:val="nil"/>
                  </w:tcBorders>
                  <w:vAlign w:val="center"/>
                </w:tcPr>
                <w:p w14:paraId="39092D22">
                  <w:pPr>
                    <w:spacing w:line="320" w:lineRule="atLeast"/>
                    <w:jc w:val="center"/>
                    <w:rPr>
                      <w:rFonts w:eastAsiaTheme="minorEastAsia"/>
                      <w:color w:val="auto"/>
                      <w:szCs w:val="21"/>
                    </w:rPr>
                  </w:pPr>
                  <w:r>
                    <w:rPr>
                      <w:rFonts w:eastAsiaTheme="minorEastAsia"/>
                      <w:color w:val="auto"/>
                      <w:szCs w:val="21"/>
                    </w:rPr>
                    <w:t>5</w:t>
                  </w:r>
                  <w:r>
                    <w:rPr>
                      <w:rFonts w:hint="eastAsia" w:eastAsiaTheme="minorEastAsia"/>
                      <w:color w:val="auto"/>
                      <w:szCs w:val="21"/>
                    </w:rPr>
                    <w:t>5</w:t>
                  </w:r>
                </w:p>
              </w:tc>
            </w:tr>
          </w:tbl>
          <w:p w14:paraId="7A7F3D58">
            <w:pPr>
              <w:spacing w:line="360" w:lineRule="auto"/>
              <w:rPr>
                <w:rFonts w:eastAsiaTheme="minorEastAsia"/>
                <w:b/>
                <w:bCs/>
                <w:color w:val="auto"/>
                <w:sz w:val="24"/>
              </w:rPr>
            </w:pPr>
            <w:r>
              <w:rPr>
                <w:rFonts w:hint="eastAsia" w:eastAsiaTheme="minorEastAsia"/>
                <w:b/>
                <w:bCs/>
                <w:color w:val="auto"/>
                <w:sz w:val="24"/>
                <w:lang w:val="en-US" w:eastAsia="zh-CN"/>
              </w:rPr>
              <w:t>4.</w:t>
            </w:r>
            <w:r>
              <w:rPr>
                <w:rFonts w:eastAsiaTheme="minorEastAsia"/>
                <w:b/>
                <w:bCs/>
                <w:color w:val="auto"/>
                <w:sz w:val="24"/>
              </w:rPr>
              <w:t>固体废物</w:t>
            </w:r>
          </w:p>
          <w:p w14:paraId="66DF18F8">
            <w:pPr>
              <w:spacing w:line="360" w:lineRule="auto"/>
              <w:ind w:firstLine="480" w:firstLineChars="200"/>
              <w:rPr>
                <w:rFonts w:eastAsiaTheme="minorEastAsia"/>
                <w:color w:val="auto"/>
                <w:sz w:val="24"/>
              </w:rPr>
            </w:pPr>
            <w:r>
              <w:rPr>
                <w:rFonts w:hint="default" w:ascii="Times New Roman" w:hAnsi="Times New Roman" w:eastAsia="宋体" w:cs="Times New Roman"/>
                <w:color w:val="auto"/>
                <w:sz w:val="24"/>
                <w:highlight w:val="none"/>
              </w:rPr>
              <w:t>本项目固体废物的处理、处置均应满足《中华人民共和国固体废物污染环境防治法》中的有关规定要求。采用库房、包装工具（罐、桶、包装袋等</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贮存一般工业固体废物过程的污染控制，其贮存过程应满足相应防渗漏、防雨淋、防扬尘等环境保护要求；危险废物执行《危险废物贮存污染控制标准》</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GB18597-20</w:t>
            </w:r>
            <w:r>
              <w:rPr>
                <w:rFonts w:hint="eastAsia" w:ascii="Times New Roman" w:hAnsi="Times New Roman" w:eastAsia="宋体" w:cs="Times New Roman"/>
                <w:color w:val="auto"/>
                <w:sz w:val="24"/>
                <w:highlight w:val="none"/>
                <w:lang w:val="en-US" w:eastAsia="zh-CN"/>
              </w:rPr>
              <w:t>23</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p>
        </w:tc>
      </w:tr>
      <w:tr w14:paraId="5561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Borders>
              <w:tl2br w:val="nil"/>
              <w:tr2bl w:val="nil"/>
            </w:tcBorders>
            <w:noWrap/>
            <w:vAlign w:val="center"/>
          </w:tcPr>
          <w:p w14:paraId="293C379A">
            <w:pPr>
              <w:adjustRightInd w:val="0"/>
              <w:snapToGrid w:val="0"/>
              <w:jc w:val="center"/>
              <w:rPr>
                <w:rFonts w:eastAsiaTheme="minorEastAsia"/>
                <w:color w:val="auto"/>
                <w:kern w:val="0"/>
                <w:sz w:val="24"/>
              </w:rPr>
            </w:pPr>
            <w:r>
              <w:rPr>
                <w:rFonts w:eastAsiaTheme="minorEastAsia"/>
                <w:color w:val="auto"/>
                <w:kern w:val="0"/>
                <w:sz w:val="24"/>
              </w:rPr>
              <w:t>总量</w:t>
            </w:r>
          </w:p>
          <w:p w14:paraId="08A1ED06">
            <w:pPr>
              <w:adjustRightInd w:val="0"/>
              <w:snapToGrid w:val="0"/>
              <w:jc w:val="center"/>
              <w:rPr>
                <w:rFonts w:eastAsiaTheme="minorEastAsia"/>
                <w:color w:val="auto"/>
                <w:kern w:val="0"/>
                <w:sz w:val="24"/>
              </w:rPr>
            </w:pPr>
            <w:r>
              <w:rPr>
                <w:rFonts w:eastAsiaTheme="minorEastAsia"/>
                <w:color w:val="auto"/>
                <w:kern w:val="0"/>
                <w:sz w:val="24"/>
              </w:rPr>
              <w:t>控制</w:t>
            </w:r>
          </w:p>
          <w:p w14:paraId="6AA7139D">
            <w:pPr>
              <w:adjustRightInd w:val="0"/>
              <w:snapToGrid w:val="0"/>
              <w:jc w:val="center"/>
              <w:rPr>
                <w:rFonts w:eastAsiaTheme="minorEastAsia"/>
                <w:color w:val="auto"/>
                <w:kern w:val="0"/>
                <w:szCs w:val="21"/>
              </w:rPr>
            </w:pPr>
            <w:r>
              <w:rPr>
                <w:rFonts w:eastAsiaTheme="minorEastAsia"/>
                <w:color w:val="auto"/>
                <w:kern w:val="0"/>
                <w:sz w:val="24"/>
              </w:rPr>
              <w:t>指标</w:t>
            </w:r>
          </w:p>
        </w:tc>
        <w:tc>
          <w:tcPr>
            <w:tcW w:w="8190" w:type="dxa"/>
            <w:tcBorders>
              <w:tl2br w:val="nil"/>
              <w:tr2bl w:val="nil"/>
            </w:tcBorders>
            <w:noWrap/>
            <w:vAlign w:val="center"/>
          </w:tcPr>
          <w:p w14:paraId="25EBCA90">
            <w:pPr>
              <w:adjustRightInd w:val="0"/>
              <w:snapToGrid/>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根据《</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十四五</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主要污染物总量控制规划编制技术指南》及陕西省有关规定，国家</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十四五</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主要污染物总量控制因子为：COD、氨氮、NOx、VOCs。</w:t>
            </w:r>
          </w:p>
          <w:p w14:paraId="54392B4F">
            <w:pPr>
              <w:adjustRightInd w:val="0"/>
              <w:snapToGrid/>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本项目建议总量控制指标为NO</w:t>
            </w:r>
            <w:r>
              <w:rPr>
                <w:rFonts w:hint="default" w:ascii="Times New Roman" w:hAnsi="Times New Roman" w:eastAsia="宋体" w:cs="Times New Roman"/>
                <w:color w:val="auto"/>
                <w:sz w:val="24"/>
                <w:highlight w:val="none"/>
                <w:vertAlign w:val="subscript"/>
                <w:lang w:eastAsia="zh-CN"/>
              </w:rPr>
              <w:t>X</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0.0</w:t>
            </w:r>
            <w:r>
              <w:rPr>
                <w:rFonts w:hint="eastAsia" w:cs="Times New Roman"/>
                <w:color w:val="auto"/>
                <w:sz w:val="24"/>
                <w:highlight w:val="none"/>
                <w:lang w:val="en-US" w:eastAsia="zh-CN"/>
              </w:rPr>
              <w:t>89</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/a</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VOCs：</w:t>
            </w:r>
            <w:r>
              <w:rPr>
                <w:rFonts w:hint="eastAsia" w:ascii="Times New Roman" w:hAnsi="Times New Roman" w:cs="Times New Roman"/>
                <w:color w:val="auto"/>
                <w:sz w:val="24"/>
                <w:highlight w:val="none"/>
                <w:lang w:val="en-US" w:eastAsia="zh-CN"/>
              </w:rPr>
              <w:t>0.25</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/a</w:t>
            </w:r>
            <w:r>
              <w:rPr>
                <w:rFonts w:hint="eastAsia" w:ascii="Times New Roman" w:hAnsi="Times New Roman" w:eastAsia="宋体" w:cs="Times New Roman"/>
                <w:color w:val="auto"/>
                <w:sz w:val="24"/>
                <w:highlight w:val="none"/>
                <w:lang w:eastAsia="zh-CN"/>
              </w:rPr>
              <w:t>。</w:t>
            </w:r>
          </w:p>
          <w:p w14:paraId="5B77B6A7">
            <w:pPr>
              <w:spacing w:line="360" w:lineRule="auto"/>
              <w:ind w:firstLine="480" w:firstLineChars="200"/>
              <w:rPr>
                <w:rFonts w:hint="eastAsia" w:eastAsiaTheme="minorEastAsia"/>
                <w:color w:val="auto"/>
                <w:sz w:val="24"/>
              </w:rPr>
            </w:pPr>
            <w:r>
              <w:rPr>
                <w:rFonts w:hint="eastAsia" w:eastAsiaTheme="minorEastAsia"/>
                <w:color w:val="auto"/>
                <w:sz w:val="24"/>
              </w:rPr>
              <w:t>具体执行标准以环保审批部门下发</w:t>
            </w:r>
            <w:r>
              <w:rPr>
                <w:rFonts w:eastAsiaTheme="minorEastAsia"/>
                <w:color w:val="auto"/>
                <w:sz w:val="24"/>
              </w:rPr>
              <w:t>为准</w:t>
            </w:r>
            <w:r>
              <w:rPr>
                <w:rFonts w:hint="eastAsia" w:eastAsiaTheme="minorEastAsia"/>
                <w:color w:val="auto"/>
                <w:sz w:val="24"/>
              </w:rPr>
              <w:t>。</w:t>
            </w:r>
          </w:p>
          <w:p w14:paraId="4E1CB69B">
            <w:pPr>
              <w:spacing w:line="360" w:lineRule="auto"/>
              <w:ind w:firstLine="480" w:firstLineChars="200"/>
              <w:rPr>
                <w:rFonts w:hint="eastAsia" w:eastAsiaTheme="minorEastAsia"/>
                <w:color w:val="auto"/>
                <w:sz w:val="24"/>
              </w:rPr>
            </w:pPr>
          </w:p>
          <w:p w14:paraId="2AFA5C83">
            <w:pPr>
              <w:spacing w:line="360" w:lineRule="auto"/>
              <w:ind w:firstLine="480" w:firstLineChars="200"/>
              <w:rPr>
                <w:rFonts w:hint="eastAsia" w:eastAsiaTheme="minorEastAsia"/>
                <w:color w:val="auto"/>
                <w:sz w:val="24"/>
              </w:rPr>
            </w:pPr>
          </w:p>
          <w:p w14:paraId="587571FB">
            <w:pPr>
              <w:spacing w:line="360" w:lineRule="auto"/>
              <w:ind w:firstLine="480" w:firstLineChars="200"/>
              <w:rPr>
                <w:rFonts w:hint="eastAsia" w:eastAsiaTheme="minorEastAsia"/>
                <w:color w:val="auto"/>
                <w:sz w:val="24"/>
              </w:rPr>
            </w:pPr>
          </w:p>
          <w:p w14:paraId="794A8D9A">
            <w:pPr>
              <w:spacing w:line="360" w:lineRule="auto"/>
              <w:ind w:firstLine="480" w:firstLineChars="200"/>
              <w:rPr>
                <w:rFonts w:hint="eastAsia" w:eastAsiaTheme="minorEastAsia"/>
                <w:color w:val="auto"/>
                <w:sz w:val="24"/>
              </w:rPr>
            </w:pPr>
          </w:p>
        </w:tc>
      </w:tr>
    </w:tbl>
    <w:p w14:paraId="07B87A4C">
      <w:pPr>
        <w:pStyle w:val="1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cs="Times New Roman" w:eastAsiaTheme="minorEastAsia"/>
          <w:b/>
          <w:bCs/>
          <w:snapToGrid w:val="0"/>
          <w:color w:val="auto"/>
          <w:sz w:val="30"/>
          <w:szCs w:val="30"/>
        </w:rPr>
      </w:pPr>
      <w:bookmarkStart w:id="13" w:name="_Toc27698"/>
      <w:bookmarkStart w:id="14" w:name="_Toc26757"/>
      <w:r>
        <w:rPr>
          <w:rFonts w:ascii="Times New Roman" w:hAnsi="Times New Roman" w:cs="Times New Roman" w:eastAsiaTheme="minorEastAsia"/>
          <w:b/>
          <w:bCs/>
          <w:snapToGrid w:val="0"/>
          <w:color w:val="auto"/>
          <w:sz w:val="30"/>
          <w:szCs w:val="30"/>
        </w:rPr>
        <w:t>四、主要环境影响和保护措施</w:t>
      </w:r>
      <w:bookmarkEnd w:id="13"/>
      <w:bookmarkEnd w:id="14"/>
    </w:p>
    <w:tbl>
      <w:tblPr>
        <w:tblStyle w:val="20"/>
        <w:tblW w:w="890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2C367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46" w:type="dxa"/>
            <w:tcBorders>
              <w:tl2br w:val="nil"/>
              <w:tr2bl w:val="nil"/>
            </w:tcBorders>
            <w:noWrap/>
            <w:tcMar>
              <w:left w:w="28" w:type="dxa"/>
              <w:right w:w="28" w:type="dxa"/>
            </w:tcMar>
            <w:vAlign w:val="center"/>
          </w:tcPr>
          <w:p w14:paraId="1C7E425E">
            <w:pPr>
              <w:pStyle w:val="16"/>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施工</w:t>
            </w:r>
          </w:p>
          <w:p w14:paraId="67F25FD4">
            <w:pPr>
              <w:pStyle w:val="16"/>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期环</w:t>
            </w:r>
          </w:p>
          <w:p w14:paraId="235043FB">
            <w:pPr>
              <w:pStyle w:val="16"/>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境保</w:t>
            </w:r>
          </w:p>
          <w:p w14:paraId="0F3AC1F4">
            <w:pPr>
              <w:pStyle w:val="16"/>
              <w:adjustRightInd w:val="0"/>
              <w:snapToGrid w:val="0"/>
              <w:spacing w:before="0" w:beforeAutospacing="0" w:after="0" w:afterAutospacing="0"/>
              <w:jc w:val="center"/>
              <w:rPr>
                <w:rFonts w:ascii="Times New Roman" w:hAnsi="Times New Roman" w:eastAsiaTheme="minorEastAsia"/>
                <w:color w:val="auto"/>
                <w:kern w:val="2"/>
                <w:szCs w:val="24"/>
              </w:rPr>
            </w:pPr>
            <w:r>
              <w:rPr>
                <w:rFonts w:ascii="Times New Roman" w:hAnsi="Times New Roman" w:eastAsiaTheme="minorEastAsia"/>
                <w:color w:val="auto"/>
                <w:kern w:val="2"/>
                <w:szCs w:val="24"/>
              </w:rPr>
              <w:t>护措</w:t>
            </w:r>
          </w:p>
          <w:p w14:paraId="4ED1064C">
            <w:pPr>
              <w:pStyle w:val="16"/>
              <w:adjustRightInd w:val="0"/>
              <w:snapToGrid w:val="0"/>
              <w:spacing w:before="0" w:beforeAutospacing="0" w:after="0" w:afterAutospacing="0"/>
              <w:jc w:val="center"/>
              <w:rPr>
                <w:rFonts w:ascii="Times New Roman" w:hAnsi="Times New Roman" w:eastAsiaTheme="minorEastAsia"/>
                <w:bCs/>
                <w:color w:val="auto"/>
                <w:kern w:val="2"/>
                <w:sz w:val="21"/>
                <w:szCs w:val="21"/>
              </w:rPr>
            </w:pPr>
            <w:r>
              <w:rPr>
                <w:rFonts w:ascii="Times New Roman" w:hAnsi="Times New Roman" w:eastAsiaTheme="minorEastAsia"/>
                <w:color w:val="auto"/>
                <w:kern w:val="2"/>
                <w:szCs w:val="24"/>
              </w:rPr>
              <w:t>施</w:t>
            </w:r>
          </w:p>
        </w:tc>
        <w:tc>
          <w:tcPr>
            <w:tcW w:w="8162" w:type="dxa"/>
            <w:tcBorders>
              <w:tl2br w:val="nil"/>
              <w:tr2bl w:val="nil"/>
            </w:tcBorders>
            <w:noWrap/>
            <w:vAlign w:val="center"/>
          </w:tcPr>
          <w:p w14:paraId="65340860">
            <w:pPr>
              <w:spacing w:line="360" w:lineRule="auto"/>
              <w:rPr>
                <w:b/>
                <w:color w:val="auto"/>
                <w:sz w:val="24"/>
              </w:rPr>
            </w:pPr>
            <w:r>
              <w:rPr>
                <w:rFonts w:hint="eastAsia"/>
                <w:b/>
                <w:color w:val="auto"/>
                <w:sz w:val="24"/>
              </w:rPr>
              <w:t>1</w:t>
            </w:r>
            <w:r>
              <w:rPr>
                <w:rFonts w:hint="eastAsia"/>
                <w:b/>
                <w:color w:val="auto"/>
                <w:sz w:val="24"/>
                <w:lang w:val="en-US" w:eastAsia="zh-CN"/>
              </w:rPr>
              <w:t>.</w:t>
            </w:r>
            <w:r>
              <w:rPr>
                <w:rFonts w:hint="eastAsia"/>
                <w:b/>
                <w:color w:val="auto"/>
                <w:sz w:val="24"/>
              </w:rPr>
              <w:t>大气环境影响和保护措施</w:t>
            </w:r>
          </w:p>
          <w:p w14:paraId="51D4608F">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（1）《沣西新城扬尘治理专项方案》等要求，结合本项目施工特点，施工期应加强施工期环境管理，要求定期洒水，杜绝粗放式施工。</w:t>
            </w:r>
          </w:p>
          <w:p w14:paraId="6798123A">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（2）施工机械废气防治措施</w:t>
            </w:r>
          </w:p>
          <w:p w14:paraId="6DB85F55">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单位应加强施工车辆运行管理与维护保养，使用满足《车用柴油》（GB19147-2016）标准的柴油，柴油机废气排放满足《重型柴油车污染物排放限值及测量方法（中国第六阶段）》（GB17691-2018）及《非道路柴油移动机械排气烟度限值及测量方法》（GB36886-2018）。</w:t>
            </w:r>
          </w:p>
          <w:p w14:paraId="7CD763EA">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水环境影响和保护措施</w:t>
            </w:r>
          </w:p>
          <w:p w14:paraId="7D1C4ED0">
            <w:pPr>
              <w:autoSpaceDE w:val="0"/>
              <w:autoSpaceDN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施工期废水主要为施工人员生活废水，施工人员产生的生活废水依托现有化粪池处理后排入市政管网，经沣西新城大王污水处理厂处理后达标排放。</w:t>
            </w:r>
          </w:p>
          <w:p w14:paraId="72DCF726">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声环境影响和保护措施</w:t>
            </w:r>
          </w:p>
          <w:p w14:paraId="5771A0B6">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噪声主要来源于运输车辆、设备安装机器调试等产生的偶发性噪声。项目施工期较短，施工噪声属于非连续排放，施工噪声随着工程结束而消失，所以施工机械及车辆噪声对周围声环境质量不会产生明显影响。本项目施工期的声环境保护措施为：施工场地围挡，合理安排施工时间，禁止夜间施工，减少项目施工噪声对周围敏感目标的影响。</w:t>
            </w:r>
          </w:p>
          <w:p w14:paraId="059EA16B">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4.</w:t>
            </w:r>
            <w:r>
              <w:rPr>
                <w:rFonts w:hint="default" w:ascii="Times New Roman" w:hAnsi="Times New Roman" w:cs="Times New Roman"/>
                <w:b/>
                <w:color w:val="auto"/>
                <w:sz w:val="24"/>
              </w:rPr>
              <w:t>固体废弃物</w:t>
            </w:r>
            <w:r>
              <w:rPr>
                <w:rFonts w:hint="eastAsia" w:ascii="Times New Roman" w:hAnsi="Times New Roman" w:cs="Times New Roman"/>
                <w:b/>
                <w:color w:val="auto"/>
                <w:sz w:val="24"/>
                <w:lang w:val="en-US" w:eastAsia="zh-CN"/>
              </w:rPr>
              <w:t>的</w:t>
            </w:r>
            <w:r>
              <w:rPr>
                <w:rFonts w:hint="default" w:ascii="Times New Roman" w:hAnsi="Times New Roman" w:cs="Times New Roman"/>
                <w:b/>
                <w:color w:val="auto"/>
                <w:sz w:val="24"/>
              </w:rPr>
              <w:t>环境影响和保护措施</w:t>
            </w:r>
          </w:p>
          <w:p w14:paraId="2A1FA15E">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施工期间的固废主要为建筑垃圾和施工人员的生活垃圾。建筑垃圾主要是设备安装和生产车间装修时产生部分废弃物。此过程产生的垃圾设置垃圾堆放区，收集后做统一处理。</w:t>
            </w:r>
          </w:p>
          <w:p w14:paraId="00F2EF83">
            <w:pPr>
              <w:adjustRightInd w:val="0"/>
              <w:snapToGrid w:val="0"/>
              <w:spacing w:line="360" w:lineRule="auto"/>
              <w:rPr>
                <w:b/>
                <w:color w:val="auto"/>
                <w:sz w:val="24"/>
              </w:rPr>
            </w:pPr>
            <w:r>
              <w:rPr>
                <w:rFonts w:hint="eastAsia"/>
                <w:b/>
                <w:color w:val="auto"/>
                <w:sz w:val="24"/>
                <w:lang w:val="en-US" w:eastAsia="zh-CN"/>
              </w:rPr>
              <w:t>5.</w:t>
            </w:r>
            <w:r>
              <w:rPr>
                <w:b/>
                <w:color w:val="auto"/>
                <w:sz w:val="24"/>
              </w:rPr>
              <w:t>生态环境影响和保护措施</w:t>
            </w:r>
          </w:p>
          <w:p w14:paraId="093B45A7">
            <w:pPr>
              <w:adjustRightInd w:val="0"/>
              <w:snapToGrid w:val="0"/>
              <w:spacing w:line="360" w:lineRule="auto"/>
              <w:ind w:firstLine="480" w:firstLineChars="200"/>
              <w:rPr>
                <w:color w:val="auto"/>
                <w:sz w:val="24"/>
              </w:rPr>
            </w:pPr>
            <w:r>
              <w:rPr>
                <w:color w:val="auto"/>
                <w:sz w:val="24"/>
              </w:rPr>
              <w:t>本项目建设内容涉及生产设备、环保设备的的安装及调试，周期较短。生态影响仅限于施工场界内，</w:t>
            </w:r>
            <w:r>
              <w:rPr>
                <w:rFonts w:hint="eastAsia"/>
                <w:color w:val="auto"/>
                <w:sz w:val="24"/>
              </w:rPr>
              <w:t>不涉及土石方开挖，不会</w:t>
            </w:r>
            <w:r>
              <w:rPr>
                <w:color w:val="auto"/>
                <w:sz w:val="24"/>
              </w:rPr>
              <w:t>导致建设地原有生态系统遭到破</w:t>
            </w:r>
            <w:r>
              <w:rPr>
                <w:rFonts w:hint="eastAsia"/>
                <w:color w:val="auto"/>
                <w:sz w:val="24"/>
              </w:rPr>
              <w:t>坏</w:t>
            </w:r>
            <w:r>
              <w:rPr>
                <w:color w:val="auto"/>
                <w:sz w:val="24"/>
              </w:rPr>
              <w:t>。</w:t>
            </w:r>
          </w:p>
        </w:tc>
      </w:tr>
    </w:tbl>
    <w:p w14:paraId="781B1FFE">
      <w:pPr>
        <w:rPr>
          <w:b/>
          <w:bCs/>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13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2498"/>
      </w:tblGrid>
      <w:tr w14:paraId="1E50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5" w:type="dxa"/>
            <w:tcBorders>
              <w:top w:val="single" w:color="auto" w:sz="12" w:space="0"/>
              <w:left w:val="single" w:color="auto" w:sz="12" w:space="0"/>
              <w:bottom w:val="single" w:color="auto" w:sz="12" w:space="0"/>
            </w:tcBorders>
            <w:vAlign w:val="center"/>
          </w:tcPr>
          <w:p w14:paraId="6BFF74A5">
            <w:pPr>
              <w:adjustRightInd w:val="0"/>
              <w:snapToGrid w:val="0"/>
              <w:jc w:val="center"/>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运营</w:t>
            </w:r>
          </w:p>
          <w:p w14:paraId="535E77D6">
            <w:pPr>
              <w:adjustRightInd w:val="0"/>
              <w:snapToGrid w:val="0"/>
              <w:jc w:val="center"/>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期环</w:t>
            </w:r>
          </w:p>
          <w:p w14:paraId="6D8AE475">
            <w:pPr>
              <w:adjustRightInd w:val="0"/>
              <w:snapToGrid w:val="0"/>
              <w:jc w:val="center"/>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境影</w:t>
            </w:r>
          </w:p>
          <w:p w14:paraId="09BC72F1">
            <w:pPr>
              <w:adjustRightInd w:val="0"/>
              <w:snapToGrid w:val="0"/>
              <w:jc w:val="center"/>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响和</w:t>
            </w:r>
          </w:p>
          <w:p w14:paraId="542A7480">
            <w:pPr>
              <w:adjustRightInd w:val="0"/>
              <w:snapToGrid w:val="0"/>
              <w:jc w:val="center"/>
              <w:rPr>
                <w:rFonts w:eastAsiaTheme="minorEastAsia"/>
                <w:bCs/>
                <w:color w:val="000000" w:themeColor="text1"/>
                <w:sz w:val="24"/>
                <w14:textFill>
                  <w14:solidFill>
                    <w14:schemeClr w14:val="tx1"/>
                  </w14:solidFill>
                </w14:textFill>
              </w:rPr>
            </w:pPr>
            <w:r>
              <w:rPr>
                <w:rFonts w:eastAsiaTheme="minorEastAsia"/>
                <w:bCs/>
                <w:color w:val="000000" w:themeColor="text1"/>
                <w:sz w:val="24"/>
                <w14:textFill>
                  <w14:solidFill>
                    <w14:schemeClr w14:val="tx1"/>
                  </w14:solidFill>
                </w14:textFill>
              </w:rPr>
              <w:t>保护</w:t>
            </w:r>
          </w:p>
          <w:p w14:paraId="448133CF">
            <w:pPr>
              <w:adjustRightInd w:val="0"/>
              <w:snapToGrid w:val="0"/>
              <w:jc w:val="center"/>
              <w:rPr>
                <w:rFonts w:eastAsiaTheme="minorEastAsia"/>
                <w:bCs/>
                <w:color w:val="000000" w:themeColor="text1"/>
                <w:sz w:val="24"/>
                <w:vertAlign w:val="baseline"/>
                <w14:textFill>
                  <w14:solidFill>
                    <w14:schemeClr w14:val="tx1"/>
                  </w14:solidFill>
                </w14:textFill>
              </w:rPr>
            </w:pPr>
            <w:r>
              <w:rPr>
                <w:rFonts w:eastAsiaTheme="minorEastAsia"/>
                <w:bCs/>
                <w:color w:val="000000" w:themeColor="text1"/>
                <w:sz w:val="24"/>
                <w14:textFill>
                  <w14:solidFill>
                    <w14:schemeClr w14:val="tx1"/>
                  </w14:solidFill>
                </w14:textFill>
              </w:rPr>
              <w:t>措施</w:t>
            </w:r>
          </w:p>
        </w:tc>
        <w:tc>
          <w:tcPr>
            <w:tcW w:w="12498" w:type="dxa"/>
            <w:tcBorders>
              <w:top w:val="single" w:color="auto" w:sz="12" w:space="0"/>
              <w:bottom w:val="single" w:color="auto" w:sz="12" w:space="0"/>
              <w:right w:val="single" w:color="auto" w:sz="12" w:space="0"/>
            </w:tcBorders>
          </w:tcPr>
          <w:p w14:paraId="390DA98F">
            <w:pPr>
              <w:pStyle w:val="19"/>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0"/>
              <w:textAlignment w:val="auto"/>
              <w:rPr>
                <w:rFonts w:hint="eastAsia" w:cs="Times New Roman" w:eastAsiaTheme="minorEastAsia"/>
                <w:b/>
                <w:bCs/>
                <w:kern w:val="2"/>
                <w:sz w:val="24"/>
                <w:szCs w:val="24"/>
                <w:lang w:val="en-US" w:eastAsia="zh-CN" w:bidi="ar-SA"/>
              </w:rPr>
            </w:pPr>
            <w:r>
              <w:rPr>
                <w:rFonts w:hint="eastAsia" w:cs="Times New Roman" w:eastAsiaTheme="minorEastAsia"/>
                <w:b/>
                <w:bCs/>
                <w:kern w:val="2"/>
                <w:sz w:val="24"/>
                <w:szCs w:val="24"/>
                <w:lang w:val="en-US" w:eastAsia="zh-CN" w:bidi="ar-SA"/>
              </w:rPr>
              <w:t>一、废气</w:t>
            </w:r>
          </w:p>
          <w:p w14:paraId="7AE4191A">
            <w:pPr>
              <w:spacing w:line="360" w:lineRule="auto"/>
              <w:ind w:firstLine="482" w:firstLineChars="200"/>
              <w:rPr>
                <w:rFonts w:ascii="Times New Roman" w:hAnsi="Times New Roman" w:eastAsia="宋体" w:cs="Times New Roman"/>
                <w:b/>
                <w:color w:val="auto"/>
                <w:sz w:val="24"/>
              </w:rPr>
            </w:pPr>
            <w:r>
              <w:rPr>
                <w:rFonts w:ascii="Times New Roman" w:hAnsi="Times New Roman" w:eastAsia="宋体" w:cs="Times New Roman"/>
                <w:b/>
                <w:color w:val="auto"/>
                <w:sz w:val="24"/>
              </w:rPr>
              <w:t>1.1废气污染物排放源一览表</w:t>
            </w:r>
          </w:p>
          <w:p w14:paraId="212F5F6B">
            <w:pPr>
              <w:snapToGrid w:val="0"/>
              <w:spacing w:line="240" w:lineRule="auto"/>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 xml:space="preserve">表4-1 </w:t>
            </w:r>
            <w:r>
              <w:rPr>
                <w:rFonts w:hint="eastAsia" w:eastAsia="宋体" w:cs="Times New Roman"/>
                <w:b/>
                <w:color w:val="auto"/>
                <w:szCs w:val="21"/>
                <w:lang w:val="en-US" w:eastAsia="zh-CN"/>
              </w:rPr>
              <w:t xml:space="preserve"> </w:t>
            </w:r>
            <w:r>
              <w:rPr>
                <w:rFonts w:ascii="Times New Roman" w:hAnsi="Times New Roman" w:eastAsia="宋体" w:cs="Times New Roman"/>
                <w:b/>
                <w:color w:val="auto"/>
                <w:szCs w:val="21"/>
              </w:rPr>
              <w:t>废气污染物排放源一览表</w:t>
            </w:r>
          </w:p>
          <w:tbl>
            <w:tblPr>
              <w:tblStyle w:val="20"/>
              <w:tblW w:w="122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2571"/>
              <w:gridCol w:w="1807"/>
              <w:gridCol w:w="1705"/>
              <w:gridCol w:w="905"/>
              <w:gridCol w:w="1033"/>
              <w:gridCol w:w="862"/>
              <w:gridCol w:w="19"/>
              <w:gridCol w:w="881"/>
              <w:gridCol w:w="1296"/>
            </w:tblGrid>
            <w:tr w14:paraId="32B45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540" w:type="pct"/>
                  <w:gridSpan w:val="2"/>
                  <w:tcBorders>
                    <w:tl2br w:val="nil"/>
                    <w:tr2bl w:val="nil"/>
                  </w:tcBorders>
                  <w:shd w:val="clear" w:color="auto" w:fill="auto"/>
                  <w:vAlign w:val="center"/>
                </w:tcPr>
                <w:p w14:paraId="0417B9BD">
                  <w:pPr>
                    <w:pStyle w:val="33"/>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产排污环节</w:t>
                  </w:r>
                </w:p>
              </w:tc>
              <w:tc>
                <w:tcPr>
                  <w:tcW w:w="1427" w:type="pct"/>
                  <w:gridSpan w:val="2"/>
                  <w:tcBorders>
                    <w:tl2br w:val="nil"/>
                    <w:tr2bl w:val="nil"/>
                  </w:tcBorders>
                  <w:vAlign w:val="center"/>
                </w:tcPr>
                <w:p w14:paraId="737765FE">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投料</w:t>
                  </w:r>
                  <w:r>
                    <w:rPr>
                      <w:rFonts w:hint="eastAsia" w:cs="Times New Roman"/>
                      <w:bCs/>
                      <w:color w:val="auto"/>
                      <w:kern w:val="0"/>
                      <w:szCs w:val="21"/>
                      <w:highlight w:val="none"/>
                      <w:lang w:val="en-US" w:eastAsia="zh-CN"/>
                    </w:rPr>
                    <w:t>及</w:t>
                  </w:r>
                  <w:r>
                    <w:rPr>
                      <w:rFonts w:hint="eastAsia" w:ascii="Times New Roman" w:hAnsi="Times New Roman" w:eastAsia="宋体" w:cs="Times New Roman"/>
                      <w:bCs/>
                      <w:color w:val="auto"/>
                      <w:kern w:val="0"/>
                      <w:szCs w:val="21"/>
                      <w:highlight w:val="none"/>
                      <w:lang w:val="en-US" w:eastAsia="zh-CN"/>
                    </w:rPr>
                    <w:t>研磨</w:t>
                  </w:r>
                </w:p>
              </w:tc>
              <w:tc>
                <w:tcPr>
                  <w:tcW w:w="787" w:type="pct"/>
                  <w:gridSpan w:val="2"/>
                  <w:tcBorders>
                    <w:tl2br w:val="nil"/>
                    <w:tr2bl w:val="nil"/>
                  </w:tcBorders>
                  <w:shd w:val="clear" w:color="auto" w:fill="auto"/>
                  <w:vAlign w:val="center"/>
                </w:tcPr>
                <w:p w14:paraId="19A41A08">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熔融挤出、压片</w:t>
                  </w:r>
                </w:p>
              </w:tc>
              <w:tc>
                <w:tcPr>
                  <w:tcW w:w="716" w:type="pct"/>
                  <w:gridSpan w:val="3"/>
                  <w:tcBorders>
                    <w:tl2br w:val="nil"/>
                    <w:tr2bl w:val="nil"/>
                  </w:tcBorders>
                  <w:shd w:val="clear" w:color="auto" w:fill="auto"/>
                  <w:vAlign w:val="center"/>
                </w:tcPr>
                <w:p w14:paraId="785A6713">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电泳涂装</w:t>
                  </w:r>
                </w:p>
              </w:tc>
              <w:tc>
                <w:tcPr>
                  <w:tcW w:w="526" w:type="pct"/>
                  <w:tcBorders>
                    <w:tl2br w:val="nil"/>
                    <w:tr2bl w:val="nil"/>
                  </w:tcBorders>
                  <w:shd w:val="clear" w:color="auto" w:fill="auto"/>
                  <w:vAlign w:val="center"/>
                </w:tcPr>
                <w:p w14:paraId="709A9654">
                  <w:pPr>
                    <w:autoSpaceDE w:val="0"/>
                    <w:autoSpaceDN w:val="0"/>
                    <w:adjustRightInd w:val="0"/>
                    <w:jc w:val="center"/>
                    <w:rPr>
                      <w:rFonts w:hint="eastAsia"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检验粉尘</w:t>
                  </w:r>
                </w:p>
              </w:tc>
            </w:tr>
            <w:tr w14:paraId="27798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90" w:type="dxa"/>
                  <w:gridSpan w:val="2"/>
                  <w:tcBorders>
                    <w:tl2br w:val="nil"/>
                    <w:tr2bl w:val="nil"/>
                  </w:tcBorders>
                  <w:shd w:val="clear" w:color="auto" w:fill="auto"/>
                  <w:vAlign w:val="center"/>
                </w:tcPr>
                <w:p w14:paraId="4C2A5B0B">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3512" w:type="dxa"/>
                  <w:gridSpan w:val="2"/>
                  <w:tcBorders>
                    <w:tl2br w:val="nil"/>
                    <w:tr2bl w:val="nil"/>
                  </w:tcBorders>
                  <w:vAlign w:val="center"/>
                </w:tcPr>
                <w:p w14:paraId="1C6EDDE1">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1938" w:type="dxa"/>
                  <w:gridSpan w:val="2"/>
                  <w:tcBorders>
                    <w:tl2br w:val="nil"/>
                    <w:tr2bl w:val="nil"/>
                  </w:tcBorders>
                  <w:shd w:val="clear" w:color="auto" w:fill="auto"/>
                  <w:vAlign w:val="center"/>
                </w:tcPr>
                <w:p w14:paraId="49E69313">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非甲烷总烃</w:t>
                  </w:r>
                </w:p>
              </w:tc>
              <w:tc>
                <w:tcPr>
                  <w:tcW w:w="1762" w:type="dxa"/>
                  <w:gridSpan w:val="3"/>
                  <w:tcBorders>
                    <w:tl2br w:val="nil"/>
                    <w:tr2bl w:val="nil"/>
                  </w:tcBorders>
                  <w:shd w:val="clear" w:color="auto" w:fill="auto"/>
                  <w:vAlign w:val="center"/>
                </w:tcPr>
                <w:p w14:paraId="31255FD9">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非甲烷总烃</w:t>
                  </w:r>
                </w:p>
              </w:tc>
              <w:tc>
                <w:tcPr>
                  <w:tcW w:w="1296" w:type="dxa"/>
                  <w:tcBorders>
                    <w:tl2br w:val="nil"/>
                    <w:tr2bl w:val="nil"/>
                  </w:tcBorders>
                  <w:shd w:val="clear" w:color="auto" w:fill="auto"/>
                  <w:vAlign w:val="center"/>
                </w:tcPr>
                <w:p w14:paraId="5DC05030">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r>
            <w:tr w14:paraId="3F688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3790" w:type="dxa"/>
                  <w:gridSpan w:val="2"/>
                  <w:tcBorders>
                    <w:tl2br w:val="nil"/>
                    <w:tr2bl w:val="nil"/>
                  </w:tcBorders>
                  <w:shd w:val="clear" w:color="auto" w:fill="auto"/>
                  <w:vAlign w:val="center"/>
                </w:tcPr>
                <w:p w14:paraId="7D195B57">
                  <w:pPr>
                    <w:autoSpaceDE w:val="0"/>
                    <w:autoSpaceDN w:val="0"/>
                    <w:adjustRightIn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排放形式</w:t>
                  </w:r>
                </w:p>
              </w:tc>
              <w:tc>
                <w:tcPr>
                  <w:tcW w:w="1807" w:type="dxa"/>
                  <w:tcBorders>
                    <w:tl2br w:val="nil"/>
                    <w:tr2bl w:val="nil"/>
                  </w:tcBorders>
                  <w:shd w:val="clear" w:color="auto" w:fill="auto"/>
                  <w:vAlign w:val="center"/>
                </w:tcPr>
                <w:p w14:paraId="47DA6E8B">
                  <w:pPr>
                    <w:autoSpaceDE w:val="0"/>
                    <w:autoSpaceDN w:val="0"/>
                    <w:adjustRightIn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有组织</w:t>
                  </w:r>
                </w:p>
              </w:tc>
              <w:tc>
                <w:tcPr>
                  <w:tcW w:w="1705" w:type="dxa"/>
                  <w:tcBorders>
                    <w:tl2br w:val="nil"/>
                    <w:tr2bl w:val="nil"/>
                  </w:tcBorders>
                  <w:shd w:val="clear" w:color="auto" w:fill="auto"/>
                  <w:vAlign w:val="center"/>
                </w:tcPr>
                <w:p w14:paraId="4A874ADF">
                  <w:pPr>
                    <w:autoSpaceDE w:val="0"/>
                    <w:autoSpaceDN w:val="0"/>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无组织</w:t>
                  </w:r>
                </w:p>
              </w:tc>
              <w:tc>
                <w:tcPr>
                  <w:tcW w:w="905" w:type="dxa"/>
                  <w:tcBorders>
                    <w:tl2br w:val="nil"/>
                    <w:tr2bl w:val="nil"/>
                  </w:tcBorders>
                  <w:shd w:val="clear" w:color="auto" w:fill="auto"/>
                  <w:vAlign w:val="center"/>
                </w:tcPr>
                <w:p w14:paraId="73E2F39A">
                  <w:pPr>
                    <w:autoSpaceDE w:val="0"/>
                    <w:autoSpaceDN w:val="0"/>
                    <w:adjustRightInd w:val="0"/>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有组织</w:t>
                  </w:r>
                </w:p>
              </w:tc>
              <w:tc>
                <w:tcPr>
                  <w:tcW w:w="1033" w:type="dxa"/>
                  <w:tcBorders>
                    <w:tl2br w:val="nil"/>
                    <w:tr2bl w:val="nil"/>
                  </w:tcBorders>
                  <w:shd w:val="clear" w:color="auto" w:fill="auto"/>
                  <w:vAlign w:val="center"/>
                </w:tcPr>
                <w:p w14:paraId="6F495DDB">
                  <w:pPr>
                    <w:autoSpaceDE w:val="0"/>
                    <w:autoSpaceDN w:val="0"/>
                    <w:adjustRightInd w:val="0"/>
                    <w:jc w:val="center"/>
                    <w:rPr>
                      <w:rFonts w:hint="eastAsia"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无组织</w:t>
                  </w:r>
                </w:p>
              </w:tc>
              <w:tc>
                <w:tcPr>
                  <w:tcW w:w="862" w:type="dxa"/>
                  <w:tcBorders>
                    <w:tl2br w:val="nil"/>
                    <w:tr2bl w:val="nil"/>
                  </w:tcBorders>
                  <w:shd w:val="clear" w:color="auto" w:fill="auto"/>
                  <w:vAlign w:val="center"/>
                </w:tcPr>
                <w:p w14:paraId="43BAA064">
                  <w:pPr>
                    <w:autoSpaceDE w:val="0"/>
                    <w:autoSpaceDN w:val="0"/>
                    <w:adjustRightIn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有组织</w:t>
                  </w:r>
                </w:p>
              </w:tc>
              <w:tc>
                <w:tcPr>
                  <w:tcW w:w="900" w:type="dxa"/>
                  <w:gridSpan w:val="2"/>
                  <w:tcBorders>
                    <w:tl2br w:val="nil"/>
                    <w:tr2bl w:val="nil"/>
                  </w:tcBorders>
                  <w:shd w:val="clear" w:color="auto" w:fill="auto"/>
                  <w:vAlign w:val="center"/>
                </w:tcPr>
                <w:p w14:paraId="4492CB37">
                  <w:pPr>
                    <w:autoSpaceDE w:val="0"/>
                    <w:autoSpaceDN w:val="0"/>
                    <w:adjustRightIn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无组织</w:t>
                  </w:r>
                </w:p>
              </w:tc>
              <w:tc>
                <w:tcPr>
                  <w:tcW w:w="1296" w:type="dxa"/>
                  <w:tcBorders>
                    <w:tl2br w:val="nil"/>
                    <w:tr2bl w:val="nil"/>
                  </w:tcBorders>
                  <w:shd w:val="clear" w:color="auto" w:fill="auto"/>
                  <w:vAlign w:val="center"/>
                </w:tcPr>
                <w:p w14:paraId="5B9B163A">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无组织</w:t>
                  </w:r>
                </w:p>
              </w:tc>
            </w:tr>
            <w:tr w14:paraId="38DF7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3790" w:type="dxa"/>
                  <w:gridSpan w:val="2"/>
                  <w:tcBorders>
                    <w:tl2br w:val="nil"/>
                    <w:tr2bl w:val="nil"/>
                  </w:tcBorders>
                  <w:shd w:val="clear" w:color="auto" w:fill="auto"/>
                  <w:vAlign w:val="center"/>
                </w:tcPr>
                <w:p w14:paraId="180712C1">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产生速率（kg/h）</w:t>
                  </w:r>
                </w:p>
              </w:tc>
              <w:tc>
                <w:tcPr>
                  <w:tcW w:w="1807" w:type="dxa"/>
                  <w:tcBorders>
                    <w:tl2br w:val="nil"/>
                    <w:tr2bl w:val="nil"/>
                  </w:tcBorders>
                  <w:vAlign w:val="center"/>
                </w:tcPr>
                <w:p w14:paraId="15D49E28">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1.7</w:t>
                  </w:r>
                  <w:r>
                    <w:rPr>
                      <w:rFonts w:hint="eastAsia" w:cs="宋体"/>
                      <w:bCs/>
                      <w:color w:val="auto"/>
                      <w:kern w:val="2"/>
                      <w:sz w:val="21"/>
                      <w:szCs w:val="21"/>
                      <w:lang w:val="en-US" w:eastAsia="zh-CN" w:bidi="ar-SA"/>
                    </w:rPr>
                    <w:t>567</w:t>
                  </w:r>
                </w:p>
              </w:tc>
              <w:tc>
                <w:tcPr>
                  <w:tcW w:w="1705" w:type="dxa"/>
                  <w:tcBorders>
                    <w:tl2br w:val="nil"/>
                    <w:tr2bl w:val="nil"/>
                  </w:tcBorders>
                  <w:shd w:val="clear" w:color="auto" w:fill="auto"/>
                  <w:vAlign w:val="center"/>
                </w:tcPr>
                <w:p w14:paraId="0491CD17">
                  <w:pPr>
                    <w:pStyle w:val="33"/>
                    <w:adjustRightInd w:val="0"/>
                    <w:snapToGrid w:val="0"/>
                    <w:spacing w:line="240" w:lineRule="auto"/>
                    <w:ind w:firstLine="0" w:firstLineChars="0"/>
                    <w:jc w:val="center"/>
                    <w:rPr>
                      <w:rFonts w:hint="default"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0.3</w:t>
                  </w:r>
                  <w:r>
                    <w:rPr>
                      <w:rFonts w:hint="eastAsia" w:cs="Times New Roman"/>
                      <w:bCs/>
                      <w:color w:val="auto"/>
                      <w:kern w:val="2"/>
                      <w:sz w:val="21"/>
                      <w:szCs w:val="21"/>
                      <w:vertAlign w:val="baseline"/>
                      <w:lang w:val="en-US" w:eastAsia="zh-CN" w:bidi="ar-SA"/>
                    </w:rPr>
                    <w:t>1</w:t>
                  </w:r>
                </w:p>
              </w:tc>
              <w:tc>
                <w:tcPr>
                  <w:tcW w:w="905" w:type="dxa"/>
                  <w:tcBorders>
                    <w:tl2br w:val="nil"/>
                    <w:tr2bl w:val="nil"/>
                  </w:tcBorders>
                  <w:shd w:val="clear" w:color="auto" w:fill="auto"/>
                  <w:vAlign w:val="center"/>
                </w:tcPr>
                <w:p w14:paraId="2C1C157E">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0.014</w:t>
                  </w:r>
                  <w:r>
                    <w:rPr>
                      <w:rFonts w:hint="eastAsia" w:cs="宋体"/>
                      <w:bCs/>
                      <w:color w:val="auto"/>
                      <w:kern w:val="2"/>
                      <w:sz w:val="21"/>
                      <w:szCs w:val="21"/>
                      <w:lang w:val="en-US" w:eastAsia="zh-CN" w:bidi="ar-SA"/>
                    </w:rPr>
                    <w:t>88</w:t>
                  </w:r>
                </w:p>
              </w:tc>
              <w:tc>
                <w:tcPr>
                  <w:tcW w:w="1033" w:type="dxa"/>
                  <w:tcBorders>
                    <w:tl2br w:val="nil"/>
                    <w:tr2bl w:val="nil"/>
                  </w:tcBorders>
                  <w:shd w:val="clear" w:color="auto" w:fill="auto"/>
                  <w:vAlign w:val="center"/>
                </w:tcPr>
                <w:p w14:paraId="229F3919">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0.0026</w:t>
                  </w:r>
                  <w:r>
                    <w:rPr>
                      <w:rFonts w:hint="eastAsia" w:cs="宋体"/>
                      <w:bCs/>
                      <w:color w:val="auto"/>
                      <w:kern w:val="2"/>
                      <w:sz w:val="21"/>
                      <w:szCs w:val="21"/>
                      <w:lang w:val="en-US" w:eastAsia="zh-CN" w:bidi="ar-SA"/>
                    </w:rPr>
                    <w:t>25</w:t>
                  </w:r>
                </w:p>
              </w:tc>
              <w:tc>
                <w:tcPr>
                  <w:tcW w:w="862" w:type="dxa"/>
                  <w:tcBorders>
                    <w:tl2br w:val="nil"/>
                    <w:tr2bl w:val="nil"/>
                  </w:tcBorders>
                  <w:shd w:val="clear" w:color="auto" w:fill="auto"/>
                  <w:vAlign w:val="center"/>
                </w:tcPr>
                <w:p w14:paraId="33672D94">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cs="宋体"/>
                      <w:bCs/>
                      <w:color w:val="auto"/>
                      <w:kern w:val="2"/>
                      <w:sz w:val="21"/>
                      <w:szCs w:val="21"/>
                      <w:lang w:val="en-US" w:eastAsia="zh-CN" w:bidi="ar-SA"/>
                    </w:rPr>
                    <w:t>0.14</w:t>
                  </w:r>
                </w:p>
              </w:tc>
              <w:tc>
                <w:tcPr>
                  <w:tcW w:w="900" w:type="dxa"/>
                  <w:gridSpan w:val="2"/>
                  <w:tcBorders>
                    <w:tl2br w:val="nil"/>
                    <w:tr2bl w:val="nil"/>
                  </w:tcBorders>
                  <w:shd w:val="clear" w:color="auto" w:fill="auto"/>
                  <w:vAlign w:val="center"/>
                </w:tcPr>
                <w:p w14:paraId="13F77D2E">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cs="宋体"/>
                      <w:bCs/>
                      <w:color w:val="auto"/>
                      <w:kern w:val="2"/>
                      <w:sz w:val="21"/>
                      <w:szCs w:val="21"/>
                      <w:lang w:val="en-US" w:eastAsia="zh-CN" w:bidi="ar-SA"/>
                    </w:rPr>
                    <w:t>0.025</w:t>
                  </w:r>
                </w:p>
              </w:tc>
              <w:tc>
                <w:tcPr>
                  <w:tcW w:w="1296" w:type="dxa"/>
                  <w:tcBorders>
                    <w:tl2br w:val="nil"/>
                    <w:tr2bl w:val="nil"/>
                  </w:tcBorders>
                  <w:shd w:val="clear" w:color="auto" w:fill="auto"/>
                  <w:vAlign w:val="center"/>
                </w:tcPr>
                <w:p w14:paraId="092E9A7B">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w:t>
                  </w:r>
                  <w:r>
                    <w:rPr>
                      <w:rFonts w:hint="eastAsia" w:cs="宋体"/>
                      <w:bCs/>
                      <w:color w:val="auto"/>
                      <w:kern w:val="2"/>
                      <w:sz w:val="21"/>
                      <w:szCs w:val="21"/>
                      <w:lang w:val="en-US" w:eastAsia="zh-CN" w:bidi="ar-SA"/>
                    </w:rPr>
                    <w:t>12</w:t>
                  </w:r>
                </w:p>
              </w:tc>
            </w:tr>
            <w:tr w14:paraId="32CEF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3790" w:type="dxa"/>
                  <w:gridSpan w:val="2"/>
                  <w:tcBorders>
                    <w:tl2br w:val="nil"/>
                    <w:tr2bl w:val="nil"/>
                  </w:tcBorders>
                  <w:shd w:val="clear" w:color="auto" w:fill="auto"/>
                  <w:vAlign w:val="center"/>
                </w:tcPr>
                <w:p w14:paraId="14C74EE0">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1807" w:type="dxa"/>
                  <w:tcBorders>
                    <w:tl2br w:val="nil"/>
                    <w:tr2bl w:val="nil"/>
                  </w:tcBorders>
                  <w:vAlign w:val="center"/>
                </w:tcPr>
                <w:p w14:paraId="72980DB1">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4.216</w:t>
                  </w:r>
                </w:p>
              </w:tc>
              <w:tc>
                <w:tcPr>
                  <w:tcW w:w="1705" w:type="dxa"/>
                  <w:tcBorders>
                    <w:tl2br w:val="nil"/>
                    <w:tr2bl w:val="nil"/>
                  </w:tcBorders>
                  <w:shd w:val="clear" w:color="auto" w:fill="auto"/>
                  <w:vAlign w:val="center"/>
                </w:tcPr>
                <w:p w14:paraId="2D76B92D">
                  <w:pPr>
                    <w:pStyle w:val="33"/>
                    <w:adjustRightInd w:val="0"/>
                    <w:snapToGrid w:val="0"/>
                    <w:spacing w:line="240" w:lineRule="auto"/>
                    <w:ind w:firstLine="0" w:firstLineChars="0"/>
                    <w:jc w:val="center"/>
                    <w:rPr>
                      <w:rFonts w:hint="eastAsia" w:ascii="Times New Roman" w:hAnsi="Times New Roman" w:eastAsia="宋体"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0.744</w:t>
                  </w:r>
                </w:p>
              </w:tc>
              <w:tc>
                <w:tcPr>
                  <w:tcW w:w="905" w:type="dxa"/>
                  <w:tcBorders>
                    <w:tl2br w:val="nil"/>
                    <w:tr2bl w:val="nil"/>
                  </w:tcBorders>
                  <w:shd w:val="clear" w:color="auto" w:fill="auto"/>
                  <w:vAlign w:val="center"/>
                </w:tcPr>
                <w:p w14:paraId="69988E07">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0.0357</w:t>
                  </w:r>
                </w:p>
              </w:tc>
              <w:tc>
                <w:tcPr>
                  <w:tcW w:w="1033" w:type="dxa"/>
                  <w:tcBorders>
                    <w:tl2br w:val="nil"/>
                    <w:tr2bl w:val="nil"/>
                  </w:tcBorders>
                  <w:shd w:val="clear" w:color="auto" w:fill="auto"/>
                  <w:vAlign w:val="center"/>
                </w:tcPr>
                <w:p w14:paraId="43BAD0E7">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default" w:ascii="Times New Roman" w:hAnsi="Times New Roman" w:cs="Times New Roman"/>
                      <w:bCs/>
                      <w:color w:val="auto"/>
                      <w:kern w:val="2"/>
                      <w:sz w:val="21"/>
                      <w:szCs w:val="21"/>
                      <w:vertAlign w:val="baseline"/>
                      <w:lang w:val="en-US" w:eastAsia="zh-CN" w:bidi="ar-SA"/>
                    </w:rPr>
                    <w:t>0.0063</w:t>
                  </w:r>
                </w:p>
              </w:tc>
              <w:tc>
                <w:tcPr>
                  <w:tcW w:w="862" w:type="dxa"/>
                  <w:tcBorders>
                    <w:tl2br w:val="nil"/>
                    <w:tr2bl w:val="nil"/>
                  </w:tcBorders>
                  <w:shd w:val="clear" w:color="auto" w:fill="auto"/>
                  <w:vAlign w:val="center"/>
                </w:tcPr>
                <w:p w14:paraId="6794C901">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cs="宋体"/>
                      <w:bCs/>
                      <w:color w:val="auto"/>
                      <w:kern w:val="2"/>
                      <w:sz w:val="21"/>
                      <w:szCs w:val="21"/>
                      <w:lang w:val="en-US" w:eastAsia="zh-CN" w:bidi="ar-SA"/>
                    </w:rPr>
                    <w:t>0.34</w:t>
                  </w:r>
                </w:p>
              </w:tc>
              <w:tc>
                <w:tcPr>
                  <w:tcW w:w="900" w:type="dxa"/>
                  <w:gridSpan w:val="2"/>
                  <w:tcBorders>
                    <w:tl2br w:val="nil"/>
                    <w:tr2bl w:val="nil"/>
                  </w:tcBorders>
                  <w:shd w:val="clear" w:color="auto" w:fill="auto"/>
                  <w:vAlign w:val="center"/>
                </w:tcPr>
                <w:p w14:paraId="306A7701">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cs="宋体"/>
                      <w:bCs/>
                      <w:color w:val="auto"/>
                      <w:kern w:val="2"/>
                      <w:sz w:val="21"/>
                      <w:szCs w:val="21"/>
                      <w:lang w:val="en-US" w:eastAsia="zh-CN" w:bidi="ar-SA"/>
                    </w:rPr>
                    <w:t>0.06</w:t>
                  </w:r>
                </w:p>
              </w:tc>
              <w:tc>
                <w:tcPr>
                  <w:tcW w:w="1296" w:type="dxa"/>
                  <w:tcBorders>
                    <w:tl2br w:val="nil"/>
                    <w:tr2bl w:val="nil"/>
                  </w:tcBorders>
                  <w:shd w:val="clear" w:color="auto" w:fill="auto"/>
                  <w:vAlign w:val="center"/>
                </w:tcPr>
                <w:p w14:paraId="13AB39CB">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w:t>
                  </w:r>
                  <w:r>
                    <w:rPr>
                      <w:rFonts w:hint="eastAsia" w:cs="宋体"/>
                      <w:bCs/>
                      <w:color w:val="auto"/>
                      <w:kern w:val="2"/>
                      <w:sz w:val="21"/>
                      <w:szCs w:val="21"/>
                      <w:lang w:val="en-US" w:eastAsia="zh-CN" w:bidi="ar-SA"/>
                    </w:rPr>
                    <w:t>036</w:t>
                  </w:r>
                </w:p>
              </w:tc>
            </w:tr>
            <w:tr w14:paraId="53A91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219" w:type="dxa"/>
                  <w:vMerge w:val="restart"/>
                  <w:tcBorders>
                    <w:tl2br w:val="nil"/>
                    <w:tr2bl w:val="nil"/>
                  </w:tcBorders>
                  <w:shd w:val="clear" w:color="auto" w:fill="auto"/>
                  <w:vAlign w:val="center"/>
                </w:tcPr>
                <w:p w14:paraId="4A4D26E2">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治理设备</w:t>
                  </w:r>
                </w:p>
              </w:tc>
              <w:tc>
                <w:tcPr>
                  <w:tcW w:w="2571" w:type="dxa"/>
                  <w:tcBorders>
                    <w:tl2br w:val="nil"/>
                    <w:tr2bl w:val="nil"/>
                  </w:tcBorders>
                  <w:shd w:val="clear" w:color="auto" w:fill="auto"/>
                  <w:vAlign w:val="center"/>
                </w:tcPr>
                <w:p w14:paraId="34E02470">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3512" w:type="dxa"/>
                  <w:gridSpan w:val="2"/>
                  <w:tcBorders>
                    <w:tl2br w:val="nil"/>
                    <w:tr2bl w:val="nil"/>
                  </w:tcBorders>
                  <w:vAlign w:val="center"/>
                </w:tcPr>
                <w:p w14:paraId="2D14F659">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集气罩、旋风分离器+滤筒除尘装置</w:t>
                  </w:r>
                </w:p>
              </w:tc>
              <w:tc>
                <w:tcPr>
                  <w:tcW w:w="3700" w:type="dxa"/>
                  <w:gridSpan w:val="5"/>
                  <w:tcBorders>
                    <w:tl2br w:val="nil"/>
                    <w:tr2bl w:val="nil"/>
                  </w:tcBorders>
                  <w:vAlign w:val="center"/>
                </w:tcPr>
                <w:p w14:paraId="0BA245B1">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集气罩+二级活性炭吸附装置</w:t>
                  </w:r>
                </w:p>
              </w:tc>
              <w:tc>
                <w:tcPr>
                  <w:tcW w:w="1296" w:type="dxa"/>
                  <w:tcBorders>
                    <w:tl2br w:val="nil"/>
                    <w:tr2bl w:val="nil"/>
                  </w:tcBorders>
                  <w:shd w:val="clear" w:color="auto" w:fill="auto"/>
                  <w:vAlign w:val="center"/>
                </w:tcPr>
                <w:p w14:paraId="54DEE98B">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Cs w:val="21"/>
                      <w:highlight w:val="none"/>
                      <w:lang w:val="en-US" w:eastAsia="zh-CN"/>
                    </w:rPr>
                  </w:pPr>
                  <w:r>
                    <w:rPr>
                      <w:rFonts w:hint="eastAsia" w:ascii="Times New Roman" w:hAnsi="Times New Roman" w:cs="Times New Roman"/>
                      <w:color w:val="auto"/>
                      <w:sz w:val="21"/>
                      <w:szCs w:val="21"/>
                      <w:lang w:val="en-US" w:eastAsia="zh-CN"/>
                    </w:rPr>
                    <w:t>-</w:t>
                  </w:r>
                </w:p>
              </w:tc>
            </w:tr>
            <w:tr w14:paraId="3532D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9" w:type="dxa"/>
                  <w:vMerge w:val="continue"/>
                  <w:tcBorders>
                    <w:tl2br w:val="nil"/>
                    <w:tr2bl w:val="nil"/>
                  </w:tcBorders>
                  <w:shd w:val="clear" w:color="auto" w:fill="auto"/>
                  <w:vAlign w:val="center"/>
                </w:tcPr>
                <w:p w14:paraId="140DCC8A">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571" w:type="dxa"/>
                  <w:tcBorders>
                    <w:tl2br w:val="nil"/>
                    <w:tr2bl w:val="nil"/>
                  </w:tcBorders>
                  <w:shd w:val="clear" w:color="auto" w:fill="auto"/>
                  <w:vAlign w:val="center"/>
                </w:tcPr>
                <w:p w14:paraId="3F80D729">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收集效率</w:t>
                  </w:r>
                </w:p>
              </w:tc>
              <w:tc>
                <w:tcPr>
                  <w:tcW w:w="3512" w:type="dxa"/>
                  <w:gridSpan w:val="2"/>
                  <w:tcBorders>
                    <w:tl2br w:val="nil"/>
                    <w:tr2bl w:val="nil"/>
                  </w:tcBorders>
                  <w:vAlign w:val="center"/>
                </w:tcPr>
                <w:p w14:paraId="00DF2C5D">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3700" w:type="dxa"/>
                  <w:gridSpan w:val="5"/>
                  <w:tcBorders>
                    <w:tl2br w:val="nil"/>
                    <w:tr2bl w:val="nil"/>
                  </w:tcBorders>
                  <w:vAlign w:val="center"/>
                </w:tcPr>
                <w:p w14:paraId="6BBBBF4A">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85%</w:t>
                  </w:r>
                </w:p>
              </w:tc>
              <w:tc>
                <w:tcPr>
                  <w:tcW w:w="1296" w:type="dxa"/>
                  <w:tcBorders>
                    <w:tl2br w:val="nil"/>
                    <w:tr2bl w:val="nil"/>
                  </w:tcBorders>
                  <w:shd w:val="clear" w:color="auto" w:fill="auto"/>
                  <w:vAlign w:val="center"/>
                </w:tcPr>
                <w:p w14:paraId="674AB724">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w:t>
                  </w:r>
                </w:p>
              </w:tc>
            </w:tr>
            <w:tr w14:paraId="0CDF3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9" w:type="dxa"/>
                  <w:vMerge w:val="continue"/>
                  <w:tcBorders>
                    <w:tl2br w:val="nil"/>
                    <w:tr2bl w:val="nil"/>
                  </w:tcBorders>
                  <w:shd w:val="clear" w:color="auto" w:fill="auto"/>
                  <w:vAlign w:val="center"/>
                </w:tcPr>
                <w:p w14:paraId="75B69013">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571" w:type="dxa"/>
                  <w:tcBorders>
                    <w:tl2br w:val="nil"/>
                    <w:tr2bl w:val="nil"/>
                  </w:tcBorders>
                  <w:shd w:val="clear" w:color="auto" w:fill="auto"/>
                  <w:vAlign w:val="center"/>
                </w:tcPr>
                <w:p w14:paraId="69C19BCA">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处理效率</w:t>
                  </w:r>
                </w:p>
              </w:tc>
              <w:tc>
                <w:tcPr>
                  <w:tcW w:w="3512" w:type="dxa"/>
                  <w:gridSpan w:val="2"/>
                  <w:tcBorders>
                    <w:tl2br w:val="nil"/>
                    <w:tr2bl w:val="nil"/>
                  </w:tcBorders>
                  <w:vAlign w:val="center"/>
                </w:tcPr>
                <w:p w14:paraId="413326AB">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c>
                <w:tcPr>
                  <w:tcW w:w="3700" w:type="dxa"/>
                  <w:gridSpan w:val="5"/>
                  <w:tcBorders>
                    <w:tl2br w:val="nil"/>
                    <w:tr2bl w:val="nil"/>
                  </w:tcBorders>
                  <w:vAlign w:val="center"/>
                </w:tcPr>
                <w:p w14:paraId="788D3994">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80</w:t>
                  </w:r>
                  <w:r>
                    <w:rPr>
                      <w:rFonts w:hint="eastAsia" w:ascii="Times New Roman" w:hAnsi="Times New Roman" w:cs="Times New Roman"/>
                      <w:color w:val="auto"/>
                      <w:sz w:val="21"/>
                      <w:szCs w:val="21"/>
                      <w:lang w:val="en-US" w:eastAsia="zh-CN"/>
                    </w:rPr>
                    <w:t>%</w:t>
                  </w:r>
                </w:p>
              </w:tc>
              <w:tc>
                <w:tcPr>
                  <w:tcW w:w="1296" w:type="dxa"/>
                  <w:tcBorders>
                    <w:tl2br w:val="nil"/>
                    <w:tr2bl w:val="nil"/>
                  </w:tcBorders>
                  <w:shd w:val="clear" w:color="auto" w:fill="auto"/>
                  <w:vAlign w:val="center"/>
                </w:tcPr>
                <w:p w14:paraId="167DA1B3">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p>
              </w:tc>
            </w:tr>
            <w:tr w14:paraId="6BC92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19" w:type="dxa"/>
                  <w:vMerge w:val="continue"/>
                  <w:tcBorders>
                    <w:tl2br w:val="nil"/>
                    <w:tr2bl w:val="nil"/>
                  </w:tcBorders>
                  <w:shd w:val="clear" w:color="auto" w:fill="auto"/>
                  <w:vAlign w:val="center"/>
                </w:tcPr>
                <w:p w14:paraId="3C4C9D91">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571" w:type="dxa"/>
                  <w:tcBorders>
                    <w:tl2br w:val="nil"/>
                    <w:tr2bl w:val="nil"/>
                  </w:tcBorders>
                  <w:shd w:val="clear" w:color="auto" w:fill="auto"/>
                  <w:vAlign w:val="center"/>
                </w:tcPr>
                <w:p w14:paraId="6860E652">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kern w:val="0"/>
                      <w:szCs w:val="21"/>
                      <w:highlight w:val="none"/>
                    </w:rPr>
                    <w:t>处理能力（</w:t>
                  </w:r>
                  <w:r>
                    <w:rPr>
                      <w:rFonts w:hint="eastAsia" w:eastAsia="宋体" w:cs="Times New Roman"/>
                      <w:bCs/>
                      <w:color w:val="auto"/>
                      <w:kern w:val="0"/>
                      <w:szCs w:val="21"/>
                      <w:highlight w:val="none"/>
                      <w:lang w:val="en-US" w:eastAsia="zh-CN"/>
                    </w:rPr>
                    <w:t>m</w:t>
                  </w:r>
                  <w:r>
                    <w:rPr>
                      <w:rFonts w:hint="eastAsia" w:eastAsia="宋体" w:cs="Times New Roman"/>
                      <w:bCs/>
                      <w:color w:val="auto"/>
                      <w:kern w:val="0"/>
                      <w:szCs w:val="21"/>
                      <w:highlight w:val="none"/>
                      <w:vertAlign w:val="superscript"/>
                      <w:lang w:val="en-US" w:eastAsia="zh-CN"/>
                    </w:rPr>
                    <w:t>3</w:t>
                  </w:r>
                  <w:r>
                    <w:rPr>
                      <w:rFonts w:hint="default" w:ascii="Times New Roman" w:hAnsi="Times New Roman" w:eastAsia="宋体" w:cs="Times New Roman"/>
                      <w:bCs/>
                      <w:color w:val="auto"/>
                      <w:kern w:val="0"/>
                      <w:szCs w:val="21"/>
                      <w:highlight w:val="none"/>
                    </w:rPr>
                    <w:t>/h）</w:t>
                  </w:r>
                </w:p>
              </w:tc>
              <w:tc>
                <w:tcPr>
                  <w:tcW w:w="3512" w:type="dxa"/>
                  <w:gridSpan w:val="2"/>
                  <w:tcBorders>
                    <w:tl2br w:val="nil"/>
                    <w:tr2bl w:val="nil"/>
                  </w:tcBorders>
                  <w:vAlign w:val="center"/>
                </w:tcPr>
                <w:p w14:paraId="6B4A1D12">
                  <w:pPr>
                    <w:pStyle w:val="33"/>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r>
                    <w:rPr>
                      <w:rFonts w:hint="eastAsia" w:ascii="Times New Roman" w:hAnsi="Times New Roman" w:cs="Times New Roman"/>
                      <w:color w:val="auto"/>
                      <w:sz w:val="21"/>
                      <w:szCs w:val="21"/>
                      <w:lang w:val="en-US" w:eastAsia="zh-CN"/>
                    </w:rPr>
                    <w:t>000</w:t>
                  </w:r>
                </w:p>
              </w:tc>
              <w:tc>
                <w:tcPr>
                  <w:tcW w:w="3700" w:type="dxa"/>
                  <w:gridSpan w:val="5"/>
                  <w:tcBorders>
                    <w:tl2br w:val="nil"/>
                    <w:tr2bl w:val="nil"/>
                  </w:tcBorders>
                  <w:vAlign w:val="center"/>
                </w:tcPr>
                <w:p w14:paraId="18114612">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10000</w:t>
                  </w:r>
                </w:p>
              </w:tc>
              <w:tc>
                <w:tcPr>
                  <w:tcW w:w="1296" w:type="dxa"/>
                  <w:tcBorders>
                    <w:tl2br w:val="nil"/>
                    <w:tr2bl w:val="nil"/>
                  </w:tcBorders>
                  <w:shd w:val="clear" w:color="auto" w:fill="auto"/>
                  <w:vAlign w:val="center"/>
                </w:tcPr>
                <w:p w14:paraId="534E6D93">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33F2FF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19" w:type="dxa"/>
                  <w:vMerge w:val="continue"/>
                  <w:tcBorders>
                    <w:tl2br w:val="nil"/>
                    <w:tr2bl w:val="nil"/>
                  </w:tcBorders>
                  <w:shd w:val="clear" w:color="auto" w:fill="auto"/>
                  <w:vAlign w:val="center"/>
                </w:tcPr>
                <w:p w14:paraId="35D5D161">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2571" w:type="dxa"/>
                  <w:tcBorders>
                    <w:tl2br w:val="nil"/>
                    <w:tr2bl w:val="nil"/>
                  </w:tcBorders>
                  <w:shd w:val="clear" w:color="auto" w:fill="auto"/>
                  <w:vAlign w:val="center"/>
                </w:tcPr>
                <w:p w14:paraId="5BABB810">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是否可行技术</w:t>
                  </w:r>
                </w:p>
              </w:tc>
              <w:tc>
                <w:tcPr>
                  <w:tcW w:w="3512" w:type="dxa"/>
                  <w:gridSpan w:val="2"/>
                  <w:tcBorders>
                    <w:tl2br w:val="nil"/>
                    <w:tr2bl w:val="nil"/>
                  </w:tcBorders>
                  <w:vAlign w:val="center"/>
                </w:tcPr>
                <w:p w14:paraId="6006146B">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c>
                <w:tcPr>
                  <w:tcW w:w="3700" w:type="dxa"/>
                  <w:gridSpan w:val="5"/>
                  <w:tcBorders>
                    <w:tl2br w:val="nil"/>
                    <w:tr2bl w:val="nil"/>
                  </w:tcBorders>
                  <w:vAlign w:val="center"/>
                </w:tcPr>
                <w:p w14:paraId="6EB2CB2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c>
                <w:tcPr>
                  <w:tcW w:w="1296" w:type="dxa"/>
                  <w:tcBorders>
                    <w:tl2br w:val="nil"/>
                    <w:tr2bl w:val="nil"/>
                  </w:tcBorders>
                  <w:shd w:val="clear" w:color="auto" w:fill="auto"/>
                  <w:vAlign w:val="center"/>
                </w:tcPr>
                <w:p w14:paraId="0EEB0D8C">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1400F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1219" w:type="dxa"/>
                  <w:vMerge w:val="restart"/>
                  <w:tcBorders>
                    <w:tl2br w:val="nil"/>
                    <w:tr2bl w:val="nil"/>
                  </w:tcBorders>
                  <w:shd w:val="clear" w:color="auto" w:fill="auto"/>
                  <w:vAlign w:val="center"/>
                </w:tcPr>
                <w:p w14:paraId="06232E81">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有组织</w:t>
                  </w:r>
                </w:p>
              </w:tc>
              <w:tc>
                <w:tcPr>
                  <w:tcW w:w="2571" w:type="dxa"/>
                  <w:tcBorders>
                    <w:tl2br w:val="nil"/>
                    <w:tr2bl w:val="nil"/>
                  </w:tcBorders>
                  <w:shd w:val="clear" w:color="auto" w:fill="auto"/>
                  <w:vAlign w:val="center"/>
                </w:tcPr>
                <w:p w14:paraId="4E7922F0">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污染物排放量（t/a）</w:t>
                  </w:r>
                </w:p>
              </w:tc>
              <w:tc>
                <w:tcPr>
                  <w:tcW w:w="3512" w:type="dxa"/>
                  <w:gridSpan w:val="2"/>
                  <w:tcBorders>
                    <w:tl2br w:val="nil"/>
                    <w:tr2bl w:val="nil"/>
                  </w:tcBorders>
                  <w:vAlign w:val="center"/>
                </w:tcPr>
                <w:p w14:paraId="1894CC61">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0.42</w:t>
                  </w:r>
                  <w:r>
                    <w:rPr>
                      <w:rFonts w:hint="eastAsia" w:cs="Times New Roman"/>
                      <w:color w:val="auto"/>
                      <w:sz w:val="21"/>
                      <w:szCs w:val="21"/>
                      <w:lang w:val="en-US" w:eastAsia="zh-CN"/>
                    </w:rPr>
                    <w:t>16</w:t>
                  </w:r>
                </w:p>
              </w:tc>
              <w:tc>
                <w:tcPr>
                  <w:tcW w:w="1938" w:type="dxa"/>
                  <w:gridSpan w:val="2"/>
                  <w:tcBorders>
                    <w:tl2br w:val="nil"/>
                    <w:tr2bl w:val="nil"/>
                  </w:tcBorders>
                  <w:vAlign w:val="center"/>
                </w:tcPr>
                <w:p w14:paraId="37882ABE">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714</w:t>
                  </w:r>
                </w:p>
              </w:tc>
              <w:tc>
                <w:tcPr>
                  <w:tcW w:w="1762" w:type="dxa"/>
                  <w:gridSpan w:val="3"/>
                  <w:tcBorders>
                    <w:tl2br w:val="nil"/>
                    <w:tr2bl w:val="nil"/>
                  </w:tcBorders>
                  <w:shd w:val="clear" w:color="auto" w:fill="auto"/>
                  <w:vAlign w:val="center"/>
                </w:tcPr>
                <w:p w14:paraId="280ACFB9">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0.085</w:t>
                  </w:r>
                </w:p>
              </w:tc>
              <w:tc>
                <w:tcPr>
                  <w:tcW w:w="1296" w:type="dxa"/>
                  <w:tcBorders>
                    <w:tl2br w:val="nil"/>
                    <w:tr2bl w:val="nil"/>
                  </w:tcBorders>
                  <w:shd w:val="clear" w:color="auto" w:fill="auto"/>
                  <w:vAlign w:val="center"/>
                </w:tcPr>
                <w:p w14:paraId="403841E6">
                  <w:pPr>
                    <w:pStyle w:val="33"/>
                    <w:adjustRightInd w:val="0"/>
                    <w:snapToGri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0B93E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219" w:type="dxa"/>
                  <w:vMerge w:val="continue"/>
                  <w:tcBorders>
                    <w:tl2br w:val="nil"/>
                    <w:tr2bl w:val="nil"/>
                  </w:tcBorders>
                  <w:shd w:val="clear" w:color="auto" w:fill="auto"/>
                  <w:vAlign w:val="center"/>
                </w:tcPr>
                <w:p w14:paraId="7F1502EE">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2571" w:type="dxa"/>
                  <w:tcBorders>
                    <w:tl2br w:val="nil"/>
                    <w:tr2bl w:val="nil"/>
                  </w:tcBorders>
                  <w:shd w:val="clear" w:color="auto" w:fill="auto"/>
                  <w:vAlign w:val="center"/>
                </w:tcPr>
                <w:p w14:paraId="530E0EBF">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污染物排放速率（kg/h）</w:t>
                  </w:r>
                </w:p>
              </w:tc>
              <w:tc>
                <w:tcPr>
                  <w:tcW w:w="3512" w:type="dxa"/>
                  <w:gridSpan w:val="2"/>
                  <w:tcBorders>
                    <w:tl2br w:val="nil"/>
                    <w:tr2bl w:val="nil"/>
                  </w:tcBorders>
                  <w:vAlign w:val="center"/>
                </w:tcPr>
                <w:p w14:paraId="5E58934A">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0.175</w:t>
                  </w:r>
                  <w:r>
                    <w:rPr>
                      <w:rFonts w:hint="eastAsia" w:cs="Times New Roman"/>
                      <w:color w:val="auto"/>
                      <w:kern w:val="2"/>
                      <w:sz w:val="21"/>
                      <w:szCs w:val="21"/>
                      <w:lang w:val="en-US" w:eastAsia="zh-CN" w:bidi="ar-SA"/>
                    </w:rPr>
                    <w:t>7</w:t>
                  </w:r>
                </w:p>
              </w:tc>
              <w:tc>
                <w:tcPr>
                  <w:tcW w:w="1938" w:type="dxa"/>
                  <w:gridSpan w:val="2"/>
                  <w:tcBorders>
                    <w:tl2br w:val="nil"/>
                    <w:tr2bl w:val="nil"/>
                  </w:tcBorders>
                  <w:vAlign w:val="center"/>
                </w:tcPr>
                <w:p w14:paraId="492D9986">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2975</w:t>
                  </w:r>
                </w:p>
              </w:tc>
              <w:tc>
                <w:tcPr>
                  <w:tcW w:w="1762" w:type="dxa"/>
                  <w:gridSpan w:val="3"/>
                  <w:tcBorders>
                    <w:tl2br w:val="nil"/>
                    <w:tr2bl w:val="nil"/>
                  </w:tcBorders>
                  <w:shd w:val="clear" w:color="auto" w:fill="auto"/>
                  <w:vAlign w:val="center"/>
                </w:tcPr>
                <w:p w14:paraId="664431C4">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0354</w:t>
                  </w:r>
                </w:p>
              </w:tc>
              <w:tc>
                <w:tcPr>
                  <w:tcW w:w="1296" w:type="dxa"/>
                  <w:tcBorders>
                    <w:tl2br w:val="nil"/>
                    <w:tr2bl w:val="nil"/>
                  </w:tcBorders>
                  <w:shd w:val="clear" w:color="auto" w:fill="auto"/>
                  <w:vAlign w:val="center"/>
                </w:tcPr>
                <w:p w14:paraId="7A2A147B">
                  <w:pPr>
                    <w:pStyle w:val="33"/>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r>
            <w:tr w14:paraId="2CA62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9" w:type="dxa"/>
                  <w:vMerge w:val="continue"/>
                  <w:tcBorders>
                    <w:tl2br w:val="nil"/>
                    <w:tr2bl w:val="nil"/>
                  </w:tcBorders>
                  <w:shd w:val="clear" w:color="auto" w:fill="auto"/>
                  <w:vAlign w:val="center"/>
                </w:tcPr>
                <w:p w14:paraId="7898B24D">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2571" w:type="dxa"/>
                  <w:tcBorders>
                    <w:tl2br w:val="nil"/>
                    <w:tr2bl w:val="nil"/>
                  </w:tcBorders>
                  <w:shd w:val="clear" w:color="auto" w:fill="auto"/>
                  <w:vAlign w:val="center"/>
                </w:tcPr>
                <w:p w14:paraId="5C4FDBD7">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3512" w:type="dxa"/>
                  <w:gridSpan w:val="2"/>
                  <w:tcBorders>
                    <w:tl2br w:val="nil"/>
                    <w:tr2bl w:val="nil"/>
                  </w:tcBorders>
                  <w:vAlign w:val="center"/>
                </w:tcPr>
                <w:p w14:paraId="39A7FDA2">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8.7833</w:t>
                  </w:r>
                </w:p>
              </w:tc>
              <w:tc>
                <w:tcPr>
                  <w:tcW w:w="1938" w:type="dxa"/>
                  <w:gridSpan w:val="2"/>
                  <w:tcBorders>
                    <w:tl2br w:val="nil"/>
                    <w:tr2bl w:val="nil"/>
                  </w:tcBorders>
                  <w:vAlign w:val="center"/>
                </w:tcPr>
                <w:p w14:paraId="02C4DFC0">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2975</w:t>
                  </w:r>
                </w:p>
              </w:tc>
              <w:tc>
                <w:tcPr>
                  <w:tcW w:w="1762" w:type="dxa"/>
                  <w:gridSpan w:val="3"/>
                  <w:tcBorders>
                    <w:tl2br w:val="nil"/>
                    <w:tr2bl w:val="nil"/>
                  </w:tcBorders>
                  <w:shd w:val="clear" w:color="auto" w:fill="auto"/>
                  <w:vAlign w:val="center"/>
                </w:tcPr>
                <w:p w14:paraId="2A18A7C2">
                  <w:pPr>
                    <w:pStyle w:val="3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296" w:type="dxa"/>
                  <w:tcBorders>
                    <w:tl2br w:val="nil"/>
                    <w:tr2bl w:val="nil"/>
                  </w:tcBorders>
                  <w:shd w:val="clear" w:color="auto" w:fill="auto"/>
                  <w:vAlign w:val="center"/>
                </w:tcPr>
                <w:p w14:paraId="68C7059B">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39874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9" w:type="dxa"/>
                  <w:vMerge w:val="restart"/>
                  <w:tcBorders>
                    <w:tl2br w:val="nil"/>
                    <w:tr2bl w:val="nil"/>
                  </w:tcBorders>
                  <w:shd w:val="clear" w:color="auto" w:fill="auto"/>
                  <w:vAlign w:val="center"/>
                </w:tcPr>
                <w:p w14:paraId="0113064E">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排放口基本情况</w:t>
                  </w:r>
                </w:p>
              </w:tc>
              <w:tc>
                <w:tcPr>
                  <w:tcW w:w="2571" w:type="dxa"/>
                  <w:tcBorders>
                    <w:tl2br w:val="nil"/>
                    <w:tr2bl w:val="nil"/>
                  </w:tcBorders>
                  <w:shd w:val="clear" w:color="auto" w:fill="auto"/>
                  <w:vAlign w:val="center"/>
                </w:tcPr>
                <w:p w14:paraId="4FD4B59E">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编号</w:t>
                  </w:r>
                </w:p>
              </w:tc>
              <w:tc>
                <w:tcPr>
                  <w:tcW w:w="3512" w:type="dxa"/>
                  <w:gridSpan w:val="2"/>
                  <w:tcBorders>
                    <w:tl2br w:val="nil"/>
                    <w:tr2bl w:val="nil"/>
                  </w:tcBorders>
                  <w:vAlign w:val="center"/>
                </w:tcPr>
                <w:p w14:paraId="608BF364">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DA001</w:t>
                  </w:r>
                </w:p>
              </w:tc>
              <w:tc>
                <w:tcPr>
                  <w:tcW w:w="3700" w:type="dxa"/>
                  <w:gridSpan w:val="5"/>
                  <w:tcBorders>
                    <w:tl2br w:val="nil"/>
                    <w:tr2bl w:val="nil"/>
                  </w:tcBorders>
                  <w:vAlign w:val="center"/>
                </w:tcPr>
                <w:p w14:paraId="7AED8D75">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DA002</w:t>
                  </w:r>
                </w:p>
              </w:tc>
              <w:tc>
                <w:tcPr>
                  <w:tcW w:w="1296" w:type="dxa"/>
                  <w:tcBorders>
                    <w:tl2br w:val="nil"/>
                    <w:tr2bl w:val="nil"/>
                  </w:tcBorders>
                  <w:vAlign w:val="center"/>
                </w:tcPr>
                <w:p w14:paraId="5C50BB97">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p>
              </w:tc>
            </w:tr>
            <w:tr w14:paraId="60727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9" w:type="dxa"/>
                  <w:vMerge w:val="continue"/>
                  <w:tcBorders>
                    <w:tl2br w:val="nil"/>
                    <w:tr2bl w:val="nil"/>
                  </w:tcBorders>
                  <w:shd w:val="clear" w:color="auto" w:fill="auto"/>
                  <w:vAlign w:val="center"/>
                </w:tcPr>
                <w:p w14:paraId="716F5343">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p>
              </w:tc>
              <w:tc>
                <w:tcPr>
                  <w:tcW w:w="2571" w:type="dxa"/>
                  <w:tcBorders>
                    <w:tl2br w:val="nil"/>
                    <w:tr2bl w:val="nil"/>
                  </w:tcBorders>
                  <w:shd w:val="clear" w:color="auto" w:fill="auto"/>
                  <w:vAlign w:val="center"/>
                </w:tcPr>
                <w:p w14:paraId="3E6B35F4">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名称</w:t>
                  </w:r>
                </w:p>
              </w:tc>
              <w:tc>
                <w:tcPr>
                  <w:tcW w:w="3512" w:type="dxa"/>
                  <w:gridSpan w:val="2"/>
                  <w:tcBorders>
                    <w:tl2br w:val="nil"/>
                    <w:tr2bl w:val="nil"/>
                  </w:tcBorders>
                  <w:vAlign w:val="center"/>
                </w:tcPr>
                <w:p w14:paraId="4492CABD">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废气排放筒</w:t>
                  </w:r>
                </w:p>
              </w:tc>
              <w:tc>
                <w:tcPr>
                  <w:tcW w:w="3700" w:type="dxa"/>
                  <w:gridSpan w:val="5"/>
                  <w:tcBorders>
                    <w:tl2br w:val="nil"/>
                    <w:tr2bl w:val="nil"/>
                  </w:tcBorders>
                  <w:vAlign w:val="center"/>
                </w:tcPr>
                <w:p w14:paraId="65EB8A0B">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rPr>
                    <w:t>废气排放筒</w:t>
                  </w:r>
                </w:p>
              </w:tc>
              <w:tc>
                <w:tcPr>
                  <w:tcW w:w="1296" w:type="dxa"/>
                  <w:tcBorders>
                    <w:tl2br w:val="nil"/>
                    <w:tr2bl w:val="nil"/>
                  </w:tcBorders>
                  <w:vAlign w:val="center"/>
                </w:tcPr>
                <w:p w14:paraId="6DF761A0">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130EE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1219" w:type="dxa"/>
                  <w:vMerge w:val="continue"/>
                  <w:tcBorders>
                    <w:tl2br w:val="nil"/>
                    <w:tr2bl w:val="nil"/>
                  </w:tcBorders>
                  <w:shd w:val="clear" w:color="auto" w:fill="auto"/>
                  <w:vAlign w:val="center"/>
                </w:tcPr>
                <w:p w14:paraId="23418826">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p>
              </w:tc>
              <w:tc>
                <w:tcPr>
                  <w:tcW w:w="2571" w:type="dxa"/>
                  <w:tcBorders>
                    <w:tl2br w:val="nil"/>
                    <w:tr2bl w:val="nil"/>
                  </w:tcBorders>
                  <w:shd w:val="clear" w:color="auto" w:fill="auto"/>
                  <w:vAlign w:val="center"/>
                </w:tcPr>
                <w:p w14:paraId="327ADF3F">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类型</w:t>
                  </w:r>
                </w:p>
              </w:tc>
              <w:tc>
                <w:tcPr>
                  <w:tcW w:w="3512" w:type="dxa"/>
                  <w:gridSpan w:val="2"/>
                  <w:tcBorders>
                    <w:tl2br w:val="nil"/>
                    <w:tr2bl w:val="nil"/>
                  </w:tcBorders>
                  <w:vAlign w:val="center"/>
                </w:tcPr>
                <w:p w14:paraId="7D08A5B0">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eastAsia="宋体" w:cs="Times New Roman"/>
                      <w:bCs/>
                      <w:color w:val="auto"/>
                      <w:kern w:val="0"/>
                      <w:szCs w:val="21"/>
                      <w:highlight w:val="none"/>
                      <w:lang w:val="en-US" w:eastAsia="zh-CN"/>
                    </w:rPr>
                    <w:t>一般排放口</w:t>
                  </w:r>
                </w:p>
              </w:tc>
              <w:tc>
                <w:tcPr>
                  <w:tcW w:w="3700" w:type="dxa"/>
                  <w:gridSpan w:val="5"/>
                  <w:tcBorders>
                    <w:tl2br w:val="nil"/>
                    <w:tr2bl w:val="nil"/>
                  </w:tcBorders>
                  <w:vAlign w:val="center"/>
                </w:tcPr>
                <w:p w14:paraId="5CAD850F">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Cs w:val="21"/>
                      <w:highlight w:val="none"/>
                      <w:lang w:val="en-US" w:eastAsia="zh-CN"/>
                    </w:rPr>
                    <w:t>一般排放口</w:t>
                  </w:r>
                </w:p>
              </w:tc>
              <w:tc>
                <w:tcPr>
                  <w:tcW w:w="1296" w:type="dxa"/>
                  <w:tcBorders>
                    <w:tl2br w:val="nil"/>
                    <w:tr2bl w:val="nil"/>
                  </w:tcBorders>
                  <w:vAlign w:val="center"/>
                </w:tcPr>
                <w:p w14:paraId="193A1EBB">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rPr>
                  </w:pPr>
                  <w:r>
                    <w:rPr>
                      <w:rFonts w:hint="eastAsia" w:ascii="Times New Roman" w:hAnsi="Times New Roman" w:eastAsia="宋体" w:cs="Times New Roman"/>
                      <w:bCs/>
                      <w:color w:val="auto"/>
                      <w:kern w:val="0"/>
                      <w:sz w:val="21"/>
                      <w:szCs w:val="21"/>
                      <w:lang w:val="en-US" w:eastAsia="zh-CN"/>
                    </w:rPr>
                    <w:t>-</w:t>
                  </w:r>
                </w:p>
              </w:tc>
            </w:tr>
            <w:tr w14:paraId="0ED09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3790" w:type="dxa"/>
                  <w:gridSpan w:val="2"/>
                  <w:tcBorders>
                    <w:tl2br w:val="nil"/>
                    <w:tr2bl w:val="nil"/>
                  </w:tcBorders>
                  <w:shd w:val="clear" w:color="auto" w:fill="auto"/>
                  <w:vAlign w:val="center"/>
                </w:tcPr>
                <w:p w14:paraId="7AAEB8A1">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排放标准（mg/m</w:t>
                  </w:r>
                  <w:r>
                    <w:rPr>
                      <w:rFonts w:hint="default" w:ascii="Times New Roman" w:hAnsi="Times New Roman" w:cs="Times New Roman"/>
                      <w:bCs/>
                      <w:color w:val="auto"/>
                      <w:kern w:val="0"/>
                      <w:sz w:val="21"/>
                      <w:szCs w:val="21"/>
                      <w:vertAlign w:val="superscript"/>
                    </w:rPr>
                    <w:t>3</w:t>
                  </w:r>
                  <w:r>
                    <w:rPr>
                      <w:rFonts w:hint="default" w:ascii="Times New Roman" w:hAnsi="Times New Roman" w:cs="Times New Roman"/>
                      <w:bCs/>
                      <w:color w:val="auto"/>
                      <w:kern w:val="0"/>
                      <w:sz w:val="21"/>
                      <w:szCs w:val="21"/>
                    </w:rPr>
                    <w:t>）</w:t>
                  </w:r>
                </w:p>
              </w:tc>
              <w:tc>
                <w:tcPr>
                  <w:tcW w:w="1807" w:type="dxa"/>
                  <w:tcBorders>
                    <w:tl2br w:val="nil"/>
                    <w:tr2bl w:val="nil"/>
                  </w:tcBorders>
                  <w:shd w:val="clear" w:color="auto" w:fill="auto"/>
                  <w:vAlign w:val="center"/>
                </w:tcPr>
                <w:p w14:paraId="526C9E2E">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lang w:val="en-US"/>
                    </w:rPr>
                  </w:pPr>
                  <w:r>
                    <w:rPr>
                      <w:rFonts w:hint="eastAsia" w:cs="Times New Roman"/>
                      <w:bCs/>
                      <w:color w:val="auto"/>
                      <w:kern w:val="0"/>
                      <w:szCs w:val="21"/>
                      <w:highlight w:val="none"/>
                      <w:lang w:val="en-US" w:eastAsia="zh-CN"/>
                    </w:rPr>
                    <w:t>20</w:t>
                  </w:r>
                </w:p>
              </w:tc>
              <w:tc>
                <w:tcPr>
                  <w:tcW w:w="1705" w:type="dxa"/>
                  <w:tcBorders>
                    <w:tl2br w:val="nil"/>
                    <w:tr2bl w:val="nil"/>
                  </w:tcBorders>
                  <w:shd w:val="clear" w:color="auto" w:fill="auto"/>
                  <w:vAlign w:val="center"/>
                </w:tcPr>
                <w:p w14:paraId="02133EDD">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1.0</w:t>
                  </w:r>
                </w:p>
              </w:tc>
              <w:tc>
                <w:tcPr>
                  <w:tcW w:w="905" w:type="dxa"/>
                  <w:tcBorders>
                    <w:tl2br w:val="nil"/>
                    <w:tr2bl w:val="nil"/>
                  </w:tcBorders>
                  <w:shd w:val="clear" w:color="auto" w:fill="auto"/>
                  <w:vAlign w:val="center"/>
                </w:tcPr>
                <w:p w14:paraId="4021567A">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rPr>
                  </w:pPr>
                  <w:r>
                    <w:rPr>
                      <w:rFonts w:hint="eastAsia" w:cs="Times New Roman"/>
                      <w:bCs/>
                      <w:color w:val="auto"/>
                      <w:kern w:val="0"/>
                      <w:sz w:val="21"/>
                      <w:szCs w:val="21"/>
                      <w:lang w:val="en-US" w:eastAsia="zh-CN"/>
                    </w:rPr>
                    <w:t>60</w:t>
                  </w:r>
                </w:p>
              </w:tc>
              <w:tc>
                <w:tcPr>
                  <w:tcW w:w="1033" w:type="dxa"/>
                  <w:tcBorders>
                    <w:tl2br w:val="nil"/>
                    <w:tr2bl w:val="nil"/>
                  </w:tcBorders>
                  <w:shd w:val="clear" w:color="auto" w:fill="auto"/>
                  <w:vAlign w:val="center"/>
                </w:tcPr>
                <w:p w14:paraId="470B7156">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3.0</w:t>
                  </w:r>
                </w:p>
              </w:tc>
              <w:tc>
                <w:tcPr>
                  <w:tcW w:w="881" w:type="dxa"/>
                  <w:gridSpan w:val="2"/>
                  <w:tcBorders>
                    <w:tl2br w:val="nil"/>
                    <w:tr2bl w:val="nil"/>
                  </w:tcBorders>
                  <w:shd w:val="clear" w:color="auto" w:fill="auto"/>
                  <w:vAlign w:val="center"/>
                </w:tcPr>
                <w:p w14:paraId="3FEAA4F7">
                  <w:pPr>
                    <w:pStyle w:val="33"/>
                    <w:adjustRightInd w:val="0"/>
                    <w:snapToGrid w:val="0"/>
                    <w:spacing w:line="240" w:lineRule="auto"/>
                    <w:ind w:firstLine="0" w:firstLineChars="0"/>
                    <w:jc w:val="center"/>
                    <w:rPr>
                      <w:rFonts w:hint="eastAsia" w:ascii="Times New Roman" w:hAnsi="Times New Roman" w:eastAsia="宋体" w:cs="Times New Roman"/>
                      <w:b w:val="0"/>
                      <w:bCs/>
                      <w:color w:val="auto"/>
                      <w:kern w:val="0"/>
                      <w:sz w:val="21"/>
                      <w:szCs w:val="21"/>
                      <w:lang w:val="en-US" w:eastAsia="zh-CN"/>
                    </w:rPr>
                  </w:pPr>
                  <w:r>
                    <w:rPr>
                      <w:rFonts w:hint="eastAsia" w:cs="Times New Roman"/>
                      <w:bCs/>
                      <w:color w:val="auto"/>
                      <w:kern w:val="0"/>
                      <w:sz w:val="21"/>
                      <w:szCs w:val="21"/>
                      <w:lang w:val="en-US" w:eastAsia="zh-CN"/>
                    </w:rPr>
                    <w:t>20-30</w:t>
                  </w:r>
                </w:p>
              </w:tc>
              <w:tc>
                <w:tcPr>
                  <w:tcW w:w="881" w:type="dxa"/>
                  <w:tcBorders>
                    <w:tl2br w:val="nil"/>
                    <w:tr2bl w:val="nil"/>
                  </w:tcBorders>
                  <w:shd w:val="clear" w:color="auto" w:fill="auto"/>
                  <w:vAlign w:val="center"/>
                </w:tcPr>
                <w:p w14:paraId="2C8E5459">
                  <w:pPr>
                    <w:pStyle w:val="33"/>
                    <w:adjustRightInd w:val="0"/>
                    <w:snapToGrid w:val="0"/>
                    <w:spacing w:line="240" w:lineRule="auto"/>
                    <w:ind w:firstLine="0" w:firstLineChars="0"/>
                    <w:jc w:val="center"/>
                    <w:rPr>
                      <w:rFonts w:hint="eastAsia" w:ascii="Times New Roman" w:hAnsi="Times New Roman" w:cs="Times New Roman"/>
                      <w:b w:val="0"/>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3.0</w:t>
                  </w:r>
                </w:p>
              </w:tc>
              <w:tc>
                <w:tcPr>
                  <w:tcW w:w="1296" w:type="dxa"/>
                  <w:tcBorders>
                    <w:tl2br w:val="nil"/>
                    <w:tr2bl w:val="nil"/>
                  </w:tcBorders>
                  <w:shd w:val="clear" w:color="auto" w:fill="auto"/>
                  <w:vAlign w:val="center"/>
                </w:tcPr>
                <w:p w14:paraId="2A2F4B29">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1.0</w:t>
                  </w:r>
                </w:p>
              </w:tc>
            </w:tr>
            <w:tr w14:paraId="3C6BB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3790" w:type="dxa"/>
                  <w:gridSpan w:val="2"/>
                  <w:tcBorders>
                    <w:tl2br w:val="nil"/>
                    <w:tr2bl w:val="nil"/>
                  </w:tcBorders>
                  <w:shd w:val="clear" w:color="auto" w:fill="auto"/>
                  <w:vAlign w:val="center"/>
                </w:tcPr>
                <w:p w14:paraId="32A42172">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1807" w:type="dxa"/>
                  <w:tcBorders>
                    <w:tl2br w:val="nil"/>
                    <w:tr2bl w:val="nil"/>
                  </w:tcBorders>
                  <w:shd w:val="clear" w:color="auto" w:fill="auto"/>
                  <w:vAlign w:val="center"/>
                </w:tcPr>
                <w:p w14:paraId="2712C9A7">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1705" w:type="dxa"/>
                  <w:tcBorders>
                    <w:tl2br w:val="nil"/>
                    <w:tr2bl w:val="nil"/>
                  </w:tcBorders>
                  <w:shd w:val="clear" w:color="auto" w:fill="auto"/>
                  <w:vAlign w:val="center"/>
                </w:tcPr>
                <w:p w14:paraId="0366EC39">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w:t>
                  </w:r>
                </w:p>
              </w:tc>
              <w:tc>
                <w:tcPr>
                  <w:tcW w:w="905" w:type="dxa"/>
                  <w:tcBorders>
                    <w:tl2br w:val="nil"/>
                    <w:tr2bl w:val="nil"/>
                  </w:tcBorders>
                  <w:shd w:val="clear" w:color="auto" w:fill="auto"/>
                  <w:vAlign w:val="center"/>
                </w:tcPr>
                <w:p w14:paraId="1E039D68">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1033" w:type="dxa"/>
                  <w:tcBorders>
                    <w:tl2br w:val="nil"/>
                    <w:tr2bl w:val="nil"/>
                  </w:tcBorders>
                  <w:shd w:val="clear" w:color="auto" w:fill="auto"/>
                  <w:vAlign w:val="center"/>
                </w:tcPr>
                <w:p w14:paraId="01C1039B">
                  <w:pPr>
                    <w:pStyle w:val="33"/>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881" w:type="dxa"/>
                  <w:gridSpan w:val="2"/>
                  <w:tcBorders>
                    <w:tl2br w:val="nil"/>
                    <w:tr2bl w:val="nil"/>
                  </w:tcBorders>
                  <w:shd w:val="clear" w:color="auto" w:fill="auto"/>
                  <w:vAlign w:val="center"/>
                </w:tcPr>
                <w:p w14:paraId="5E13527F">
                  <w:pPr>
                    <w:pStyle w:val="33"/>
                    <w:adjustRightInd w:val="0"/>
                    <w:snapToGrid w:val="0"/>
                    <w:spacing w:line="240" w:lineRule="auto"/>
                    <w:ind w:firstLine="0" w:firstLineChars="0"/>
                    <w:jc w:val="center"/>
                    <w:rPr>
                      <w:rFonts w:hint="eastAsia" w:ascii="Times New Roman" w:hAnsi="Times New Roman" w:eastAsia="宋体" w:cs="Times New Roman"/>
                      <w:b w:val="0"/>
                      <w:bCs/>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881" w:type="dxa"/>
                  <w:tcBorders>
                    <w:tl2br w:val="nil"/>
                    <w:tr2bl w:val="nil"/>
                  </w:tcBorders>
                  <w:shd w:val="clear" w:color="auto" w:fill="auto"/>
                  <w:vAlign w:val="center"/>
                </w:tcPr>
                <w:p w14:paraId="04592E08">
                  <w:pPr>
                    <w:pStyle w:val="33"/>
                    <w:adjustRightInd w:val="0"/>
                    <w:snapToGrid w:val="0"/>
                    <w:spacing w:line="240" w:lineRule="auto"/>
                    <w:ind w:firstLine="0" w:firstLineChars="0"/>
                    <w:jc w:val="center"/>
                    <w:rPr>
                      <w:rFonts w:hint="default" w:ascii="Times New Roman" w:hAnsi="Times New Roman" w:cs="Times New Roman"/>
                      <w:b w:val="0"/>
                      <w:bCs/>
                      <w:color w:val="auto"/>
                      <w:sz w:val="21"/>
                      <w:szCs w:val="21"/>
                    </w:rPr>
                  </w:pPr>
                  <w:r>
                    <w:rPr>
                      <w:rFonts w:hint="default" w:ascii="Times New Roman" w:hAnsi="Times New Roman" w:cs="Times New Roman"/>
                      <w:color w:val="auto"/>
                      <w:sz w:val="21"/>
                      <w:szCs w:val="21"/>
                      <w:lang w:val="en-US" w:eastAsia="zh-CN"/>
                    </w:rPr>
                    <w:t>是</w:t>
                  </w:r>
                </w:p>
              </w:tc>
              <w:tc>
                <w:tcPr>
                  <w:tcW w:w="1296" w:type="dxa"/>
                  <w:tcBorders>
                    <w:tl2br w:val="nil"/>
                    <w:tr2bl w:val="nil"/>
                  </w:tcBorders>
                  <w:shd w:val="clear" w:color="auto" w:fill="auto"/>
                  <w:vAlign w:val="center"/>
                </w:tcPr>
                <w:p w14:paraId="074BE8F4">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r>
          </w:tbl>
          <w:p w14:paraId="5CE223EA">
            <w:pPr>
              <w:snapToGrid w:val="0"/>
              <w:spacing w:line="240" w:lineRule="auto"/>
              <w:jc w:val="center"/>
              <w:rPr>
                <w:rFonts w:hint="eastAsia" w:ascii="Times New Roman" w:hAnsi="Times New Roman" w:eastAsia="宋体" w:cs="Times New Roman"/>
                <w:b/>
                <w:color w:val="auto"/>
                <w:szCs w:val="21"/>
                <w:lang w:eastAsia="zh-CN"/>
              </w:rPr>
            </w:pPr>
            <w:r>
              <w:rPr>
                <w:rFonts w:ascii="Times New Roman" w:hAnsi="Times New Roman" w:eastAsia="宋体" w:cs="Times New Roman"/>
                <w:b/>
                <w:color w:val="auto"/>
                <w:szCs w:val="21"/>
              </w:rPr>
              <w:t xml:space="preserve">表4-1 </w:t>
            </w:r>
            <w:r>
              <w:rPr>
                <w:rFonts w:hint="eastAsia" w:eastAsia="宋体" w:cs="Times New Roman"/>
                <w:b/>
                <w:color w:val="auto"/>
                <w:szCs w:val="21"/>
                <w:lang w:val="en-US" w:eastAsia="zh-CN"/>
              </w:rPr>
              <w:t xml:space="preserve"> </w:t>
            </w:r>
            <w:r>
              <w:rPr>
                <w:rFonts w:ascii="Times New Roman" w:hAnsi="Times New Roman" w:eastAsia="宋体" w:cs="Times New Roman"/>
                <w:b/>
                <w:color w:val="auto"/>
                <w:szCs w:val="21"/>
              </w:rPr>
              <w:t>废气污染物排放源一览表</w:t>
            </w:r>
            <w:r>
              <w:rPr>
                <w:rFonts w:hint="eastAsia" w:ascii="Times New Roman" w:hAnsi="Times New Roman" w:eastAsia="宋体" w:cs="Times New Roman"/>
                <w:b/>
                <w:color w:val="auto"/>
                <w:szCs w:val="21"/>
                <w:lang w:eastAsia="zh-CN"/>
              </w:rPr>
              <w:t>（</w:t>
            </w:r>
            <w:r>
              <w:rPr>
                <w:rFonts w:hint="eastAsia" w:ascii="Times New Roman" w:hAnsi="Times New Roman" w:eastAsia="宋体" w:cs="Times New Roman"/>
                <w:b/>
                <w:color w:val="auto"/>
                <w:szCs w:val="21"/>
                <w:lang w:val="en-US" w:eastAsia="zh-CN"/>
              </w:rPr>
              <w:t>续</w:t>
            </w:r>
            <w:r>
              <w:rPr>
                <w:rFonts w:hint="eastAsia" w:ascii="Times New Roman" w:hAnsi="Times New Roman" w:eastAsia="宋体" w:cs="Times New Roman"/>
                <w:b/>
                <w:color w:val="auto"/>
                <w:szCs w:val="21"/>
                <w:lang w:eastAsia="zh-CN"/>
              </w:rPr>
              <w:t>）</w:t>
            </w:r>
          </w:p>
          <w:tbl>
            <w:tblPr>
              <w:tblStyle w:val="20"/>
              <w:tblW w:w="502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580"/>
              <w:gridCol w:w="878"/>
              <w:gridCol w:w="909"/>
              <w:gridCol w:w="877"/>
              <w:gridCol w:w="912"/>
              <w:gridCol w:w="1192"/>
              <w:gridCol w:w="888"/>
              <w:gridCol w:w="1082"/>
              <w:gridCol w:w="1094"/>
              <w:gridCol w:w="987"/>
              <w:gridCol w:w="215"/>
              <w:gridCol w:w="883"/>
            </w:tblGrid>
            <w:tr w14:paraId="28136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975" w:type="pct"/>
                  <w:gridSpan w:val="2"/>
                  <w:tcBorders>
                    <w:tl2br w:val="nil"/>
                    <w:tr2bl w:val="nil"/>
                  </w:tcBorders>
                  <w:shd w:val="clear" w:color="auto" w:fill="auto"/>
                  <w:vAlign w:val="center"/>
                </w:tcPr>
                <w:p w14:paraId="1B12CA66">
                  <w:pPr>
                    <w:pStyle w:val="33"/>
                    <w:adjustRightInd w:val="0"/>
                    <w:snapToGrid w:val="0"/>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产排污环节</w:t>
                  </w:r>
                </w:p>
              </w:tc>
              <w:tc>
                <w:tcPr>
                  <w:tcW w:w="725" w:type="pct"/>
                  <w:gridSpan w:val="2"/>
                  <w:tcBorders>
                    <w:tl2br w:val="nil"/>
                    <w:tr2bl w:val="nil"/>
                  </w:tcBorders>
                  <w:shd w:val="clear" w:color="auto" w:fill="auto"/>
                  <w:vAlign w:val="center"/>
                </w:tcPr>
                <w:p w14:paraId="562F953E">
                  <w:pPr>
                    <w:autoSpaceDE w:val="0"/>
                    <w:autoSpaceDN w:val="0"/>
                    <w:adjustRightInd w:val="0"/>
                    <w:jc w:val="center"/>
                    <w:rPr>
                      <w:rFonts w:hint="eastAsia" w:ascii="Times New Roman" w:hAnsi="Times New Roman" w:cs="Times New Roman"/>
                      <w:b/>
                      <w:bCs/>
                      <w:color w:val="auto"/>
                      <w:sz w:val="21"/>
                      <w:szCs w:val="21"/>
                      <w:lang w:val="en-US" w:eastAsia="zh-CN"/>
                    </w:rPr>
                  </w:pPr>
                  <w:r>
                    <w:rPr>
                      <w:rFonts w:hint="default" w:ascii="Times New Roman" w:hAnsi="Times New Roman" w:eastAsia="宋体" w:cs="Times New Roman"/>
                      <w:bCs/>
                      <w:color w:val="auto"/>
                      <w:kern w:val="0"/>
                      <w:szCs w:val="21"/>
                      <w:highlight w:val="none"/>
                      <w:lang w:val="en-US" w:eastAsia="zh-CN"/>
                    </w:rPr>
                    <w:t>喷粉</w:t>
                  </w:r>
                  <w:r>
                    <w:rPr>
                      <w:rFonts w:hint="eastAsia" w:ascii="Times New Roman" w:hAnsi="Times New Roman" w:eastAsia="宋体" w:cs="Times New Roman"/>
                      <w:bCs/>
                      <w:color w:val="auto"/>
                      <w:kern w:val="0"/>
                      <w:szCs w:val="21"/>
                      <w:highlight w:val="none"/>
                      <w:lang w:val="en-US" w:eastAsia="zh-CN"/>
                    </w:rPr>
                    <w:t>粉尘</w:t>
                  </w:r>
                </w:p>
              </w:tc>
              <w:tc>
                <w:tcPr>
                  <w:tcW w:w="725" w:type="pct"/>
                  <w:gridSpan w:val="2"/>
                  <w:tcBorders>
                    <w:tl2br w:val="nil"/>
                    <w:tr2bl w:val="nil"/>
                  </w:tcBorders>
                  <w:shd w:val="clear" w:color="auto" w:fill="auto"/>
                  <w:vAlign w:val="center"/>
                </w:tcPr>
                <w:p w14:paraId="6DE127FE">
                  <w:pPr>
                    <w:autoSpaceDE w:val="0"/>
                    <w:autoSpaceDN w:val="0"/>
                    <w:adjustRightInd w:val="0"/>
                    <w:jc w:val="center"/>
                    <w:rPr>
                      <w:rFonts w:hint="eastAsia" w:ascii="Times New Roman" w:hAnsi="Times New Roman" w:cs="Times New Roman"/>
                      <w:b/>
                      <w:bCs/>
                      <w:color w:val="auto"/>
                      <w:sz w:val="21"/>
                      <w:szCs w:val="21"/>
                      <w:lang w:val="en-US" w:eastAsia="zh-CN"/>
                    </w:rPr>
                  </w:pPr>
                  <w:r>
                    <w:rPr>
                      <w:rFonts w:hint="eastAsia" w:ascii="Times New Roman" w:hAnsi="Times New Roman" w:eastAsia="宋体" w:cs="Times New Roman"/>
                      <w:bCs/>
                      <w:color w:val="auto"/>
                      <w:kern w:val="0"/>
                      <w:szCs w:val="21"/>
                      <w:highlight w:val="none"/>
                      <w:lang w:val="en-US" w:eastAsia="zh-CN"/>
                    </w:rPr>
                    <w:t>固化废气</w:t>
                  </w:r>
                </w:p>
              </w:tc>
              <w:tc>
                <w:tcPr>
                  <w:tcW w:w="2573" w:type="pct"/>
                  <w:gridSpan w:val="7"/>
                  <w:tcBorders>
                    <w:tl2br w:val="nil"/>
                    <w:tr2bl w:val="nil"/>
                  </w:tcBorders>
                  <w:shd w:val="clear" w:color="auto" w:fill="auto"/>
                  <w:vAlign w:val="center"/>
                </w:tcPr>
                <w:p w14:paraId="1908AE81">
                  <w:pPr>
                    <w:autoSpaceDE w:val="0"/>
                    <w:autoSpaceDN w:val="0"/>
                    <w:adjustRightInd w:val="0"/>
                    <w:jc w:val="center"/>
                    <w:rPr>
                      <w:rFonts w:hint="eastAsia"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eastAsia="zh-CN"/>
                    </w:rPr>
                    <w:t>热风炉燃烧废气</w:t>
                  </w:r>
                </w:p>
              </w:tc>
            </w:tr>
            <w:tr w14:paraId="3DF4B2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75" w:type="pct"/>
                  <w:gridSpan w:val="2"/>
                  <w:tcBorders>
                    <w:tl2br w:val="nil"/>
                    <w:tr2bl w:val="nil"/>
                  </w:tcBorders>
                  <w:shd w:val="clear" w:color="auto" w:fill="auto"/>
                  <w:vAlign w:val="center"/>
                </w:tcPr>
                <w:p w14:paraId="5E2F9DC8">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725" w:type="pct"/>
                  <w:gridSpan w:val="2"/>
                  <w:tcBorders>
                    <w:tl2br w:val="nil"/>
                    <w:tr2bl w:val="nil"/>
                  </w:tcBorders>
                  <w:shd w:val="clear" w:color="auto" w:fill="auto"/>
                  <w:vAlign w:val="center"/>
                </w:tcPr>
                <w:p w14:paraId="633B29E7">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725" w:type="pct"/>
                  <w:gridSpan w:val="2"/>
                  <w:tcBorders>
                    <w:tl2br w:val="nil"/>
                    <w:tr2bl w:val="nil"/>
                  </w:tcBorders>
                  <w:shd w:val="clear" w:color="auto" w:fill="auto"/>
                  <w:vAlign w:val="center"/>
                </w:tcPr>
                <w:p w14:paraId="666F2355">
                  <w:pPr>
                    <w:pStyle w:val="33"/>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p>
              </w:tc>
              <w:tc>
                <w:tcPr>
                  <w:tcW w:w="844" w:type="pct"/>
                  <w:gridSpan w:val="2"/>
                  <w:tcBorders>
                    <w:tl2br w:val="nil"/>
                    <w:tr2bl w:val="nil"/>
                  </w:tcBorders>
                  <w:shd w:val="clear" w:color="auto" w:fill="auto"/>
                  <w:vAlign w:val="center"/>
                </w:tcPr>
                <w:p w14:paraId="2C9E3EB5">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883" w:type="pct"/>
                  <w:gridSpan w:val="2"/>
                  <w:tcBorders>
                    <w:tl2br w:val="nil"/>
                    <w:tr2bl w:val="nil"/>
                  </w:tcBorders>
                  <w:shd w:val="clear" w:color="auto" w:fill="auto"/>
                  <w:vAlign w:val="center"/>
                </w:tcPr>
                <w:p w14:paraId="4BEBA199">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二氧化硫</w:t>
                  </w:r>
                </w:p>
              </w:tc>
              <w:tc>
                <w:tcPr>
                  <w:tcW w:w="846" w:type="pct"/>
                  <w:gridSpan w:val="3"/>
                  <w:tcBorders>
                    <w:tl2br w:val="nil"/>
                    <w:tr2bl w:val="nil"/>
                  </w:tcBorders>
                  <w:shd w:val="clear" w:color="auto" w:fill="auto"/>
                  <w:vAlign w:val="center"/>
                </w:tcPr>
                <w:p w14:paraId="5DE0381F">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氮氧化物</w:t>
                  </w:r>
                </w:p>
              </w:tc>
            </w:tr>
            <w:tr w14:paraId="7B275D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75" w:type="pct"/>
                  <w:gridSpan w:val="2"/>
                  <w:tcBorders>
                    <w:tl2br w:val="nil"/>
                    <w:tr2bl w:val="nil"/>
                  </w:tcBorders>
                  <w:shd w:val="clear" w:color="auto" w:fill="auto"/>
                  <w:vAlign w:val="center"/>
                </w:tcPr>
                <w:p w14:paraId="4A8440EF">
                  <w:pPr>
                    <w:autoSpaceDE w:val="0"/>
                    <w:autoSpaceDN w:val="0"/>
                    <w:adjustRightIn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排放形式</w:t>
                  </w:r>
                </w:p>
              </w:tc>
              <w:tc>
                <w:tcPr>
                  <w:tcW w:w="356" w:type="pct"/>
                  <w:tcBorders>
                    <w:tl2br w:val="nil"/>
                    <w:tr2bl w:val="nil"/>
                  </w:tcBorders>
                  <w:shd w:val="clear" w:color="auto" w:fill="auto"/>
                  <w:vAlign w:val="center"/>
                </w:tcPr>
                <w:p w14:paraId="5B75E5F1">
                  <w:pPr>
                    <w:autoSpaceDE w:val="0"/>
                    <w:autoSpaceDN w:val="0"/>
                    <w:adjustRightIn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有组织</w:t>
                  </w:r>
                </w:p>
              </w:tc>
              <w:tc>
                <w:tcPr>
                  <w:tcW w:w="368" w:type="pct"/>
                  <w:tcBorders>
                    <w:tl2br w:val="nil"/>
                    <w:tr2bl w:val="nil"/>
                  </w:tcBorders>
                  <w:shd w:val="clear" w:color="auto" w:fill="auto"/>
                  <w:vAlign w:val="center"/>
                </w:tcPr>
                <w:p w14:paraId="346D432C">
                  <w:pPr>
                    <w:autoSpaceDE w:val="0"/>
                    <w:autoSpaceDN w:val="0"/>
                    <w:adjustRightInd w:val="0"/>
                    <w:jc w:val="center"/>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bCs/>
                      <w:color w:val="auto"/>
                      <w:kern w:val="0"/>
                      <w:szCs w:val="21"/>
                      <w:highlight w:val="none"/>
                    </w:rPr>
                    <w:t>无组织</w:t>
                  </w:r>
                </w:p>
              </w:tc>
              <w:tc>
                <w:tcPr>
                  <w:tcW w:w="355" w:type="pct"/>
                  <w:tcBorders>
                    <w:tl2br w:val="nil"/>
                    <w:tr2bl w:val="nil"/>
                  </w:tcBorders>
                  <w:shd w:val="clear" w:color="auto" w:fill="auto"/>
                  <w:vAlign w:val="center"/>
                </w:tcPr>
                <w:p w14:paraId="2697D917">
                  <w:pPr>
                    <w:autoSpaceDE w:val="0"/>
                    <w:autoSpaceDN w:val="0"/>
                    <w:adjustRightInd w:val="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Cs/>
                      <w:color w:val="auto"/>
                      <w:kern w:val="0"/>
                      <w:szCs w:val="21"/>
                      <w:highlight w:val="none"/>
                    </w:rPr>
                    <w:t>有组织</w:t>
                  </w:r>
                </w:p>
              </w:tc>
              <w:tc>
                <w:tcPr>
                  <w:tcW w:w="370" w:type="pct"/>
                  <w:tcBorders>
                    <w:tl2br w:val="nil"/>
                    <w:tr2bl w:val="nil"/>
                  </w:tcBorders>
                  <w:shd w:val="clear" w:color="auto" w:fill="auto"/>
                  <w:vAlign w:val="center"/>
                </w:tcPr>
                <w:p w14:paraId="6620204F">
                  <w:pPr>
                    <w:autoSpaceDE w:val="0"/>
                    <w:autoSpaceDN w:val="0"/>
                    <w:adjustRightInd w:val="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Cs/>
                      <w:color w:val="auto"/>
                      <w:kern w:val="0"/>
                      <w:szCs w:val="21"/>
                      <w:highlight w:val="none"/>
                    </w:rPr>
                    <w:t>无组织</w:t>
                  </w:r>
                </w:p>
              </w:tc>
              <w:tc>
                <w:tcPr>
                  <w:tcW w:w="483" w:type="pct"/>
                  <w:tcBorders>
                    <w:tl2br w:val="nil"/>
                    <w:tr2bl w:val="nil"/>
                  </w:tcBorders>
                  <w:shd w:val="clear" w:color="auto" w:fill="auto"/>
                  <w:vAlign w:val="center"/>
                </w:tcPr>
                <w:p w14:paraId="127BD9A2">
                  <w:pPr>
                    <w:autoSpaceDE w:val="0"/>
                    <w:autoSpaceDN w:val="0"/>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有组织</w:t>
                  </w:r>
                </w:p>
              </w:tc>
              <w:tc>
                <w:tcPr>
                  <w:tcW w:w="360" w:type="pct"/>
                  <w:tcBorders>
                    <w:tl2br w:val="nil"/>
                    <w:tr2bl w:val="nil"/>
                  </w:tcBorders>
                  <w:shd w:val="clear" w:color="auto" w:fill="auto"/>
                  <w:vAlign w:val="center"/>
                </w:tcPr>
                <w:p w14:paraId="75D2B5F9">
                  <w:pPr>
                    <w:autoSpaceDE w:val="0"/>
                    <w:autoSpaceDN w:val="0"/>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无组织</w:t>
                  </w:r>
                </w:p>
              </w:tc>
              <w:tc>
                <w:tcPr>
                  <w:tcW w:w="439" w:type="pct"/>
                  <w:tcBorders>
                    <w:tl2br w:val="nil"/>
                    <w:tr2bl w:val="nil"/>
                  </w:tcBorders>
                  <w:shd w:val="clear" w:color="auto" w:fill="auto"/>
                  <w:vAlign w:val="center"/>
                </w:tcPr>
                <w:p w14:paraId="12B90527">
                  <w:pPr>
                    <w:autoSpaceDE w:val="0"/>
                    <w:autoSpaceDN w:val="0"/>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有组织</w:t>
                  </w:r>
                </w:p>
              </w:tc>
              <w:tc>
                <w:tcPr>
                  <w:tcW w:w="443" w:type="pct"/>
                  <w:tcBorders>
                    <w:tl2br w:val="nil"/>
                    <w:tr2bl w:val="nil"/>
                  </w:tcBorders>
                  <w:shd w:val="clear" w:color="auto" w:fill="auto"/>
                  <w:vAlign w:val="center"/>
                </w:tcPr>
                <w:p w14:paraId="077A948C">
                  <w:pPr>
                    <w:autoSpaceDE w:val="0"/>
                    <w:autoSpaceDN w:val="0"/>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无组织</w:t>
                  </w:r>
                </w:p>
              </w:tc>
              <w:tc>
                <w:tcPr>
                  <w:tcW w:w="400" w:type="pct"/>
                  <w:tcBorders>
                    <w:tl2br w:val="nil"/>
                    <w:tr2bl w:val="nil"/>
                  </w:tcBorders>
                  <w:shd w:val="clear" w:color="auto" w:fill="auto"/>
                  <w:vAlign w:val="center"/>
                </w:tcPr>
                <w:p w14:paraId="439DF464">
                  <w:pPr>
                    <w:autoSpaceDE w:val="0"/>
                    <w:autoSpaceDN w:val="0"/>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有组织</w:t>
                  </w:r>
                </w:p>
              </w:tc>
              <w:tc>
                <w:tcPr>
                  <w:tcW w:w="445" w:type="pct"/>
                  <w:gridSpan w:val="2"/>
                  <w:tcBorders>
                    <w:tl2br w:val="nil"/>
                    <w:tr2bl w:val="nil"/>
                  </w:tcBorders>
                  <w:shd w:val="clear" w:color="auto" w:fill="auto"/>
                  <w:vAlign w:val="center"/>
                </w:tcPr>
                <w:p w14:paraId="19683A9D">
                  <w:pPr>
                    <w:autoSpaceDE w:val="0"/>
                    <w:autoSpaceDN w:val="0"/>
                    <w:adjustRightIn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无组织</w:t>
                  </w:r>
                </w:p>
              </w:tc>
            </w:tr>
            <w:tr w14:paraId="0EFA4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75" w:type="pct"/>
                  <w:gridSpan w:val="2"/>
                  <w:tcBorders>
                    <w:tl2br w:val="nil"/>
                    <w:tr2bl w:val="nil"/>
                  </w:tcBorders>
                  <w:shd w:val="clear" w:color="auto" w:fill="auto"/>
                  <w:vAlign w:val="center"/>
                </w:tcPr>
                <w:p w14:paraId="57D372A9">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产生速率（kg/h）</w:t>
                  </w:r>
                </w:p>
              </w:tc>
              <w:tc>
                <w:tcPr>
                  <w:tcW w:w="356" w:type="pct"/>
                  <w:tcBorders>
                    <w:tl2br w:val="nil"/>
                    <w:tr2bl w:val="nil"/>
                  </w:tcBorders>
                  <w:shd w:val="clear" w:color="auto" w:fill="auto"/>
                  <w:vAlign w:val="center"/>
                </w:tcPr>
                <w:p w14:paraId="205FA7EA">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2.375</w:t>
                  </w:r>
                </w:p>
              </w:tc>
              <w:tc>
                <w:tcPr>
                  <w:tcW w:w="368" w:type="pct"/>
                  <w:tcBorders>
                    <w:tl2br w:val="nil"/>
                    <w:tr2bl w:val="nil"/>
                  </w:tcBorders>
                  <w:shd w:val="clear" w:color="auto" w:fill="auto"/>
                  <w:vAlign w:val="center"/>
                </w:tcPr>
                <w:p w14:paraId="4E8C72AA">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0.125</w:t>
                  </w:r>
                </w:p>
              </w:tc>
              <w:tc>
                <w:tcPr>
                  <w:tcW w:w="355" w:type="pct"/>
                  <w:tcBorders>
                    <w:tl2br w:val="nil"/>
                    <w:tr2bl w:val="nil"/>
                  </w:tcBorders>
                  <w:shd w:val="clear" w:color="auto" w:fill="auto"/>
                  <w:vAlign w:val="center"/>
                </w:tcPr>
                <w:p w14:paraId="5F8E5499">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0.2882</w:t>
                  </w:r>
                </w:p>
              </w:tc>
              <w:tc>
                <w:tcPr>
                  <w:tcW w:w="370" w:type="pct"/>
                  <w:tcBorders>
                    <w:tl2br w:val="nil"/>
                    <w:tr2bl w:val="nil"/>
                  </w:tcBorders>
                  <w:shd w:val="clear" w:color="auto" w:fill="auto"/>
                  <w:vAlign w:val="center"/>
                </w:tcPr>
                <w:p w14:paraId="6296F053">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0.01571</w:t>
                  </w:r>
                </w:p>
              </w:tc>
              <w:tc>
                <w:tcPr>
                  <w:tcW w:w="483" w:type="pct"/>
                  <w:tcBorders>
                    <w:tl2br w:val="nil"/>
                    <w:tr2bl w:val="nil"/>
                  </w:tcBorders>
                  <w:shd w:val="clear" w:color="auto" w:fill="auto"/>
                  <w:vAlign w:val="center"/>
                </w:tcPr>
                <w:p w14:paraId="53076312">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0.0067925</w:t>
                  </w:r>
                </w:p>
              </w:tc>
              <w:tc>
                <w:tcPr>
                  <w:tcW w:w="360" w:type="pct"/>
                  <w:tcBorders>
                    <w:tl2br w:val="nil"/>
                    <w:tr2bl w:val="nil"/>
                  </w:tcBorders>
                  <w:shd w:val="clear" w:color="auto" w:fill="auto"/>
                  <w:vAlign w:val="center"/>
                </w:tcPr>
                <w:p w14:paraId="67053B3F">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0.0003575</w:t>
                  </w:r>
                </w:p>
              </w:tc>
              <w:tc>
                <w:tcPr>
                  <w:tcW w:w="439" w:type="pct"/>
                  <w:tcBorders>
                    <w:tl2br w:val="nil"/>
                    <w:tr2bl w:val="nil"/>
                  </w:tcBorders>
                  <w:shd w:val="clear" w:color="auto" w:fill="auto"/>
                  <w:vAlign w:val="center"/>
                </w:tcPr>
                <w:p w14:paraId="3771F07D">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0.001235</w:t>
                  </w:r>
                </w:p>
              </w:tc>
              <w:tc>
                <w:tcPr>
                  <w:tcW w:w="443" w:type="pct"/>
                  <w:tcBorders>
                    <w:tl2br w:val="nil"/>
                    <w:tr2bl w:val="nil"/>
                  </w:tcBorders>
                  <w:shd w:val="clear" w:color="auto" w:fill="auto"/>
                  <w:vAlign w:val="center"/>
                </w:tcPr>
                <w:p w14:paraId="1A5D23CE">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0.000065</w:t>
                  </w:r>
                </w:p>
              </w:tc>
              <w:tc>
                <w:tcPr>
                  <w:tcW w:w="400" w:type="pct"/>
                  <w:tcBorders>
                    <w:tl2br w:val="nil"/>
                    <w:tr2bl w:val="nil"/>
                  </w:tcBorders>
                  <w:shd w:val="clear" w:color="auto" w:fill="auto"/>
                  <w:vAlign w:val="center"/>
                </w:tcPr>
                <w:p w14:paraId="2510458C">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0.184015</w:t>
                  </w:r>
                </w:p>
              </w:tc>
              <w:tc>
                <w:tcPr>
                  <w:tcW w:w="445" w:type="pct"/>
                  <w:gridSpan w:val="2"/>
                  <w:tcBorders>
                    <w:tl2br w:val="nil"/>
                    <w:tr2bl w:val="nil"/>
                  </w:tcBorders>
                  <w:shd w:val="clear" w:color="auto" w:fill="auto"/>
                  <w:vAlign w:val="center"/>
                </w:tcPr>
                <w:p w14:paraId="6E3C20FE">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0.009685</w:t>
                  </w:r>
                </w:p>
              </w:tc>
            </w:tr>
            <w:tr w14:paraId="64CEC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975" w:type="pct"/>
                  <w:gridSpan w:val="2"/>
                  <w:tcBorders>
                    <w:tl2br w:val="nil"/>
                    <w:tr2bl w:val="nil"/>
                  </w:tcBorders>
                  <w:shd w:val="clear" w:color="auto" w:fill="auto"/>
                  <w:vAlign w:val="center"/>
                </w:tcPr>
                <w:p w14:paraId="7E886229">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c>
                <w:tcPr>
                  <w:tcW w:w="356" w:type="pct"/>
                  <w:tcBorders>
                    <w:tl2br w:val="nil"/>
                    <w:tr2bl w:val="nil"/>
                  </w:tcBorders>
                  <w:shd w:val="clear" w:color="auto" w:fill="auto"/>
                  <w:vAlign w:val="center"/>
                </w:tcPr>
                <w:p w14:paraId="1CED08CE">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5.7</w:t>
                  </w:r>
                </w:p>
              </w:tc>
              <w:tc>
                <w:tcPr>
                  <w:tcW w:w="368" w:type="pct"/>
                  <w:tcBorders>
                    <w:tl2br w:val="nil"/>
                    <w:tr2bl w:val="nil"/>
                  </w:tcBorders>
                  <w:shd w:val="clear" w:color="auto" w:fill="auto"/>
                  <w:vAlign w:val="center"/>
                </w:tcPr>
                <w:p w14:paraId="46AC24C5">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0.3</w:t>
                  </w:r>
                </w:p>
              </w:tc>
              <w:tc>
                <w:tcPr>
                  <w:tcW w:w="355" w:type="pct"/>
                  <w:tcBorders>
                    <w:tl2br w:val="nil"/>
                    <w:tr2bl w:val="nil"/>
                  </w:tcBorders>
                  <w:shd w:val="clear" w:color="auto" w:fill="auto"/>
                  <w:vAlign w:val="center"/>
                </w:tcPr>
                <w:p w14:paraId="2022F7BB">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0.3458</w:t>
                  </w:r>
                </w:p>
              </w:tc>
              <w:tc>
                <w:tcPr>
                  <w:tcW w:w="370" w:type="pct"/>
                  <w:tcBorders>
                    <w:tl2br w:val="nil"/>
                    <w:tr2bl w:val="nil"/>
                  </w:tcBorders>
                  <w:shd w:val="clear" w:color="auto" w:fill="auto"/>
                  <w:vAlign w:val="center"/>
                </w:tcPr>
                <w:p w14:paraId="334AB628">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0.0182</w:t>
                  </w:r>
                </w:p>
              </w:tc>
              <w:tc>
                <w:tcPr>
                  <w:tcW w:w="483" w:type="pct"/>
                  <w:tcBorders>
                    <w:tl2br w:val="nil"/>
                    <w:tr2bl w:val="nil"/>
                  </w:tcBorders>
                  <w:shd w:val="clear" w:color="auto" w:fill="auto"/>
                  <w:vAlign w:val="center"/>
                </w:tcPr>
                <w:p w14:paraId="453A2E1E">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0.016302</w:t>
                  </w:r>
                </w:p>
              </w:tc>
              <w:tc>
                <w:tcPr>
                  <w:tcW w:w="360" w:type="pct"/>
                  <w:tcBorders>
                    <w:tl2br w:val="nil"/>
                    <w:tr2bl w:val="nil"/>
                  </w:tcBorders>
                  <w:shd w:val="clear" w:color="auto" w:fill="auto"/>
                  <w:vAlign w:val="center"/>
                </w:tcPr>
                <w:p w14:paraId="6F08C2E9">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0.000858</w:t>
                  </w:r>
                </w:p>
              </w:tc>
              <w:tc>
                <w:tcPr>
                  <w:tcW w:w="439" w:type="pct"/>
                  <w:tcBorders>
                    <w:tl2br w:val="nil"/>
                    <w:tr2bl w:val="nil"/>
                  </w:tcBorders>
                  <w:shd w:val="clear" w:color="auto" w:fill="auto"/>
                  <w:vAlign w:val="center"/>
                </w:tcPr>
                <w:p w14:paraId="1B1C4DDC">
                  <w:pPr>
                    <w:pStyle w:val="33"/>
                    <w:adjustRightInd w:val="0"/>
                    <w:snapToGrid w:val="0"/>
                    <w:spacing w:line="240" w:lineRule="auto"/>
                    <w:ind w:firstLine="0" w:firstLineChars="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0.002964</w:t>
                  </w:r>
                </w:p>
              </w:tc>
              <w:tc>
                <w:tcPr>
                  <w:tcW w:w="443" w:type="pct"/>
                  <w:tcBorders>
                    <w:tl2br w:val="nil"/>
                    <w:tr2bl w:val="nil"/>
                  </w:tcBorders>
                  <w:shd w:val="clear" w:color="auto" w:fill="auto"/>
                  <w:vAlign w:val="center"/>
                </w:tcPr>
                <w:p w14:paraId="1CEA3D30">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0.000156</w:t>
                  </w:r>
                </w:p>
              </w:tc>
              <w:tc>
                <w:tcPr>
                  <w:tcW w:w="400" w:type="pct"/>
                  <w:tcBorders>
                    <w:tl2br w:val="nil"/>
                    <w:tr2bl w:val="nil"/>
                  </w:tcBorders>
                  <w:shd w:val="clear" w:color="auto" w:fill="auto"/>
                  <w:vAlign w:val="center"/>
                </w:tcPr>
                <w:p w14:paraId="22EE787A">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0.441636</w:t>
                  </w:r>
                </w:p>
              </w:tc>
              <w:tc>
                <w:tcPr>
                  <w:tcW w:w="445" w:type="pct"/>
                  <w:gridSpan w:val="2"/>
                  <w:tcBorders>
                    <w:tl2br w:val="nil"/>
                    <w:tr2bl w:val="nil"/>
                  </w:tcBorders>
                  <w:shd w:val="clear" w:color="auto" w:fill="auto"/>
                  <w:vAlign w:val="center"/>
                </w:tcPr>
                <w:p w14:paraId="7A933044">
                  <w:pPr>
                    <w:pStyle w:val="33"/>
                    <w:adjustRightInd w:val="0"/>
                    <w:snapToGrid w:val="0"/>
                    <w:spacing w:line="240" w:lineRule="auto"/>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0.023244</w:t>
                  </w:r>
                </w:p>
              </w:tc>
            </w:tr>
            <w:tr w14:paraId="15CCB5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4" w:type="pct"/>
                  <w:vMerge w:val="restart"/>
                  <w:tcBorders>
                    <w:tl2br w:val="nil"/>
                    <w:tr2bl w:val="nil"/>
                  </w:tcBorders>
                  <w:shd w:val="clear" w:color="auto" w:fill="auto"/>
                  <w:vAlign w:val="center"/>
                </w:tcPr>
                <w:p w14:paraId="5514A71A">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治</w:t>
                  </w:r>
                </w:p>
                <w:p w14:paraId="50D921A7">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理</w:t>
                  </w:r>
                </w:p>
                <w:p w14:paraId="5CB461C8">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w:t>
                  </w:r>
                </w:p>
                <w:p w14:paraId="36831F8F">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w:t>
                  </w:r>
                </w:p>
              </w:tc>
              <w:tc>
                <w:tcPr>
                  <w:tcW w:w="641" w:type="pct"/>
                  <w:tcBorders>
                    <w:tl2br w:val="nil"/>
                    <w:tr2bl w:val="nil"/>
                  </w:tcBorders>
                  <w:shd w:val="clear" w:color="auto" w:fill="auto"/>
                  <w:vAlign w:val="center"/>
                </w:tcPr>
                <w:p w14:paraId="4648B504">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4024" w:type="pct"/>
                  <w:gridSpan w:val="11"/>
                  <w:tcBorders>
                    <w:tl2br w:val="nil"/>
                    <w:tr2bl w:val="nil"/>
                  </w:tcBorders>
                  <w:shd w:val="clear" w:color="auto" w:fill="auto"/>
                  <w:vAlign w:val="center"/>
                </w:tcPr>
                <w:p w14:paraId="696E2A2A">
                  <w:pPr>
                    <w:autoSpaceDE w:val="0"/>
                    <w:autoSpaceDN w:val="0"/>
                    <w:adjustRightIn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旋风+布袋除尘</w:t>
                  </w:r>
                  <w:r>
                    <w:rPr>
                      <w:rFonts w:hint="default" w:ascii="Times New Roman" w:hAnsi="Times New Roman" w:eastAsia="宋体" w:cs="Times New Roman"/>
                      <w:color w:val="auto"/>
                      <w:kern w:val="2"/>
                      <w:sz w:val="21"/>
                      <w:szCs w:val="21"/>
                      <w:lang w:val="en-US" w:eastAsia="zh-CN" w:bidi="ar-SA"/>
                    </w:rPr>
                    <w:t>装置</w:t>
                  </w:r>
                  <w:r>
                    <w:rPr>
                      <w:rFonts w:hint="eastAsia" w:ascii="Times New Roman" w:hAnsi="Times New Roman" w:eastAsia="宋体" w:cs="Times New Roman"/>
                      <w:color w:val="auto"/>
                      <w:kern w:val="2"/>
                      <w:sz w:val="21"/>
                      <w:szCs w:val="21"/>
                      <w:lang w:val="en-US" w:eastAsia="zh-CN" w:bidi="ar-SA"/>
                    </w:rPr>
                    <w:t>+二级</w:t>
                  </w:r>
                  <w:r>
                    <w:rPr>
                      <w:rFonts w:hint="default" w:ascii="Times New Roman" w:hAnsi="Times New Roman" w:eastAsia="宋体" w:cs="Times New Roman"/>
                      <w:color w:val="auto"/>
                      <w:kern w:val="2"/>
                      <w:sz w:val="21"/>
                      <w:szCs w:val="21"/>
                      <w:lang w:val="en-US" w:eastAsia="zh-CN" w:bidi="ar-SA"/>
                    </w:rPr>
                    <w:t>活性炭吸附</w:t>
                  </w:r>
                  <w:r>
                    <w:rPr>
                      <w:rFonts w:hint="eastAsia" w:ascii="Times New Roman" w:hAnsi="Times New Roman" w:eastAsia="宋体" w:cs="Times New Roman"/>
                      <w:color w:val="auto"/>
                      <w:kern w:val="2"/>
                      <w:sz w:val="21"/>
                      <w:szCs w:val="21"/>
                      <w:lang w:val="en-US" w:eastAsia="zh-CN" w:bidi="ar-SA"/>
                    </w:rPr>
                    <w:t>装置</w:t>
                  </w:r>
                </w:p>
              </w:tc>
            </w:tr>
            <w:tr w14:paraId="54694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4" w:type="pct"/>
                  <w:vMerge w:val="continue"/>
                  <w:tcBorders>
                    <w:tl2br w:val="nil"/>
                    <w:tr2bl w:val="nil"/>
                  </w:tcBorders>
                  <w:shd w:val="clear" w:color="auto" w:fill="auto"/>
                  <w:vAlign w:val="center"/>
                </w:tcPr>
                <w:p w14:paraId="70F28824">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641" w:type="pct"/>
                  <w:tcBorders>
                    <w:tl2br w:val="nil"/>
                    <w:tr2bl w:val="nil"/>
                  </w:tcBorders>
                  <w:shd w:val="clear" w:color="auto" w:fill="auto"/>
                  <w:vAlign w:val="center"/>
                </w:tcPr>
                <w:p w14:paraId="0C54AE11">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收集效率</w:t>
                  </w:r>
                </w:p>
              </w:tc>
              <w:tc>
                <w:tcPr>
                  <w:tcW w:w="4024" w:type="pct"/>
                  <w:gridSpan w:val="11"/>
                  <w:tcBorders>
                    <w:tl2br w:val="nil"/>
                    <w:tr2bl w:val="nil"/>
                  </w:tcBorders>
                  <w:shd w:val="clear" w:color="auto" w:fill="auto"/>
                  <w:vAlign w:val="center"/>
                </w:tcPr>
                <w:p w14:paraId="1496E3CF">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r>
            <w:tr w14:paraId="313EDB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4" w:type="pct"/>
                  <w:vMerge w:val="continue"/>
                  <w:tcBorders>
                    <w:tl2br w:val="nil"/>
                    <w:tr2bl w:val="nil"/>
                  </w:tcBorders>
                  <w:shd w:val="clear" w:color="auto" w:fill="auto"/>
                  <w:vAlign w:val="center"/>
                </w:tcPr>
                <w:p w14:paraId="7383C13E">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641" w:type="pct"/>
                  <w:tcBorders>
                    <w:tl2br w:val="nil"/>
                    <w:tr2bl w:val="nil"/>
                  </w:tcBorders>
                  <w:shd w:val="clear" w:color="auto" w:fill="auto"/>
                  <w:vAlign w:val="center"/>
                </w:tcPr>
                <w:p w14:paraId="7962FD62">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处理效率</w:t>
                  </w:r>
                </w:p>
              </w:tc>
              <w:tc>
                <w:tcPr>
                  <w:tcW w:w="725" w:type="pct"/>
                  <w:gridSpan w:val="2"/>
                  <w:tcBorders>
                    <w:tl2br w:val="nil"/>
                    <w:tr2bl w:val="nil"/>
                  </w:tcBorders>
                  <w:shd w:val="clear" w:color="auto" w:fill="auto"/>
                  <w:vAlign w:val="center"/>
                </w:tcPr>
                <w:p w14:paraId="250EAA03">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725" w:type="pct"/>
                  <w:gridSpan w:val="2"/>
                  <w:tcBorders>
                    <w:tl2br w:val="nil"/>
                    <w:tr2bl w:val="nil"/>
                  </w:tcBorders>
                  <w:shd w:val="clear" w:color="auto" w:fill="auto"/>
                  <w:vAlign w:val="center"/>
                </w:tcPr>
                <w:p w14:paraId="6EEE5286">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w:t>
                  </w:r>
                </w:p>
              </w:tc>
              <w:tc>
                <w:tcPr>
                  <w:tcW w:w="844" w:type="pct"/>
                  <w:gridSpan w:val="2"/>
                  <w:tcBorders>
                    <w:tl2br w:val="nil"/>
                    <w:tr2bl w:val="nil"/>
                  </w:tcBorders>
                  <w:shd w:val="clear" w:color="auto" w:fill="auto"/>
                  <w:vAlign w:val="center"/>
                </w:tcPr>
                <w:p w14:paraId="2BDC4335">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95%</w:t>
                  </w:r>
                </w:p>
              </w:tc>
              <w:tc>
                <w:tcPr>
                  <w:tcW w:w="883" w:type="pct"/>
                  <w:gridSpan w:val="2"/>
                  <w:tcBorders>
                    <w:tl2br w:val="nil"/>
                    <w:tr2bl w:val="nil"/>
                  </w:tcBorders>
                  <w:shd w:val="clear" w:color="auto" w:fill="auto"/>
                  <w:vAlign w:val="center"/>
                </w:tcPr>
                <w:p w14:paraId="5215AF85">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w:t>
                  </w:r>
                </w:p>
              </w:tc>
              <w:tc>
                <w:tcPr>
                  <w:tcW w:w="846" w:type="pct"/>
                  <w:gridSpan w:val="3"/>
                  <w:tcBorders>
                    <w:tl2br w:val="nil"/>
                    <w:tr2bl w:val="nil"/>
                  </w:tcBorders>
                  <w:shd w:val="clear" w:color="auto" w:fill="auto"/>
                  <w:vAlign w:val="center"/>
                </w:tcPr>
                <w:p w14:paraId="5EAE9428">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80%</w:t>
                  </w:r>
                </w:p>
              </w:tc>
            </w:tr>
            <w:tr w14:paraId="1EC68A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4" w:type="pct"/>
                  <w:vMerge w:val="continue"/>
                  <w:tcBorders>
                    <w:tl2br w:val="nil"/>
                    <w:tr2bl w:val="nil"/>
                  </w:tcBorders>
                  <w:shd w:val="clear" w:color="auto" w:fill="auto"/>
                  <w:vAlign w:val="center"/>
                </w:tcPr>
                <w:p w14:paraId="71A6E5D3">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641" w:type="pct"/>
                  <w:tcBorders>
                    <w:tl2br w:val="nil"/>
                    <w:tr2bl w:val="nil"/>
                  </w:tcBorders>
                  <w:shd w:val="clear" w:color="auto" w:fill="auto"/>
                  <w:vAlign w:val="center"/>
                </w:tcPr>
                <w:p w14:paraId="6CEFD141">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eastAsia="宋体" w:cs="Times New Roman"/>
                      <w:bCs/>
                      <w:color w:val="auto"/>
                      <w:kern w:val="0"/>
                      <w:szCs w:val="21"/>
                      <w:highlight w:val="none"/>
                    </w:rPr>
                    <w:t>处理能力（</w:t>
                  </w:r>
                  <w:r>
                    <w:rPr>
                      <w:rFonts w:hint="eastAsia" w:eastAsia="宋体" w:cs="Times New Roman"/>
                      <w:bCs/>
                      <w:color w:val="auto"/>
                      <w:kern w:val="0"/>
                      <w:szCs w:val="21"/>
                      <w:highlight w:val="none"/>
                      <w:lang w:val="en-US" w:eastAsia="zh-CN"/>
                    </w:rPr>
                    <w:t>m</w:t>
                  </w:r>
                  <w:r>
                    <w:rPr>
                      <w:rFonts w:hint="eastAsia" w:eastAsia="宋体" w:cs="Times New Roman"/>
                      <w:bCs/>
                      <w:color w:val="auto"/>
                      <w:kern w:val="0"/>
                      <w:szCs w:val="21"/>
                      <w:highlight w:val="none"/>
                      <w:vertAlign w:val="superscript"/>
                      <w:lang w:val="en-US" w:eastAsia="zh-CN"/>
                    </w:rPr>
                    <w:t>3</w:t>
                  </w:r>
                  <w:r>
                    <w:rPr>
                      <w:rFonts w:hint="default" w:ascii="Times New Roman" w:hAnsi="Times New Roman" w:eastAsia="宋体" w:cs="Times New Roman"/>
                      <w:bCs/>
                      <w:color w:val="auto"/>
                      <w:kern w:val="0"/>
                      <w:szCs w:val="21"/>
                      <w:highlight w:val="none"/>
                    </w:rPr>
                    <w:t>/h）</w:t>
                  </w:r>
                </w:p>
              </w:tc>
              <w:tc>
                <w:tcPr>
                  <w:tcW w:w="4024" w:type="pct"/>
                  <w:gridSpan w:val="11"/>
                  <w:tcBorders>
                    <w:tl2br w:val="nil"/>
                    <w:tr2bl w:val="nil"/>
                  </w:tcBorders>
                  <w:shd w:val="clear" w:color="auto" w:fill="auto"/>
                  <w:vAlign w:val="center"/>
                </w:tcPr>
                <w:p w14:paraId="02D103D0">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10000</w:t>
                  </w:r>
                </w:p>
              </w:tc>
            </w:tr>
            <w:tr w14:paraId="6ADAC8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4" w:type="pct"/>
                  <w:vMerge w:val="continue"/>
                  <w:tcBorders>
                    <w:tl2br w:val="nil"/>
                    <w:tr2bl w:val="nil"/>
                  </w:tcBorders>
                  <w:shd w:val="clear" w:color="auto" w:fill="auto"/>
                  <w:vAlign w:val="center"/>
                </w:tcPr>
                <w:p w14:paraId="440957CA">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p>
              </w:tc>
              <w:tc>
                <w:tcPr>
                  <w:tcW w:w="641" w:type="pct"/>
                  <w:tcBorders>
                    <w:tl2br w:val="nil"/>
                    <w:tr2bl w:val="nil"/>
                  </w:tcBorders>
                  <w:shd w:val="clear" w:color="auto" w:fill="auto"/>
                  <w:vAlign w:val="center"/>
                </w:tcPr>
                <w:p w14:paraId="37BF145E">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是否可行技术</w:t>
                  </w:r>
                </w:p>
              </w:tc>
              <w:tc>
                <w:tcPr>
                  <w:tcW w:w="4024" w:type="pct"/>
                  <w:gridSpan w:val="11"/>
                  <w:tcBorders>
                    <w:tl2br w:val="nil"/>
                    <w:tr2bl w:val="nil"/>
                  </w:tcBorders>
                  <w:shd w:val="clear" w:color="auto" w:fill="auto"/>
                  <w:vAlign w:val="center"/>
                </w:tcPr>
                <w:p w14:paraId="46B3E801">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是</w:t>
                  </w:r>
                </w:p>
              </w:tc>
            </w:tr>
            <w:tr w14:paraId="6B861B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4" w:type="pct"/>
                  <w:vMerge w:val="restart"/>
                  <w:tcBorders>
                    <w:tl2br w:val="nil"/>
                    <w:tr2bl w:val="nil"/>
                  </w:tcBorders>
                  <w:shd w:val="clear" w:color="auto" w:fill="auto"/>
                  <w:vAlign w:val="center"/>
                </w:tcPr>
                <w:p w14:paraId="0370ACF8">
                  <w:pPr>
                    <w:pStyle w:val="33"/>
                    <w:adjustRightInd w:val="0"/>
                    <w:snapToGrid w:val="0"/>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有组织</w:t>
                  </w:r>
                </w:p>
              </w:tc>
              <w:tc>
                <w:tcPr>
                  <w:tcW w:w="641" w:type="pct"/>
                  <w:tcBorders>
                    <w:tl2br w:val="nil"/>
                    <w:tr2bl w:val="nil"/>
                  </w:tcBorders>
                  <w:shd w:val="clear" w:color="auto" w:fill="auto"/>
                  <w:vAlign w:val="center"/>
                </w:tcPr>
                <w:p w14:paraId="4BF5EAE5">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污染物排放量（t/a）</w:t>
                  </w:r>
                </w:p>
              </w:tc>
              <w:tc>
                <w:tcPr>
                  <w:tcW w:w="725" w:type="pct"/>
                  <w:gridSpan w:val="2"/>
                  <w:tcBorders>
                    <w:tl2br w:val="nil"/>
                    <w:tr2bl w:val="nil"/>
                  </w:tcBorders>
                  <w:shd w:val="clear" w:color="auto" w:fill="auto"/>
                  <w:vAlign w:val="center"/>
                </w:tcPr>
                <w:p w14:paraId="5035D1AC">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0.285</w:t>
                  </w:r>
                </w:p>
              </w:tc>
              <w:tc>
                <w:tcPr>
                  <w:tcW w:w="725" w:type="pct"/>
                  <w:gridSpan w:val="2"/>
                  <w:tcBorders>
                    <w:tl2br w:val="nil"/>
                    <w:tr2bl w:val="nil"/>
                  </w:tcBorders>
                  <w:shd w:val="clear" w:color="auto" w:fill="auto"/>
                  <w:vAlign w:val="center"/>
                </w:tcPr>
                <w:p w14:paraId="2326B095">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0.06916</w:t>
                  </w:r>
                </w:p>
              </w:tc>
              <w:tc>
                <w:tcPr>
                  <w:tcW w:w="844" w:type="pct"/>
                  <w:gridSpan w:val="2"/>
                  <w:tcBorders>
                    <w:tl2br w:val="nil"/>
                    <w:tr2bl w:val="nil"/>
                  </w:tcBorders>
                  <w:shd w:val="clear" w:color="auto" w:fill="auto"/>
                  <w:vAlign w:val="center"/>
                </w:tcPr>
                <w:p w14:paraId="4378EF38">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0.0016302</w:t>
                  </w:r>
                </w:p>
              </w:tc>
              <w:tc>
                <w:tcPr>
                  <w:tcW w:w="883" w:type="pct"/>
                  <w:gridSpan w:val="2"/>
                  <w:tcBorders>
                    <w:tl2br w:val="nil"/>
                    <w:tr2bl w:val="nil"/>
                  </w:tcBorders>
                  <w:shd w:val="clear" w:color="auto" w:fill="auto"/>
                  <w:vAlign w:val="center"/>
                </w:tcPr>
                <w:p w14:paraId="1522AC7B">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0.0005928</w:t>
                  </w:r>
                </w:p>
              </w:tc>
              <w:tc>
                <w:tcPr>
                  <w:tcW w:w="846" w:type="pct"/>
                  <w:gridSpan w:val="3"/>
                  <w:tcBorders>
                    <w:tl2br w:val="nil"/>
                    <w:tr2bl w:val="nil"/>
                  </w:tcBorders>
                  <w:shd w:val="clear" w:color="auto" w:fill="auto"/>
                  <w:vAlign w:val="center"/>
                </w:tcPr>
                <w:p w14:paraId="04FE6645">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0.0883272</w:t>
                  </w:r>
                </w:p>
              </w:tc>
            </w:tr>
            <w:tr w14:paraId="50F8E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4" w:type="pct"/>
                  <w:vMerge w:val="continue"/>
                  <w:tcBorders>
                    <w:tl2br w:val="nil"/>
                    <w:tr2bl w:val="nil"/>
                  </w:tcBorders>
                  <w:shd w:val="clear" w:color="auto" w:fill="auto"/>
                  <w:vAlign w:val="center"/>
                </w:tcPr>
                <w:p w14:paraId="298CD425">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641" w:type="pct"/>
                  <w:tcBorders>
                    <w:tl2br w:val="nil"/>
                    <w:tr2bl w:val="nil"/>
                  </w:tcBorders>
                  <w:shd w:val="clear" w:color="auto" w:fill="auto"/>
                  <w:vAlign w:val="center"/>
                </w:tcPr>
                <w:p w14:paraId="0A6EE42D">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污染物排放速率（kg/h）</w:t>
                  </w:r>
                </w:p>
              </w:tc>
              <w:tc>
                <w:tcPr>
                  <w:tcW w:w="725" w:type="pct"/>
                  <w:gridSpan w:val="2"/>
                  <w:tcBorders>
                    <w:tl2br w:val="nil"/>
                    <w:tr2bl w:val="nil"/>
                  </w:tcBorders>
                  <w:shd w:val="clear" w:color="auto" w:fill="auto"/>
                  <w:vAlign w:val="center"/>
                </w:tcPr>
                <w:p w14:paraId="09A4C331">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0.1188</w:t>
                  </w:r>
                </w:p>
              </w:tc>
              <w:tc>
                <w:tcPr>
                  <w:tcW w:w="725" w:type="pct"/>
                  <w:gridSpan w:val="2"/>
                  <w:tcBorders>
                    <w:tl2br w:val="nil"/>
                    <w:tr2bl w:val="nil"/>
                  </w:tcBorders>
                  <w:shd w:val="clear" w:color="auto" w:fill="auto"/>
                  <w:vAlign w:val="center"/>
                </w:tcPr>
                <w:p w14:paraId="2CD22C1B">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0.05763</w:t>
                  </w:r>
                </w:p>
              </w:tc>
              <w:tc>
                <w:tcPr>
                  <w:tcW w:w="844" w:type="pct"/>
                  <w:gridSpan w:val="2"/>
                  <w:tcBorders>
                    <w:tl2br w:val="nil"/>
                    <w:tr2bl w:val="nil"/>
                  </w:tcBorders>
                  <w:shd w:val="clear" w:color="auto" w:fill="auto"/>
                  <w:vAlign w:val="center"/>
                </w:tcPr>
                <w:p w14:paraId="3A250FF2">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0.00067925</w:t>
                  </w:r>
                </w:p>
              </w:tc>
              <w:tc>
                <w:tcPr>
                  <w:tcW w:w="883" w:type="pct"/>
                  <w:gridSpan w:val="2"/>
                  <w:tcBorders>
                    <w:tl2br w:val="nil"/>
                    <w:tr2bl w:val="nil"/>
                  </w:tcBorders>
                  <w:shd w:val="clear" w:color="auto" w:fill="auto"/>
                  <w:vAlign w:val="center"/>
                </w:tcPr>
                <w:p w14:paraId="748A97BE">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0.000247</w:t>
                  </w:r>
                </w:p>
              </w:tc>
              <w:tc>
                <w:tcPr>
                  <w:tcW w:w="846" w:type="pct"/>
                  <w:gridSpan w:val="3"/>
                  <w:tcBorders>
                    <w:tl2br w:val="nil"/>
                    <w:tr2bl w:val="nil"/>
                  </w:tcBorders>
                  <w:shd w:val="clear" w:color="auto" w:fill="auto"/>
                  <w:vAlign w:val="center"/>
                </w:tcPr>
                <w:p w14:paraId="0A466396">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0.036803</w:t>
                  </w:r>
                </w:p>
              </w:tc>
            </w:tr>
            <w:tr w14:paraId="69320C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34" w:type="pct"/>
                  <w:vMerge w:val="continue"/>
                  <w:tcBorders>
                    <w:tl2br w:val="nil"/>
                    <w:tr2bl w:val="nil"/>
                  </w:tcBorders>
                  <w:shd w:val="clear" w:color="auto" w:fill="auto"/>
                  <w:vAlign w:val="center"/>
                </w:tcPr>
                <w:p w14:paraId="7B4129A5">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641" w:type="pct"/>
                  <w:tcBorders>
                    <w:tl2br w:val="nil"/>
                    <w:tr2bl w:val="nil"/>
                  </w:tcBorders>
                  <w:shd w:val="clear" w:color="auto" w:fill="auto"/>
                  <w:vAlign w:val="center"/>
                </w:tcPr>
                <w:p w14:paraId="6C35CFBC">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污染物排放浓度（mg/m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w:t>
                  </w:r>
                </w:p>
              </w:tc>
              <w:tc>
                <w:tcPr>
                  <w:tcW w:w="725" w:type="pct"/>
                  <w:gridSpan w:val="2"/>
                  <w:tcBorders>
                    <w:tl2br w:val="nil"/>
                    <w:tr2bl w:val="nil"/>
                  </w:tcBorders>
                  <w:shd w:val="clear" w:color="auto" w:fill="auto"/>
                  <w:vAlign w:val="center"/>
                </w:tcPr>
                <w:p w14:paraId="15F7DAEB">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11.88</w:t>
                  </w:r>
                </w:p>
              </w:tc>
              <w:tc>
                <w:tcPr>
                  <w:tcW w:w="725" w:type="pct"/>
                  <w:gridSpan w:val="2"/>
                  <w:tcBorders>
                    <w:tl2br w:val="nil"/>
                    <w:tr2bl w:val="nil"/>
                  </w:tcBorders>
                  <w:shd w:val="clear" w:color="auto" w:fill="auto"/>
                  <w:vAlign w:val="center"/>
                </w:tcPr>
                <w:p w14:paraId="17AE6E4C">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5.7633</w:t>
                  </w:r>
                </w:p>
              </w:tc>
              <w:tc>
                <w:tcPr>
                  <w:tcW w:w="844" w:type="pct"/>
                  <w:gridSpan w:val="2"/>
                  <w:tcBorders>
                    <w:tl2br w:val="nil"/>
                    <w:tr2bl w:val="nil"/>
                  </w:tcBorders>
                  <w:shd w:val="clear" w:color="auto" w:fill="auto"/>
                  <w:vAlign w:val="center"/>
                </w:tcPr>
                <w:p w14:paraId="22136518">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0.067925</w:t>
                  </w:r>
                </w:p>
              </w:tc>
              <w:tc>
                <w:tcPr>
                  <w:tcW w:w="883" w:type="pct"/>
                  <w:gridSpan w:val="2"/>
                  <w:tcBorders>
                    <w:tl2br w:val="nil"/>
                    <w:tr2bl w:val="nil"/>
                  </w:tcBorders>
                  <w:shd w:val="clear" w:color="auto" w:fill="auto"/>
                  <w:vAlign w:val="center"/>
                </w:tcPr>
                <w:p w14:paraId="0CADA04F">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0.0247</w:t>
                  </w:r>
                </w:p>
              </w:tc>
              <w:tc>
                <w:tcPr>
                  <w:tcW w:w="846" w:type="pct"/>
                  <w:gridSpan w:val="3"/>
                  <w:tcBorders>
                    <w:tl2br w:val="nil"/>
                    <w:tr2bl w:val="nil"/>
                  </w:tcBorders>
                  <w:shd w:val="clear" w:color="auto" w:fill="auto"/>
                  <w:vAlign w:val="center"/>
                </w:tcPr>
                <w:p w14:paraId="453BCFF3">
                  <w:pPr>
                    <w:pStyle w:val="33"/>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3.6803</w:t>
                  </w:r>
                </w:p>
              </w:tc>
            </w:tr>
            <w:tr w14:paraId="37AA4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4" w:type="pct"/>
                  <w:vMerge w:val="restart"/>
                  <w:tcBorders>
                    <w:tl2br w:val="nil"/>
                    <w:tr2bl w:val="nil"/>
                  </w:tcBorders>
                  <w:shd w:val="clear" w:color="auto" w:fill="auto"/>
                  <w:vAlign w:val="center"/>
                </w:tcPr>
                <w:p w14:paraId="55EBC9EF">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排放口基本情况</w:t>
                  </w:r>
                </w:p>
              </w:tc>
              <w:tc>
                <w:tcPr>
                  <w:tcW w:w="641" w:type="pct"/>
                  <w:tcBorders>
                    <w:tl2br w:val="nil"/>
                    <w:tr2bl w:val="nil"/>
                  </w:tcBorders>
                  <w:shd w:val="clear" w:color="auto" w:fill="auto"/>
                  <w:vAlign w:val="center"/>
                </w:tcPr>
                <w:p w14:paraId="6FEB4A68">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编号</w:t>
                  </w:r>
                </w:p>
              </w:tc>
              <w:tc>
                <w:tcPr>
                  <w:tcW w:w="4024" w:type="pct"/>
                  <w:gridSpan w:val="11"/>
                  <w:tcBorders>
                    <w:tl2br w:val="nil"/>
                    <w:tr2bl w:val="nil"/>
                  </w:tcBorders>
                  <w:vAlign w:val="center"/>
                </w:tcPr>
                <w:p w14:paraId="0E76713C">
                  <w:pPr>
                    <w:pStyle w:val="33"/>
                    <w:adjustRightInd w:val="0"/>
                    <w:snapToGrid w:val="0"/>
                    <w:spacing w:line="240" w:lineRule="auto"/>
                    <w:ind w:firstLine="0" w:firstLineChars="0"/>
                    <w:jc w:val="center"/>
                    <w:rPr>
                      <w:rFonts w:hint="eastAsia"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DA003</w:t>
                  </w:r>
                </w:p>
              </w:tc>
            </w:tr>
            <w:tr w14:paraId="6F9523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34" w:type="pct"/>
                  <w:vMerge w:val="continue"/>
                  <w:tcBorders>
                    <w:tl2br w:val="nil"/>
                    <w:tr2bl w:val="nil"/>
                  </w:tcBorders>
                  <w:shd w:val="clear" w:color="auto" w:fill="auto"/>
                  <w:vAlign w:val="center"/>
                </w:tcPr>
                <w:p w14:paraId="3D08CE67">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p>
              </w:tc>
              <w:tc>
                <w:tcPr>
                  <w:tcW w:w="641" w:type="pct"/>
                  <w:tcBorders>
                    <w:tl2br w:val="nil"/>
                    <w:tr2bl w:val="nil"/>
                  </w:tcBorders>
                  <w:shd w:val="clear" w:color="auto" w:fill="auto"/>
                  <w:vAlign w:val="center"/>
                </w:tcPr>
                <w:p w14:paraId="66548A58">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名称</w:t>
                  </w:r>
                </w:p>
              </w:tc>
              <w:tc>
                <w:tcPr>
                  <w:tcW w:w="4024" w:type="pct"/>
                  <w:gridSpan w:val="11"/>
                  <w:tcBorders>
                    <w:tl2br w:val="nil"/>
                    <w:tr2bl w:val="nil"/>
                  </w:tcBorders>
                  <w:vAlign w:val="center"/>
                </w:tcPr>
                <w:p w14:paraId="5F8898B4">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废气排放筒</w:t>
                  </w:r>
                </w:p>
              </w:tc>
            </w:tr>
            <w:tr w14:paraId="005F4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 w:type="pct"/>
                  <w:vMerge w:val="continue"/>
                  <w:tcBorders>
                    <w:tl2br w:val="nil"/>
                    <w:tr2bl w:val="nil"/>
                  </w:tcBorders>
                  <w:shd w:val="clear" w:color="auto" w:fill="auto"/>
                  <w:vAlign w:val="center"/>
                </w:tcPr>
                <w:p w14:paraId="64BF2777">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p>
              </w:tc>
              <w:tc>
                <w:tcPr>
                  <w:tcW w:w="641" w:type="pct"/>
                  <w:tcBorders>
                    <w:tl2br w:val="nil"/>
                    <w:tr2bl w:val="nil"/>
                  </w:tcBorders>
                  <w:shd w:val="clear" w:color="auto" w:fill="auto"/>
                  <w:vAlign w:val="center"/>
                </w:tcPr>
                <w:p w14:paraId="5DEFAD51">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类型</w:t>
                  </w:r>
                </w:p>
              </w:tc>
              <w:tc>
                <w:tcPr>
                  <w:tcW w:w="4024" w:type="pct"/>
                  <w:gridSpan w:val="11"/>
                  <w:tcBorders>
                    <w:tl2br w:val="nil"/>
                    <w:tr2bl w:val="nil"/>
                  </w:tcBorders>
                  <w:vAlign w:val="center"/>
                </w:tcPr>
                <w:p w14:paraId="61FA6658">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一般排放口</w:t>
                  </w:r>
                </w:p>
              </w:tc>
            </w:tr>
            <w:tr w14:paraId="1D089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75" w:type="pct"/>
                  <w:gridSpan w:val="2"/>
                  <w:tcBorders>
                    <w:tl2br w:val="nil"/>
                    <w:tr2bl w:val="nil"/>
                  </w:tcBorders>
                  <w:shd w:val="clear" w:color="auto" w:fill="auto"/>
                  <w:vAlign w:val="center"/>
                </w:tcPr>
                <w:p w14:paraId="050F340F">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rPr>
                  </w:pPr>
                  <w:r>
                    <w:rPr>
                      <w:rFonts w:hint="default" w:ascii="Times New Roman" w:hAnsi="Times New Roman" w:cs="Times New Roman"/>
                      <w:bCs/>
                      <w:color w:val="auto"/>
                      <w:kern w:val="0"/>
                      <w:sz w:val="21"/>
                      <w:szCs w:val="21"/>
                    </w:rPr>
                    <w:t>排放标准（mg/m</w:t>
                  </w:r>
                  <w:r>
                    <w:rPr>
                      <w:rFonts w:hint="default" w:ascii="Times New Roman" w:hAnsi="Times New Roman" w:cs="Times New Roman"/>
                      <w:bCs/>
                      <w:color w:val="auto"/>
                      <w:kern w:val="0"/>
                      <w:sz w:val="21"/>
                      <w:szCs w:val="21"/>
                      <w:vertAlign w:val="superscript"/>
                    </w:rPr>
                    <w:t>3</w:t>
                  </w:r>
                  <w:r>
                    <w:rPr>
                      <w:rFonts w:hint="default" w:ascii="Times New Roman" w:hAnsi="Times New Roman" w:cs="Times New Roman"/>
                      <w:bCs/>
                      <w:color w:val="auto"/>
                      <w:kern w:val="0"/>
                      <w:sz w:val="21"/>
                      <w:szCs w:val="21"/>
                    </w:rPr>
                    <w:t>）</w:t>
                  </w:r>
                </w:p>
              </w:tc>
              <w:tc>
                <w:tcPr>
                  <w:tcW w:w="356" w:type="pct"/>
                  <w:tcBorders>
                    <w:tl2br w:val="nil"/>
                    <w:tr2bl w:val="nil"/>
                  </w:tcBorders>
                  <w:shd w:val="clear" w:color="auto" w:fill="auto"/>
                  <w:vAlign w:val="center"/>
                </w:tcPr>
                <w:p w14:paraId="21610966">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12</w:t>
                  </w:r>
                  <w:r>
                    <w:rPr>
                      <w:rFonts w:hint="default" w:ascii="Times New Roman" w:hAnsi="Times New Roman" w:cs="Times New Roman"/>
                      <w:bCs/>
                      <w:color w:val="auto"/>
                      <w:kern w:val="0"/>
                      <w:sz w:val="21"/>
                      <w:szCs w:val="21"/>
                    </w:rPr>
                    <w:t>0</w:t>
                  </w:r>
                </w:p>
              </w:tc>
              <w:tc>
                <w:tcPr>
                  <w:tcW w:w="368" w:type="pct"/>
                  <w:tcBorders>
                    <w:tl2br w:val="nil"/>
                    <w:tr2bl w:val="nil"/>
                  </w:tcBorders>
                  <w:shd w:val="clear" w:color="auto" w:fill="auto"/>
                  <w:vAlign w:val="center"/>
                </w:tcPr>
                <w:p w14:paraId="02B23AE6">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1.0</w:t>
                  </w:r>
                </w:p>
              </w:tc>
              <w:tc>
                <w:tcPr>
                  <w:tcW w:w="355" w:type="pct"/>
                  <w:tcBorders>
                    <w:tl2br w:val="nil"/>
                    <w:tr2bl w:val="nil"/>
                  </w:tcBorders>
                  <w:shd w:val="clear" w:color="auto" w:fill="auto"/>
                  <w:vAlign w:val="center"/>
                </w:tcPr>
                <w:p w14:paraId="02570A71">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rPr>
                    <w:t>20-30</w:t>
                  </w:r>
                </w:p>
              </w:tc>
              <w:tc>
                <w:tcPr>
                  <w:tcW w:w="370" w:type="pct"/>
                  <w:tcBorders>
                    <w:tl2br w:val="nil"/>
                    <w:tr2bl w:val="nil"/>
                  </w:tcBorders>
                  <w:shd w:val="clear" w:color="auto" w:fill="auto"/>
                  <w:vAlign w:val="center"/>
                </w:tcPr>
                <w:p w14:paraId="2E812BBE">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3.0</w:t>
                  </w:r>
                </w:p>
              </w:tc>
              <w:tc>
                <w:tcPr>
                  <w:tcW w:w="483" w:type="pct"/>
                  <w:tcBorders>
                    <w:tl2br w:val="nil"/>
                    <w:tr2bl w:val="nil"/>
                  </w:tcBorders>
                  <w:shd w:val="clear" w:color="auto" w:fill="auto"/>
                  <w:vAlign w:val="center"/>
                </w:tcPr>
                <w:p w14:paraId="605B08D9">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12</w:t>
                  </w:r>
                  <w:r>
                    <w:rPr>
                      <w:rFonts w:hint="default" w:ascii="Times New Roman" w:hAnsi="Times New Roman" w:cs="Times New Roman"/>
                      <w:bCs/>
                      <w:color w:val="auto"/>
                      <w:kern w:val="0"/>
                      <w:sz w:val="21"/>
                      <w:szCs w:val="21"/>
                    </w:rPr>
                    <w:t>0</w:t>
                  </w:r>
                </w:p>
              </w:tc>
              <w:tc>
                <w:tcPr>
                  <w:tcW w:w="360" w:type="pct"/>
                  <w:tcBorders>
                    <w:tl2br w:val="nil"/>
                    <w:tr2bl w:val="nil"/>
                  </w:tcBorders>
                  <w:shd w:val="clear" w:color="auto" w:fill="auto"/>
                  <w:vAlign w:val="center"/>
                </w:tcPr>
                <w:p w14:paraId="6C90E7B7">
                  <w:pPr>
                    <w:pStyle w:val="33"/>
                    <w:adjustRightInd w:val="0"/>
                    <w:snapToGrid w:val="0"/>
                    <w:spacing w:line="240" w:lineRule="auto"/>
                    <w:ind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1.0</w:t>
                  </w:r>
                </w:p>
              </w:tc>
              <w:tc>
                <w:tcPr>
                  <w:tcW w:w="439" w:type="pct"/>
                  <w:tcBorders>
                    <w:tl2br w:val="nil"/>
                    <w:tr2bl w:val="nil"/>
                  </w:tcBorders>
                  <w:shd w:val="clear" w:color="auto" w:fill="auto"/>
                  <w:vAlign w:val="center"/>
                </w:tcPr>
                <w:p w14:paraId="17AE054D">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lang w:val="en-US" w:eastAsia="zh-CN"/>
                    </w:rPr>
                  </w:pPr>
                  <w:r>
                    <w:rPr>
                      <w:rFonts w:hint="eastAsia" w:cs="Times New Roman"/>
                      <w:bCs/>
                      <w:color w:val="auto"/>
                      <w:kern w:val="0"/>
                      <w:sz w:val="21"/>
                      <w:szCs w:val="21"/>
                      <w:lang w:val="en-US" w:eastAsia="zh-CN"/>
                    </w:rPr>
                    <w:t>200</w:t>
                  </w:r>
                </w:p>
              </w:tc>
              <w:tc>
                <w:tcPr>
                  <w:tcW w:w="443" w:type="pct"/>
                  <w:tcBorders>
                    <w:tl2br w:val="nil"/>
                    <w:tr2bl w:val="nil"/>
                  </w:tcBorders>
                  <w:shd w:val="clear" w:color="auto" w:fill="auto"/>
                  <w:vAlign w:val="center"/>
                </w:tcPr>
                <w:p w14:paraId="77DC6107">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lang w:val="en-US" w:eastAsia="zh-CN"/>
                    </w:rPr>
                  </w:pPr>
                  <w:r>
                    <w:rPr>
                      <w:rFonts w:hint="eastAsia" w:cs="Times New Roman"/>
                      <w:bCs/>
                      <w:color w:val="auto"/>
                      <w:kern w:val="0"/>
                      <w:sz w:val="21"/>
                      <w:szCs w:val="21"/>
                      <w:lang w:val="en-US" w:eastAsia="zh-CN"/>
                    </w:rPr>
                    <w:t>0.4</w:t>
                  </w:r>
                </w:p>
              </w:tc>
              <w:tc>
                <w:tcPr>
                  <w:tcW w:w="487" w:type="pct"/>
                  <w:gridSpan w:val="2"/>
                  <w:tcBorders>
                    <w:tl2br w:val="nil"/>
                    <w:tr2bl w:val="nil"/>
                  </w:tcBorders>
                  <w:shd w:val="clear" w:color="auto" w:fill="auto"/>
                  <w:vAlign w:val="center"/>
                </w:tcPr>
                <w:p w14:paraId="5D79685C">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lang w:val="en-US" w:eastAsia="zh-CN"/>
                    </w:rPr>
                  </w:pPr>
                  <w:r>
                    <w:rPr>
                      <w:rFonts w:hint="eastAsia" w:cs="Times New Roman"/>
                      <w:bCs/>
                      <w:color w:val="auto"/>
                      <w:kern w:val="0"/>
                      <w:sz w:val="21"/>
                      <w:szCs w:val="21"/>
                      <w:lang w:val="en-US" w:eastAsia="zh-CN"/>
                    </w:rPr>
                    <w:t>300</w:t>
                  </w:r>
                </w:p>
              </w:tc>
              <w:tc>
                <w:tcPr>
                  <w:tcW w:w="358" w:type="pct"/>
                  <w:tcBorders>
                    <w:tl2br w:val="nil"/>
                    <w:tr2bl w:val="nil"/>
                  </w:tcBorders>
                  <w:shd w:val="clear" w:color="auto" w:fill="auto"/>
                  <w:vAlign w:val="center"/>
                </w:tcPr>
                <w:p w14:paraId="0737FD6D">
                  <w:pPr>
                    <w:pStyle w:val="33"/>
                    <w:adjustRightInd w:val="0"/>
                    <w:snapToGrid w:val="0"/>
                    <w:spacing w:line="240" w:lineRule="auto"/>
                    <w:ind w:firstLine="0" w:firstLineChars="0"/>
                    <w:jc w:val="center"/>
                    <w:rPr>
                      <w:rFonts w:hint="default" w:ascii="Times New Roman" w:hAnsi="Times New Roman" w:cs="Times New Roman"/>
                      <w:bCs/>
                      <w:color w:val="auto"/>
                      <w:kern w:val="0"/>
                      <w:sz w:val="21"/>
                      <w:szCs w:val="21"/>
                      <w:lang w:val="en-US" w:eastAsia="zh-CN"/>
                    </w:rPr>
                  </w:pPr>
                  <w:r>
                    <w:rPr>
                      <w:rFonts w:hint="eastAsia" w:cs="Times New Roman"/>
                      <w:bCs/>
                      <w:color w:val="auto"/>
                      <w:kern w:val="0"/>
                      <w:sz w:val="21"/>
                      <w:szCs w:val="21"/>
                      <w:lang w:val="en-US" w:eastAsia="zh-CN"/>
                    </w:rPr>
                    <w:t>0.12</w:t>
                  </w:r>
                </w:p>
              </w:tc>
            </w:tr>
            <w:tr w14:paraId="33A9F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975" w:type="pct"/>
                  <w:gridSpan w:val="2"/>
                  <w:tcBorders>
                    <w:tl2br w:val="nil"/>
                    <w:tr2bl w:val="nil"/>
                  </w:tcBorders>
                  <w:shd w:val="clear" w:color="auto" w:fill="auto"/>
                  <w:vAlign w:val="center"/>
                </w:tcPr>
                <w:p w14:paraId="73D83B85">
                  <w:pPr>
                    <w:pStyle w:val="33"/>
                    <w:adjustRightInd w:val="0"/>
                    <w:snapToGrid w:val="0"/>
                    <w:spacing w:line="24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是否达标</w:t>
                  </w:r>
                </w:p>
              </w:tc>
              <w:tc>
                <w:tcPr>
                  <w:tcW w:w="356" w:type="pct"/>
                  <w:tcBorders>
                    <w:tl2br w:val="nil"/>
                    <w:tr2bl w:val="nil"/>
                  </w:tcBorders>
                  <w:shd w:val="clear" w:color="auto" w:fill="auto"/>
                  <w:vAlign w:val="center"/>
                </w:tcPr>
                <w:p w14:paraId="5F280383">
                  <w:pPr>
                    <w:pStyle w:val="33"/>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c>
                <w:tcPr>
                  <w:tcW w:w="368" w:type="pct"/>
                  <w:tcBorders>
                    <w:tl2br w:val="nil"/>
                    <w:tr2bl w:val="nil"/>
                  </w:tcBorders>
                  <w:shd w:val="clear" w:color="auto" w:fill="auto"/>
                  <w:vAlign w:val="center"/>
                </w:tcPr>
                <w:p w14:paraId="0DB31DE0">
                  <w:pPr>
                    <w:pStyle w:val="33"/>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c>
                <w:tcPr>
                  <w:tcW w:w="355" w:type="pct"/>
                  <w:tcBorders>
                    <w:tl2br w:val="nil"/>
                    <w:tr2bl w:val="nil"/>
                  </w:tcBorders>
                  <w:shd w:val="clear" w:color="auto" w:fill="auto"/>
                  <w:vAlign w:val="center"/>
                </w:tcPr>
                <w:p w14:paraId="74BC3940">
                  <w:pPr>
                    <w:pStyle w:val="33"/>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是</w:t>
                  </w:r>
                </w:p>
              </w:tc>
              <w:tc>
                <w:tcPr>
                  <w:tcW w:w="370" w:type="pct"/>
                  <w:tcBorders>
                    <w:tl2br w:val="nil"/>
                    <w:tr2bl w:val="nil"/>
                  </w:tcBorders>
                  <w:shd w:val="clear" w:color="auto" w:fill="auto"/>
                  <w:vAlign w:val="center"/>
                </w:tcPr>
                <w:p w14:paraId="650A27DF">
                  <w:pPr>
                    <w:pStyle w:val="33"/>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是</w:t>
                  </w:r>
                </w:p>
              </w:tc>
              <w:tc>
                <w:tcPr>
                  <w:tcW w:w="483" w:type="pct"/>
                  <w:tcBorders>
                    <w:tl2br w:val="nil"/>
                    <w:tr2bl w:val="nil"/>
                  </w:tcBorders>
                  <w:shd w:val="clear" w:color="auto" w:fill="auto"/>
                  <w:vAlign w:val="center"/>
                </w:tcPr>
                <w:p w14:paraId="6C9EE682">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c>
                <w:tcPr>
                  <w:tcW w:w="360" w:type="pct"/>
                  <w:tcBorders>
                    <w:tl2br w:val="nil"/>
                    <w:tr2bl w:val="nil"/>
                  </w:tcBorders>
                  <w:shd w:val="clear" w:color="auto" w:fill="auto"/>
                  <w:vAlign w:val="center"/>
                </w:tcPr>
                <w:p w14:paraId="7EF982F6">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是</w:t>
                  </w:r>
                </w:p>
              </w:tc>
              <w:tc>
                <w:tcPr>
                  <w:tcW w:w="439" w:type="pct"/>
                  <w:tcBorders>
                    <w:tl2br w:val="nil"/>
                    <w:tr2bl w:val="nil"/>
                  </w:tcBorders>
                  <w:shd w:val="clear" w:color="auto" w:fill="auto"/>
                  <w:vAlign w:val="center"/>
                </w:tcPr>
                <w:p w14:paraId="0DBCB27A">
                  <w:pPr>
                    <w:pStyle w:val="33"/>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是</w:t>
                  </w:r>
                </w:p>
              </w:tc>
              <w:tc>
                <w:tcPr>
                  <w:tcW w:w="443" w:type="pct"/>
                  <w:tcBorders>
                    <w:tl2br w:val="nil"/>
                    <w:tr2bl w:val="nil"/>
                  </w:tcBorders>
                  <w:shd w:val="clear" w:color="auto" w:fill="auto"/>
                  <w:vAlign w:val="center"/>
                </w:tcPr>
                <w:p w14:paraId="66FAF4F5">
                  <w:pPr>
                    <w:pStyle w:val="33"/>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是</w:t>
                  </w:r>
                </w:p>
              </w:tc>
              <w:tc>
                <w:tcPr>
                  <w:tcW w:w="487" w:type="pct"/>
                  <w:gridSpan w:val="2"/>
                  <w:tcBorders>
                    <w:tl2br w:val="nil"/>
                    <w:tr2bl w:val="nil"/>
                  </w:tcBorders>
                  <w:shd w:val="clear" w:color="auto" w:fill="auto"/>
                  <w:vAlign w:val="center"/>
                </w:tcPr>
                <w:p w14:paraId="4DE40796">
                  <w:pPr>
                    <w:pStyle w:val="33"/>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c>
                <w:tcPr>
                  <w:tcW w:w="358" w:type="pct"/>
                  <w:tcBorders>
                    <w:tl2br w:val="nil"/>
                    <w:tr2bl w:val="nil"/>
                  </w:tcBorders>
                  <w:shd w:val="clear" w:color="auto" w:fill="auto"/>
                  <w:vAlign w:val="center"/>
                </w:tcPr>
                <w:p w14:paraId="51209788">
                  <w:pPr>
                    <w:pStyle w:val="33"/>
                    <w:adjustRightInd w:val="0"/>
                    <w:snapToGrid w:val="0"/>
                    <w:spacing w:line="24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是</w:t>
                  </w:r>
                </w:p>
              </w:tc>
            </w:tr>
          </w:tbl>
          <w:p w14:paraId="7BF0FBFE">
            <w:pPr>
              <w:adjustRightInd w:val="0"/>
              <w:snapToGrid w:val="0"/>
              <w:jc w:val="both"/>
              <w:rPr>
                <w:rFonts w:eastAsiaTheme="minorEastAsia"/>
                <w:bCs/>
                <w:color w:val="000000" w:themeColor="text1"/>
                <w:sz w:val="24"/>
                <w:vertAlign w:val="baseline"/>
                <w14:textFill>
                  <w14:solidFill>
                    <w14:schemeClr w14:val="tx1"/>
                  </w14:solidFill>
                </w14:textFill>
              </w:rPr>
            </w:pPr>
          </w:p>
        </w:tc>
      </w:tr>
    </w:tbl>
    <w:p w14:paraId="1D77162E">
      <w:pPr>
        <w:rPr>
          <w:b/>
          <w:bCs/>
          <w:lang w:val="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7929"/>
      </w:tblGrid>
      <w:tr w14:paraId="525DB4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tcPr>
          <w:p w14:paraId="292EB8FB">
            <w:pPr>
              <w:adjustRightInd w:val="0"/>
              <w:snapToGrid w:val="0"/>
              <w:jc w:val="center"/>
              <w:rPr>
                <w:rFonts w:eastAsiaTheme="minorEastAsia"/>
                <w:bCs/>
                <w:color w:val="000000" w:themeColor="text1"/>
                <w:sz w:val="24"/>
                <w:vertAlign w:val="baseline"/>
                <w14:textFill>
                  <w14:solidFill>
                    <w14:schemeClr w14:val="tx1"/>
                  </w14:solidFill>
                </w14:textFill>
              </w:rPr>
            </w:pPr>
          </w:p>
        </w:tc>
        <w:tc>
          <w:tcPr>
            <w:tcW w:w="8422" w:type="dxa"/>
            <w:tcBorders>
              <w:tl2br w:val="nil"/>
              <w:tr2bl w:val="nil"/>
            </w:tcBorders>
          </w:tcPr>
          <w:p w14:paraId="0158645C">
            <w:pPr>
              <w:snapToGrid/>
              <w:spacing w:line="360" w:lineRule="auto"/>
              <w:ind w:firstLine="482" w:firstLineChars="200"/>
              <w:rPr>
                <w:rFonts w:hint="default"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1</w:t>
            </w:r>
            <w:r>
              <w:rPr>
                <w:rFonts w:hint="default" w:ascii="Times New Roman" w:hAnsi="Times New Roman" w:eastAsia="宋体" w:cs="Times New Roman"/>
                <w:b/>
                <w:bCs w:val="0"/>
                <w:color w:val="auto"/>
                <w:sz w:val="24"/>
                <w:highlight w:val="none"/>
                <w:lang w:eastAsia="zh-CN"/>
              </w:rPr>
              <w:t>.</w:t>
            </w:r>
            <w:r>
              <w:rPr>
                <w:rFonts w:hint="default" w:ascii="Times New Roman" w:hAnsi="Times New Roman" w:eastAsia="宋体" w:cs="Times New Roman"/>
                <w:b/>
                <w:bCs w:val="0"/>
                <w:color w:val="auto"/>
                <w:sz w:val="24"/>
                <w:highlight w:val="none"/>
              </w:rPr>
              <w:t>2污染源强核算过程</w:t>
            </w:r>
          </w:p>
          <w:p w14:paraId="7EABF39F">
            <w:pPr>
              <w:keepNext w:val="0"/>
              <w:keepLines w:val="0"/>
              <w:widowControl/>
              <w:numPr>
                <w:ilvl w:val="0"/>
                <w:numId w:val="4"/>
              </w:numPr>
              <w:suppressLineNumbers w:val="0"/>
              <w:spacing w:line="360" w:lineRule="auto"/>
              <w:ind w:firstLine="480" w:firstLineChars="200"/>
              <w:jc w:val="left"/>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投料</w:t>
            </w:r>
            <w:r>
              <w:rPr>
                <w:rFonts w:hint="eastAsia" w:cs="Times New Roman"/>
                <w:color w:val="000000"/>
                <w:kern w:val="0"/>
                <w:sz w:val="24"/>
                <w:szCs w:val="24"/>
                <w:lang w:val="en-US" w:eastAsia="zh-CN" w:bidi="ar"/>
              </w:rPr>
              <w:t>及研磨粉尘</w:t>
            </w:r>
          </w:p>
          <w:p w14:paraId="5A56B7E4">
            <w:pPr>
              <w:keepNext w:val="0"/>
              <w:keepLines w:val="0"/>
              <w:widowControl/>
              <w:numPr>
                <w:ilvl w:val="0"/>
                <w:numId w:val="0"/>
              </w:numPr>
              <w:suppressLineNumbers w:val="0"/>
              <w:spacing w:line="360" w:lineRule="auto"/>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根据《排放源统计调查产排污核算方法和系数手册》（生态环境部公告2021年第24号）中</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2641涂料制造行业系数手册</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的2641涂料制造行业系数表</w:t>
            </w:r>
            <w:r>
              <w:rPr>
                <w:rFonts w:hint="eastAsia" w:cs="Times New Roman"/>
                <w:color w:val="000000"/>
                <w:kern w:val="0"/>
                <w:sz w:val="24"/>
                <w:szCs w:val="24"/>
                <w:lang w:val="en-US" w:eastAsia="zh-CN" w:bidi="ar"/>
              </w:rPr>
              <w:t>（续10）“</w:t>
            </w:r>
            <w:r>
              <w:rPr>
                <w:rFonts w:hint="default" w:ascii="Times New Roman" w:hAnsi="Times New Roman" w:eastAsia="宋体" w:cs="Times New Roman"/>
                <w:color w:val="000000"/>
                <w:kern w:val="0"/>
                <w:sz w:val="24"/>
                <w:szCs w:val="24"/>
                <w:lang w:val="en-US" w:eastAsia="zh-CN" w:bidi="ar"/>
              </w:rPr>
              <w:t>粉末涂料生产工艺</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，颗粒物的产污系数为：24.80千克/吨-产品</w:t>
            </w:r>
            <w:r>
              <w:rPr>
                <w:rFonts w:hint="eastAsia" w:ascii="Times New Roman" w:hAnsi="Times New Roman" w:eastAsia="宋体" w:cs="Times New Roman"/>
                <w:color w:val="000000"/>
                <w:kern w:val="0"/>
                <w:sz w:val="24"/>
                <w:szCs w:val="24"/>
                <w:lang w:val="en-US" w:eastAsia="zh-CN" w:bidi="ar"/>
              </w:rPr>
              <w:t>。</w:t>
            </w:r>
          </w:p>
          <w:p w14:paraId="36657710">
            <w:pPr>
              <w:keepNext w:val="0"/>
              <w:keepLines w:val="0"/>
              <w:widowControl/>
              <w:suppressLineNumbers w:val="0"/>
              <w:spacing w:line="360" w:lineRule="auto"/>
              <w:ind w:firstLine="480" w:firstLineChars="200"/>
              <w:jc w:val="both"/>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Times New Roman"/>
                <w:color w:val="000000"/>
                <w:kern w:val="0"/>
                <w:sz w:val="24"/>
                <w:szCs w:val="24"/>
                <w:lang w:val="en-US" w:eastAsia="zh-CN" w:bidi="ar"/>
              </w:rPr>
              <w:t>项目预计年产粉末涂料</w:t>
            </w:r>
            <w:r>
              <w:rPr>
                <w:rFonts w:hint="default" w:ascii="Times New Roman" w:hAnsi="Times New Roman" w:eastAsia="宋体" w:cs="Times New Roman"/>
                <w:color w:val="000000"/>
                <w:kern w:val="0"/>
                <w:sz w:val="24"/>
                <w:szCs w:val="24"/>
                <w:lang w:val="en-US" w:eastAsia="zh-CN" w:bidi="ar"/>
              </w:rPr>
              <w:t>200</w:t>
            </w:r>
            <w:r>
              <w:rPr>
                <w:rFonts w:hint="eastAsia" w:ascii="Times New Roman" w:hAnsi="Times New Roman" w:eastAsia="宋体" w:cs="Times New Roman"/>
                <w:color w:val="000000"/>
                <w:kern w:val="0"/>
                <w:sz w:val="24"/>
                <w:szCs w:val="24"/>
                <w:lang w:val="en-US" w:eastAsia="zh-CN" w:bidi="ar"/>
              </w:rPr>
              <w:t>吨，则</w:t>
            </w:r>
            <w:r>
              <w:rPr>
                <w:rFonts w:hint="default" w:ascii="Times New Roman" w:hAnsi="Times New Roman" w:eastAsia="宋体" w:cs="Times New Roman"/>
                <w:color w:val="000000"/>
                <w:kern w:val="0"/>
                <w:sz w:val="24"/>
                <w:szCs w:val="24"/>
                <w:lang w:val="en-US" w:eastAsia="zh-CN" w:bidi="ar"/>
              </w:rPr>
              <w:t>投料</w:t>
            </w:r>
            <w:r>
              <w:rPr>
                <w:rFonts w:hint="eastAsia" w:cs="Times New Roman"/>
                <w:color w:val="000000"/>
                <w:kern w:val="0"/>
                <w:sz w:val="24"/>
                <w:szCs w:val="24"/>
                <w:lang w:val="en-US" w:eastAsia="zh-CN" w:bidi="ar"/>
              </w:rPr>
              <w:t>及研磨粉</w:t>
            </w:r>
            <w:r>
              <w:rPr>
                <w:rFonts w:hint="eastAsia" w:ascii="Times New Roman" w:hAnsi="Times New Roman" w:eastAsia="宋体" w:cs="Times New Roman"/>
                <w:color w:val="000000"/>
                <w:kern w:val="0"/>
                <w:sz w:val="24"/>
                <w:szCs w:val="24"/>
                <w:lang w:val="en-US" w:eastAsia="zh-CN" w:bidi="ar"/>
              </w:rPr>
              <w:t>尘产生量为</w:t>
            </w:r>
            <w:r>
              <w:rPr>
                <w:rFonts w:hint="eastAsia" w:cs="Times New Roman"/>
                <w:color w:val="000000"/>
                <w:kern w:val="0"/>
                <w:sz w:val="24"/>
                <w:szCs w:val="24"/>
                <w:lang w:val="en-US" w:eastAsia="zh-CN" w:bidi="ar"/>
              </w:rPr>
              <w:t>4.96</w:t>
            </w:r>
            <w:r>
              <w:rPr>
                <w:rFonts w:hint="default" w:ascii="Times New Roman" w:hAnsi="Times New Roman" w:eastAsia="宋体" w:cs="Times New Roman"/>
                <w:color w:val="000000"/>
                <w:kern w:val="0"/>
                <w:sz w:val="24"/>
                <w:szCs w:val="24"/>
                <w:lang w:val="en-US" w:eastAsia="zh-CN" w:bidi="ar"/>
              </w:rPr>
              <w:t>t/a</w:t>
            </w:r>
            <w:r>
              <w:rPr>
                <w:rFonts w:hint="eastAsia" w:cs="Times New Roman"/>
                <w:color w:val="000000"/>
                <w:kern w:val="0"/>
                <w:sz w:val="24"/>
                <w:szCs w:val="24"/>
                <w:lang w:val="en-US" w:eastAsia="zh-CN" w:bidi="ar"/>
              </w:rPr>
              <w:t>，产生速率为2.06kg/h。</w:t>
            </w:r>
            <w:r>
              <w:rPr>
                <w:rFonts w:hint="eastAsia" w:ascii="宋体" w:hAnsi="宋体" w:eastAsia="宋体" w:cs="宋体"/>
                <w:color w:val="000000"/>
                <w:kern w:val="0"/>
                <w:sz w:val="24"/>
                <w:szCs w:val="24"/>
                <w:lang w:val="en-US" w:eastAsia="zh-CN" w:bidi="ar"/>
              </w:rPr>
              <w:t>在混料机进料口上方设置集气罩，</w:t>
            </w:r>
            <w:r>
              <w:rPr>
                <w:rFonts w:hint="eastAsia" w:ascii="宋体" w:hAnsi="宋体" w:cs="宋体"/>
                <w:color w:val="000000"/>
                <w:kern w:val="0"/>
                <w:sz w:val="24"/>
                <w:szCs w:val="24"/>
                <w:lang w:val="en-US" w:eastAsia="zh-CN" w:bidi="ar"/>
              </w:rPr>
              <w:t>研磨</w:t>
            </w:r>
            <w:r>
              <w:rPr>
                <w:rFonts w:hint="eastAsia"/>
                <w:sz w:val="24"/>
              </w:rPr>
              <w:t>超细的粉粒则是</w:t>
            </w:r>
            <w:r>
              <w:rPr>
                <w:rFonts w:hint="eastAsia"/>
                <w:sz w:val="24"/>
                <w:lang w:val="en-US" w:eastAsia="zh-CN"/>
              </w:rPr>
              <w:t>进入</w:t>
            </w:r>
            <w:r>
              <w:rPr>
                <w:rFonts w:hint="eastAsia"/>
                <w:sz w:val="24"/>
              </w:rPr>
              <w:t>旋风分离器</w:t>
            </w:r>
            <w:r>
              <w:rPr>
                <w:rFonts w:hint="default" w:ascii="Times New Roman" w:hAnsi="Times New Roman" w:cs="Times New Roman"/>
                <w:sz w:val="24"/>
                <w:lang w:val="en-US" w:eastAsia="zh-CN"/>
              </w:rPr>
              <w:t>后，进入</w:t>
            </w:r>
            <w:r>
              <w:rPr>
                <w:rFonts w:hint="eastAsia" w:cs="Times New Roman"/>
                <w:sz w:val="24"/>
                <w:lang w:val="en-US" w:eastAsia="zh-CN"/>
              </w:rPr>
              <w:t>同一套</w:t>
            </w:r>
            <w:r>
              <w:rPr>
                <w:rFonts w:hint="eastAsia"/>
                <w:kern w:val="0"/>
                <w:sz w:val="24"/>
              </w:rPr>
              <w:t>滤筒</w:t>
            </w:r>
            <w:r>
              <w:rPr>
                <w:kern w:val="0"/>
                <w:sz w:val="24"/>
              </w:rPr>
              <w:t>除尘系统</w:t>
            </w:r>
            <w:r>
              <w:rPr>
                <w:rFonts w:hint="eastAsia"/>
                <w:kern w:val="0"/>
                <w:sz w:val="24"/>
              </w:rPr>
              <w:t>处理</w:t>
            </w:r>
            <w:r>
              <w:rPr>
                <w:rFonts w:hint="default" w:ascii="Times New Roman" w:hAnsi="Times New Roman" w:cs="Times New Roman"/>
                <w:sz w:val="24"/>
                <w:lang w:val="en-US" w:eastAsia="zh-CN"/>
              </w:rPr>
              <w:t>，处理后经15m高</w:t>
            </w:r>
            <w:r>
              <w:rPr>
                <w:rFonts w:hint="eastAsia" w:cs="Times New Roman"/>
                <w:sz w:val="24"/>
                <w:lang w:val="en-US" w:eastAsia="zh-CN"/>
              </w:rPr>
              <w:t>排气筒</w:t>
            </w:r>
            <w:r>
              <w:rPr>
                <w:rFonts w:hint="default" w:ascii="Times New Roman" w:hAnsi="Times New Roman" w:cs="Times New Roman"/>
                <w:sz w:val="24"/>
                <w:lang w:val="en-US" w:eastAsia="zh-CN"/>
              </w:rPr>
              <w:t>P1排放</w:t>
            </w:r>
            <w:r>
              <w:rPr>
                <w:rFonts w:hint="eastAsia" w:cs="Times New Roman"/>
                <w:sz w:val="24"/>
                <w:lang w:val="en-US" w:eastAsia="zh-CN"/>
              </w:rPr>
              <w:t>。</w:t>
            </w:r>
            <w:r>
              <w:rPr>
                <w:rFonts w:hint="eastAsia" w:ascii="Times New Roman" w:hAnsi="Times New Roman" w:eastAsia="宋体" w:cs="宋体"/>
                <w:bCs/>
                <w:color w:val="auto"/>
                <w:kern w:val="2"/>
                <w:sz w:val="24"/>
                <w:szCs w:val="22"/>
                <w:lang w:val="en-US" w:eastAsia="zh-CN" w:bidi="ar-SA"/>
              </w:rPr>
              <w:t>收集效率为85%</w:t>
            </w:r>
            <w:r>
              <w:rPr>
                <w:rFonts w:hint="eastAsia" w:ascii="Times New Roman" w:hAnsi="Times New Roman" w:cs="Times New Roman"/>
                <w:b w:val="0"/>
                <w:bCs/>
                <w:kern w:val="2"/>
                <w:sz w:val="24"/>
                <w:szCs w:val="24"/>
                <w:lang w:val="en-US" w:eastAsia="zh-CN" w:bidi="ar-SA"/>
              </w:rPr>
              <w:t>，</w:t>
            </w:r>
            <w:r>
              <w:rPr>
                <w:rFonts w:hint="eastAsia"/>
                <w:kern w:val="0"/>
                <w:sz w:val="24"/>
              </w:rPr>
              <w:t>滤筒</w:t>
            </w:r>
            <w:r>
              <w:rPr>
                <w:kern w:val="0"/>
                <w:sz w:val="24"/>
              </w:rPr>
              <w:t>除尘</w:t>
            </w:r>
            <w:r>
              <w:rPr>
                <w:rFonts w:hint="eastAsia" w:ascii="Times New Roman" w:hAnsi="Times New Roman" w:eastAsia="宋体" w:cs="宋体"/>
                <w:bCs/>
                <w:color w:val="auto"/>
                <w:kern w:val="2"/>
                <w:sz w:val="24"/>
                <w:szCs w:val="22"/>
                <w:lang w:val="en-US" w:eastAsia="zh-CN" w:bidi="ar-SA"/>
              </w:rPr>
              <w:t>去除效率以90%计。</w:t>
            </w:r>
          </w:p>
          <w:p w14:paraId="2CDF8323">
            <w:pPr>
              <w:keepNext w:val="0"/>
              <w:keepLines w:val="0"/>
              <w:widowControl/>
              <w:suppressLineNumbers w:val="0"/>
              <w:spacing w:line="360" w:lineRule="auto"/>
              <w:ind w:firstLine="480" w:firstLineChars="200"/>
              <w:jc w:val="both"/>
              <w:rPr>
                <w:rFonts w:hint="default"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宋体"/>
                <w:bCs/>
                <w:color w:val="auto"/>
                <w:kern w:val="2"/>
                <w:sz w:val="24"/>
                <w:szCs w:val="22"/>
                <w:lang w:val="en-US" w:eastAsia="zh-CN" w:bidi="ar-SA"/>
              </w:rPr>
              <w:t>因</w:t>
            </w:r>
            <w:r>
              <w:rPr>
                <w:rFonts w:hint="default" w:ascii="Times New Roman" w:hAnsi="Times New Roman" w:eastAsia="宋体" w:cs="Times New Roman"/>
                <w:b w:val="0"/>
                <w:bCs/>
                <w:color w:val="auto"/>
                <w:kern w:val="2"/>
                <w:sz w:val="24"/>
                <w:szCs w:val="24"/>
                <w:lang w:val="en-US" w:eastAsia="zh-CN" w:bidi="ar-SA"/>
              </w:rPr>
              <w:t>此，</w:t>
            </w:r>
            <w:r>
              <w:rPr>
                <w:rFonts w:hint="default" w:ascii="Times New Roman" w:hAnsi="Times New Roman" w:eastAsia="宋体" w:cs="Times New Roman"/>
                <w:b w:val="0"/>
                <w:bCs/>
                <w:color w:val="000000"/>
                <w:kern w:val="0"/>
                <w:sz w:val="24"/>
                <w:szCs w:val="24"/>
                <w:lang w:val="en-US" w:eastAsia="zh-CN" w:bidi="ar"/>
              </w:rPr>
              <w:t>投料</w:t>
            </w:r>
            <w:r>
              <w:rPr>
                <w:rFonts w:hint="eastAsia" w:cs="Times New Roman"/>
                <w:color w:val="000000"/>
                <w:kern w:val="0"/>
                <w:sz w:val="24"/>
                <w:szCs w:val="24"/>
                <w:lang w:val="en-US" w:eastAsia="zh-CN" w:bidi="ar"/>
              </w:rPr>
              <w:t>及研磨</w:t>
            </w:r>
            <w:r>
              <w:rPr>
                <w:rFonts w:hint="eastAsia" w:ascii="Times New Roman" w:hAnsi="Times New Roman" w:eastAsia="宋体" w:cs="Times New Roman"/>
                <w:b w:val="0"/>
                <w:bCs/>
                <w:color w:val="000000"/>
                <w:kern w:val="0"/>
                <w:sz w:val="24"/>
                <w:szCs w:val="24"/>
                <w:lang w:val="en-US" w:eastAsia="zh-CN" w:bidi="ar"/>
              </w:rPr>
              <w:t>粉尘有组织</w:t>
            </w:r>
            <w:r>
              <w:rPr>
                <w:rFonts w:hint="default" w:ascii="Times New Roman" w:hAnsi="Times New Roman" w:eastAsia="宋体" w:cs="Times New Roman"/>
                <w:b w:val="0"/>
                <w:bCs/>
                <w:color w:val="000000"/>
                <w:kern w:val="0"/>
                <w:sz w:val="24"/>
                <w:szCs w:val="24"/>
                <w:lang w:val="en-US" w:eastAsia="zh-CN" w:bidi="ar"/>
              </w:rPr>
              <w:t>排放量为0.42t/a，排放速率为0.1</w:t>
            </w:r>
            <w:r>
              <w:rPr>
                <w:rFonts w:hint="eastAsia" w:ascii="Times New Roman" w:hAnsi="Times New Roman" w:eastAsia="宋体" w:cs="Times New Roman"/>
                <w:b w:val="0"/>
                <w:bCs/>
                <w:color w:val="000000"/>
                <w:kern w:val="0"/>
                <w:sz w:val="24"/>
                <w:szCs w:val="24"/>
                <w:lang w:val="en-US" w:eastAsia="zh-CN" w:bidi="ar"/>
              </w:rPr>
              <w:t>75k</w:t>
            </w:r>
            <w:r>
              <w:rPr>
                <w:rFonts w:hint="default" w:ascii="Times New Roman" w:hAnsi="Times New Roman" w:eastAsia="宋体" w:cs="Times New Roman"/>
                <w:b w:val="0"/>
                <w:bCs/>
                <w:color w:val="000000"/>
                <w:kern w:val="0"/>
                <w:sz w:val="24"/>
                <w:szCs w:val="24"/>
                <w:lang w:val="en-US" w:eastAsia="zh-CN" w:bidi="ar"/>
              </w:rPr>
              <w:t>g/h，排放浓度8.7</w:t>
            </w:r>
            <w:r>
              <w:rPr>
                <w:rFonts w:hint="eastAsia" w:ascii="Times New Roman" w:hAnsi="Times New Roman" w:eastAsia="宋体" w:cs="Times New Roman"/>
                <w:b w:val="0"/>
                <w:bCs/>
                <w:color w:val="000000"/>
                <w:kern w:val="0"/>
                <w:sz w:val="24"/>
                <w:szCs w:val="24"/>
                <w:lang w:val="en-US" w:eastAsia="zh-CN" w:bidi="ar"/>
              </w:rPr>
              <w:t>5</w:t>
            </w:r>
            <w:r>
              <w:rPr>
                <w:rFonts w:hint="default" w:ascii="Times New Roman" w:hAnsi="Times New Roman" w:eastAsia="宋体" w:cs="Times New Roman"/>
                <w:b w:val="0"/>
                <w:bCs/>
                <w:color w:val="000000"/>
                <w:kern w:val="0"/>
                <w:sz w:val="24"/>
                <w:szCs w:val="24"/>
                <w:lang w:val="en-US" w:eastAsia="zh-CN" w:bidi="ar"/>
              </w:rPr>
              <w:t>mg/m</w:t>
            </w:r>
            <w:r>
              <w:rPr>
                <w:rFonts w:hint="default" w:ascii="Times New Roman" w:hAnsi="Times New Roman" w:eastAsia="宋体" w:cs="Times New Roman"/>
                <w:b w:val="0"/>
                <w:bCs/>
                <w:color w:val="000000"/>
                <w:kern w:val="0"/>
                <w:sz w:val="24"/>
                <w:szCs w:val="24"/>
                <w:vertAlign w:val="superscript"/>
                <w:lang w:val="en-US" w:eastAsia="zh-CN" w:bidi="ar"/>
              </w:rPr>
              <w:t>3</w:t>
            </w:r>
            <w:r>
              <w:rPr>
                <w:rFonts w:hint="eastAsia" w:ascii="Times New Roman" w:hAnsi="Times New Roman" w:eastAsia="宋体" w:cs="Times New Roman"/>
                <w:b w:val="0"/>
                <w:bCs/>
                <w:color w:val="000000"/>
                <w:kern w:val="0"/>
                <w:sz w:val="24"/>
                <w:szCs w:val="24"/>
                <w:vertAlign w:val="baseline"/>
                <w:lang w:val="en-US" w:eastAsia="zh-CN" w:bidi="ar"/>
              </w:rPr>
              <w:t>；</w:t>
            </w:r>
            <w:r>
              <w:rPr>
                <w:rFonts w:hint="eastAsia" w:ascii="Times New Roman" w:hAnsi="Times New Roman" w:eastAsia="宋体" w:cs="Times New Roman"/>
                <w:b w:val="0"/>
                <w:bCs/>
                <w:color w:val="000000"/>
                <w:kern w:val="0"/>
                <w:sz w:val="24"/>
                <w:szCs w:val="24"/>
                <w:lang w:val="en-US" w:eastAsia="zh-CN" w:bidi="ar"/>
              </w:rPr>
              <w:t>无组织</w:t>
            </w:r>
            <w:r>
              <w:rPr>
                <w:rFonts w:hint="default" w:ascii="Times New Roman" w:hAnsi="Times New Roman" w:eastAsia="宋体" w:cs="Times New Roman"/>
                <w:b w:val="0"/>
                <w:bCs/>
                <w:color w:val="000000"/>
                <w:kern w:val="0"/>
                <w:sz w:val="24"/>
                <w:szCs w:val="24"/>
                <w:lang w:val="en-US" w:eastAsia="zh-CN" w:bidi="ar"/>
              </w:rPr>
              <w:t>排放量为0.</w:t>
            </w:r>
            <w:r>
              <w:rPr>
                <w:rFonts w:hint="eastAsia" w:ascii="Times New Roman" w:hAnsi="Times New Roman" w:eastAsia="宋体" w:cs="Times New Roman"/>
                <w:b w:val="0"/>
                <w:bCs/>
                <w:color w:val="000000"/>
                <w:kern w:val="0"/>
                <w:sz w:val="24"/>
                <w:szCs w:val="24"/>
                <w:lang w:val="en-US" w:eastAsia="zh-CN" w:bidi="ar"/>
              </w:rPr>
              <w:t>744</w:t>
            </w:r>
            <w:r>
              <w:rPr>
                <w:rFonts w:hint="default" w:ascii="Times New Roman" w:hAnsi="Times New Roman" w:eastAsia="宋体" w:cs="Times New Roman"/>
                <w:b w:val="0"/>
                <w:bCs/>
                <w:color w:val="000000"/>
                <w:kern w:val="0"/>
                <w:sz w:val="24"/>
                <w:szCs w:val="24"/>
                <w:lang w:val="en-US" w:eastAsia="zh-CN" w:bidi="ar"/>
              </w:rPr>
              <w:t>t/a，排放速率为</w:t>
            </w:r>
            <w:r>
              <w:rPr>
                <w:rFonts w:hint="eastAsia" w:ascii="Times New Roman" w:hAnsi="Times New Roman" w:eastAsia="宋体" w:cs="Times New Roman"/>
                <w:b w:val="0"/>
                <w:bCs/>
                <w:color w:val="000000"/>
                <w:kern w:val="0"/>
                <w:sz w:val="24"/>
                <w:szCs w:val="24"/>
                <w:lang w:val="en-US" w:eastAsia="zh-CN" w:bidi="ar"/>
              </w:rPr>
              <w:t>0.309</w:t>
            </w:r>
            <w:r>
              <w:rPr>
                <w:rFonts w:hint="default" w:ascii="Times New Roman" w:hAnsi="Times New Roman" w:eastAsia="宋体" w:cs="Times New Roman"/>
                <w:b w:val="0"/>
                <w:bCs/>
                <w:color w:val="000000"/>
                <w:kern w:val="0"/>
                <w:sz w:val="24"/>
                <w:szCs w:val="24"/>
                <w:lang w:val="en-US" w:eastAsia="zh-CN" w:bidi="ar"/>
              </w:rPr>
              <w:t>kg/h</w:t>
            </w:r>
            <w:r>
              <w:rPr>
                <w:rFonts w:hint="eastAsia" w:cs="Times New Roman"/>
                <w:sz w:val="24"/>
                <w:lang w:val="en-US" w:eastAsia="zh-CN"/>
              </w:rPr>
              <w:t>。</w:t>
            </w:r>
          </w:p>
          <w:p w14:paraId="0074877C">
            <w:pPr>
              <w:keepNext w:val="0"/>
              <w:keepLines w:val="0"/>
              <w:widowControl/>
              <w:suppressLineNumbers w:val="0"/>
              <w:spacing w:line="360" w:lineRule="auto"/>
              <w:ind w:firstLine="480" w:firstLineChars="200"/>
              <w:jc w:val="both"/>
              <w:rPr>
                <w:rFonts w:hint="default"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（2）熔融挤出、压片</w:t>
            </w:r>
            <w:r>
              <w:rPr>
                <w:rFonts w:hint="eastAsia" w:cs="Times New Roman"/>
                <w:b w:val="0"/>
                <w:bCs/>
                <w:color w:val="000000"/>
                <w:kern w:val="0"/>
                <w:sz w:val="24"/>
                <w:szCs w:val="24"/>
                <w:lang w:val="en-US" w:eastAsia="zh-CN" w:bidi="ar"/>
              </w:rPr>
              <w:t>有机废气</w:t>
            </w:r>
          </w:p>
          <w:p w14:paraId="79490538">
            <w:pPr>
              <w:spacing w:line="360" w:lineRule="auto"/>
              <w:ind w:firstLine="460" w:firstLineChars="200"/>
              <w:rPr>
                <w:rFonts w:hint="eastAsia"/>
                <w:color w:val="auto"/>
                <w:spacing w:val="-5"/>
                <w:sz w:val="24"/>
                <w:lang w:eastAsia="zh-CN"/>
              </w:rPr>
            </w:pPr>
            <w:r>
              <w:rPr>
                <w:rFonts w:hint="eastAsia"/>
                <w:color w:val="auto"/>
                <w:spacing w:val="-5"/>
                <w:sz w:val="24"/>
              </w:rPr>
              <w:t>根据《空气污染物排放和控制手册》（美国国家环保局）中推荐的公式，非甲烷总烃的排放系数为0.35kg/t树脂原料</w:t>
            </w:r>
            <w:r>
              <w:rPr>
                <w:rFonts w:hint="eastAsia"/>
                <w:color w:val="auto"/>
                <w:spacing w:val="-5"/>
                <w:sz w:val="24"/>
                <w:lang w:eastAsia="zh-CN"/>
              </w:rPr>
              <w:t>。</w:t>
            </w:r>
          </w:p>
          <w:p w14:paraId="17C472A7">
            <w:pPr>
              <w:spacing w:line="360" w:lineRule="auto"/>
              <w:ind w:firstLine="460" w:firstLineChars="200"/>
              <w:rPr>
                <w:rFonts w:hint="eastAsia" w:cs="宋体"/>
                <w:bCs/>
                <w:color w:val="auto"/>
                <w:kern w:val="2"/>
                <w:sz w:val="24"/>
                <w:szCs w:val="22"/>
                <w:lang w:val="en-US" w:eastAsia="zh-CN" w:bidi="ar-SA"/>
              </w:rPr>
            </w:pPr>
            <w:r>
              <w:rPr>
                <w:rFonts w:hint="eastAsia"/>
                <w:color w:val="auto"/>
                <w:spacing w:val="-5"/>
                <w:sz w:val="24"/>
              </w:rPr>
              <w:t>本项目</w:t>
            </w:r>
            <w:r>
              <w:rPr>
                <w:color w:val="auto"/>
                <w:kern w:val="0"/>
                <w:sz w:val="24"/>
              </w:rPr>
              <w:t>共计使用树脂原料</w:t>
            </w:r>
            <w:r>
              <w:rPr>
                <w:rFonts w:hint="eastAsia"/>
                <w:color w:val="auto"/>
                <w:kern w:val="0"/>
                <w:sz w:val="24"/>
              </w:rPr>
              <w:t>（</w:t>
            </w:r>
            <w:r>
              <w:rPr>
                <w:color w:val="auto"/>
                <w:kern w:val="0"/>
                <w:sz w:val="24"/>
              </w:rPr>
              <w:t>环氧树脂颗粒</w:t>
            </w:r>
            <w:r>
              <w:rPr>
                <w:rFonts w:hint="eastAsia"/>
                <w:color w:val="auto"/>
                <w:kern w:val="0"/>
                <w:sz w:val="24"/>
              </w:rPr>
              <w:t>60t/a</w:t>
            </w:r>
            <w:r>
              <w:rPr>
                <w:color w:val="auto"/>
                <w:kern w:val="0"/>
                <w:sz w:val="24"/>
              </w:rPr>
              <w:t>、聚酯树脂颗粒</w:t>
            </w:r>
            <w:r>
              <w:rPr>
                <w:rFonts w:hint="eastAsia"/>
                <w:color w:val="auto"/>
                <w:kern w:val="0"/>
                <w:sz w:val="24"/>
              </w:rPr>
              <w:t>60t/a）120</w:t>
            </w:r>
            <w:r>
              <w:rPr>
                <w:color w:val="auto"/>
                <w:kern w:val="0"/>
                <w:sz w:val="24"/>
              </w:rPr>
              <w:t>t</w:t>
            </w:r>
            <w:r>
              <w:rPr>
                <w:rFonts w:hint="eastAsia"/>
                <w:color w:val="auto"/>
                <w:kern w:val="0"/>
                <w:sz w:val="24"/>
              </w:rPr>
              <w:t>/a</w:t>
            </w:r>
            <w:r>
              <w:rPr>
                <w:color w:val="auto"/>
                <w:kern w:val="0"/>
                <w:sz w:val="24"/>
              </w:rPr>
              <w:t>，则</w:t>
            </w:r>
            <w:r>
              <w:rPr>
                <w:rFonts w:hint="eastAsia"/>
                <w:color w:val="auto"/>
                <w:kern w:val="0"/>
                <w:sz w:val="24"/>
              </w:rPr>
              <w:t>非甲烷总烃的产生</w:t>
            </w:r>
            <w:r>
              <w:rPr>
                <w:color w:val="auto"/>
                <w:kern w:val="0"/>
                <w:sz w:val="24"/>
              </w:rPr>
              <w:t>量为</w:t>
            </w:r>
            <w:r>
              <w:rPr>
                <w:rFonts w:hint="eastAsia"/>
                <w:color w:val="auto"/>
                <w:kern w:val="0"/>
                <w:sz w:val="24"/>
              </w:rPr>
              <w:t>0.042</w:t>
            </w:r>
            <w:r>
              <w:rPr>
                <w:color w:val="auto"/>
                <w:kern w:val="0"/>
                <w:sz w:val="24"/>
              </w:rPr>
              <w:t>t/a</w:t>
            </w:r>
            <w:r>
              <w:rPr>
                <w:rFonts w:hint="eastAsia"/>
                <w:color w:val="auto"/>
                <w:kern w:val="0"/>
                <w:sz w:val="24"/>
                <w:lang w:eastAsia="zh-CN"/>
              </w:rPr>
              <w:t>，</w:t>
            </w:r>
            <w:r>
              <w:rPr>
                <w:rFonts w:hint="eastAsia" w:cs="Times New Roman"/>
                <w:color w:val="auto"/>
                <w:kern w:val="0"/>
                <w:sz w:val="24"/>
                <w:szCs w:val="24"/>
                <w:lang w:val="en-US" w:eastAsia="zh-CN" w:bidi="ar"/>
              </w:rPr>
              <w:t>产生速率为0.0175kg/h。</w:t>
            </w:r>
            <w:r>
              <w:rPr>
                <w:rFonts w:hint="eastAsia"/>
                <w:color w:val="auto"/>
                <w:kern w:val="0"/>
                <w:sz w:val="24"/>
              </w:rPr>
              <w:t>在各挤出机物料出口上方及烘箱上方安装集气罩收集</w:t>
            </w:r>
            <w:r>
              <w:rPr>
                <w:rFonts w:hint="eastAsia"/>
                <w:color w:val="auto"/>
                <w:kern w:val="0"/>
                <w:sz w:val="24"/>
                <w:lang w:val="en-US" w:eastAsia="zh-CN"/>
              </w:rPr>
              <w:t>后</w:t>
            </w:r>
            <w:r>
              <w:rPr>
                <w:rFonts w:hint="eastAsia"/>
                <w:color w:val="auto"/>
                <w:kern w:val="0"/>
                <w:sz w:val="24"/>
              </w:rPr>
              <w:t>引至二级活性炭吸附装置处理，通过15m</w:t>
            </w:r>
            <w:r>
              <w:rPr>
                <w:rFonts w:hint="default" w:ascii="Times New Roman" w:hAnsi="Times New Roman" w:cs="Times New Roman"/>
                <w:color w:val="auto"/>
                <w:sz w:val="24"/>
                <w:lang w:val="en-US" w:eastAsia="zh-CN"/>
              </w:rPr>
              <w:t>高</w:t>
            </w:r>
            <w:r>
              <w:rPr>
                <w:rFonts w:hint="eastAsia" w:cs="Times New Roman"/>
                <w:color w:val="auto"/>
                <w:sz w:val="24"/>
                <w:lang w:val="en-US" w:eastAsia="zh-CN"/>
              </w:rPr>
              <w:t>排气筒（DA002）</w:t>
            </w:r>
            <w:r>
              <w:rPr>
                <w:rFonts w:hint="default" w:ascii="Times New Roman" w:hAnsi="Times New Roman" w:cs="Times New Roman"/>
                <w:color w:val="auto"/>
                <w:sz w:val="24"/>
                <w:lang w:val="en-US" w:eastAsia="zh-CN"/>
              </w:rPr>
              <w:t>排放</w:t>
            </w:r>
            <w:r>
              <w:rPr>
                <w:rFonts w:hint="eastAsia"/>
                <w:color w:val="auto"/>
                <w:kern w:val="0"/>
                <w:sz w:val="24"/>
              </w:rPr>
              <w:t>。</w:t>
            </w:r>
            <w:r>
              <w:rPr>
                <w:rFonts w:hint="eastAsia" w:ascii="Times New Roman" w:hAnsi="Times New Roman" w:eastAsia="宋体" w:cs="宋体"/>
                <w:bCs/>
                <w:color w:val="auto"/>
                <w:kern w:val="2"/>
                <w:sz w:val="24"/>
                <w:szCs w:val="22"/>
                <w:lang w:val="en-US" w:eastAsia="zh-CN" w:bidi="ar-SA"/>
              </w:rPr>
              <w:t>收集效率为85%</w:t>
            </w:r>
            <w:r>
              <w:rPr>
                <w:rFonts w:hint="eastAsia" w:ascii="Times New Roman" w:hAnsi="Times New Roman" w:cs="Times New Roman"/>
                <w:b w:val="0"/>
                <w:bCs/>
                <w:color w:val="auto"/>
                <w:kern w:val="2"/>
                <w:sz w:val="24"/>
                <w:szCs w:val="24"/>
                <w:lang w:val="en-US" w:eastAsia="zh-CN" w:bidi="ar-SA"/>
              </w:rPr>
              <w:t>，</w:t>
            </w:r>
            <w:r>
              <w:rPr>
                <w:rFonts w:hint="eastAsia"/>
                <w:color w:val="auto"/>
                <w:kern w:val="0"/>
                <w:sz w:val="24"/>
              </w:rPr>
              <w:t>二级活性炭</w:t>
            </w:r>
            <w:r>
              <w:rPr>
                <w:rFonts w:hint="eastAsia" w:ascii="Times New Roman" w:hAnsi="Times New Roman" w:eastAsia="宋体" w:cs="宋体"/>
                <w:bCs/>
                <w:color w:val="auto"/>
                <w:kern w:val="2"/>
                <w:sz w:val="24"/>
                <w:szCs w:val="22"/>
                <w:lang w:val="en-US" w:eastAsia="zh-CN" w:bidi="ar-SA"/>
              </w:rPr>
              <w:t>去除效率以</w:t>
            </w:r>
            <w:r>
              <w:rPr>
                <w:rFonts w:hint="eastAsia" w:cs="宋体"/>
                <w:bCs/>
                <w:color w:val="auto"/>
                <w:kern w:val="2"/>
                <w:sz w:val="24"/>
                <w:szCs w:val="22"/>
                <w:lang w:val="en-US" w:eastAsia="zh-CN" w:bidi="ar-SA"/>
              </w:rPr>
              <w:t>80</w:t>
            </w:r>
            <w:r>
              <w:rPr>
                <w:rFonts w:hint="eastAsia" w:ascii="Times New Roman" w:hAnsi="Times New Roman" w:eastAsia="宋体" w:cs="宋体"/>
                <w:bCs/>
                <w:color w:val="auto"/>
                <w:kern w:val="2"/>
                <w:sz w:val="24"/>
                <w:szCs w:val="22"/>
                <w:lang w:val="en-US" w:eastAsia="zh-CN" w:bidi="ar-SA"/>
              </w:rPr>
              <w:t>%计</w:t>
            </w:r>
            <w:r>
              <w:rPr>
                <w:rFonts w:hint="eastAsia" w:cs="宋体"/>
                <w:bCs/>
                <w:color w:val="auto"/>
                <w:kern w:val="2"/>
                <w:sz w:val="24"/>
                <w:szCs w:val="22"/>
                <w:lang w:val="en-US" w:eastAsia="zh-CN" w:bidi="ar-SA"/>
              </w:rPr>
              <w:t>。</w:t>
            </w:r>
          </w:p>
          <w:p w14:paraId="295E8BD6">
            <w:pPr>
              <w:spacing w:line="360" w:lineRule="auto"/>
              <w:ind w:firstLine="480" w:firstLineChars="200"/>
              <w:rPr>
                <w:rFonts w:hint="eastAsia" w:cs="Times New Roman"/>
                <w:color w:val="auto"/>
                <w:sz w:val="24"/>
                <w:lang w:val="en-US" w:eastAsia="zh-CN"/>
              </w:rPr>
            </w:pPr>
            <w:r>
              <w:rPr>
                <w:rFonts w:hint="eastAsia" w:ascii="Times New Roman" w:hAnsi="Times New Roman" w:eastAsia="宋体" w:cs="宋体"/>
                <w:bCs/>
                <w:color w:val="auto"/>
                <w:kern w:val="2"/>
                <w:sz w:val="24"/>
                <w:szCs w:val="22"/>
                <w:lang w:val="en-US" w:eastAsia="zh-CN" w:bidi="ar-SA"/>
              </w:rPr>
              <w:t>因此，</w:t>
            </w:r>
            <w:r>
              <w:rPr>
                <w:rFonts w:hint="eastAsia" w:ascii="Times New Roman" w:hAnsi="Times New Roman" w:eastAsia="宋体" w:cs="Times New Roman"/>
                <w:b w:val="0"/>
                <w:bCs/>
                <w:color w:val="auto"/>
                <w:kern w:val="0"/>
                <w:sz w:val="24"/>
                <w:szCs w:val="24"/>
                <w:lang w:val="en-US" w:eastAsia="zh-CN" w:bidi="ar"/>
              </w:rPr>
              <w:t>熔融挤出、压片</w:t>
            </w:r>
            <w:r>
              <w:rPr>
                <w:rFonts w:hint="eastAsia"/>
                <w:color w:val="auto"/>
                <w:kern w:val="0"/>
                <w:sz w:val="24"/>
              </w:rPr>
              <w:t>非甲烷总烃</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0.00</w:t>
            </w:r>
            <w:r>
              <w:rPr>
                <w:rFonts w:hint="eastAsia" w:cs="Times New Roman"/>
                <w:b w:val="0"/>
                <w:bCs/>
                <w:color w:val="auto"/>
                <w:kern w:val="0"/>
                <w:sz w:val="24"/>
                <w:szCs w:val="24"/>
                <w:lang w:val="en-US" w:eastAsia="zh-CN" w:bidi="ar"/>
              </w:rPr>
              <w:t>714</w:t>
            </w:r>
            <w:r>
              <w:rPr>
                <w:rFonts w:hint="default" w:ascii="Times New Roman" w:hAnsi="Times New Roman" w:eastAsia="宋体" w:cs="Times New Roman"/>
                <w:b w:val="0"/>
                <w:bCs/>
                <w:color w:val="auto"/>
                <w:kern w:val="0"/>
                <w:sz w:val="24"/>
                <w:szCs w:val="24"/>
                <w:lang w:val="en-US" w:eastAsia="zh-CN" w:bidi="ar"/>
              </w:rPr>
              <w:t>t/a，排放速率为0.</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2975</w:t>
            </w:r>
            <w:r>
              <w:rPr>
                <w:rFonts w:hint="default" w:ascii="Times New Roman" w:hAnsi="Times New Roman" w:eastAsia="宋体" w:cs="Times New Roman"/>
                <w:b w:val="0"/>
                <w:bCs/>
                <w:color w:val="auto"/>
                <w:kern w:val="0"/>
                <w:sz w:val="24"/>
                <w:szCs w:val="24"/>
                <w:lang w:val="en-US" w:eastAsia="zh-CN" w:bidi="ar"/>
              </w:rPr>
              <w:t>g/h，排放浓度</w:t>
            </w:r>
            <w:r>
              <w:rPr>
                <w:rFonts w:hint="eastAsia" w:ascii="Times New Roman" w:hAnsi="Times New Roman" w:eastAsia="宋体" w:cs="Times New Roman"/>
                <w:b w:val="0"/>
                <w:bCs/>
                <w:color w:val="auto"/>
                <w:kern w:val="0"/>
                <w:sz w:val="24"/>
                <w:szCs w:val="24"/>
                <w:lang w:val="en-US" w:eastAsia="zh-CN" w:bidi="ar"/>
              </w:rPr>
              <w:t>0.</w:t>
            </w:r>
            <w:r>
              <w:rPr>
                <w:rFonts w:hint="eastAsia" w:cs="Times New Roman"/>
                <w:b w:val="0"/>
                <w:bCs/>
                <w:color w:val="auto"/>
                <w:kern w:val="0"/>
                <w:sz w:val="24"/>
                <w:szCs w:val="24"/>
                <w:lang w:val="en-US" w:eastAsia="zh-CN" w:bidi="ar"/>
              </w:rPr>
              <w:t>2975</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color w:val="auto"/>
                <w:kern w:val="0"/>
                <w:sz w:val="24"/>
              </w:rPr>
              <w:t>非甲烷总烃</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0.0063</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0.0026</w:t>
            </w:r>
            <w:r>
              <w:rPr>
                <w:rFonts w:hint="eastAsia" w:cs="Times New Roman"/>
                <w:b w:val="0"/>
                <w:bCs/>
                <w:color w:val="auto"/>
                <w:kern w:val="0"/>
                <w:sz w:val="24"/>
                <w:szCs w:val="24"/>
                <w:lang w:val="en-US" w:eastAsia="zh-CN" w:bidi="ar"/>
              </w:rPr>
              <w:t>25</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color w:val="auto"/>
                <w:sz w:val="24"/>
                <w:lang w:val="en-US" w:eastAsia="zh-CN"/>
              </w:rPr>
              <w:t>。</w:t>
            </w:r>
          </w:p>
          <w:p w14:paraId="109492B7">
            <w:pPr>
              <w:spacing w:line="360" w:lineRule="auto"/>
              <w:ind w:firstLine="480" w:firstLineChars="200"/>
              <w:rPr>
                <w:rFonts w:hint="eastAsia"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（3）检验喷塑粉尘</w:t>
            </w:r>
          </w:p>
          <w:p w14:paraId="338BA41B">
            <w:pPr>
              <w:spacing w:line="360" w:lineRule="auto"/>
              <w:ind w:firstLine="480" w:firstLineChars="200"/>
              <w:rPr>
                <w:rFonts w:hint="default" w:cs="Times New Roman"/>
                <w:b w:val="0"/>
                <w:bCs/>
                <w:color w:val="auto"/>
                <w:kern w:val="0"/>
                <w:sz w:val="24"/>
                <w:szCs w:val="24"/>
                <w:lang w:val="en-US" w:eastAsia="zh-CN" w:bidi="ar"/>
              </w:rPr>
            </w:pPr>
            <w:r>
              <w:rPr>
                <w:rFonts w:hint="eastAsia" w:ascii="Times New Roman" w:hAnsi="Times New Roman" w:eastAsia="宋体" w:cs="Times New Roman"/>
                <w:b w:val="0"/>
                <w:bCs/>
                <w:color w:val="auto"/>
                <w:kern w:val="0"/>
                <w:sz w:val="24"/>
                <w:szCs w:val="24"/>
                <w:lang w:val="en-US" w:eastAsia="zh-CN" w:bidi="ar"/>
              </w:rPr>
              <w:t>项目需要对塑粉进行抽检，每批次进行抽检一次，一次100g~200g，模拟客户的要求进行喷塑，用烤箱烘烤，分析其性能，不符合要求的塑粉返回生产工序重新加工，合格则入成品库。喷塑过程产生粉尘颗粒。查阅《排放源统计调查产排污核算方法和系数手册》-附表1《机械行业系数手册》中，喷塑过程颗粒物的产污系数为300kg/吨-原料</w:t>
            </w:r>
            <w:r>
              <w:rPr>
                <w:rFonts w:hint="eastAsia" w:cs="Times New Roman"/>
                <w:b w:val="0"/>
                <w:bCs/>
                <w:color w:val="auto"/>
                <w:kern w:val="0"/>
                <w:sz w:val="24"/>
                <w:szCs w:val="24"/>
                <w:lang w:val="en-US" w:eastAsia="zh-CN" w:bidi="ar"/>
              </w:rPr>
              <w:t>。</w:t>
            </w:r>
          </w:p>
          <w:p w14:paraId="56803821">
            <w:pPr>
              <w:spacing w:line="360" w:lineRule="auto"/>
              <w:ind w:firstLine="480" w:firstLineChars="200"/>
              <w:rPr>
                <w:rFonts w:hint="eastAsia"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auto"/>
                <w:kern w:val="0"/>
                <w:sz w:val="24"/>
                <w:szCs w:val="24"/>
                <w:lang w:val="en-US" w:eastAsia="zh-CN" w:bidi="ar"/>
              </w:rPr>
              <w:t>一天抽检两批次，以抽检最大量进行核算，则全年抽检量为</w:t>
            </w:r>
            <w:r>
              <w:rPr>
                <w:rFonts w:hint="eastAsia" w:ascii="Times New Roman" w:hAnsi="Times New Roman" w:cs="Times New Roman"/>
                <w:b w:val="0"/>
                <w:bCs/>
                <w:color w:val="auto"/>
                <w:kern w:val="0"/>
                <w:sz w:val="24"/>
                <w:szCs w:val="24"/>
                <w:lang w:val="en-US" w:eastAsia="zh-CN" w:bidi="ar"/>
              </w:rPr>
              <w:t>0.12</w:t>
            </w:r>
            <w:r>
              <w:rPr>
                <w:rFonts w:hint="eastAsia" w:ascii="Times New Roman" w:hAnsi="Times New Roman" w:eastAsia="宋体" w:cs="Times New Roman"/>
                <w:b w:val="0"/>
                <w:bCs/>
                <w:color w:val="auto"/>
                <w:kern w:val="0"/>
                <w:sz w:val="24"/>
                <w:szCs w:val="24"/>
                <w:lang w:val="en-US" w:eastAsia="zh-CN" w:bidi="ar"/>
              </w:rPr>
              <w:t>t，则颗粒物产生量为0.03</w:t>
            </w:r>
            <w:r>
              <w:rPr>
                <w:rFonts w:hint="eastAsia" w:cs="Times New Roman"/>
                <w:b w:val="0"/>
                <w:bCs/>
                <w:color w:val="auto"/>
                <w:kern w:val="0"/>
                <w:sz w:val="24"/>
                <w:szCs w:val="24"/>
                <w:lang w:val="en-US" w:eastAsia="zh-CN" w:bidi="ar"/>
              </w:rPr>
              <w:t>6</w:t>
            </w:r>
            <w:r>
              <w:rPr>
                <w:rFonts w:hint="eastAsia" w:ascii="Times New Roman" w:hAnsi="Times New Roman" w:eastAsia="宋体" w:cs="Times New Roman"/>
                <w:b w:val="0"/>
                <w:bCs/>
                <w:color w:val="auto"/>
                <w:kern w:val="0"/>
                <w:sz w:val="24"/>
                <w:szCs w:val="24"/>
                <w:lang w:val="en-US" w:eastAsia="zh-CN" w:bidi="ar"/>
              </w:rPr>
              <w:t>t/a，</w:t>
            </w:r>
            <w:r>
              <w:rPr>
                <w:rFonts w:hint="eastAsia" w:ascii="Times New Roman" w:hAnsi="Times New Roman" w:cs="Times New Roman"/>
                <w:b w:val="0"/>
                <w:bCs/>
                <w:color w:val="auto"/>
                <w:kern w:val="0"/>
                <w:sz w:val="24"/>
                <w:szCs w:val="24"/>
                <w:lang w:val="en-US" w:eastAsia="zh-CN" w:bidi="ar"/>
              </w:rPr>
              <w:t>产生</w:t>
            </w:r>
            <w:r>
              <w:rPr>
                <w:rFonts w:hint="default" w:ascii="Times New Roman" w:hAnsi="Times New Roman" w:eastAsia="宋体" w:cs="Times New Roman"/>
                <w:b w:val="0"/>
                <w:bCs/>
                <w:color w:val="auto"/>
                <w:kern w:val="0"/>
                <w:sz w:val="24"/>
                <w:szCs w:val="24"/>
                <w:lang w:val="en-US" w:eastAsia="zh-CN" w:bidi="ar"/>
              </w:rPr>
              <w:t>速率为</w:t>
            </w:r>
            <w:r>
              <w:rPr>
                <w:rFonts w:hint="eastAsia" w:ascii="Times New Roman" w:hAnsi="Times New Roman" w:eastAsia="宋体" w:cs="Times New Roman"/>
                <w:b w:val="0"/>
                <w:bCs/>
                <w:color w:val="auto"/>
                <w:kern w:val="0"/>
                <w:sz w:val="24"/>
                <w:szCs w:val="24"/>
                <w:lang w:val="en-US" w:eastAsia="zh-CN" w:bidi="ar"/>
              </w:rPr>
              <w:t>0.00</w:t>
            </w:r>
            <w:r>
              <w:rPr>
                <w:rFonts w:hint="eastAsia" w:ascii="Times New Roman" w:hAnsi="Times New Roman" w:cs="Times New Roman"/>
                <w:b w:val="0"/>
                <w:bCs/>
                <w:color w:val="auto"/>
                <w:kern w:val="0"/>
                <w:sz w:val="24"/>
                <w:szCs w:val="24"/>
                <w:lang w:val="en-US" w:eastAsia="zh-CN" w:bidi="ar"/>
              </w:rPr>
              <w:t>012</w:t>
            </w:r>
            <w:r>
              <w:rPr>
                <w:rFonts w:hint="default" w:ascii="Times New Roman" w:hAnsi="Times New Roman" w:eastAsia="宋体" w:cs="Times New Roman"/>
                <w:b w:val="0"/>
                <w:bCs/>
                <w:color w:val="auto"/>
                <w:kern w:val="0"/>
                <w:sz w:val="24"/>
                <w:szCs w:val="24"/>
                <w:lang w:val="en-US" w:eastAsia="zh-CN" w:bidi="ar"/>
              </w:rPr>
              <w:t>kg/h</w:t>
            </w:r>
            <w:r>
              <w:rPr>
                <w:rFonts w:hint="eastAsia" w:ascii="Times New Roman" w:hAnsi="Times New Roman" w:cs="Times New Roman"/>
                <w:b w:val="0"/>
                <w:bCs/>
                <w:color w:val="auto"/>
                <w:kern w:val="0"/>
                <w:sz w:val="24"/>
                <w:szCs w:val="24"/>
                <w:lang w:val="en-US" w:eastAsia="zh-CN" w:bidi="ar"/>
              </w:rPr>
              <w:t>。</w:t>
            </w:r>
            <w:r>
              <w:rPr>
                <w:rFonts w:hint="eastAsia" w:ascii="Times New Roman" w:hAnsi="Times New Roman" w:eastAsia="宋体" w:cs="Times New Roman"/>
                <w:b w:val="0"/>
                <w:bCs/>
                <w:color w:val="auto"/>
                <w:kern w:val="0"/>
                <w:sz w:val="24"/>
                <w:szCs w:val="24"/>
                <w:lang w:val="en-US" w:eastAsia="zh-CN" w:bidi="ar"/>
              </w:rPr>
              <w:t>检验喷塑</w:t>
            </w:r>
            <w:r>
              <w:rPr>
                <w:rFonts w:hint="eastAsia" w:ascii="Times New Roman" w:hAnsi="Times New Roman" w:cs="Times New Roman"/>
                <w:b w:val="0"/>
                <w:bCs/>
                <w:color w:val="auto"/>
                <w:kern w:val="0"/>
                <w:sz w:val="24"/>
                <w:szCs w:val="24"/>
                <w:lang w:val="en-US" w:eastAsia="zh-CN" w:bidi="ar"/>
              </w:rPr>
              <w:t>在密闭的车间内进行</w:t>
            </w:r>
            <w:r>
              <w:rPr>
                <w:rFonts w:hint="eastAsia" w:cs="Times New Roman"/>
                <w:b w:val="0"/>
                <w:bCs/>
                <w:color w:val="auto"/>
                <w:kern w:val="0"/>
                <w:sz w:val="24"/>
                <w:szCs w:val="24"/>
                <w:lang w:val="en-US" w:eastAsia="zh-CN" w:bidi="ar"/>
              </w:rPr>
              <w:t>。因此，</w:t>
            </w:r>
            <w:r>
              <w:rPr>
                <w:rFonts w:hint="eastAsia" w:ascii="Times New Roman" w:hAnsi="Times New Roman" w:eastAsia="宋体" w:cs="Times New Roman"/>
                <w:b w:val="0"/>
                <w:bCs/>
                <w:color w:val="auto"/>
                <w:kern w:val="0"/>
                <w:sz w:val="24"/>
                <w:szCs w:val="24"/>
                <w:lang w:val="en-US" w:eastAsia="zh-CN" w:bidi="ar"/>
              </w:rPr>
              <w:t>在密闭车间颗粒物无组织排放量为0.03</w:t>
            </w:r>
            <w:r>
              <w:rPr>
                <w:rFonts w:hint="eastAsia" w:cs="Times New Roman"/>
                <w:b w:val="0"/>
                <w:bCs/>
                <w:color w:val="auto"/>
                <w:kern w:val="0"/>
                <w:sz w:val="24"/>
                <w:szCs w:val="24"/>
                <w:lang w:val="en-US" w:eastAsia="zh-CN" w:bidi="ar"/>
              </w:rPr>
              <w:t>6</w:t>
            </w:r>
            <w:r>
              <w:rPr>
                <w:rFonts w:hint="eastAsia" w:ascii="Times New Roman" w:hAnsi="Times New Roman" w:eastAsia="宋体" w:cs="Times New Roman"/>
                <w:b w:val="0"/>
                <w:bCs/>
                <w:color w:val="auto"/>
                <w:kern w:val="0"/>
                <w:sz w:val="24"/>
                <w:szCs w:val="24"/>
                <w:lang w:val="en-US" w:eastAsia="zh-CN" w:bidi="ar"/>
              </w:rPr>
              <w:t>t/a，</w:t>
            </w:r>
            <w:r>
              <w:rPr>
                <w:rFonts w:hint="default" w:ascii="Times New Roman" w:hAnsi="Times New Roman" w:eastAsia="宋体" w:cs="Times New Roman"/>
                <w:b w:val="0"/>
                <w:bCs/>
                <w:color w:val="auto"/>
                <w:kern w:val="0"/>
                <w:sz w:val="24"/>
                <w:szCs w:val="24"/>
                <w:lang w:val="en-US" w:eastAsia="zh-CN" w:bidi="ar"/>
              </w:rPr>
              <w:t>排放速率为</w:t>
            </w:r>
            <w:r>
              <w:rPr>
                <w:rFonts w:hint="eastAsia" w:ascii="Times New Roman" w:hAnsi="Times New Roman" w:eastAsia="宋体" w:cs="Times New Roman"/>
                <w:b w:val="0"/>
                <w:bCs/>
                <w:color w:val="auto"/>
                <w:kern w:val="0"/>
                <w:sz w:val="24"/>
                <w:szCs w:val="24"/>
                <w:lang w:val="en-US" w:eastAsia="zh-CN" w:bidi="ar"/>
              </w:rPr>
              <w:t>0.12</w:t>
            </w:r>
            <w:r>
              <w:rPr>
                <w:rFonts w:hint="default" w:ascii="Times New Roman" w:hAnsi="Times New Roman" w:eastAsia="宋体" w:cs="Times New Roman"/>
                <w:b w:val="0"/>
                <w:bCs/>
                <w:color w:val="auto"/>
                <w:kern w:val="0"/>
                <w:sz w:val="24"/>
                <w:szCs w:val="24"/>
                <w:lang w:val="en-US" w:eastAsia="zh-CN" w:bidi="ar"/>
              </w:rPr>
              <w:t>kg/h</w:t>
            </w:r>
            <w:r>
              <w:rPr>
                <w:rFonts w:hint="eastAsia" w:ascii="Times New Roman" w:hAnsi="Times New Roman" w:eastAsia="宋体" w:cs="Times New Roman"/>
                <w:b w:val="0"/>
                <w:bCs/>
                <w:color w:val="auto"/>
                <w:kern w:val="0"/>
                <w:sz w:val="24"/>
                <w:szCs w:val="24"/>
                <w:lang w:val="en-US" w:eastAsia="zh-CN" w:bidi="ar"/>
              </w:rPr>
              <w:t>。</w:t>
            </w:r>
          </w:p>
          <w:p w14:paraId="5F963B8C">
            <w:pPr>
              <w:spacing w:line="360" w:lineRule="auto"/>
              <w:ind w:firstLine="480" w:firstLineChars="200"/>
              <w:rPr>
                <w:rFonts w:hint="eastAsia"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（4）</w:t>
            </w:r>
            <w:r>
              <w:rPr>
                <w:rFonts w:hint="default" w:ascii="Times New Roman" w:hAnsi="Times New Roman" w:eastAsia="宋体" w:cs="Times New Roman"/>
                <w:b w:val="0"/>
                <w:bCs/>
                <w:color w:val="000000"/>
                <w:kern w:val="0"/>
                <w:sz w:val="24"/>
                <w:szCs w:val="24"/>
                <w:lang w:val="en-US" w:eastAsia="zh-CN" w:bidi="ar"/>
              </w:rPr>
              <w:t>喷粉</w:t>
            </w:r>
            <w:r>
              <w:rPr>
                <w:rFonts w:hint="eastAsia" w:ascii="Times New Roman" w:hAnsi="Times New Roman" w:eastAsia="宋体" w:cs="Times New Roman"/>
                <w:b w:val="0"/>
                <w:bCs/>
                <w:color w:val="000000"/>
                <w:kern w:val="0"/>
                <w:sz w:val="24"/>
                <w:szCs w:val="24"/>
                <w:lang w:val="en-US" w:eastAsia="zh-CN" w:bidi="ar"/>
              </w:rPr>
              <w:t>粉尘</w:t>
            </w:r>
          </w:p>
          <w:p w14:paraId="559D48D2">
            <w:pPr>
              <w:tabs>
                <w:tab w:val="left" w:pos="360"/>
              </w:tabs>
              <w:spacing w:line="360" w:lineRule="auto"/>
              <w:ind w:firstLine="480" w:firstLineChars="200"/>
              <w:rPr>
                <w:rFonts w:hint="default" w:ascii="Times New Roman" w:hAnsi="Times New Roman" w:eastAsia="宋体" w:cs="Times New Roman"/>
                <w:b w:val="0"/>
                <w:bCs w:val="0"/>
                <w:color w:val="auto"/>
                <w:sz w:val="24"/>
              </w:rPr>
            </w:pPr>
            <w:r>
              <w:rPr>
                <w:rFonts w:hint="eastAsia" w:eastAsia="宋体" w:cs="Times New Roman"/>
                <w:b w:val="0"/>
                <w:bCs w:val="0"/>
                <w:color w:val="auto"/>
                <w:sz w:val="24"/>
                <w:lang w:val="en-US" w:eastAsia="zh-CN"/>
              </w:rPr>
              <w:t>根据</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排放源统计调查产排污核算方法和系数手册</w:t>
            </w:r>
            <w:r>
              <w:rPr>
                <w:rFonts w:hint="default" w:ascii="Times New Roman" w:hAnsi="Times New Roman" w:eastAsia="宋体" w:cs="Times New Roman"/>
                <w:b w:val="0"/>
                <w:bCs w:val="0"/>
                <w:color w:val="auto"/>
                <w:sz w:val="24"/>
                <w:lang w:val="en-US" w:eastAsia="zh-CN"/>
              </w:rPr>
              <w:t>-33-37，431-434</w:t>
            </w:r>
            <w:r>
              <w:rPr>
                <w:rFonts w:hint="default" w:ascii="Times New Roman" w:hAnsi="Times New Roman" w:eastAsia="宋体" w:cs="Times New Roman"/>
                <w:b w:val="0"/>
                <w:bCs w:val="0"/>
                <w:color w:val="auto"/>
                <w:sz w:val="24"/>
              </w:rPr>
              <w:t>机械行业系数手册》</w:t>
            </w:r>
            <w:r>
              <w:rPr>
                <w:rFonts w:hint="default" w:ascii="Times New Roman" w:hAnsi="Times New Roman" w:eastAsia="宋体" w:cs="Times New Roman"/>
                <w:b w:val="0"/>
                <w:bCs w:val="0"/>
                <w:color w:val="auto"/>
                <w:sz w:val="24"/>
                <w:lang w:val="en-US" w:eastAsia="zh-CN"/>
              </w:rPr>
              <w:t>中</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涂装</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涂装件</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粉末涂料-喷塑</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中</w:t>
            </w:r>
            <w:r>
              <w:rPr>
                <w:rFonts w:hint="default" w:ascii="Times New Roman" w:hAnsi="Times New Roman" w:eastAsia="宋体" w:cs="Times New Roman"/>
                <w:b w:val="0"/>
                <w:bCs w:val="0"/>
                <w:color w:val="auto"/>
                <w:sz w:val="24"/>
                <w:highlight w:val="none"/>
                <w:lang w:val="en-US" w:eastAsia="zh-CN"/>
              </w:rPr>
              <w:t>颗粒物</w:t>
            </w:r>
            <w:r>
              <w:rPr>
                <w:rFonts w:hint="default" w:ascii="Times New Roman" w:hAnsi="Times New Roman" w:eastAsia="宋体" w:cs="Times New Roman"/>
                <w:b w:val="0"/>
                <w:bCs w:val="0"/>
                <w:color w:val="auto"/>
                <w:sz w:val="24"/>
                <w:lang w:val="en-US" w:eastAsia="zh-CN"/>
              </w:rPr>
              <w:t>产污</w:t>
            </w:r>
            <w:r>
              <w:rPr>
                <w:rFonts w:hint="default" w:ascii="Times New Roman" w:hAnsi="Times New Roman" w:eastAsia="宋体" w:cs="Times New Roman"/>
                <w:b w:val="0"/>
                <w:bCs w:val="0"/>
                <w:color w:val="auto"/>
                <w:sz w:val="24"/>
              </w:rPr>
              <w:t>系数为</w:t>
            </w:r>
            <w:r>
              <w:rPr>
                <w:rFonts w:hint="default" w:ascii="Times New Roman" w:hAnsi="Times New Roman" w:eastAsia="宋体" w:cs="Times New Roman"/>
                <w:b w:val="0"/>
                <w:bCs w:val="0"/>
                <w:color w:val="auto"/>
                <w:sz w:val="24"/>
                <w:lang w:val="en-US" w:eastAsia="zh-CN"/>
              </w:rPr>
              <w:t>300</w:t>
            </w:r>
            <w:r>
              <w:rPr>
                <w:rFonts w:hint="default" w:ascii="Times New Roman" w:hAnsi="Times New Roman" w:eastAsia="宋体" w:cs="Times New Roman"/>
                <w:b w:val="0"/>
                <w:bCs w:val="0"/>
                <w:color w:val="auto"/>
                <w:sz w:val="24"/>
              </w:rPr>
              <w:t>千克/吨-原料。</w:t>
            </w:r>
          </w:p>
          <w:p w14:paraId="513C38FC">
            <w:pPr>
              <w:spacing w:line="360" w:lineRule="auto"/>
              <w:ind w:firstLine="480" w:firstLineChars="200"/>
              <w:rPr>
                <w:rFonts w:hint="eastAsia" w:cs="Times New Roman"/>
                <w:color w:val="auto"/>
                <w:sz w:val="24"/>
                <w:lang w:val="en-US" w:eastAsia="zh-CN"/>
              </w:rPr>
            </w:pPr>
            <w:r>
              <w:rPr>
                <w:rFonts w:hint="default" w:ascii="Times New Roman" w:hAnsi="Times New Roman" w:eastAsia="宋体" w:cs="Times New Roman"/>
                <w:color w:val="auto"/>
                <w:sz w:val="24"/>
                <w:lang w:val="en-US" w:eastAsia="zh-CN"/>
              </w:rPr>
              <w:t>本项目喷塑工序采用静电喷塑工艺，使用粉末100%的固体塑粉。静电喷塑是将粉末在密闭的喷塑室内进行，喷塑工序中产生的污染物主要是静电喷塑粉尘，项目</w:t>
            </w:r>
            <w:r>
              <w:rPr>
                <w:rFonts w:hint="eastAsia" w:ascii="Times New Roman" w:hAnsi="Times New Roman" w:eastAsia="宋体" w:cs="Times New Roman"/>
                <w:color w:val="auto"/>
                <w:sz w:val="24"/>
                <w:lang w:val="en-US" w:eastAsia="zh-CN"/>
              </w:rPr>
              <w:t>粉末涂料</w:t>
            </w:r>
            <w:r>
              <w:rPr>
                <w:rFonts w:hint="default" w:ascii="Times New Roman" w:hAnsi="Times New Roman" w:eastAsia="宋体" w:cs="Times New Roman"/>
                <w:color w:val="auto"/>
                <w:sz w:val="24"/>
                <w:lang w:val="en-US" w:eastAsia="zh-CN"/>
              </w:rPr>
              <w:t>年用量为</w:t>
            </w:r>
            <w:r>
              <w:rPr>
                <w:rFonts w:hint="eastAsia" w:eastAsia="宋体" w:cs="Times New Roman"/>
                <w:b w:val="0"/>
                <w:bCs w:val="0"/>
                <w:color w:val="auto"/>
                <w:kern w:val="2"/>
                <w:sz w:val="24"/>
                <w:szCs w:val="24"/>
                <w:lang w:val="en-US" w:eastAsia="zh-CN" w:bidi="ar-SA"/>
              </w:rPr>
              <w:t>20</w:t>
            </w:r>
            <w:r>
              <w:rPr>
                <w:rFonts w:hint="default" w:ascii="Times New Roman" w:hAnsi="Times New Roman" w:eastAsia="宋体" w:cs="Times New Roman"/>
                <w:b w:val="0"/>
                <w:bCs w:val="0"/>
                <w:color w:val="auto"/>
                <w:kern w:val="2"/>
                <w:sz w:val="24"/>
                <w:szCs w:val="24"/>
                <w:lang w:val="en-US" w:eastAsia="zh-CN" w:bidi="ar-SA"/>
              </w:rPr>
              <w:t>t/a，故项目喷</w:t>
            </w:r>
            <w:r>
              <w:rPr>
                <w:rFonts w:hint="eastAsia" w:eastAsia="宋体" w:cs="Times New Roman"/>
                <w:b w:val="0"/>
                <w:bCs w:val="0"/>
                <w:color w:val="auto"/>
                <w:kern w:val="2"/>
                <w:sz w:val="24"/>
                <w:szCs w:val="24"/>
                <w:lang w:val="en-US" w:eastAsia="zh-CN" w:bidi="ar-SA"/>
              </w:rPr>
              <w:t>粉</w:t>
            </w:r>
            <w:r>
              <w:rPr>
                <w:rFonts w:hint="eastAsia" w:cs="Times New Roman"/>
                <w:b w:val="0"/>
                <w:bCs w:val="0"/>
                <w:color w:val="auto"/>
                <w:kern w:val="2"/>
                <w:sz w:val="24"/>
                <w:szCs w:val="24"/>
                <w:lang w:val="en-US" w:eastAsia="zh-CN" w:bidi="ar-SA"/>
              </w:rPr>
              <w:t>颗粒物</w:t>
            </w:r>
            <w:r>
              <w:rPr>
                <w:rFonts w:hint="eastAsia" w:cs="Times New Roman"/>
                <w:color w:val="auto"/>
                <w:kern w:val="0"/>
                <w:sz w:val="24"/>
                <w:szCs w:val="24"/>
                <w:lang w:val="en-US" w:eastAsia="zh-CN" w:bidi="ar"/>
              </w:rPr>
              <w:t>产生量</w:t>
            </w:r>
            <w:r>
              <w:rPr>
                <w:rFonts w:hint="default" w:ascii="Times New Roman" w:hAnsi="Times New Roman" w:eastAsia="宋体" w:cs="Times New Roman"/>
                <w:b w:val="0"/>
                <w:bCs w:val="0"/>
                <w:color w:val="auto"/>
                <w:kern w:val="2"/>
                <w:sz w:val="24"/>
                <w:szCs w:val="24"/>
                <w:lang w:val="en-US" w:eastAsia="zh-CN" w:bidi="ar-SA"/>
              </w:rPr>
              <w:t>为</w:t>
            </w:r>
            <w:r>
              <w:rPr>
                <w:rFonts w:hint="eastAsia" w:eastAsia="宋体" w:cs="Times New Roman"/>
                <w:b w:val="0"/>
                <w:bCs w:val="0"/>
                <w:color w:val="auto"/>
                <w:kern w:val="2"/>
                <w:sz w:val="24"/>
                <w:szCs w:val="24"/>
                <w:lang w:val="en-US" w:eastAsia="zh-CN" w:bidi="ar-SA"/>
              </w:rPr>
              <w:t>6</w:t>
            </w:r>
            <w:r>
              <w:rPr>
                <w:rFonts w:hint="default" w:ascii="Times New Roman" w:hAnsi="Times New Roman" w:eastAsia="宋体" w:cs="Times New Roman"/>
                <w:b w:val="0"/>
                <w:bCs w:val="0"/>
                <w:color w:val="auto"/>
                <w:kern w:val="2"/>
                <w:sz w:val="24"/>
                <w:szCs w:val="24"/>
                <w:lang w:val="en-US" w:eastAsia="zh-CN" w:bidi="ar-SA"/>
              </w:rPr>
              <w:t>t/a，</w:t>
            </w:r>
            <w:r>
              <w:rPr>
                <w:rFonts w:hint="eastAsia" w:cs="Times New Roman"/>
                <w:color w:val="auto"/>
                <w:kern w:val="0"/>
                <w:sz w:val="24"/>
                <w:szCs w:val="24"/>
                <w:lang w:val="en-US" w:eastAsia="zh-CN" w:bidi="ar"/>
              </w:rPr>
              <w:t>产生速率</w:t>
            </w:r>
            <w:r>
              <w:rPr>
                <w:rFonts w:hint="eastAsia" w:eastAsia="宋体" w:cs="Times New Roman"/>
                <w:b w:val="0"/>
                <w:bCs w:val="0"/>
                <w:color w:val="auto"/>
                <w:kern w:val="2"/>
                <w:sz w:val="24"/>
                <w:szCs w:val="24"/>
                <w:lang w:val="en-US" w:eastAsia="zh-CN" w:bidi="ar-SA"/>
              </w:rPr>
              <w:t>2.5</w:t>
            </w:r>
            <w:r>
              <w:rPr>
                <w:rFonts w:hint="default" w:ascii="Times New Roman" w:hAnsi="Times New Roman" w:eastAsia="宋体" w:cs="Times New Roman"/>
                <w:b w:val="0"/>
                <w:bCs w:val="0"/>
                <w:color w:val="auto"/>
                <w:kern w:val="2"/>
                <w:sz w:val="24"/>
                <w:szCs w:val="24"/>
                <w:lang w:val="en-US" w:eastAsia="zh-CN" w:bidi="ar-SA"/>
              </w:rPr>
              <w:t>kg/</w:t>
            </w:r>
            <w:r>
              <w:rPr>
                <w:rFonts w:hint="eastAsia" w:ascii="Times New Roman" w:hAnsi="Times New Roman" w:eastAsia="宋体" w:cs="Times New Roman"/>
                <w:b w:val="0"/>
                <w:bCs w:val="0"/>
                <w:color w:val="auto"/>
                <w:kern w:val="2"/>
                <w:sz w:val="24"/>
                <w:szCs w:val="24"/>
                <w:lang w:val="en-US" w:eastAsia="zh-CN" w:bidi="ar-SA"/>
              </w:rPr>
              <w:t>h</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highlight w:val="none"/>
                <w:lang w:val="en-US" w:eastAsia="zh-CN"/>
              </w:rPr>
              <w:t>本项目喷粉作业在单独的密闭喷粉室内进行，塑粉经过喷枪充电后喷出，没有附着工件的粉末由喷粉室配备的</w:t>
            </w:r>
            <w:r>
              <w:rPr>
                <w:rFonts w:hint="eastAsia" w:eastAsia="宋体" w:cs="Times New Roman"/>
                <w:color w:val="auto"/>
                <w:sz w:val="24"/>
                <w:highlight w:val="none"/>
                <w:lang w:val="en-US" w:eastAsia="zh-CN"/>
              </w:rPr>
              <w:t>旋风除尘</w:t>
            </w:r>
            <w:r>
              <w:rPr>
                <w:rFonts w:hint="eastAsia" w:cs="Times New Roman"/>
                <w:color w:val="auto"/>
                <w:sz w:val="24"/>
                <w:highlight w:val="none"/>
                <w:lang w:val="en-US" w:eastAsia="zh-CN"/>
              </w:rPr>
              <w:t>器</w:t>
            </w:r>
            <w:r>
              <w:rPr>
                <w:rFonts w:hint="eastAsia" w:eastAsia="宋体" w:cs="Times New Roman"/>
                <w:color w:val="auto"/>
                <w:sz w:val="24"/>
                <w:highlight w:val="none"/>
                <w:lang w:val="en-US" w:eastAsia="zh-CN"/>
              </w:rPr>
              <w:t>+布袋除尘</w:t>
            </w:r>
            <w:r>
              <w:rPr>
                <w:rFonts w:hint="eastAsia" w:cs="Times New Roman"/>
                <w:color w:val="auto"/>
                <w:sz w:val="24"/>
                <w:highlight w:val="none"/>
                <w:lang w:val="en-US" w:eastAsia="zh-CN"/>
              </w:rPr>
              <w:t>器</w:t>
            </w:r>
            <w:r>
              <w:rPr>
                <w:rFonts w:hint="default" w:ascii="Times New Roman" w:hAnsi="Times New Roman" w:eastAsia="宋体" w:cs="Times New Roman"/>
                <w:color w:val="auto"/>
                <w:sz w:val="24"/>
                <w:highlight w:val="none"/>
                <w:lang w:val="en-US" w:eastAsia="zh-CN"/>
              </w:rPr>
              <w:t>处理，处理后的废气经15m排气筒</w:t>
            </w:r>
            <w:r>
              <w:rPr>
                <w:rFonts w:hint="eastAsia" w:cs="Times New Roman"/>
                <w:color w:val="auto"/>
                <w:sz w:val="24"/>
                <w:highlight w:val="none"/>
                <w:lang w:val="en-US" w:eastAsia="zh-CN"/>
              </w:rPr>
              <w:t>（DA002）</w:t>
            </w:r>
            <w:r>
              <w:rPr>
                <w:rFonts w:hint="default" w:ascii="Times New Roman" w:hAnsi="Times New Roman" w:eastAsia="宋体" w:cs="Times New Roman"/>
                <w:color w:val="auto"/>
                <w:sz w:val="24"/>
                <w:highlight w:val="none"/>
                <w:lang w:val="en-US" w:eastAsia="zh-CN"/>
              </w:rPr>
              <w:t>有组织达标排放。收集装置处理的粉尘回收至供粉桶中循环使用，未被收集的废气无组织排放。</w:t>
            </w:r>
            <w:r>
              <w:rPr>
                <w:rFonts w:hint="eastAsia" w:eastAsia="宋体" w:cs="Times New Roman"/>
                <w:color w:val="auto"/>
                <w:sz w:val="24"/>
                <w:highlight w:val="none"/>
                <w:lang w:val="en-US" w:eastAsia="zh-CN"/>
              </w:rPr>
              <w:t>除尘</w:t>
            </w:r>
            <w:r>
              <w:rPr>
                <w:rFonts w:hint="default" w:ascii="Times New Roman" w:hAnsi="Times New Roman" w:eastAsia="宋体" w:cs="Times New Roman"/>
                <w:color w:val="auto"/>
                <w:sz w:val="24"/>
                <w:highlight w:val="none"/>
                <w:lang w:val="en-US" w:eastAsia="zh-CN"/>
              </w:rPr>
              <w:t>装置</w:t>
            </w:r>
            <w:r>
              <w:rPr>
                <w:rFonts w:hint="eastAsia" w:ascii="Times New Roman" w:hAnsi="Times New Roman" w:eastAsia="宋体" w:cs="宋体"/>
                <w:bCs/>
                <w:color w:val="auto"/>
                <w:kern w:val="2"/>
                <w:sz w:val="24"/>
                <w:szCs w:val="22"/>
                <w:lang w:val="en-US" w:eastAsia="zh-CN" w:bidi="ar-SA"/>
              </w:rPr>
              <w:t>去除效率以95%计，</w:t>
            </w:r>
            <w:r>
              <w:rPr>
                <w:rFonts w:hint="default" w:ascii="Times New Roman" w:hAnsi="Times New Roman" w:eastAsia="宋体" w:cs="Times New Roman"/>
                <w:color w:val="auto"/>
                <w:sz w:val="24"/>
                <w:highlight w:val="none"/>
                <w:lang w:val="en-US" w:eastAsia="zh-CN"/>
              </w:rPr>
              <w:t>考虑到</w:t>
            </w:r>
            <w:r>
              <w:rPr>
                <w:rFonts w:hint="default" w:ascii="Times New Roman" w:hAnsi="Times New Roman" w:eastAsia="宋体" w:cs="Times New Roman"/>
                <w:color w:val="auto"/>
                <w:sz w:val="24"/>
                <w:lang w:val="en-US" w:eastAsia="zh-CN"/>
              </w:rPr>
              <w:t>喷塑间和</w:t>
            </w:r>
            <w:r>
              <w:rPr>
                <w:rFonts w:hint="eastAsia" w:ascii="Times New Roman" w:hAnsi="Times New Roman" w:eastAsia="宋体" w:cs="Times New Roman"/>
                <w:color w:val="auto"/>
                <w:sz w:val="24"/>
                <w:lang w:val="en-US" w:eastAsia="zh-CN"/>
              </w:rPr>
              <w:t>固化烘道</w:t>
            </w:r>
            <w:r>
              <w:rPr>
                <w:rFonts w:hint="default" w:ascii="Times New Roman" w:hAnsi="Times New Roman" w:eastAsia="宋体" w:cs="Times New Roman"/>
                <w:color w:val="auto"/>
                <w:sz w:val="24"/>
                <w:highlight w:val="none"/>
                <w:lang w:val="en-US" w:eastAsia="zh-CN"/>
              </w:rPr>
              <w:t>采用悬挂输送系统运输工件，因此废气不能完全收集，约有5%废气未被收集到，以无组织形式排放</w:t>
            </w:r>
            <w:r>
              <w:rPr>
                <w:rFonts w:hint="eastAsia" w:ascii="Times New Roman" w:hAnsi="Times New Roman" w:eastAsia="宋体" w:cs="宋体"/>
                <w:bCs/>
                <w:color w:val="auto"/>
                <w:kern w:val="2"/>
                <w:sz w:val="24"/>
                <w:szCs w:val="22"/>
                <w:lang w:val="en-US" w:eastAsia="zh-CN" w:bidi="ar-SA"/>
              </w:rPr>
              <w:t>。因此，</w:t>
            </w:r>
            <w:r>
              <w:rPr>
                <w:rFonts w:hint="eastAsia" w:ascii="Times New Roman" w:hAnsi="Times New Roman" w:eastAsia="宋体" w:cs="Times New Roman"/>
                <w:color w:val="auto"/>
                <w:kern w:val="0"/>
                <w:sz w:val="24"/>
                <w:szCs w:val="24"/>
                <w:lang w:val="en-US" w:eastAsia="zh-CN" w:bidi="ar"/>
              </w:rPr>
              <w:t>喷粉</w:t>
            </w:r>
            <w:r>
              <w:rPr>
                <w:rFonts w:hint="eastAsia" w:cs="Times New Roman"/>
                <w:b w:val="0"/>
                <w:bCs w:val="0"/>
                <w:color w:val="auto"/>
                <w:kern w:val="2"/>
                <w:sz w:val="24"/>
                <w:szCs w:val="24"/>
                <w:lang w:val="en-US" w:eastAsia="zh-CN" w:bidi="ar-SA"/>
              </w:rPr>
              <w:t>颗粒物</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0.285</w:t>
            </w:r>
            <w:r>
              <w:rPr>
                <w:rFonts w:hint="default" w:ascii="Times New Roman" w:hAnsi="Times New Roman" w:eastAsia="宋体" w:cs="Times New Roman"/>
                <w:b w:val="0"/>
                <w:bCs/>
                <w:color w:val="auto"/>
                <w:kern w:val="0"/>
                <w:sz w:val="24"/>
                <w:szCs w:val="24"/>
                <w:lang w:val="en-US" w:eastAsia="zh-CN" w:bidi="ar"/>
              </w:rPr>
              <w:t>t/a，排放速率为0.</w:t>
            </w:r>
            <w:r>
              <w:rPr>
                <w:rFonts w:hint="eastAsia" w:ascii="Times New Roman" w:hAnsi="Times New Roman" w:eastAsia="宋体" w:cs="Times New Roman"/>
                <w:b w:val="0"/>
                <w:bCs/>
                <w:color w:val="auto"/>
                <w:kern w:val="0"/>
                <w:sz w:val="24"/>
                <w:szCs w:val="24"/>
                <w:lang w:val="en-US" w:eastAsia="zh-CN" w:bidi="ar"/>
              </w:rPr>
              <w:t>118</w:t>
            </w:r>
            <w:r>
              <w:rPr>
                <w:rFonts w:hint="eastAsia" w:cs="Times New Roman"/>
                <w:b w:val="0"/>
                <w:bCs/>
                <w:color w:val="auto"/>
                <w:kern w:val="0"/>
                <w:sz w:val="24"/>
                <w:szCs w:val="24"/>
                <w:lang w:val="en-US" w:eastAsia="zh-CN" w:bidi="ar"/>
              </w:rPr>
              <w:t>8</w:t>
            </w:r>
            <w:r>
              <w:rPr>
                <w:rFonts w:hint="default" w:ascii="Times New Roman" w:hAnsi="Times New Roman" w:eastAsia="宋体" w:cs="Times New Roman"/>
                <w:b w:val="0"/>
                <w:bCs/>
                <w:color w:val="auto"/>
                <w:kern w:val="0"/>
                <w:sz w:val="24"/>
                <w:szCs w:val="24"/>
                <w:lang w:val="en-US" w:eastAsia="zh-CN" w:bidi="ar"/>
              </w:rPr>
              <w:t>kg/h，排放浓度</w:t>
            </w:r>
            <w:r>
              <w:rPr>
                <w:rFonts w:hint="eastAsia" w:cs="Times New Roman"/>
                <w:b w:val="0"/>
                <w:bCs/>
                <w:color w:val="auto"/>
                <w:kern w:val="0"/>
                <w:sz w:val="24"/>
                <w:szCs w:val="24"/>
                <w:lang w:val="en-US" w:eastAsia="zh-CN" w:bidi="ar"/>
              </w:rPr>
              <w:t>11.875</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ascii="Times New Roman" w:hAnsi="Times New Roman" w:eastAsia="宋体" w:cs="Times New Roman"/>
                <w:color w:val="auto"/>
                <w:kern w:val="0"/>
                <w:sz w:val="24"/>
                <w:szCs w:val="24"/>
                <w:lang w:val="en-US" w:eastAsia="zh-CN" w:bidi="ar"/>
              </w:rPr>
              <w:t>喷粉</w:t>
            </w:r>
            <w:r>
              <w:rPr>
                <w:rFonts w:hint="eastAsia" w:cs="Times New Roman"/>
                <w:b w:val="0"/>
                <w:bCs w:val="0"/>
                <w:color w:val="auto"/>
                <w:kern w:val="2"/>
                <w:sz w:val="24"/>
                <w:szCs w:val="24"/>
                <w:lang w:val="en-US" w:eastAsia="zh-CN" w:bidi="ar-SA"/>
              </w:rPr>
              <w:t>颗粒物</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0.3</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0.125</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color w:val="auto"/>
                <w:sz w:val="24"/>
                <w:lang w:val="en-US" w:eastAsia="zh-CN"/>
              </w:rPr>
              <w:t>。</w:t>
            </w:r>
          </w:p>
          <w:p w14:paraId="2D16118B">
            <w:pPr>
              <w:spacing w:line="360" w:lineRule="auto"/>
              <w:ind w:firstLine="480" w:firstLineChars="200"/>
              <w:rPr>
                <w:rFonts w:hint="default" w:cs="Times New Roman"/>
                <w:sz w:val="24"/>
                <w:lang w:val="en-US" w:eastAsia="zh-CN"/>
              </w:rPr>
            </w:pPr>
            <w:r>
              <w:rPr>
                <w:rFonts w:hint="eastAsia" w:cs="Times New Roman"/>
                <w:sz w:val="24"/>
                <w:lang w:val="en-US" w:eastAsia="zh-CN"/>
              </w:rPr>
              <w:t>（5）电泳</w:t>
            </w:r>
            <w:r>
              <w:rPr>
                <w:rFonts w:hint="eastAsia" w:eastAsia="宋体" w:cs="Times New Roman"/>
                <w:color w:val="auto"/>
                <w:sz w:val="24"/>
                <w:highlight w:val="none"/>
                <w:lang w:val="en-US" w:eastAsia="zh-CN"/>
              </w:rPr>
              <w:t>有机</w:t>
            </w:r>
            <w:r>
              <w:rPr>
                <w:rFonts w:hint="eastAsia" w:cs="Times New Roman"/>
                <w:sz w:val="24"/>
                <w:lang w:val="en-US" w:eastAsia="zh-CN"/>
              </w:rPr>
              <w:t>废气</w:t>
            </w:r>
          </w:p>
          <w:p w14:paraId="335ABA8C">
            <w:pPr>
              <w:spacing w:line="360" w:lineRule="auto"/>
              <w:ind w:firstLine="480" w:firstLineChars="200"/>
              <w:rPr>
                <w:rFonts w:hint="eastAsia"/>
                <w:color w:val="auto"/>
                <w:spacing w:val="-5"/>
                <w:sz w:val="24"/>
                <w:lang w:val="en-US" w:eastAsia="zh-CN"/>
              </w:rPr>
            </w:pPr>
            <w:r>
              <w:rPr>
                <w:rFonts w:hint="eastAsia" w:ascii="Times New Roman" w:hAnsi="Times New Roman" w:eastAsia="宋体" w:cs="Times New Roman"/>
                <w:b w:val="0"/>
                <w:bCs/>
                <w:color w:val="auto"/>
                <w:kern w:val="0"/>
                <w:sz w:val="24"/>
                <w:szCs w:val="24"/>
                <w:lang w:val="en-US" w:eastAsia="zh-CN" w:bidi="ar"/>
              </w:rPr>
              <w:t>本项目电泳</w:t>
            </w:r>
            <w:r>
              <w:rPr>
                <w:rFonts w:hint="default" w:ascii="Times New Roman" w:hAnsi="Times New Roman" w:eastAsia="宋体" w:cs="Times New Roman"/>
                <w:b w:val="0"/>
                <w:bCs/>
                <w:color w:val="auto"/>
                <w:kern w:val="0"/>
                <w:sz w:val="24"/>
                <w:szCs w:val="24"/>
                <w:lang w:val="en-US" w:eastAsia="zh-CN" w:bidi="ar"/>
              </w:rPr>
              <w:t>涂装</w:t>
            </w:r>
            <w:r>
              <w:rPr>
                <w:rFonts w:hint="eastAsia" w:ascii="Times New Roman" w:hAnsi="Times New Roman" w:eastAsia="宋体" w:cs="Times New Roman"/>
                <w:b w:val="0"/>
                <w:bCs/>
                <w:color w:val="auto"/>
                <w:kern w:val="0"/>
                <w:sz w:val="24"/>
                <w:szCs w:val="24"/>
                <w:lang w:val="en-US" w:eastAsia="zh-CN" w:bidi="ar"/>
              </w:rPr>
              <w:t>过程，</w:t>
            </w:r>
            <w:r>
              <w:rPr>
                <w:rFonts w:hint="eastAsia" w:eastAsia="宋体" w:cs="Times New Roman"/>
                <w:color w:val="auto"/>
                <w:sz w:val="24"/>
                <w:highlight w:val="none"/>
                <w:lang w:val="en-US" w:eastAsia="zh-CN"/>
              </w:rPr>
              <w:t>会产生有机废气（</w:t>
            </w:r>
            <w:r>
              <w:rPr>
                <w:rFonts w:hint="eastAsia"/>
                <w:color w:val="auto"/>
                <w:spacing w:val="-5"/>
                <w:sz w:val="24"/>
              </w:rPr>
              <w:t>以非甲烷总烃计）</w:t>
            </w:r>
            <w:r>
              <w:rPr>
                <w:rFonts w:hint="eastAsia"/>
                <w:color w:val="auto"/>
                <w:spacing w:val="-5"/>
                <w:sz w:val="24"/>
                <w:lang w:eastAsia="zh-CN"/>
              </w:rPr>
              <w:t>。</w:t>
            </w:r>
            <w:r>
              <w:rPr>
                <w:rFonts w:hint="eastAsia"/>
                <w:color w:val="auto"/>
                <w:spacing w:val="-5"/>
                <w:sz w:val="24"/>
                <w:lang w:val="en-US" w:eastAsia="zh-CN"/>
              </w:rPr>
              <w:t>根据《污染源源强核算技术指南 汽车制造》（HJ1097-2020）附录D，水性电泳漆挥发系数为5%。</w:t>
            </w:r>
          </w:p>
          <w:p w14:paraId="5F9D27E1">
            <w:pPr>
              <w:spacing w:line="360" w:lineRule="auto"/>
              <w:ind w:firstLine="460" w:firstLineChars="200"/>
              <w:rPr>
                <w:rFonts w:hint="eastAsia" w:ascii="Times New Roman" w:hAnsi="Times New Roman" w:eastAsia="宋体" w:cs="Times New Roman"/>
                <w:color w:val="auto"/>
                <w:spacing w:val="-5"/>
                <w:sz w:val="24"/>
                <w:lang w:val="en-US" w:eastAsia="zh-CN"/>
              </w:rPr>
            </w:pPr>
            <w:r>
              <w:rPr>
                <w:rFonts w:hint="eastAsia" w:ascii="Times New Roman" w:hAnsi="Times New Roman" w:eastAsia="宋体" w:cs="Times New Roman"/>
                <w:color w:val="auto"/>
                <w:spacing w:val="-5"/>
                <w:sz w:val="24"/>
                <w:lang w:val="en-US" w:eastAsia="zh-CN"/>
              </w:rPr>
              <w:t>本项目电泳漆使用量为8t/a，则电泳有机废气产生量为0.4t</w:t>
            </w:r>
            <w:r>
              <w:rPr>
                <w:rFonts w:hint="default" w:ascii="Times New Roman" w:hAnsi="Times New Roman" w:eastAsia="宋体" w:cs="Times New Roman"/>
                <w:color w:val="auto"/>
                <w:spacing w:val="-5"/>
                <w:sz w:val="24"/>
                <w:lang w:val="en-US" w:eastAsia="zh-CN"/>
              </w:rPr>
              <w:t>/a</w:t>
            </w:r>
            <w:r>
              <w:rPr>
                <w:rFonts w:hint="eastAsia" w:ascii="Times New Roman" w:hAnsi="Times New Roman" w:eastAsia="宋体" w:cs="Times New Roman"/>
                <w:color w:val="auto"/>
                <w:spacing w:val="-5"/>
                <w:sz w:val="24"/>
                <w:lang w:val="en-US" w:eastAsia="zh-CN"/>
              </w:rPr>
              <w:t>，产生速率为0.16</w:t>
            </w:r>
            <w:r>
              <w:rPr>
                <w:rFonts w:hint="eastAsia" w:cs="Times New Roman"/>
                <w:color w:val="auto"/>
                <w:spacing w:val="-5"/>
                <w:sz w:val="24"/>
                <w:lang w:val="en-US" w:eastAsia="zh-CN"/>
              </w:rPr>
              <w:t>67</w:t>
            </w:r>
            <w:r>
              <w:rPr>
                <w:rFonts w:hint="eastAsia" w:ascii="Times New Roman" w:hAnsi="Times New Roman" w:eastAsia="宋体" w:cs="Times New Roman"/>
                <w:color w:val="auto"/>
                <w:spacing w:val="-5"/>
                <w:sz w:val="24"/>
                <w:lang w:val="en-US" w:eastAsia="zh-CN"/>
              </w:rPr>
              <w:t>kg/h。产生的废气经集气罩</w:t>
            </w:r>
            <w:r>
              <w:rPr>
                <w:rFonts w:hint="eastAsia"/>
                <w:color w:val="auto"/>
                <w:kern w:val="0"/>
                <w:sz w:val="24"/>
                <w:lang w:val="en-US" w:eastAsia="zh-CN"/>
              </w:rPr>
              <w:t>后</w:t>
            </w:r>
            <w:r>
              <w:rPr>
                <w:rFonts w:hint="eastAsia"/>
                <w:color w:val="auto"/>
                <w:kern w:val="0"/>
                <w:sz w:val="24"/>
              </w:rPr>
              <w:t>引至二级活性炭吸附装置处理，通过15m</w:t>
            </w:r>
            <w:r>
              <w:rPr>
                <w:rFonts w:hint="default" w:ascii="Times New Roman" w:hAnsi="Times New Roman" w:cs="Times New Roman"/>
                <w:color w:val="auto"/>
                <w:sz w:val="24"/>
                <w:lang w:val="en-US" w:eastAsia="zh-CN"/>
              </w:rPr>
              <w:t>高</w:t>
            </w:r>
            <w:r>
              <w:rPr>
                <w:rFonts w:hint="eastAsia" w:cs="Times New Roman"/>
                <w:color w:val="auto"/>
                <w:sz w:val="24"/>
                <w:lang w:val="en-US" w:eastAsia="zh-CN"/>
              </w:rPr>
              <w:t>排气筒（DA002）</w:t>
            </w:r>
            <w:r>
              <w:rPr>
                <w:rFonts w:hint="default" w:ascii="Times New Roman" w:hAnsi="Times New Roman" w:cs="Times New Roman"/>
                <w:color w:val="auto"/>
                <w:sz w:val="24"/>
                <w:lang w:val="en-US" w:eastAsia="zh-CN"/>
              </w:rPr>
              <w:t>排放</w:t>
            </w:r>
            <w:r>
              <w:rPr>
                <w:rFonts w:hint="eastAsia"/>
                <w:color w:val="auto"/>
                <w:kern w:val="0"/>
                <w:sz w:val="24"/>
              </w:rPr>
              <w:t>。</w:t>
            </w:r>
            <w:r>
              <w:rPr>
                <w:rFonts w:hint="eastAsia" w:ascii="Times New Roman" w:hAnsi="Times New Roman" w:eastAsia="宋体" w:cs="宋体"/>
                <w:bCs/>
                <w:color w:val="auto"/>
                <w:kern w:val="2"/>
                <w:sz w:val="24"/>
                <w:szCs w:val="22"/>
                <w:lang w:val="en-US" w:eastAsia="zh-CN" w:bidi="ar-SA"/>
              </w:rPr>
              <w:t>收集效率为85%</w:t>
            </w:r>
            <w:r>
              <w:rPr>
                <w:rFonts w:hint="eastAsia" w:ascii="Times New Roman" w:hAnsi="Times New Roman" w:cs="Times New Roman"/>
                <w:b w:val="0"/>
                <w:bCs/>
                <w:color w:val="auto"/>
                <w:kern w:val="2"/>
                <w:sz w:val="24"/>
                <w:szCs w:val="24"/>
                <w:lang w:val="en-US" w:eastAsia="zh-CN" w:bidi="ar-SA"/>
              </w:rPr>
              <w:t>，</w:t>
            </w:r>
            <w:r>
              <w:rPr>
                <w:rFonts w:hint="eastAsia"/>
                <w:color w:val="auto"/>
                <w:kern w:val="0"/>
                <w:sz w:val="24"/>
              </w:rPr>
              <w:t>二级活性炭</w:t>
            </w:r>
            <w:r>
              <w:rPr>
                <w:rFonts w:hint="eastAsia" w:ascii="Times New Roman" w:hAnsi="Times New Roman" w:eastAsia="宋体" w:cs="宋体"/>
                <w:bCs/>
                <w:color w:val="auto"/>
                <w:kern w:val="2"/>
                <w:sz w:val="24"/>
                <w:szCs w:val="22"/>
                <w:lang w:val="en-US" w:eastAsia="zh-CN" w:bidi="ar-SA"/>
              </w:rPr>
              <w:t>去除效率以</w:t>
            </w:r>
            <w:r>
              <w:rPr>
                <w:rFonts w:hint="eastAsia" w:cs="宋体"/>
                <w:bCs/>
                <w:color w:val="auto"/>
                <w:kern w:val="2"/>
                <w:sz w:val="24"/>
                <w:szCs w:val="22"/>
                <w:lang w:val="en-US" w:eastAsia="zh-CN" w:bidi="ar-SA"/>
              </w:rPr>
              <w:t>80</w:t>
            </w:r>
            <w:r>
              <w:rPr>
                <w:rFonts w:hint="eastAsia" w:ascii="Times New Roman" w:hAnsi="Times New Roman" w:eastAsia="宋体" w:cs="宋体"/>
                <w:bCs/>
                <w:color w:val="auto"/>
                <w:kern w:val="2"/>
                <w:sz w:val="24"/>
                <w:szCs w:val="22"/>
                <w:lang w:val="en-US" w:eastAsia="zh-CN" w:bidi="ar-SA"/>
              </w:rPr>
              <w:t>%计。因此，</w:t>
            </w:r>
            <w:r>
              <w:rPr>
                <w:rFonts w:hint="eastAsia" w:cs="Times New Roman"/>
                <w:color w:val="auto"/>
                <w:sz w:val="24"/>
                <w:lang w:val="en-US" w:eastAsia="zh-CN"/>
              </w:rPr>
              <w:t>电泳非甲烷总烃</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12</w:t>
            </w:r>
            <w:r>
              <w:rPr>
                <w:rFonts w:hint="default" w:ascii="Times New Roman" w:hAnsi="Times New Roman" w:eastAsia="宋体" w:cs="Times New Roman"/>
                <w:b w:val="0"/>
                <w:bCs/>
                <w:color w:val="auto"/>
                <w:kern w:val="0"/>
                <w:sz w:val="24"/>
                <w:szCs w:val="24"/>
                <w:lang w:val="en-US" w:eastAsia="zh-CN" w:bidi="ar"/>
              </w:rPr>
              <w:t>t/a，排放速率为0.</w:t>
            </w:r>
            <w:r>
              <w:rPr>
                <w:rFonts w:hint="eastAsia" w:ascii="Times New Roman" w:hAnsi="Times New Roman" w:eastAsia="宋体" w:cs="Times New Roman"/>
                <w:b w:val="0"/>
                <w:bCs/>
                <w:color w:val="auto"/>
                <w:kern w:val="0"/>
                <w:sz w:val="24"/>
                <w:szCs w:val="24"/>
                <w:lang w:val="en-US" w:eastAsia="zh-CN" w:bidi="ar"/>
              </w:rPr>
              <w:t>0</w:t>
            </w:r>
            <w:r>
              <w:rPr>
                <w:rFonts w:hint="eastAsia" w:cs="Times New Roman"/>
                <w:b w:val="0"/>
                <w:bCs/>
                <w:color w:val="auto"/>
                <w:kern w:val="0"/>
                <w:sz w:val="24"/>
                <w:szCs w:val="24"/>
                <w:lang w:val="en-US" w:eastAsia="zh-CN" w:bidi="ar"/>
              </w:rPr>
              <w:t>05</w:t>
            </w:r>
            <w:r>
              <w:rPr>
                <w:rFonts w:hint="default" w:ascii="Times New Roman" w:hAnsi="Times New Roman" w:eastAsia="宋体" w:cs="Times New Roman"/>
                <w:b w:val="0"/>
                <w:bCs/>
                <w:color w:val="auto"/>
                <w:kern w:val="0"/>
                <w:sz w:val="24"/>
                <w:szCs w:val="24"/>
                <w:lang w:val="en-US" w:eastAsia="zh-CN" w:bidi="ar"/>
              </w:rPr>
              <w:t>kg/h，排放浓度</w:t>
            </w:r>
            <w:r>
              <w:rPr>
                <w:rFonts w:hint="eastAsia" w:cs="Times New Roman"/>
                <w:b w:val="0"/>
                <w:bCs/>
                <w:color w:val="auto"/>
                <w:kern w:val="0"/>
                <w:sz w:val="24"/>
                <w:szCs w:val="24"/>
                <w:lang w:val="en-US" w:eastAsia="zh-CN" w:bidi="ar"/>
              </w:rPr>
              <w:t>0.5</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cs="Times New Roman"/>
                <w:color w:val="auto"/>
                <w:sz w:val="24"/>
                <w:lang w:val="en-US" w:eastAsia="zh-CN"/>
              </w:rPr>
              <w:t>非甲烷总烃</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0.06</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0.025</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color w:val="auto"/>
                <w:sz w:val="24"/>
                <w:lang w:val="en-US" w:eastAsia="zh-CN"/>
              </w:rPr>
              <w:t>。</w:t>
            </w:r>
          </w:p>
          <w:p w14:paraId="69490110">
            <w:pPr>
              <w:spacing w:line="360" w:lineRule="auto"/>
              <w:ind w:firstLine="480" w:firstLineChars="200"/>
              <w:rPr>
                <w:rFonts w:hint="default"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b w:val="0"/>
                <w:bCs/>
                <w:color w:val="000000"/>
                <w:kern w:val="0"/>
                <w:sz w:val="24"/>
                <w:szCs w:val="24"/>
                <w:lang w:val="en-US" w:eastAsia="zh-CN" w:bidi="ar"/>
              </w:rPr>
              <w:t>（</w:t>
            </w:r>
            <w:r>
              <w:rPr>
                <w:rFonts w:hint="eastAsia" w:cs="Times New Roman"/>
                <w:b w:val="0"/>
                <w:bCs/>
                <w:color w:val="000000"/>
                <w:kern w:val="0"/>
                <w:sz w:val="24"/>
                <w:szCs w:val="24"/>
                <w:lang w:val="en-US" w:eastAsia="zh-CN" w:bidi="ar"/>
              </w:rPr>
              <w:t>6</w:t>
            </w:r>
            <w:r>
              <w:rPr>
                <w:rFonts w:hint="eastAsia" w:ascii="Times New Roman" w:hAnsi="Times New Roman" w:eastAsia="宋体" w:cs="Times New Roman"/>
                <w:b w:val="0"/>
                <w:bCs/>
                <w:color w:val="000000"/>
                <w:kern w:val="0"/>
                <w:sz w:val="24"/>
                <w:szCs w:val="24"/>
                <w:lang w:val="en-US" w:eastAsia="zh-CN" w:bidi="ar"/>
              </w:rPr>
              <w:t>）喷粉及电泳固化废气</w:t>
            </w:r>
          </w:p>
          <w:p w14:paraId="5873183E">
            <w:pPr>
              <w:tabs>
                <w:tab w:val="left" w:pos="360"/>
              </w:tabs>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b w:val="0"/>
                <w:bCs/>
                <w:color w:val="auto"/>
                <w:kern w:val="0"/>
                <w:sz w:val="24"/>
                <w:szCs w:val="24"/>
                <w:lang w:val="en-US" w:eastAsia="zh-CN" w:bidi="ar"/>
              </w:rPr>
              <w:t>喷粉及电泳</w:t>
            </w:r>
            <w:r>
              <w:rPr>
                <w:rFonts w:hint="default" w:ascii="Times New Roman" w:hAnsi="Times New Roman" w:eastAsia="宋体" w:cs="Times New Roman"/>
                <w:color w:val="auto"/>
                <w:sz w:val="24"/>
                <w:highlight w:val="none"/>
                <w:lang w:val="en-US" w:eastAsia="zh-CN"/>
              </w:rPr>
              <w:t>固化均采用同一个</w:t>
            </w:r>
            <w:r>
              <w:rPr>
                <w:rFonts w:hint="eastAsia" w:ascii="Times New Roman" w:hAnsi="Times New Roman" w:eastAsia="宋体" w:cs="Times New Roman"/>
                <w:color w:val="auto"/>
                <w:sz w:val="24"/>
                <w:highlight w:val="none"/>
                <w:lang w:val="en-US" w:eastAsia="zh-CN"/>
              </w:rPr>
              <w:t>固化烘道</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b w:val="0"/>
                <w:bCs/>
                <w:color w:val="auto"/>
                <w:kern w:val="0"/>
                <w:sz w:val="24"/>
                <w:szCs w:val="24"/>
                <w:lang w:val="en-US" w:eastAsia="zh-CN" w:bidi="ar"/>
              </w:rPr>
              <w:t>喷粉</w:t>
            </w:r>
            <w:r>
              <w:rPr>
                <w:rFonts w:hint="default" w:ascii="Times New Roman" w:hAnsi="Times New Roman" w:eastAsia="宋体" w:cs="Times New Roman"/>
                <w:color w:val="auto"/>
                <w:sz w:val="24"/>
                <w:highlight w:val="none"/>
                <w:lang w:val="en-US" w:eastAsia="zh-CN"/>
              </w:rPr>
              <w:t>线与</w:t>
            </w:r>
            <w:r>
              <w:rPr>
                <w:rFonts w:hint="eastAsia" w:ascii="Times New Roman" w:hAnsi="Times New Roman" w:eastAsia="宋体" w:cs="Times New Roman"/>
                <w:b w:val="0"/>
                <w:bCs/>
                <w:color w:val="auto"/>
                <w:kern w:val="0"/>
                <w:sz w:val="24"/>
                <w:szCs w:val="24"/>
                <w:lang w:val="en-US" w:eastAsia="zh-CN" w:bidi="ar"/>
              </w:rPr>
              <w:t>电泳</w:t>
            </w:r>
            <w:r>
              <w:rPr>
                <w:rFonts w:hint="default" w:ascii="Times New Roman" w:hAnsi="Times New Roman" w:eastAsia="宋体" w:cs="Times New Roman"/>
                <w:color w:val="auto"/>
                <w:sz w:val="24"/>
                <w:highlight w:val="none"/>
                <w:lang w:val="en-US" w:eastAsia="zh-CN"/>
              </w:rPr>
              <w:t>线错时生产</w:t>
            </w:r>
            <w:r>
              <w:rPr>
                <w:rFonts w:hint="eastAsia" w:eastAsia="宋体" w:cs="Times New Roman"/>
                <w:color w:val="auto"/>
                <w:sz w:val="24"/>
                <w:highlight w:val="none"/>
                <w:lang w:val="en-US" w:eastAsia="zh-CN"/>
              </w:rPr>
              <w:t>。</w:t>
            </w:r>
          </w:p>
          <w:p w14:paraId="146B2235">
            <w:pPr>
              <w:spacing w:line="360" w:lineRule="auto"/>
              <w:ind w:firstLine="480" w:firstLineChars="200"/>
              <w:rPr>
                <w:rFonts w:hint="default" w:ascii="Times New Roman" w:hAnsi="Times New Roman" w:eastAsia="宋体" w:cs="Times New Roman"/>
                <w:b w:val="0"/>
                <w:bCs/>
                <w:color w:val="auto"/>
                <w:kern w:val="0"/>
                <w:sz w:val="24"/>
                <w:szCs w:val="24"/>
                <w:lang w:val="en-US" w:eastAsia="zh-CN" w:bidi="ar"/>
              </w:rPr>
            </w:pPr>
            <w:r>
              <w:rPr>
                <w:rFonts w:hint="eastAsia" w:eastAsia="宋体" w:cs="Times New Roman"/>
                <w:color w:val="auto"/>
                <w:sz w:val="24"/>
                <w:highlight w:val="none"/>
                <w:lang w:val="en-US" w:eastAsia="zh-CN"/>
              </w:rPr>
              <w:t>①</w:t>
            </w:r>
            <w:r>
              <w:rPr>
                <w:rFonts w:hint="eastAsia" w:ascii="Times New Roman" w:hAnsi="Times New Roman" w:eastAsia="宋体" w:cs="Times New Roman"/>
                <w:b w:val="0"/>
                <w:bCs/>
                <w:color w:val="auto"/>
                <w:kern w:val="0"/>
                <w:sz w:val="24"/>
                <w:szCs w:val="24"/>
                <w:lang w:val="en-US" w:eastAsia="zh-CN" w:bidi="ar"/>
              </w:rPr>
              <w:t>喷粉固化废气</w:t>
            </w:r>
            <w:r>
              <w:rPr>
                <w:rFonts w:hint="eastAsia" w:cs="Times New Roman"/>
                <w:b w:val="0"/>
                <w:bCs/>
                <w:color w:val="auto"/>
                <w:kern w:val="0"/>
                <w:sz w:val="24"/>
                <w:szCs w:val="24"/>
                <w:lang w:val="en-US" w:eastAsia="zh-CN" w:bidi="ar"/>
              </w:rPr>
              <w:t>（非甲烷总烃）</w:t>
            </w:r>
          </w:p>
          <w:p w14:paraId="0BB06C80">
            <w:pPr>
              <w:tabs>
                <w:tab w:val="left" w:pos="360"/>
              </w:tabs>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b w:val="0"/>
                <w:bCs/>
                <w:color w:val="auto"/>
                <w:kern w:val="0"/>
                <w:sz w:val="24"/>
                <w:szCs w:val="24"/>
                <w:lang w:val="en-US" w:eastAsia="zh-CN" w:bidi="ar"/>
              </w:rPr>
              <w:t>喷粉</w:t>
            </w:r>
            <w:r>
              <w:rPr>
                <w:rFonts w:hint="default" w:ascii="Times New Roman" w:hAnsi="Times New Roman" w:eastAsia="宋体" w:cs="Times New Roman"/>
                <w:color w:val="auto"/>
                <w:sz w:val="24"/>
                <w:highlight w:val="none"/>
                <w:lang w:val="en-US" w:eastAsia="zh-CN"/>
              </w:rPr>
              <w:t>固化均采用</w:t>
            </w:r>
            <w:r>
              <w:rPr>
                <w:rFonts w:hint="eastAsia" w:ascii="Times New Roman" w:hAnsi="Times New Roman" w:eastAsia="宋体" w:cs="Times New Roman"/>
                <w:color w:val="auto"/>
                <w:sz w:val="24"/>
                <w:highlight w:val="none"/>
                <w:lang w:val="en-US" w:eastAsia="zh-CN"/>
              </w:rPr>
              <w:t>固化烘道</w:t>
            </w:r>
            <w:r>
              <w:rPr>
                <w:rFonts w:hint="eastAsia" w:eastAsia="宋体" w:cs="Times New Roman"/>
                <w:color w:val="auto"/>
                <w:sz w:val="24"/>
                <w:highlight w:val="none"/>
                <w:lang w:val="en-US" w:eastAsia="zh-CN"/>
              </w:rPr>
              <w:t>，会产生有机废气，以非甲烷总烃计。根据</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排放源统计调查产排污核算方法和系数手册</w:t>
            </w:r>
            <w:r>
              <w:rPr>
                <w:rFonts w:hint="default" w:ascii="Times New Roman" w:hAnsi="Times New Roman" w:eastAsia="宋体" w:cs="Times New Roman"/>
                <w:b w:val="0"/>
                <w:bCs w:val="0"/>
                <w:color w:val="auto"/>
                <w:sz w:val="24"/>
                <w:lang w:val="en-US" w:eastAsia="zh-CN"/>
              </w:rPr>
              <w:t xml:space="preserve">-33-37，431-434 </w:t>
            </w:r>
            <w:r>
              <w:rPr>
                <w:rFonts w:hint="default" w:ascii="Times New Roman" w:hAnsi="Times New Roman" w:eastAsia="宋体" w:cs="Times New Roman"/>
                <w:b w:val="0"/>
                <w:bCs w:val="0"/>
                <w:color w:val="auto"/>
                <w:sz w:val="24"/>
              </w:rPr>
              <w:t>机械行业系数手册》</w:t>
            </w:r>
            <w:r>
              <w:rPr>
                <w:rFonts w:hint="default" w:ascii="Times New Roman" w:hAnsi="Times New Roman" w:eastAsia="宋体" w:cs="Times New Roman"/>
                <w:b w:val="0"/>
                <w:bCs w:val="0"/>
                <w:color w:val="auto"/>
                <w:sz w:val="24"/>
                <w:lang w:val="en-US" w:eastAsia="zh-CN"/>
              </w:rPr>
              <w:t>中</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涂装</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涂装件</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粉末涂料-喷塑后烘干</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中</w:t>
            </w:r>
            <w:r>
              <w:rPr>
                <w:rFonts w:hint="default" w:ascii="Times New Roman" w:hAnsi="Times New Roman" w:eastAsia="宋体" w:cs="Times New Roman"/>
                <w:b w:val="0"/>
                <w:bCs w:val="0"/>
                <w:color w:val="auto"/>
                <w:sz w:val="24"/>
                <w:highlight w:val="none"/>
                <w:lang w:val="en-US" w:eastAsia="zh-CN"/>
              </w:rPr>
              <w:t>挥发性有机物</w:t>
            </w:r>
            <w:r>
              <w:rPr>
                <w:rFonts w:hint="default" w:ascii="Times New Roman" w:hAnsi="Times New Roman" w:eastAsia="宋体" w:cs="Times New Roman"/>
                <w:b w:val="0"/>
                <w:bCs w:val="0"/>
                <w:color w:val="auto"/>
                <w:sz w:val="24"/>
                <w:lang w:val="en-US" w:eastAsia="zh-CN"/>
              </w:rPr>
              <w:t>产污</w:t>
            </w:r>
            <w:r>
              <w:rPr>
                <w:rFonts w:hint="default" w:ascii="Times New Roman" w:hAnsi="Times New Roman" w:eastAsia="宋体" w:cs="Times New Roman"/>
                <w:b w:val="0"/>
                <w:bCs w:val="0"/>
                <w:color w:val="auto"/>
                <w:sz w:val="24"/>
              </w:rPr>
              <w:t>系数为</w:t>
            </w:r>
            <w:r>
              <w:rPr>
                <w:rFonts w:hint="default" w:ascii="Times New Roman" w:hAnsi="Times New Roman" w:eastAsia="宋体" w:cs="Times New Roman"/>
                <w:b w:val="0"/>
                <w:bCs w:val="0"/>
                <w:color w:val="auto"/>
                <w:sz w:val="24"/>
                <w:lang w:val="en-US" w:eastAsia="zh-CN"/>
              </w:rPr>
              <w:t>1.2</w:t>
            </w:r>
            <w:r>
              <w:rPr>
                <w:rFonts w:hint="default" w:ascii="Times New Roman" w:hAnsi="Times New Roman" w:eastAsia="宋体" w:cs="Times New Roman"/>
                <w:b w:val="0"/>
                <w:bCs w:val="0"/>
                <w:color w:val="auto"/>
                <w:sz w:val="24"/>
              </w:rPr>
              <w:t>千克/吨-原料。</w:t>
            </w:r>
          </w:p>
          <w:p w14:paraId="481CB430">
            <w:pPr>
              <w:spacing w:line="360" w:lineRule="auto"/>
              <w:ind w:firstLine="480" w:firstLineChars="200"/>
              <w:rPr>
                <w:rFonts w:hint="eastAsia" w:cs="Times New Roman"/>
                <w:color w:val="auto"/>
                <w:sz w:val="24"/>
                <w:lang w:val="en-US" w:eastAsia="zh-CN"/>
              </w:rPr>
            </w:pPr>
            <w:r>
              <w:rPr>
                <w:rFonts w:hint="default" w:ascii="Times New Roman" w:hAnsi="Times New Roman" w:eastAsia="宋体" w:cs="Times New Roman"/>
                <w:b w:val="0"/>
                <w:bCs w:val="0"/>
                <w:color w:val="auto"/>
                <w:kern w:val="2"/>
                <w:sz w:val="24"/>
                <w:szCs w:val="24"/>
                <w:lang w:val="en-US" w:eastAsia="zh-CN" w:bidi="ar-SA"/>
              </w:rPr>
              <w:t>项目年使用</w:t>
            </w:r>
            <w:r>
              <w:rPr>
                <w:rFonts w:hint="eastAsia" w:eastAsia="宋体" w:cs="Times New Roman"/>
                <w:b w:val="0"/>
                <w:bCs w:val="0"/>
                <w:color w:val="auto"/>
                <w:kern w:val="2"/>
                <w:sz w:val="24"/>
                <w:szCs w:val="24"/>
                <w:lang w:val="en-US" w:eastAsia="zh-CN" w:bidi="ar-SA"/>
              </w:rPr>
              <w:t>粉末20</w:t>
            </w:r>
            <w:r>
              <w:rPr>
                <w:rFonts w:hint="default" w:ascii="Times New Roman" w:hAnsi="Times New Roman" w:eastAsia="宋体" w:cs="Times New Roman"/>
                <w:b w:val="0"/>
                <w:bCs w:val="0"/>
                <w:color w:val="auto"/>
                <w:kern w:val="2"/>
                <w:sz w:val="24"/>
                <w:szCs w:val="24"/>
                <w:lang w:val="en-US" w:eastAsia="zh-CN" w:bidi="ar-SA"/>
              </w:rPr>
              <w:t>t，故</w:t>
            </w:r>
            <w:r>
              <w:rPr>
                <w:rFonts w:hint="eastAsia" w:cs="Times New Roman"/>
                <w:color w:val="auto"/>
                <w:sz w:val="24"/>
                <w:lang w:val="en-US" w:eastAsia="zh-CN"/>
              </w:rPr>
              <w:t>非甲烷总烃</w:t>
            </w:r>
            <w:r>
              <w:rPr>
                <w:rFonts w:hint="eastAsia" w:eastAsia="宋体" w:cs="Times New Roman"/>
                <w:b w:val="0"/>
                <w:bCs w:val="0"/>
                <w:color w:val="auto"/>
                <w:kern w:val="2"/>
                <w:sz w:val="24"/>
                <w:szCs w:val="24"/>
                <w:lang w:val="en-US" w:eastAsia="zh-CN" w:bidi="ar-SA"/>
              </w:rPr>
              <w:t>产生量为0.024</w:t>
            </w:r>
            <w:r>
              <w:rPr>
                <w:rFonts w:hint="default"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color w:val="auto"/>
                <w:kern w:val="0"/>
                <w:sz w:val="24"/>
                <w:szCs w:val="24"/>
                <w:lang w:val="en-US" w:eastAsia="zh-CN" w:bidi="ar"/>
              </w:rPr>
              <w:t>产生速率</w:t>
            </w:r>
            <w:r>
              <w:rPr>
                <w:rFonts w:hint="eastAsia" w:eastAsia="宋体" w:cs="Times New Roman"/>
                <w:b w:val="0"/>
                <w:bCs w:val="0"/>
                <w:color w:val="auto"/>
                <w:kern w:val="2"/>
                <w:sz w:val="24"/>
                <w:szCs w:val="24"/>
                <w:lang w:val="en-US" w:eastAsia="zh-CN" w:bidi="ar-SA"/>
              </w:rPr>
              <w:t>0.0</w:t>
            </w:r>
            <w:r>
              <w:rPr>
                <w:rFonts w:hint="eastAsia" w:cs="Times New Roman"/>
                <w:b w:val="0"/>
                <w:bCs w:val="0"/>
                <w:color w:val="auto"/>
                <w:kern w:val="2"/>
                <w:sz w:val="24"/>
                <w:szCs w:val="24"/>
                <w:lang w:val="en-US" w:eastAsia="zh-CN" w:bidi="ar-SA"/>
              </w:rPr>
              <w:t>2</w:t>
            </w:r>
            <w:r>
              <w:rPr>
                <w:rFonts w:hint="default" w:ascii="Times New Roman" w:hAnsi="Times New Roman" w:eastAsia="宋体" w:cs="Times New Roman"/>
                <w:b w:val="0"/>
                <w:bCs w:val="0"/>
                <w:color w:val="auto"/>
                <w:kern w:val="2"/>
                <w:sz w:val="24"/>
                <w:szCs w:val="24"/>
                <w:lang w:val="en-US" w:eastAsia="zh-CN" w:bidi="ar-SA"/>
              </w:rPr>
              <w:t>kg/</w:t>
            </w:r>
            <w:r>
              <w:rPr>
                <w:rFonts w:hint="eastAsia" w:ascii="Times New Roman" w:hAnsi="Times New Roman" w:eastAsia="宋体" w:cs="Times New Roman"/>
                <w:b w:val="0"/>
                <w:bCs w:val="0"/>
                <w:color w:val="auto"/>
                <w:kern w:val="2"/>
                <w:sz w:val="24"/>
                <w:szCs w:val="24"/>
                <w:lang w:val="en-US" w:eastAsia="zh-CN" w:bidi="ar-SA"/>
              </w:rPr>
              <w:t>h</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color w:val="auto"/>
                <w:sz w:val="24"/>
                <w:highlight w:val="none"/>
                <w:lang w:val="en-US" w:eastAsia="zh-CN"/>
              </w:rPr>
              <w:t>废气直接进入固化烘道，烘道出入口设置集气罩+软帘收集，收集后的废气由管道进入二级活性炭吸附装置，</w:t>
            </w:r>
            <w:r>
              <w:rPr>
                <w:rFonts w:hint="default" w:ascii="Times New Roman" w:hAnsi="Times New Roman" w:eastAsia="宋体" w:cs="Times New Roman"/>
                <w:color w:val="auto"/>
                <w:sz w:val="24"/>
                <w:highlight w:val="none"/>
                <w:lang w:val="en-US" w:eastAsia="zh-CN"/>
              </w:rPr>
              <w:t>处理后的废气经15m排气筒</w:t>
            </w:r>
            <w:r>
              <w:rPr>
                <w:rFonts w:hint="eastAsia" w:cs="Times New Roman"/>
                <w:color w:val="auto"/>
                <w:sz w:val="24"/>
                <w:highlight w:val="none"/>
                <w:lang w:val="en-US" w:eastAsia="zh-CN"/>
              </w:rPr>
              <w:t>（DA003）</w:t>
            </w:r>
            <w:r>
              <w:rPr>
                <w:rFonts w:hint="default" w:ascii="Times New Roman" w:hAnsi="Times New Roman" w:eastAsia="宋体" w:cs="Times New Roman"/>
                <w:color w:val="auto"/>
                <w:sz w:val="24"/>
                <w:highlight w:val="none"/>
                <w:lang w:val="en-US" w:eastAsia="zh-CN"/>
              </w:rPr>
              <w:t>有组织达标排放</w:t>
            </w:r>
            <w:r>
              <w:rPr>
                <w:rFonts w:hint="eastAsia" w:cs="Times New Roman"/>
                <w:color w:val="auto"/>
                <w:sz w:val="24"/>
                <w:highlight w:val="none"/>
                <w:lang w:val="en-US" w:eastAsia="zh-CN"/>
              </w:rPr>
              <w:t>。考虑软帘有缝隙，因此不能完全收集，约有5%废气未被收集，以无组织方式排放，</w:t>
            </w:r>
            <w:r>
              <w:rPr>
                <w:rFonts w:hint="eastAsia"/>
                <w:color w:val="auto"/>
                <w:kern w:val="0"/>
                <w:sz w:val="24"/>
              </w:rPr>
              <w:t>二级活性炭</w:t>
            </w:r>
            <w:r>
              <w:rPr>
                <w:rFonts w:hint="eastAsia" w:ascii="Times New Roman" w:hAnsi="Times New Roman" w:eastAsia="宋体" w:cs="宋体"/>
                <w:bCs/>
                <w:color w:val="auto"/>
                <w:kern w:val="2"/>
                <w:sz w:val="24"/>
                <w:szCs w:val="22"/>
                <w:lang w:val="en-US" w:eastAsia="zh-CN" w:bidi="ar-SA"/>
              </w:rPr>
              <w:t>去除效率以</w:t>
            </w:r>
            <w:r>
              <w:rPr>
                <w:rFonts w:hint="eastAsia" w:cs="宋体"/>
                <w:bCs/>
                <w:color w:val="auto"/>
                <w:kern w:val="2"/>
                <w:sz w:val="24"/>
                <w:szCs w:val="22"/>
                <w:lang w:val="en-US" w:eastAsia="zh-CN" w:bidi="ar-SA"/>
              </w:rPr>
              <w:t>80</w:t>
            </w:r>
            <w:r>
              <w:rPr>
                <w:rFonts w:hint="eastAsia" w:ascii="Times New Roman" w:hAnsi="Times New Roman" w:eastAsia="宋体" w:cs="宋体"/>
                <w:bCs/>
                <w:color w:val="auto"/>
                <w:kern w:val="2"/>
                <w:sz w:val="24"/>
                <w:szCs w:val="22"/>
                <w:lang w:val="en-US" w:eastAsia="zh-CN" w:bidi="ar-SA"/>
              </w:rPr>
              <w:t>%计</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宋体"/>
                <w:bCs/>
                <w:color w:val="auto"/>
                <w:kern w:val="2"/>
                <w:sz w:val="24"/>
                <w:szCs w:val="22"/>
                <w:lang w:val="en-US" w:eastAsia="zh-CN" w:bidi="ar-SA"/>
              </w:rPr>
              <w:t>因此，</w:t>
            </w:r>
            <w:r>
              <w:rPr>
                <w:rFonts w:hint="eastAsia" w:ascii="Times New Roman" w:hAnsi="Times New Roman" w:eastAsia="宋体" w:cs="Times New Roman"/>
                <w:b w:val="0"/>
                <w:bCs/>
                <w:color w:val="auto"/>
                <w:kern w:val="0"/>
                <w:sz w:val="24"/>
                <w:szCs w:val="24"/>
                <w:lang w:val="en-US" w:eastAsia="zh-CN" w:bidi="ar"/>
              </w:rPr>
              <w:t>喷粉</w:t>
            </w:r>
            <w:r>
              <w:rPr>
                <w:rFonts w:hint="eastAsia" w:ascii="Times New Roman" w:hAnsi="Times New Roman" w:eastAsia="宋体" w:cs="Times New Roman"/>
                <w:color w:val="auto"/>
                <w:kern w:val="0"/>
                <w:sz w:val="24"/>
                <w:szCs w:val="24"/>
                <w:lang w:val="en-US" w:eastAsia="zh-CN" w:bidi="ar"/>
              </w:rPr>
              <w:t>固化</w:t>
            </w:r>
            <w:r>
              <w:rPr>
                <w:rFonts w:hint="eastAsia" w:cs="Times New Roman"/>
                <w:color w:val="auto"/>
                <w:sz w:val="24"/>
                <w:lang w:val="en-US" w:eastAsia="zh-CN"/>
              </w:rPr>
              <w:t>非甲烷总烃</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0.00</w:t>
            </w:r>
            <w:r>
              <w:rPr>
                <w:rFonts w:hint="eastAsia" w:cs="Times New Roman"/>
                <w:b w:val="0"/>
                <w:bCs/>
                <w:color w:val="auto"/>
                <w:kern w:val="0"/>
                <w:sz w:val="24"/>
                <w:szCs w:val="24"/>
                <w:lang w:val="en-US" w:eastAsia="zh-CN" w:bidi="ar"/>
              </w:rPr>
              <w:t>456</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0.00</w:t>
            </w:r>
            <w:r>
              <w:rPr>
                <w:rFonts w:hint="eastAsia" w:cs="Times New Roman"/>
                <w:b w:val="0"/>
                <w:bCs/>
                <w:color w:val="auto"/>
                <w:kern w:val="0"/>
                <w:sz w:val="24"/>
                <w:szCs w:val="24"/>
                <w:lang w:val="en-US" w:eastAsia="zh-CN" w:bidi="ar"/>
              </w:rPr>
              <w:t>38</w:t>
            </w:r>
            <w:r>
              <w:rPr>
                <w:rFonts w:hint="default" w:ascii="Times New Roman" w:hAnsi="Times New Roman" w:eastAsia="宋体" w:cs="Times New Roman"/>
                <w:b w:val="0"/>
                <w:bCs/>
                <w:color w:val="auto"/>
                <w:kern w:val="0"/>
                <w:sz w:val="24"/>
                <w:szCs w:val="24"/>
                <w:lang w:val="en-US" w:eastAsia="zh-CN" w:bidi="ar"/>
              </w:rPr>
              <w:t>kg/h，排放浓度</w:t>
            </w:r>
            <w:r>
              <w:rPr>
                <w:rFonts w:hint="eastAsia" w:ascii="Times New Roman" w:hAnsi="Times New Roman" w:eastAsia="宋体" w:cs="Times New Roman"/>
                <w:b w:val="0"/>
                <w:bCs/>
                <w:color w:val="auto"/>
                <w:kern w:val="0"/>
                <w:sz w:val="24"/>
                <w:szCs w:val="24"/>
                <w:lang w:val="en-US" w:eastAsia="zh-CN" w:bidi="ar"/>
              </w:rPr>
              <w:t>0.</w:t>
            </w:r>
            <w:r>
              <w:rPr>
                <w:rFonts w:hint="eastAsia" w:cs="Times New Roman"/>
                <w:b w:val="0"/>
                <w:bCs/>
                <w:color w:val="auto"/>
                <w:kern w:val="0"/>
                <w:sz w:val="24"/>
                <w:szCs w:val="24"/>
                <w:lang w:val="en-US" w:eastAsia="zh-CN" w:bidi="ar"/>
              </w:rPr>
              <w:t>38</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ascii="Times New Roman" w:hAnsi="Times New Roman" w:eastAsia="宋体" w:cs="Times New Roman"/>
                <w:color w:val="auto"/>
                <w:kern w:val="0"/>
                <w:sz w:val="24"/>
                <w:szCs w:val="24"/>
                <w:lang w:val="en-US" w:eastAsia="zh-CN" w:bidi="ar"/>
              </w:rPr>
              <w:t>固化</w:t>
            </w:r>
            <w:r>
              <w:rPr>
                <w:rFonts w:hint="eastAsia" w:cs="Times New Roman"/>
                <w:color w:val="auto"/>
                <w:sz w:val="24"/>
                <w:lang w:val="en-US" w:eastAsia="zh-CN"/>
              </w:rPr>
              <w:t>非甲烷总烃</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0.0012</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0.00</w:t>
            </w:r>
            <w:r>
              <w:rPr>
                <w:rFonts w:hint="eastAsia" w:cs="Times New Roman"/>
                <w:b w:val="0"/>
                <w:bCs/>
                <w:color w:val="auto"/>
                <w:kern w:val="0"/>
                <w:sz w:val="24"/>
                <w:szCs w:val="24"/>
                <w:lang w:val="en-US" w:eastAsia="zh-CN" w:bidi="ar"/>
              </w:rPr>
              <w:t>1</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color w:val="auto"/>
                <w:sz w:val="24"/>
                <w:lang w:val="en-US" w:eastAsia="zh-CN"/>
              </w:rPr>
              <w:t>。</w:t>
            </w:r>
          </w:p>
          <w:p w14:paraId="2256FF5F">
            <w:pPr>
              <w:spacing w:line="360" w:lineRule="auto"/>
              <w:ind w:firstLine="480" w:firstLineChars="200"/>
              <w:rPr>
                <w:rFonts w:hint="default" w:ascii="Times New Roman" w:hAnsi="Times New Roman" w:eastAsia="宋体" w:cs="Times New Roman"/>
                <w:b w:val="0"/>
                <w:bCs/>
                <w:color w:val="auto"/>
                <w:kern w:val="0"/>
                <w:sz w:val="24"/>
                <w:szCs w:val="24"/>
                <w:lang w:val="en-US" w:eastAsia="zh-CN" w:bidi="ar"/>
              </w:rPr>
            </w:pPr>
            <w:r>
              <w:rPr>
                <w:rFonts w:hint="eastAsia" w:eastAsia="宋体" w:cs="Times New Roman"/>
                <w:color w:val="auto"/>
                <w:sz w:val="24"/>
                <w:highlight w:val="none"/>
                <w:lang w:val="en-US" w:eastAsia="zh-CN"/>
              </w:rPr>
              <w:t>②</w:t>
            </w:r>
            <w:r>
              <w:rPr>
                <w:rFonts w:hint="eastAsia" w:ascii="Times New Roman" w:hAnsi="Times New Roman" w:eastAsia="宋体" w:cs="Times New Roman"/>
                <w:b w:val="0"/>
                <w:bCs/>
                <w:color w:val="auto"/>
                <w:kern w:val="0"/>
                <w:sz w:val="24"/>
                <w:szCs w:val="24"/>
                <w:lang w:val="en-US" w:eastAsia="zh-CN" w:bidi="ar"/>
              </w:rPr>
              <w:t>电泳固化废气</w:t>
            </w:r>
            <w:r>
              <w:rPr>
                <w:rFonts w:hint="eastAsia" w:cs="Times New Roman"/>
                <w:b w:val="0"/>
                <w:bCs/>
                <w:color w:val="auto"/>
                <w:kern w:val="0"/>
                <w:sz w:val="24"/>
                <w:szCs w:val="24"/>
                <w:lang w:val="en-US" w:eastAsia="zh-CN" w:bidi="ar"/>
              </w:rPr>
              <w:t>（非甲烷总烃）</w:t>
            </w:r>
          </w:p>
          <w:p w14:paraId="23C5E771">
            <w:pPr>
              <w:tabs>
                <w:tab w:val="left" w:pos="360"/>
              </w:tabs>
              <w:spacing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b w:val="0"/>
                <w:bCs/>
                <w:color w:val="auto"/>
                <w:kern w:val="0"/>
                <w:sz w:val="24"/>
                <w:szCs w:val="24"/>
                <w:lang w:val="en-US" w:eastAsia="zh-CN" w:bidi="ar"/>
              </w:rPr>
              <w:t>电泳</w:t>
            </w:r>
            <w:r>
              <w:rPr>
                <w:rFonts w:hint="default" w:ascii="Times New Roman" w:hAnsi="Times New Roman" w:eastAsia="宋体" w:cs="Times New Roman"/>
                <w:color w:val="auto"/>
                <w:sz w:val="24"/>
                <w:highlight w:val="none"/>
                <w:lang w:val="en-US" w:eastAsia="zh-CN"/>
              </w:rPr>
              <w:t>固化均采用</w:t>
            </w:r>
            <w:r>
              <w:rPr>
                <w:rFonts w:hint="eastAsia" w:ascii="Times New Roman" w:hAnsi="Times New Roman" w:eastAsia="宋体" w:cs="Times New Roman"/>
                <w:color w:val="auto"/>
                <w:sz w:val="24"/>
                <w:highlight w:val="none"/>
                <w:lang w:val="en-US" w:eastAsia="zh-CN"/>
              </w:rPr>
              <w:t>固化烘道</w:t>
            </w:r>
            <w:r>
              <w:rPr>
                <w:rFonts w:hint="eastAsia" w:eastAsia="宋体" w:cs="Times New Roman"/>
                <w:color w:val="auto"/>
                <w:sz w:val="24"/>
                <w:highlight w:val="none"/>
                <w:lang w:val="en-US" w:eastAsia="zh-CN"/>
              </w:rPr>
              <w:t>，会产生有机废气，以非甲烷总烃计。根据</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排放源统计调查产排污核算方法和系数手册</w:t>
            </w:r>
            <w:r>
              <w:rPr>
                <w:rFonts w:hint="default" w:ascii="Times New Roman" w:hAnsi="Times New Roman" w:eastAsia="宋体" w:cs="Times New Roman"/>
                <w:b w:val="0"/>
                <w:bCs w:val="0"/>
                <w:color w:val="auto"/>
                <w:sz w:val="24"/>
                <w:lang w:val="en-US" w:eastAsia="zh-CN"/>
              </w:rPr>
              <w:t>-33-37，431-434</w:t>
            </w:r>
            <w:r>
              <w:rPr>
                <w:rFonts w:hint="default" w:ascii="Times New Roman" w:hAnsi="Times New Roman" w:eastAsia="宋体" w:cs="Times New Roman"/>
                <w:b w:val="0"/>
                <w:bCs w:val="0"/>
                <w:color w:val="auto"/>
                <w:sz w:val="24"/>
              </w:rPr>
              <w:t>机械行业系数手册》</w:t>
            </w:r>
            <w:r>
              <w:rPr>
                <w:rFonts w:hint="default" w:ascii="Times New Roman" w:hAnsi="Times New Roman" w:eastAsia="宋体" w:cs="Times New Roman"/>
                <w:b w:val="0"/>
                <w:bCs w:val="0"/>
                <w:color w:val="auto"/>
                <w:sz w:val="24"/>
                <w:lang w:val="en-US" w:eastAsia="zh-CN"/>
              </w:rPr>
              <w:t>中</w:t>
            </w:r>
            <w:r>
              <w:rPr>
                <w:rFonts w:hint="eastAsia" w:ascii="Times New Roman" w:hAnsi="Times New Roman" w:eastAsia="宋体" w:cs="Times New Roman"/>
                <w:b w:val="0"/>
                <w:bCs w:val="0"/>
                <w:color w:val="auto"/>
                <w:sz w:val="24"/>
                <w:highlight w:val="none"/>
                <w:lang w:val="en-US" w:eastAsia="zh-CN"/>
              </w:rPr>
              <w:t>表14“电泳漆烘干”</w:t>
            </w:r>
            <w:r>
              <w:rPr>
                <w:rFonts w:hint="default" w:ascii="Times New Roman" w:hAnsi="Times New Roman" w:eastAsia="宋体" w:cs="Times New Roman"/>
                <w:b w:val="0"/>
                <w:bCs w:val="0"/>
                <w:color w:val="auto"/>
                <w:sz w:val="24"/>
                <w:highlight w:val="none"/>
              </w:rPr>
              <w:t>中</w:t>
            </w:r>
            <w:r>
              <w:rPr>
                <w:rFonts w:hint="default" w:ascii="Times New Roman" w:hAnsi="Times New Roman" w:eastAsia="宋体" w:cs="Times New Roman"/>
                <w:b w:val="0"/>
                <w:bCs w:val="0"/>
                <w:color w:val="auto"/>
                <w:sz w:val="24"/>
                <w:highlight w:val="none"/>
                <w:lang w:val="en-US" w:eastAsia="zh-CN"/>
              </w:rPr>
              <w:t>挥发性有机物</w:t>
            </w:r>
            <w:r>
              <w:rPr>
                <w:rFonts w:hint="default" w:ascii="Times New Roman" w:hAnsi="Times New Roman" w:eastAsia="宋体" w:cs="Times New Roman"/>
                <w:b w:val="0"/>
                <w:bCs w:val="0"/>
                <w:color w:val="auto"/>
                <w:sz w:val="24"/>
                <w:lang w:val="en-US" w:eastAsia="zh-CN"/>
              </w:rPr>
              <w:t>产污</w:t>
            </w:r>
            <w:r>
              <w:rPr>
                <w:rFonts w:hint="default" w:ascii="Times New Roman" w:hAnsi="Times New Roman" w:eastAsia="宋体" w:cs="Times New Roman"/>
                <w:b w:val="0"/>
                <w:bCs w:val="0"/>
                <w:color w:val="auto"/>
                <w:sz w:val="24"/>
              </w:rPr>
              <w:t>系数为</w:t>
            </w:r>
            <w:r>
              <w:rPr>
                <w:rFonts w:hint="eastAsia" w:ascii="Times New Roman" w:hAnsi="Times New Roman" w:eastAsia="宋体" w:cs="Times New Roman"/>
                <w:b w:val="0"/>
                <w:bCs w:val="0"/>
                <w:color w:val="auto"/>
                <w:sz w:val="24"/>
                <w:lang w:val="en-US" w:eastAsia="zh-CN"/>
              </w:rPr>
              <w:t>42.5</w:t>
            </w:r>
            <w:r>
              <w:rPr>
                <w:rFonts w:hint="default" w:ascii="Times New Roman" w:hAnsi="Times New Roman" w:eastAsia="宋体" w:cs="Times New Roman"/>
                <w:b w:val="0"/>
                <w:bCs w:val="0"/>
                <w:color w:val="auto"/>
                <w:sz w:val="24"/>
              </w:rPr>
              <w:t>千克/吨-原料。</w:t>
            </w:r>
          </w:p>
          <w:p w14:paraId="6A91B3D5">
            <w:pPr>
              <w:spacing w:line="360" w:lineRule="auto"/>
              <w:ind w:firstLine="480" w:firstLineChars="200"/>
              <w:rPr>
                <w:rFonts w:hint="eastAsia" w:cs="Times New Roman"/>
                <w:color w:val="auto"/>
                <w:sz w:val="24"/>
                <w:lang w:val="en-US" w:eastAsia="zh-CN"/>
              </w:rPr>
            </w:pPr>
            <w:r>
              <w:rPr>
                <w:rFonts w:hint="default" w:ascii="Times New Roman" w:hAnsi="Times New Roman" w:eastAsia="宋体" w:cs="Times New Roman"/>
                <w:b w:val="0"/>
                <w:bCs w:val="0"/>
                <w:color w:val="auto"/>
                <w:sz w:val="24"/>
                <w:highlight w:val="none"/>
                <w:lang w:val="en-US" w:eastAsia="zh-CN"/>
              </w:rPr>
              <w:t>本项目</w:t>
            </w:r>
            <w:r>
              <w:rPr>
                <w:rFonts w:hint="eastAsia" w:ascii="Times New Roman" w:hAnsi="Times New Roman" w:eastAsia="宋体" w:cs="Times New Roman"/>
                <w:b w:val="0"/>
                <w:bCs w:val="0"/>
                <w:color w:val="auto"/>
                <w:sz w:val="24"/>
                <w:highlight w:val="none"/>
                <w:lang w:val="en-US" w:eastAsia="zh-CN"/>
              </w:rPr>
              <w:t>使用水性电泳漆用量约</w:t>
            </w:r>
            <w:r>
              <w:rPr>
                <w:rFonts w:hint="eastAsia" w:cs="Times New Roman"/>
                <w:b w:val="0"/>
                <w:bCs w:val="0"/>
                <w:color w:val="auto"/>
                <w:sz w:val="24"/>
                <w:highlight w:val="none"/>
                <w:lang w:val="en-US" w:eastAsia="zh-CN"/>
              </w:rPr>
              <w:t>8</w:t>
            </w:r>
            <w:r>
              <w:rPr>
                <w:rFonts w:hint="default" w:ascii="Times New Roman" w:hAnsi="Times New Roman" w:eastAsia="宋体" w:cs="Times New Roman"/>
                <w:b w:val="0"/>
                <w:bCs w:val="0"/>
                <w:color w:val="auto"/>
                <w:sz w:val="24"/>
                <w:highlight w:val="none"/>
                <w:lang w:val="en-US" w:eastAsia="zh-CN"/>
              </w:rPr>
              <w:t>t/a</w:t>
            </w:r>
            <w:r>
              <w:rPr>
                <w:rFonts w:hint="eastAsia" w:ascii="Times New Roman" w:hAnsi="Times New Roman" w:eastAsia="宋体" w:cs="Times New Roman"/>
                <w:b w:val="0"/>
                <w:bCs w:val="0"/>
                <w:color w:val="auto"/>
                <w:sz w:val="24"/>
                <w:highlight w:val="none"/>
                <w:lang w:val="en-US" w:eastAsia="zh-CN"/>
              </w:rPr>
              <w:t>，有机废气</w:t>
            </w:r>
            <w:r>
              <w:rPr>
                <w:rFonts w:hint="eastAsia" w:eastAsia="宋体" w:cs="Times New Roman"/>
                <w:b w:val="0"/>
                <w:bCs w:val="0"/>
                <w:color w:val="auto"/>
                <w:kern w:val="2"/>
                <w:sz w:val="24"/>
                <w:szCs w:val="24"/>
                <w:lang w:val="en-US" w:eastAsia="zh-CN" w:bidi="ar-SA"/>
              </w:rPr>
              <w:t>产生量为0.</w:t>
            </w:r>
            <w:r>
              <w:rPr>
                <w:rFonts w:hint="eastAsia" w:cs="Times New Roman"/>
                <w:b w:val="0"/>
                <w:bCs w:val="0"/>
                <w:color w:val="auto"/>
                <w:kern w:val="2"/>
                <w:sz w:val="24"/>
                <w:szCs w:val="24"/>
                <w:lang w:val="en-US" w:eastAsia="zh-CN" w:bidi="ar-SA"/>
              </w:rPr>
              <w:t>34</w:t>
            </w:r>
            <w:r>
              <w:rPr>
                <w:rFonts w:hint="default"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color w:val="auto"/>
                <w:kern w:val="0"/>
                <w:sz w:val="24"/>
                <w:szCs w:val="24"/>
                <w:lang w:val="en-US" w:eastAsia="zh-CN" w:bidi="ar"/>
              </w:rPr>
              <w:t>产生速率</w:t>
            </w:r>
            <w:r>
              <w:rPr>
                <w:rFonts w:hint="eastAsia" w:eastAsia="宋体" w:cs="Times New Roman"/>
                <w:b w:val="0"/>
                <w:bCs w:val="0"/>
                <w:color w:val="auto"/>
                <w:kern w:val="2"/>
                <w:sz w:val="24"/>
                <w:szCs w:val="24"/>
                <w:lang w:val="en-US" w:eastAsia="zh-CN" w:bidi="ar-SA"/>
              </w:rPr>
              <w:t>0.</w:t>
            </w:r>
            <w:r>
              <w:rPr>
                <w:rFonts w:hint="eastAsia" w:cs="Times New Roman"/>
                <w:b w:val="0"/>
                <w:bCs w:val="0"/>
                <w:color w:val="auto"/>
                <w:kern w:val="2"/>
                <w:sz w:val="24"/>
                <w:szCs w:val="24"/>
                <w:lang w:val="en-US" w:eastAsia="zh-CN" w:bidi="ar-SA"/>
              </w:rPr>
              <w:t>2833</w:t>
            </w:r>
            <w:r>
              <w:rPr>
                <w:rFonts w:hint="default" w:ascii="Times New Roman" w:hAnsi="Times New Roman" w:eastAsia="宋体" w:cs="Times New Roman"/>
                <w:b w:val="0"/>
                <w:bCs w:val="0"/>
                <w:color w:val="auto"/>
                <w:kern w:val="2"/>
                <w:sz w:val="24"/>
                <w:szCs w:val="24"/>
                <w:lang w:val="en-US" w:eastAsia="zh-CN" w:bidi="ar-SA"/>
              </w:rPr>
              <w:t>kg/</w:t>
            </w:r>
            <w:r>
              <w:rPr>
                <w:rFonts w:hint="eastAsia" w:ascii="Times New Roman" w:hAnsi="Times New Roman" w:eastAsia="宋体" w:cs="Times New Roman"/>
                <w:b w:val="0"/>
                <w:bCs w:val="0"/>
                <w:color w:val="auto"/>
                <w:kern w:val="2"/>
                <w:sz w:val="24"/>
                <w:szCs w:val="24"/>
                <w:lang w:val="en-US" w:eastAsia="zh-CN" w:bidi="ar-SA"/>
              </w:rPr>
              <w:t>h</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color w:val="auto"/>
                <w:sz w:val="24"/>
                <w:highlight w:val="none"/>
                <w:lang w:val="en-US" w:eastAsia="zh-CN"/>
              </w:rPr>
              <w:t>废气直接进入固化烘道，烘道出入口设置集气罩+软帘收集，收集后的废气由管道进入二级活性炭吸附装置，</w:t>
            </w:r>
            <w:r>
              <w:rPr>
                <w:rFonts w:hint="default" w:ascii="Times New Roman" w:hAnsi="Times New Roman" w:eastAsia="宋体" w:cs="Times New Roman"/>
                <w:color w:val="auto"/>
                <w:sz w:val="24"/>
                <w:highlight w:val="none"/>
                <w:lang w:val="en-US" w:eastAsia="zh-CN"/>
              </w:rPr>
              <w:t>处理后的废气经15m排气筒</w:t>
            </w:r>
            <w:r>
              <w:rPr>
                <w:rFonts w:hint="eastAsia" w:cs="Times New Roman"/>
                <w:color w:val="auto"/>
                <w:sz w:val="24"/>
                <w:highlight w:val="none"/>
                <w:lang w:val="en-US" w:eastAsia="zh-CN"/>
              </w:rPr>
              <w:t>（DA003）</w:t>
            </w:r>
            <w:r>
              <w:rPr>
                <w:rFonts w:hint="default" w:ascii="Times New Roman" w:hAnsi="Times New Roman" w:eastAsia="宋体" w:cs="Times New Roman"/>
                <w:color w:val="auto"/>
                <w:sz w:val="24"/>
                <w:highlight w:val="none"/>
                <w:lang w:val="en-US" w:eastAsia="zh-CN"/>
              </w:rPr>
              <w:t>有组织达标排放</w:t>
            </w:r>
            <w:r>
              <w:rPr>
                <w:rFonts w:hint="eastAsia" w:cs="Times New Roman"/>
                <w:color w:val="auto"/>
                <w:sz w:val="24"/>
                <w:highlight w:val="none"/>
                <w:lang w:val="en-US" w:eastAsia="zh-CN"/>
              </w:rPr>
              <w:t>。考虑软帘有缝隙，因此不能完全收集，约有5%废气未被收集，以无组织方式排放，</w:t>
            </w:r>
            <w:r>
              <w:rPr>
                <w:rFonts w:hint="eastAsia"/>
                <w:color w:val="auto"/>
                <w:kern w:val="0"/>
                <w:sz w:val="24"/>
              </w:rPr>
              <w:t>二级活性炭</w:t>
            </w:r>
            <w:r>
              <w:rPr>
                <w:rFonts w:hint="eastAsia" w:ascii="Times New Roman" w:hAnsi="Times New Roman" w:eastAsia="宋体" w:cs="宋体"/>
                <w:bCs/>
                <w:color w:val="auto"/>
                <w:kern w:val="2"/>
                <w:sz w:val="24"/>
                <w:szCs w:val="22"/>
                <w:lang w:val="en-US" w:eastAsia="zh-CN" w:bidi="ar-SA"/>
              </w:rPr>
              <w:t>去除效率以</w:t>
            </w:r>
            <w:r>
              <w:rPr>
                <w:rFonts w:hint="eastAsia" w:cs="宋体"/>
                <w:bCs/>
                <w:color w:val="auto"/>
                <w:kern w:val="2"/>
                <w:sz w:val="24"/>
                <w:szCs w:val="22"/>
                <w:lang w:val="en-US" w:eastAsia="zh-CN" w:bidi="ar-SA"/>
              </w:rPr>
              <w:t>80</w:t>
            </w:r>
            <w:r>
              <w:rPr>
                <w:rFonts w:hint="eastAsia" w:ascii="Times New Roman" w:hAnsi="Times New Roman" w:eastAsia="宋体" w:cs="宋体"/>
                <w:bCs/>
                <w:color w:val="auto"/>
                <w:kern w:val="2"/>
                <w:sz w:val="24"/>
                <w:szCs w:val="22"/>
                <w:lang w:val="en-US" w:eastAsia="zh-CN" w:bidi="ar-SA"/>
              </w:rPr>
              <w:t>%计</w:t>
            </w:r>
            <w:r>
              <w:rPr>
                <w:rFonts w:hint="eastAsia" w:ascii="Times New Roman" w:hAnsi="Times New Roman" w:cs="宋体"/>
                <w:bCs/>
                <w:color w:val="auto"/>
                <w:kern w:val="2"/>
                <w:sz w:val="24"/>
                <w:szCs w:val="22"/>
                <w:lang w:val="en-US" w:eastAsia="zh-CN" w:bidi="ar-SA"/>
              </w:rPr>
              <w:t>。</w:t>
            </w:r>
            <w:r>
              <w:rPr>
                <w:rFonts w:hint="eastAsia" w:ascii="Times New Roman" w:hAnsi="Times New Roman" w:eastAsia="宋体" w:cs="宋体"/>
                <w:bCs/>
                <w:color w:val="auto"/>
                <w:kern w:val="2"/>
                <w:sz w:val="24"/>
                <w:szCs w:val="22"/>
                <w:lang w:val="en-US" w:eastAsia="zh-CN" w:bidi="ar-SA"/>
              </w:rPr>
              <w:t>因此，</w:t>
            </w:r>
            <w:r>
              <w:rPr>
                <w:rFonts w:hint="eastAsia" w:ascii="Times New Roman" w:hAnsi="Times New Roman" w:eastAsia="宋体" w:cs="Times New Roman"/>
                <w:b w:val="0"/>
                <w:bCs w:val="0"/>
                <w:color w:val="auto"/>
                <w:sz w:val="24"/>
                <w:highlight w:val="none"/>
                <w:lang w:val="en-US" w:eastAsia="zh-CN"/>
              </w:rPr>
              <w:t>电泳</w:t>
            </w:r>
            <w:r>
              <w:rPr>
                <w:rFonts w:hint="eastAsia" w:ascii="Times New Roman" w:hAnsi="Times New Roman" w:eastAsia="宋体" w:cs="Times New Roman"/>
                <w:color w:val="auto"/>
                <w:kern w:val="0"/>
                <w:sz w:val="24"/>
                <w:szCs w:val="24"/>
                <w:lang w:val="en-US" w:eastAsia="zh-CN" w:bidi="ar"/>
              </w:rPr>
              <w:t>固化</w:t>
            </w:r>
            <w:r>
              <w:rPr>
                <w:rFonts w:hint="eastAsia" w:cs="Times New Roman"/>
                <w:color w:val="auto"/>
                <w:sz w:val="24"/>
                <w:lang w:val="en-US" w:eastAsia="zh-CN"/>
              </w:rPr>
              <w:t>非甲烷总烃</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w:t>
            </w:r>
            <w:r>
              <w:rPr>
                <w:rFonts w:hint="eastAsia" w:cs="Times New Roman"/>
                <w:b w:val="0"/>
                <w:bCs/>
                <w:color w:val="auto"/>
                <w:kern w:val="0"/>
                <w:sz w:val="24"/>
                <w:szCs w:val="24"/>
                <w:lang w:val="en-US" w:eastAsia="zh-CN" w:bidi="ar"/>
              </w:rPr>
              <w:t>0646</w:t>
            </w:r>
            <w:r>
              <w:rPr>
                <w:rFonts w:hint="eastAsia" w:ascii="Times New Roman" w:hAnsi="Times New Roman" w:eastAsia="宋体" w:cs="Times New Roman"/>
                <w:b w:val="0"/>
                <w:bCs/>
                <w:color w:val="auto"/>
                <w:kern w:val="0"/>
                <w:sz w:val="24"/>
                <w:szCs w:val="24"/>
                <w:lang w:val="en-US" w:eastAsia="zh-CN" w:bidi="ar"/>
              </w:rPr>
              <w:t>t</w:t>
            </w:r>
            <w:r>
              <w:rPr>
                <w:rFonts w:hint="default" w:ascii="Times New Roman" w:hAnsi="Times New Roman" w:eastAsia="宋体" w:cs="Times New Roman"/>
                <w:b w:val="0"/>
                <w:bCs/>
                <w:color w:val="auto"/>
                <w:kern w:val="0"/>
                <w:sz w:val="24"/>
                <w:szCs w:val="24"/>
                <w:lang w:val="en-US" w:eastAsia="zh-CN" w:bidi="ar"/>
              </w:rPr>
              <w:t>/a，排放速率为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5383</w:t>
            </w:r>
            <w:r>
              <w:rPr>
                <w:rFonts w:hint="default" w:ascii="Times New Roman" w:hAnsi="Times New Roman" w:eastAsia="宋体" w:cs="Times New Roman"/>
                <w:b w:val="0"/>
                <w:bCs/>
                <w:color w:val="auto"/>
                <w:kern w:val="0"/>
                <w:sz w:val="24"/>
                <w:szCs w:val="24"/>
                <w:lang w:val="en-US" w:eastAsia="zh-CN" w:bidi="ar"/>
              </w:rPr>
              <w:t>kg/h，排放浓度</w:t>
            </w:r>
            <w:r>
              <w:rPr>
                <w:rFonts w:hint="eastAsia" w:cs="Times New Roman"/>
                <w:b w:val="0"/>
                <w:bCs/>
                <w:color w:val="auto"/>
                <w:kern w:val="0"/>
                <w:sz w:val="24"/>
                <w:szCs w:val="24"/>
                <w:lang w:val="en-US" w:eastAsia="zh-CN" w:bidi="ar"/>
              </w:rPr>
              <w:t>5.3833</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ascii="Times New Roman" w:hAnsi="Times New Roman" w:eastAsia="宋体" w:cs="Times New Roman"/>
                <w:b w:val="0"/>
                <w:bCs w:val="0"/>
                <w:color w:val="auto"/>
                <w:sz w:val="24"/>
                <w:highlight w:val="none"/>
                <w:lang w:val="en-US" w:eastAsia="zh-CN"/>
              </w:rPr>
              <w:t>电泳</w:t>
            </w:r>
            <w:r>
              <w:rPr>
                <w:rFonts w:hint="eastAsia" w:ascii="Times New Roman" w:hAnsi="Times New Roman" w:eastAsia="宋体" w:cs="Times New Roman"/>
                <w:color w:val="auto"/>
                <w:kern w:val="0"/>
                <w:sz w:val="24"/>
                <w:szCs w:val="24"/>
                <w:lang w:val="en-US" w:eastAsia="zh-CN" w:bidi="ar"/>
              </w:rPr>
              <w:t>固化</w:t>
            </w:r>
            <w:r>
              <w:rPr>
                <w:rFonts w:hint="eastAsia" w:cs="Times New Roman"/>
                <w:color w:val="auto"/>
                <w:sz w:val="24"/>
                <w:lang w:val="en-US" w:eastAsia="zh-CN"/>
              </w:rPr>
              <w:t>非甲烷总烃</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17</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0.01</w:t>
            </w:r>
            <w:r>
              <w:rPr>
                <w:rFonts w:hint="eastAsia" w:cs="Times New Roman"/>
                <w:b w:val="0"/>
                <w:bCs/>
                <w:color w:val="auto"/>
                <w:kern w:val="0"/>
                <w:sz w:val="24"/>
                <w:szCs w:val="24"/>
                <w:lang w:val="en-US" w:eastAsia="zh-CN" w:bidi="ar"/>
              </w:rPr>
              <w:t>417</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color w:val="auto"/>
                <w:sz w:val="24"/>
                <w:lang w:val="en-US" w:eastAsia="zh-CN"/>
              </w:rPr>
              <w:t>。</w:t>
            </w:r>
          </w:p>
          <w:p w14:paraId="5E75FBBA">
            <w:pPr>
              <w:keepNext w:val="0"/>
              <w:keepLines w:val="0"/>
              <w:pageBreakBefore w:val="0"/>
              <w:widowControl w:val="0"/>
              <w:kinsoku/>
              <w:wordWrap/>
              <w:overflowPunct/>
              <w:topLinePunct/>
              <w:autoSpaceDE/>
              <w:autoSpaceDN/>
              <w:bidi w:val="0"/>
              <w:adjustRightInd w:val="0"/>
              <w:snapToGrid/>
              <w:spacing w:line="360" w:lineRule="auto"/>
              <w:ind w:left="0" w:leftChars="0" w:firstLine="480" w:firstLineChars="200"/>
              <w:jc w:val="left"/>
              <w:rPr>
                <w:rFonts w:hint="default" w:ascii="Times New Roman" w:hAnsi="Times New Roman" w:eastAsia="宋体" w:cs="Times New Roman"/>
                <w:color w:val="auto"/>
                <w:kern w:val="0"/>
                <w:sz w:val="24"/>
                <w:highlight w:val="none"/>
                <w:lang w:val="en-US" w:eastAsia="zh-CN"/>
              </w:rPr>
            </w:pPr>
            <w:r>
              <w:rPr>
                <w:rFonts w:hint="eastAsia" w:cs="Times New Roman"/>
                <w:color w:val="auto"/>
                <w:sz w:val="24"/>
                <w:lang w:val="en-US" w:eastAsia="zh-CN"/>
              </w:rPr>
              <w:t>（7）</w:t>
            </w:r>
            <w:r>
              <w:rPr>
                <w:rFonts w:hint="default" w:ascii="Times New Roman" w:hAnsi="Times New Roman" w:eastAsia="宋体" w:cs="Times New Roman"/>
                <w:color w:val="auto"/>
                <w:kern w:val="0"/>
                <w:sz w:val="24"/>
                <w:highlight w:val="none"/>
                <w:lang w:val="en-US" w:eastAsia="zh-CN"/>
              </w:rPr>
              <w:t>热风炉废气</w:t>
            </w:r>
            <w:r>
              <w:rPr>
                <w:rFonts w:hint="eastAsia" w:cs="Times New Roman"/>
                <w:color w:val="auto"/>
                <w:kern w:val="0"/>
                <w:sz w:val="24"/>
                <w:highlight w:val="none"/>
                <w:lang w:val="en-US" w:eastAsia="zh-CN"/>
              </w:rPr>
              <w:t>（</w:t>
            </w:r>
            <w:r>
              <w:rPr>
                <w:rFonts w:hint="eastAsia" w:eastAsia="宋体" w:cs="Times New Roman"/>
                <w:b w:val="0"/>
                <w:bCs w:val="0"/>
                <w:color w:val="auto"/>
                <w:sz w:val="24"/>
                <w:highlight w:val="none"/>
                <w:lang w:val="en-US" w:eastAsia="zh-CN"/>
              </w:rPr>
              <w:t>颗粒物</w:t>
            </w:r>
            <w:r>
              <w:rPr>
                <w:rFonts w:hint="eastAsia" w:ascii="Times New Roman" w:hAnsi="Times New Roman" w:eastAsia="宋体" w:cs="Times New Roman"/>
                <w:b w:val="0"/>
                <w:bCs w:val="0"/>
                <w:color w:val="auto"/>
                <w:sz w:val="24"/>
                <w:lang w:eastAsia="zh-CN"/>
              </w:rPr>
              <w:t>、</w:t>
            </w:r>
            <w:r>
              <w:rPr>
                <w:rFonts w:hint="eastAsia" w:eastAsia="宋体" w:cs="Times New Roman"/>
                <w:b w:val="0"/>
                <w:bCs w:val="0"/>
                <w:color w:val="auto"/>
                <w:sz w:val="24"/>
                <w:highlight w:val="none"/>
                <w:lang w:val="en-US" w:eastAsia="zh-CN"/>
              </w:rPr>
              <w:t>二氧化硫</w:t>
            </w:r>
            <w:r>
              <w:rPr>
                <w:rFonts w:hint="eastAsia" w:ascii="Times New Roman" w:hAnsi="Times New Roman" w:eastAsia="宋体" w:cs="Times New Roman"/>
                <w:b w:val="0"/>
                <w:bCs w:val="0"/>
                <w:color w:val="auto"/>
                <w:sz w:val="24"/>
                <w:lang w:eastAsia="zh-CN"/>
              </w:rPr>
              <w:t>、</w:t>
            </w:r>
            <w:r>
              <w:rPr>
                <w:rFonts w:hint="eastAsia" w:eastAsia="宋体" w:cs="Times New Roman"/>
                <w:b w:val="0"/>
                <w:bCs w:val="0"/>
                <w:color w:val="auto"/>
                <w:sz w:val="24"/>
                <w:highlight w:val="none"/>
                <w:lang w:val="en-US" w:eastAsia="zh-CN"/>
              </w:rPr>
              <w:t>氮氧化物</w:t>
            </w:r>
            <w:r>
              <w:rPr>
                <w:rFonts w:hint="eastAsia" w:cs="Times New Roman"/>
                <w:color w:val="auto"/>
                <w:kern w:val="0"/>
                <w:sz w:val="24"/>
                <w:highlight w:val="none"/>
                <w:lang w:val="en-US" w:eastAsia="zh-CN"/>
              </w:rPr>
              <w:t>）</w:t>
            </w:r>
          </w:p>
          <w:p w14:paraId="3AF68938">
            <w:pPr>
              <w:pStyle w:val="17"/>
              <w:keepNext w:val="0"/>
              <w:keepLines w:val="0"/>
              <w:pageBreakBefore w:val="0"/>
              <w:widowControl w:val="0"/>
              <w:kinsoku/>
              <w:wordWrap/>
              <w:overflowPunct/>
              <w:topLinePunct/>
              <w:autoSpaceDE/>
              <w:autoSpaceDN/>
              <w:bidi w:val="0"/>
              <w:spacing w:before="0" w:beforeAutospacing="0" w:after="0" w:afterAutospacing="0"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u w:val="none"/>
                <w:lang w:val="en-US" w:eastAsia="zh-CN"/>
              </w:rPr>
              <w:t>本项目</w:t>
            </w:r>
            <w:r>
              <w:rPr>
                <w:rFonts w:hint="eastAsia" w:ascii="Times New Roman" w:hAnsi="Times New Roman" w:eastAsia="宋体" w:cs="Times New Roman"/>
                <w:b w:val="0"/>
                <w:bCs w:val="0"/>
                <w:color w:val="auto"/>
                <w:sz w:val="24"/>
                <w:szCs w:val="24"/>
                <w:highlight w:val="none"/>
                <w:u w:val="none"/>
                <w:lang w:val="en-US" w:eastAsia="zh-CN"/>
              </w:rPr>
              <w:t>固化烘道</w:t>
            </w:r>
            <w:r>
              <w:rPr>
                <w:rFonts w:hint="default" w:ascii="Times New Roman" w:hAnsi="Times New Roman" w:eastAsia="宋体" w:cs="Times New Roman"/>
                <w:b w:val="0"/>
                <w:bCs w:val="0"/>
                <w:color w:val="auto"/>
                <w:sz w:val="24"/>
                <w:szCs w:val="24"/>
                <w:highlight w:val="none"/>
                <w:u w:val="none"/>
                <w:lang w:val="en-US" w:eastAsia="zh-CN"/>
              </w:rPr>
              <w:t>配置一台</w:t>
            </w:r>
            <w:r>
              <w:rPr>
                <w:rFonts w:hint="eastAsia" w:cs="Times New Roman"/>
                <w:b w:val="0"/>
                <w:bCs w:val="0"/>
                <w:color w:val="auto"/>
                <w:sz w:val="24"/>
                <w:szCs w:val="24"/>
                <w:highlight w:val="none"/>
                <w:u w:val="none"/>
                <w:lang w:val="en-US" w:eastAsia="zh-CN"/>
              </w:rPr>
              <w:t>44万大卡（510kw）</w:t>
            </w:r>
            <w:r>
              <w:rPr>
                <w:rFonts w:hint="eastAsia" w:eastAsia="宋体" w:cs="Times New Roman"/>
                <w:b w:val="0"/>
                <w:bCs w:val="0"/>
                <w:color w:val="auto"/>
                <w:sz w:val="24"/>
                <w:szCs w:val="24"/>
                <w:highlight w:val="none"/>
                <w:u w:val="none"/>
                <w:lang w:val="en-US" w:eastAsia="zh-CN"/>
              </w:rPr>
              <w:t>液化石油气</w:t>
            </w:r>
            <w:r>
              <w:rPr>
                <w:rFonts w:hint="default" w:ascii="Times New Roman" w:hAnsi="Times New Roman" w:eastAsia="宋体" w:cs="Times New Roman"/>
                <w:b w:val="0"/>
                <w:bCs w:val="0"/>
                <w:color w:val="auto"/>
                <w:sz w:val="24"/>
                <w:szCs w:val="24"/>
                <w:highlight w:val="none"/>
                <w:u w:val="none"/>
                <w:lang w:val="en-US" w:eastAsia="zh-CN"/>
              </w:rPr>
              <w:t>热风炉加热，固化</w:t>
            </w:r>
            <w:r>
              <w:rPr>
                <w:rFonts w:hint="eastAsia" w:eastAsia="宋体" w:cs="Times New Roman"/>
                <w:b w:val="0"/>
                <w:bCs w:val="0"/>
                <w:color w:val="auto"/>
                <w:sz w:val="24"/>
                <w:szCs w:val="24"/>
                <w:highlight w:val="none"/>
                <w:u w:val="none"/>
                <w:lang w:val="en-US" w:eastAsia="zh-CN"/>
              </w:rPr>
              <w:t>、烘干</w:t>
            </w:r>
            <w:r>
              <w:rPr>
                <w:rFonts w:hint="default" w:ascii="Times New Roman" w:hAnsi="Times New Roman" w:eastAsia="宋体" w:cs="Times New Roman"/>
                <w:b w:val="0"/>
                <w:bCs w:val="0"/>
                <w:color w:val="auto"/>
                <w:sz w:val="24"/>
                <w:szCs w:val="24"/>
                <w:highlight w:val="none"/>
                <w:u w:val="none"/>
                <w:lang w:val="en-US" w:eastAsia="zh-CN"/>
              </w:rPr>
              <w:t>均在</w:t>
            </w:r>
            <w:r>
              <w:rPr>
                <w:rFonts w:hint="eastAsia" w:ascii="Times New Roman" w:hAnsi="Times New Roman" w:eastAsia="宋体" w:cs="Times New Roman"/>
                <w:b w:val="0"/>
                <w:bCs w:val="0"/>
                <w:color w:val="auto"/>
                <w:sz w:val="24"/>
                <w:szCs w:val="24"/>
                <w:highlight w:val="none"/>
                <w:u w:val="none"/>
                <w:lang w:val="en-US" w:eastAsia="zh-CN"/>
              </w:rPr>
              <w:t>烘道</w:t>
            </w:r>
            <w:r>
              <w:rPr>
                <w:rFonts w:hint="default" w:ascii="Times New Roman" w:hAnsi="Times New Roman" w:eastAsia="宋体" w:cs="Times New Roman"/>
                <w:b w:val="0"/>
                <w:bCs w:val="0"/>
                <w:color w:val="auto"/>
                <w:sz w:val="24"/>
                <w:szCs w:val="24"/>
                <w:highlight w:val="none"/>
                <w:u w:val="none"/>
                <w:lang w:val="en-US" w:eastAsia="zh-CN"/>
              </w:rPr>
              <w:t>内加热，</w:t>
            </w:r>
            <w:r>
              <w:rPr>
                <w:rFonts w:hint="eastAsia" w:ascii="Times New Roman" w:hAnsi="Times New Roman" w:eastAsia="宋体" w:cs="Times New Roman"/>
                <w:b w:val="0"/>
                <w:bCs w:val="0"/>
                <w:color w:val="auto"/>
                <w:sz w:val="24"/>
                <w:szCs w:val="24"/>
                <w:highlight w:val="none"/>
                <w:u w:val="none"/>
                <w:lang w:val="en-US" w:eastAsia="zh-CN"/>
              </w:rPr>
              <w:t>烘道</w:t>
            </w:r>
            <w:r>
              <w:rPr>
                <w:rFonts w:hint="default" w:ascii="Times New Roman" w:hAnsi="Times New Roman" w:eastAsia="宋体" w:cs="Times New Roman"/>
                <w:b w:val="0"/>
                <w:bCs w:val="0"/>
                <w:color w:val="auto"/>
                <w:sz w:val="24"/>
                <w:szCs w:val="24"/>
                <w:highlight w:val="none"/>
                <w:u w:val="none"/>
                <w:lang w:val="en-US" w:eastAsia="zh-CN"/>
              </w:rPr>
              <w:t>运行时配套的热风炉同时运行，热风炉年运行天数为300d，每天运行8h。</w:t>
            </w:r>
            <w:r>
              <w:rPr>
                <w:rFonts w:hint="default" w:ascii="Times New Roman" w:hAnsi="Times New Roman" w:eastAsia="宋体" w:cs="Times New Roman"/>
                <w:color w:val="auto"/>
                <w:sz w:val="24"/>
                <w:highlight w:val="none"/>
                <w:lang w:val="en-US" w:eastAsia="zh-CN"/>
              </w:rPr>
              <w:t>热风炉每</w:t>
            </w:r>
            <w:r>
              <w:rPr>
                <w:rFonts w:hint="default" w:ascii="Times New Roman" w:hAnsi="Times New Roman" w:eastAsia="宋体" w:cs="Times New Roman"/>
                <w:color w:val="auto"/>
                <w:sz w:val="24"/>
                <w:highlight w:val="none"/>
              </w:rPr>
              <w:t>小时耗气量</w:t>
            </w:r>
            <w:r>
              <w:rPr>
                <w:rFonts w:hint="default" w:ascii="Times New Roman" w:hAnsi="Times New Roman" w:eastAsia="宋体" w:cs="Times New Roman"/>
                <w:color w:val="auto"/>
                <w:sz w:val="24"/>
                <w:highlight w:val="none"/>
                <w:lang w:val="en-US" w:eastAsia="zh-CN"/>
              </w:rPr>
              <w:t>通过下式计算：</w:t>
            </w:r>
          </w:p>
          <w:p w14:paraId="6E9780F8">
            <w:pPr>
              <w:keepNext w:val="0"/>
              <w:keepLines w:val="0"/>
              <w:pageBreakBefore w:val="0"/>
              <w:widowControl w:val="0"/>
              <w:kinsoku/>
              <w:wordWrap/>
              <w:overflowPunct/>
              <w:topLinePunct/>
              <w:autoSpaceDE/>
              <w:autoSpaceDN/>
              <w:bidi w:val="0"/>
              <w:adjustRightInd w:val="0"/>
              <w:snapToGrid/>
              <w:spacing w:beforeAutospacing="0" w:line="360" w:lineRule="auto"/>
              <w:ind w:left="0" w:leftChars="0" w:firstLine="0" w:firstLineChars="0"/>
              <w:jc w:val="center"/>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Q=3600×P÷V÷η</w:t>
            </w:r>
          </w:p>
          <w:p w14:paraId="43870199">
            <w:pPr>
              <w:keepNext w:val="0"/>
              <w:keepLines w:val="0"/>
              <w:pageBreakBefore w:val="0"/>
              <w:widowControl w:val="0"/>
              <w:kinsoku/>
              <w:wordWrap/>
              <w:overflowPunct/>
              <w:topLinePunct/>
              <w:autoSpaceDE/>
              <w:autoSpaceDN/>
              <w:bidi w:val="0"/>
              <w:adjustRightInd w:val="0"/>
              <w:snapToGrid/>
              <w:spacing w:beforeAutospacing="0"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其中：Q—每小时燃烧</w:t>
            </w:r>
            <w:r>
              <w:rPr>
                <w:rFonts w:hint="eastAsia" w:eastAsia="宋体" w:cs="Times New Roman"/>
                <w:b w:val="0"/>
                <w:bCs w:val="0"/>
                <w:color w:val="auto"/>
                <w:sz w:val="24"/>
                <w:szCs w:val="24"/>
                <w:highlight w:val="none"/>
                <w:u w:val="none"/>
                <w:lang w:val="en-US" w:eastAsia="zh-CN"/>
              </w:rPr>
              <w:t>液化石油气</w:t>
            </w:r>
            <w:r>
              <w:rPr>
                <w:rFonts w:hint="default" w:ascii="Times New Roman" w:hAnsi="Times New Roman" w:eastAsia="宋体" w:cs="Times New Roman"/>
                <w:color w:val="auto"/>
                <w:sz w:val="24"/>
                <w:highlight w:val="none"/>
                <w:lang w:eastAsia="zh-CN"/>
              </w:rPr>
              <w:t>的数量，单位为立方米；</w:t>
            </w:r>
          </w:p>
          <w:p w14:paraId="058BB22A">
            <w:pPr>
              <w:keepNext w:val="0"/>
              <w:keepLines w:val="0"/>
              <w:pageBreakBefore w:val="0"/>
              <w:widowControl w:val="0"/>
              <w:shd w:val="clear"/>
              <w:kinsoku/>
              <w:wordWrap/>
              <w:overflowPunct/>
              <w:topLinePunct/>
              <w:autoSpaceDE/>
              <w:autoSpaceDN/>
              <w:bidi w:val="0"/>
              <w:adjustRightInd w:val="0"/>
              <w:snapToGrid/>
              <w:spacing w:beforeAutospacing="0" w:line="360" w:lineRule="auto"/>
              <w:ind w:left="0" w:leftChars="0"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P—热风炉的热容量，单位为</w:t>
            </w:r>
            <w:r>
              <w:rPr>
                <w:rFonts w:hint="eastAsia" w:ascii="Times New Roman" w:hAnsi="Times New Roman" w:eastAsia="宋体" w:cs="Times New Roman"/>
                <w:color w:val="auto"/>
                <w:sz w:val="24"/>
                <w:highlight w:val="none"/>
                <w:lang w:val="en-US" w:eastAsia="zh-CN"/>
              </w:rPr>
              <w:t>兆瓦</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根据建设单位提供数据热风炉</w:t>
            </w:r>
            <w:r>
              <w:rPr>
                <w:rFonts w:hint="eastAsia" w:ascii="Times New Roman" w:hAnsi="Times New Roman" w:eastAsia="宋体" w:cs="Times New Roman"/>
                <w:color w:val="auto"/>
                <w:sz w:val="24"/>
                <w:highlight w:val="none"/>
                <w:lang w:val="en-US" w:eastAsia="zh-CN"/>
              </w:rPr>
              <w:t>加热功率为</w:t>
            </w:r>
            <w:r>
              <w:rPr>
                <w:rFonts w:hint="eastAsia" w:cs="Times New Roman"/>
                <w:b w:val="0"/>
                <w:bCs w:val="0"/>
                <w:color w:val="auto"/>
                <w:sz w:val="24"/>
                <w:szCs w:val="24"/>
                <w:highlight w:val="none"/>
                <w:u w:val="none"/>
                <w:lang w:val="en-US" w:eastAsia="zh-CN"/>
              </w:rPr>
              <w:t>510</w:t>
            </w:r>
            <w:r>
              <w:rPr>
                <w:rFonts w:hint="eastAsia" w:ascii="Times New Roman" w:hAnsi="Times New Roman" w:eastAsia="宋体" w:cs="Times New Roman"/>
                <w:b w:val="0"/>
                <w:bCs w:val="0"/>
                <w:color w:val="auto"/>
                <w:sz w:val="24"/>
                <w:szCs w:val="24"/>
                <w:highlight w:val="none"/>
                <w:u w:val="none"/>
                <w:lang w:val="en-US" w:eastAsia="zh-CN"/>
              </w:rPr>
              <w:t>kW，0.</w:t>
            </w:r>
            <w:r>
              <w:rPr>
                <w:rFonts w:hint="eastAsia" w:cs="Times New Roman"/>
                <w:b w:val="0"/>
                <w:bCs w:val="0"/>
                <w:color w:val="auto"/>
                <w:sz w:val="24"/>
                <w:szCs w:val="24"/>
                <w:highlight w:val="none"/>
                <w:u w:val="none"/>
                <w:lang w:val="en-US" w:eastAsia="zh-CN"/>
              </w:rPr>
              <w:t>51</w:t>
            </w:r>
            <w:r>
              <w:rPr>
                <w:rFonts w:hint="eastAsia" w:ascii="Times New Roman" w:hAnsi="Times New Roman" w:eastAsia="宋体" w:cs="Times New Roman"/>
                <w:b w:val="0"/>
                <w:bCs w:val="0"/>
                <w:color w:val="auto"/>
                <w:sz w:val="24"/>
                <w:szCs w:val="24"/>
                <w:highlight w:val="none"/>
                <w:u w:val="none"/>
                <w:lang w:val="en-US" w:eastAsia="zh-CN"/>
              </w:rPr>
              <w:t>MW；</w:t>
            </w:r>
          </w:p>
          <w:p w14:paraId="5F40569D">
            <w:pPr>
              <w:keepNext w:val="0"/>
              <w:keepLines w:val="0"/>
              <w:pageBreakBefore w:val="0"/>
              <w:widowControl w:val="0"/>
              <w:kinsoku/>
              <w:wordWrap/>
              <w:overflowPunct/>
              <w:topLinePunct/>
              <w:autoSpaceDE/>
              <w:autoSpaceDN/>
              <w:bidi w:val="0"/>
              <w:adjustRightInd w:val="0"/>
              <w:snapToGrid/>
              <w:spacing w:beforeAutospacing="0" w:line="360" w:lineRule="auto"/>
              <w:ind w:left="0" w:leftChars="0"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V—燃气的热值，单位为MJ/m³；</w:t>
            </w:r>
            <w:r>
              <w:rPr>
                <w:rFonts w:hint="default" w:ascii="Times New Roman" w:hAnsi="Times New Roman" w:eastAsia="宋体" w:cs="Times New Roman"/>
                <w:color w:val="auto"/>
                <w:sz w:val="24"/>
                <w:highlight w:val="none"/>
                <w:lang w:val="en-US" w:eastAsia="zh-CN"/>
              </w:rPr>
              <w:t>项目使用的热值为</w:t>
            </w:r>
            <w:r>
              <w:rPr>
                <w:rFonts w:hint="eastAsia" w:eastAsia="宋体" w:cs="Times New Roman"/>
                <w:color w:val="auto"/>
                <w:sz w:val="24"/>
                <w:highlight w:val="none"/>
                <w:lang w:val="en-US" w:eastAsia="zh-CN"/>
              </w:rPr>
              <w:t>45.22</w:t>
            </w:r>
            <w:r>
              <w:rPr>
                <w:rFonts w:hint="default" w:ascii="Times New Roman" w:hAnsi="Times New Roman" w:eastAsia="宋体" w:cs="Times New Roman"/>
                <w:color w:val="auto"/>
                <w:kern w:val="0"/>
                <w:sz w:val="24"/>
                <w:highlight w:val="none"/>
                <w:lang w:val="en-US" w:eastAsia="zh-CN"/>
              </w:rPr>
              <w:t>MJ/Nm</w:t>
            </w:r>
            <w:r>
              <w:rPr>
                <w:rFonts w:hint="default" w:ascii="Times New Roman" w:hAnsi="Times New Roman" w:eastAsia="宋体" w:cs="Times New Roman"/>
                <w:color w:val="auto"/>
                <w:kern w:val="0"/>
                <w:sz w:val="24"/>
                <w:highlight w:val="none"/>
                <w:vertAlign w:val="superscript"/>
                <w:lang w:val="en-US" w:eastAsia="zh-CN"/>
              </w:rPr>
              <w:t>3</w:t>
            </w:r>
            <w:r>
              <w:rPr>
                <w:rFonts w:hint="eastAsia" w:ascii="Times New Roman" w:hAnsi="Times New Roman" w:eastAsia="宋体" w:cs="Times New Roman"/>
                <w:b w:val="0"/>
                <w:bCs w:val="0"/>
                <w:color w:val="auto"/>
                <w:sz w:val="24"/>
                <w:szCs w:val="24"/>
                <w:highlight w:val="none"/>
                <w:u w:val="none"/>
                <w:lang w:val="en-US" w:eastAsia="zh-CN"/>
              </w:rPr>
              <w:t>；</w:t>
            </w:r>
          </w:p>
          <w:p w14:paraId="7BDC8FE2">
            <w:pPr>
              <w:keepNext w:val="0"/>
              <w:keepLines w:val="0"/>
              <w:pageBreakBefore w:val="0"/>
              <w:widowControl w:val="0"/>
              <w:kinsoku/>
              <w:wordWrap/>
              <w:overflowPunct/>
              <w:topLinePunct/>
              <w:autoSpaceDE/>
              <w:autoSpaceDN/>
              <w:bidi w:val="0"/>
              <w:adjustRightInd w:val="0"/>
              <w:snapToGrid/>
              <w:spacing w:beforeAutospacing="0" w:line="360" w:lineRule="auto"/>
              <w:ind w:left="0" w:leftChars="0"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η—燃烧效率。</w:t>
            </w:r>
            <w:r>
              <w:rPr>
                <w:rFonts w:hint="default" w:ascii="Times New Roman" w:hAnsi="Times New Roman" w:eastAsia="宋体" w:cs="Times New Roman"/>
                <w:color w:val="auto"/>
                <w:sz w:val="24"/>
                <w:highlight w:val="none"/>
                <w:lang w:val="en-US" w:eastAsia="zh-CN"/>
              </w:rPr>
              <w:t>热风炉燃烧效率为</w:t>
            </w:r>
            <w:r>
              <w:rPr>
                <w:rFonts w:hint="eastAsia" w:ascii="Times New Roman" w:hAnsi="Times New Roman" w:eastAsia="宋体" w:cs="Times New Roman"/>
                <w:color w:val="auto"/>
                <w:sz w:val="24"/>
                <w:highlight w:val="none"/>
                <w:lang w:val="en-US" w:eastAsia="zh-CN"/>
              </w:rPr>
              <w:t>80</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b w:val="0"/>
                <w:bCs w:val="0"/>
                <w:color w:val="auto"/>
                <w:sz w:val="24"/>
                <w:szCs w:val="24"/>
                <w:highlight w:val="none"/>
                <w:u w:val="none"/>
                <w:lang w:val="en-US" w:eastAsia="zh-CN"/>
              </w:rPr>
              <w:t>。</w:t>
            </w:r>
          </w:p>
          <w:p w14:paraId="36BB81ED">
            <w:pPr>
              <w:keepNext w:val="0"/>
              <w:keepLines w:val="0"/>
              <w:pageBreakBefore w:val="0"/>
              <w:widowControl w:val="0"/>
              <w:kinsoku/>
              <w:wordWrap/>
              <w:overflowPunct/>
              <w:topLinePunct/>
              <w:autoSpaceDE/>
              <w:autoSpaceDN/>
              <w:bidi w:val="0"/>
              <w:adjustRightInd w:val="0"/>
              <w:snapToGrid/>
              <w:spacing w:beforeAutospacing="0"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经计算，</w:t>
            </w:r>
            <w:r>
              <w:rPr>
                <w:rFonts w:hint="default" w:ascii="Times New Roman" w:hAnsi="Times New Roman" w:eastAsia="宋体" w:cs="Times New Roman"/>
                <w:color w:val="auto"/>
                <w:sz w:val="24"/>
                <w:highlight w:val="none"/>
                <w:lang w:val="en-US" w:eastAsia="zh-CN"/>
              </w:rPr>
              <w:t>热风炉</w:t>
            </w:r>
            <w:r>
              <w:rPr>
                <w:rFonts w:hint="default" w:ascii="Times New Roman" w:hAnsi="Times New Roman" w:eastAsia="宋体" w:cs="Times New Roman"/>
                <w:color w:val="auto"/>
                <w:sz w:val="24"/>
                <w:highlight w:val="none"/>
              </w:rPr>
              <w:t>小时耗气量</w:t>
            </w:r>
            <w:r>
              <w:rPr>
                <w:rFonts w:hint="default" w:ascii="Times New Roman" w:hAnsi="Times New Roman" w:eastAsia="宋体" w:cs="Times New Roman"/>
                <w:color w:val="auto"/>
                <w:sz w:val="24"/>
                <w:highlight w:val="none"/>
                <w:lang w:val="en-US" w:eastAsia="zh-CN"/>
              </w:rPr>
              <w:t>为3600</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b w:val="0"/>
                <w:bCs w:val="0"/>
                <w:color w:val="auto"/>
                <w:sz w:val="24"/>
                <w:szCs w:val="24"/>
                <w:highlight w:val="none"/>
                <w:u w:val="none"/>
                <w:lang w:val="en-US" w:eastAsia="zh-CN"/>
              </w:rPr>
              <w:t>0.</w:t>
            </w:r>
            <w:r>
              <w:rPr>
                <w:rFonts w:hint="eastAsia" w:cs="Times New Roman"/>
                <w:b w:val="0"/>
                <w:bCs w:val="0"/>
                <w:color w:val="auto"/>
                <w:sz w:val="24"/>
                <w:szCs w:val="24"/>
                <w:highlight w:val="none"/>
                <w:u w:val="none"/>
                <w:lang w:val="en-US" w:eastAsia="zh-CN"/>
              </w:rPr>
              <w:t>51</w:t>
            </w:r>
            <w:r>
              <w:rPr>
                <w:rFonts w:hint="default" w:ascii="Times New Roman" w:hAnsi="Times New Roman" w:eastAsia="宋体" w:cs="Times New Roman"/>
                <w:b w:val="0"/>
                <w:bCs w:val="0"/>
                <w:color w:val="auto"/>
                <w:sz w:val="24"/>
                <w:szCs w:val="24"/>
                <w:highlight w:val="none"/>
                <w:u w:val="none"/>
                <w:lang w:val="en-US" w:eastAsia="zh-CN"/>
              </w:rPr>
              <w:t>M</w:t>
            </w:r>
            <w:r>
              <w:rPr>
                <w:rFonts w:hint="default" w:ascii="Times New Roman" w:hAnsi="Times New Roman" w:eastAsia="宋体" w:cs="Times New Roman"/>
                <w:b w:val="0"/>
                <w:bCs w:val="0"/>
                <w:color w:val="auto"/>
                <w:sz w:val="24"/>
                <w:szCs w:val="24"/>
                <w:highlight w:val="none"/>
                <w:u w:val="none"/>
                <w:lang w:eastAsia="zh-CN"/>
              </w:rPr>
              <w:t>W</w:t>
            </w:r>
            <w:r>
              <w:rPr>
                <w:rFonts w:hint="default" w:ascii="Times New Roman" w:hAnsi="Times New Roman" w:eastAsia="宋体" w:cs="Times New Roman"/>
                <w:color w:val="auto"/>
                <w:sz w:val="24"/>
                <w:highlight w:val="none"/>
                <w:lang w:eastAsia="zh-CN"/>
              </w:rPr>
              <w:t>÷</w:t>
            </w:r>
            <w:r>
              <w:rPr>
                <w:rFonts w:hint="eastAsia" w:eastAsia="宋体" w:cs="Times New Roman"/>
                <w:color w:val="auto"/>
                <w:sz w:val="24"/>
                <w:highlight w:val="none"/>
                <w:lang w:val="en-US" w:eastAsia="zh-CN"/>
              </w:rPr>
              <w:t>45.22</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8</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32.5</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bCs w:val="0"/>
                <w:color w:val="auto"/>
                <w:sz w:val="24"/>
                <w:szCs w:val="24"/>
                <w:highlight w:val="none"/>
                <w:u w:val="none"/>
                <w:lang w:val="en-US" w:eastAsia="zh-CN"/>
              </w:rPr>
              <w:t>热风炉年运行天数为300d，每天运行</w:t>
            </w:r>
            <w:r>
              <w:rPr>
                <w:rFonts w:hint="eastAsia" w:cs="Times New Roman"/>
                <w:b w:val="0"/>
                <w:bCs w:val="0"/>
                <w:color w:val="auto"/>
                <w:sz w:val="24"/>
                <w:szCs w:val="24"/>
                <w:highlight w:val="none"/>
                <w:u w:val="none"/>
                <w:lang w:val="en-US" w:eastAsia="zh-CN"/>
              </w:rPr>
              <w:t>8</w:t>
            </w:r>
            <w:r>
              <w:rPr>
                <w:rFonts w:hint="default" w:ascii="Times New Roman" w:hAnsi="Times New Roman" w:eastAsia="宋体" w:cs="Times New Roman"/>
                <w:b w:val="0"/>
                <w:bCs w:val="0"/>
                <w:color w:val="auto"/>
                <w:sz w:val="24"/>
                <w:szCs w:val="24"/>
                <w:highlight w:val="none"/>
                <w:u w:val="none"/>
                <w:lang w:val="en-US" w:eastAsia="zh-CN"/>
              </w:rPr>
              <w:t>h，热风炉年耗气量为</w:t>
            </w:r>
            <w:r>
              <w:rPr>
                <w:rFonts w:hint="eastAsia" w:cs="Times New Roman"/>
                <w:b w:val="0"/>
                <w:bCs w:val="0"/>
                <w:color w:val="auto"/>
                <w:sz w:val="24"/>
                <w:szCs w:val="24"/>
                <w:highlight w:val="none"/>
                <w:u w:val="none"/>
                <w:lang w:val="en-US" w:eastAsia="zh-CN"/>
              </w:rPr>
              <w:t>78000</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w:t>
            </w:r>
          </w:p>
          <w:p w14:paraId="5B9621B3">
            <w:pPr>
              <w:tabs>
                <w:tab w:val="left" w:pos="360"/>
              </w:tabs>
              <w:spacing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参考</w:t>
            </w:r>
            <w:r>
              <w:rPr>
                <w:rFonts w:hint="default" w:ascii="Times New Roman" w:hAnsi="Times New Roman" w:eastAsia="宋体" w:cs="Times New Roman"/>
                <w:b w:val="0"/>
                <w:bCs w:val="0"/>
                <w:color w:val="auto"/>
                <w:sz w:val="24"/>
                <w:lang w:eastAsia="zh-CN"/>
              </w:rPr>
              <w:t>《</w:t>
            </w:r>
            <w:r>
              <w:rPr>
                <w:rFonts w:hint="default" w:ascii="Times New Roman" w:hAnsi="Times New Roman" w:eastAsia="宋体" w:cs="Times New Roman"/>
                <w:b w:val="0"/>
                <w:bCs w:val="0"/>
                <w:color w:val="auto"/>
                <w:sz w:val="24"/>
              </w:rPr>
              <w:t>排放源统计调查产排污核算方法和系数手册</w:t>
            </w:r>
            <w:r>
              <w:rPr>
                <w:rFonts w:hint="default" w:ascii="Times New Roman" w:hAnsi="Times New Roman" w:eastAsia="宋体" w:cs="Times New Roman"/>
                <w:b w:val="0"/>
                <w:bCs w:val="0"/>
                <w:color w:val="auto"/>
                <w:sz w:val="24"/>
                <w:lang w:val="en-US" w:eastAsia="zh-CN"/>
              </w:rPr>
              <w:t>-33-37，431-434</w:t>
            </w:r>
            <w:r>
              <w:rPr>
                <w:rFonts w:hint="default" w:ascii="Times New Roman" w:hAnsi="Times New Roman" w:eastAsia="宋体" w:cs="Times New Roman"/>
                <w:b w:val="0"/>
                <w:bCs w:val="0"/>
                <w:color w:val="auto"/>
                <w:sz w:val="24"/>
              </w:rPr>
              <w:t>机械行业系数手册》</w:t>
            </w:r>
            <w:r>
              <w:rPr>
                <w:rFonts w:hint="default" w:ascii="Times New Roman" w:hAnsi="Times New Roman" w:eastAsia="宋体" w:cs="Times New Roman"/>
                <w:b w:val="0"/>
                <w:bCs w:val="0"/>
                <w:color w:val="auto"/>
                <w:sz w:val="24"/>
                <w:lang w:val="en-US" w:eastAsia="zh-CN"/>
              </w:rPr>
              <w:t>中</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涂装</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涂装件</w:t>
            </w:r>
            <w:r>
              <w:rPr>
                <w:rFonts w:hint="default" w:ascii="Times New Roman" w:hAnsi="Times New Roman" w:eastAsia="宋体" w:cs="Times New Roman"/>
                <w:b w:val="0"/>
                <w:bCs w:val="0"/>
                <w:color w:val="auto"/>
                <w:sz w:val="24"/>
                <w:highlight w:val="none"/>
              </w:rPr>
              <w:t>-</w:t>
            </w:r>
            <w:r>
              <w:rPr>
                <w:rFonts w:hint="eastAsia" w:eastAsia="宋体" w:cs="Times New Roman"/>
                <w:b w:val="0"/>
                <w:bCs w:val="0"/>
                <w:color w:val="auto"/>
                <w:sz w:val="24"/>
                <w:highlight w:val="none"/>
                <w:lang w:val="en-US" w:eastAsia="zh-CN"/>
              </w:rPr>
              <w:t>液化石油气</w:t>
            </w:r>
            <w:r>
              <w:rPr>
                <w:rFonts w:hint="default" w:ascii="Times New Roman" w:hAnsi="Times New Roman" w:eastAsia="宋体" w:cs="Times New Roman"/>
                <w:b w:val="0"/>
                <w:bCs w:val="0"/>
                <w:color w:val="auto"/>
                <w:sz w:val="24"/>
                <w:highlight w:val="none"/>
                <w:lang w:val="en-US" w:eastAsia="zh-CN"/>
              </w:rPr>
              <w:t>-</w:t>
            </w:r>
            <w:r>
              <w:rPr>
                <w:rFonts w:hint="eastAsia" w:eastAsia="宋体" w:cs="Times New Roman"/>
                <w:b w:val="0"/>
                <w:bCs w:val="0"/>
                <w:color w:val="auto"/>
                <w:sz w:val="24"/>
                <w:highlight w:val="none"/>
                <w:lang w:val="en-US" w:eastAsia="zh-CN"/>
              </w:rPr>
              <w:t>液化石油气</w:t>
            </w:r>
            <w:r>
              <w:rPr>
                <w:rFonts w:hint="default" w:ascii="Times New Roman" w:hAnsi="Times New Roman" w:eastAsia="宋体" w:cs="Times New Roman"/>
                <w:b w:val="0"/>
                <w:bCs w:val="0"/>
                <w:color w:val="auto"/>
                <w:sz w:val="24"/>
                <w:highlight w:val="none"/>
                <w:lang w:val="en-US" w:eastAsia="zh-CN"/>
              </w:rPr>
              <w:t>工业炉窑</w:t>
            </w:r>
            <w:r>
              <w:rPr>
                <w:rFonts w:hint="eastAsia"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中</w:t>
            </w:r>
            <w:r>
              <w:rPr>
                <w:rFonts w:hint="default" w:ascii="Times New Roman" w:hAnsi="Times New Roman" w:eastAsia="宋体" w:cs="Times New Roman"/>
                <w:b w:val="0"/>
                <w:bCs w:val="0"/>
                <w:color w:val="auto"/>
                <w:sz w:val="24"/>
                <w:highlight w:val="none"/>
                <w:lang w:val="en-US" w:eastAsia="zh-CN"/>
              </w:rPr>
              <w:t>的</w:t>
            </w:r>
            <w:r>
              <w:rPr>
                <w:rFonts w:hint="eastAsia" w:eastAsia="宋体" w:cs="Times New Roman"/>
                <w:b w:val="0"/>
                <w:bCs w:val="0"/>
                <w:color w:val="auto"/>
                <w:sz w:val="24"/>
                <w:highlight w:val="none"/>
                <w:lang w:val="en-US" w:eastAsia="zh-CN"/>
              </w:rPr>
              <w:t>颗粒物</w:t>
            </w:r>
            <w:r>
              <w:rPr>
                <w:rFonts w:hint="default" w:ascii="Times New Roman" w:hAnsi="Times New Roman" w:eastAsia="宋体" w:cs="Times New Roman"/>
                <w:b w:val="0"/>
                <w:bCs w:val="0"/>
                <w:color w:val="auto"/>
                <w:sz w:val="24"/>
                <w:lang w:val="en-US" w:eastAsia="zh-CN"/>
              </w:rPr>
              <w:t>产污</w:t>
            </w:r>
            <w:r>
              <w:rPr>
                <w:rFonts w:hint="default" w:ascii="Times New Roman" w:hAnsi="Times New Roman" w:eastAsia="宋体" w:cs="Times New Roman"/>
                <w:b w:val="0"/>
                <w:bCs w:val="0"/>
                <w:color w:val="auto"/>
                <w:sz w:val="24"/>
              </w:rPr>
              <w:t>系数为</w:t>
            </w:r>
            <w:r>
              <w:rPr>
                <w:rFonts w:hint="eastAsia" w:ascii="Times New Roman" w:hAnsi="Times New Roman" w:eastAsia="宋体" w:cs="Times New Roman"/>
                <w:b w:val="0"/>
                <w:bCs w:val="0"/>
                <w:color w:val="auto"/>
                <w:sz w:val="24"/>
                <w:lang w:val="en-US" w:eastAsia="zh-CN"/>
              </w:rPr>
              <w:t>0.00022</w:t>
            </w:r>
            <w:r>
              <w:rPr>
                <w:rFonts w:hint="default" w:ascii="Times New Roman" w:hAnsi="Times New Roman" w:eastAsia="宋体" w:cs="Times New Roman"/>
                <w:b w:val="0"/>
                <w:bCs w:val="0"/>
                <w:color w:val="auto"/>
                <w:sz w:val="24"/>
              </w:rPr>
              <w:t>千克/</w:t>
            </w:r>
            <w:r>
              <w:rPr>
                <w:rFonts w:hint="eastAsia" w:ascii="Times New Roman" w:hAnsi="Times New Roman" w:eastAsia="宋体" w:cs="Times New Roman"/>
                <w:b w:val="0"/>
                <w:bCs w:val="0"/>
                <w:color w:val="auto"/>
                <w:sz w:val="24"/>
                <w:lang w:val="en-US" w:eastAsia="zh-CN"/>
              </w:rPr>
              <w:t>m</w:t>
            </w:r>
            <w:r>
              <w:rPr>
                <w:rFonts w:hint="eastAsia"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rPr>
              <w:t>-原料</w:t>
            </w:r>
            <w:r>
              <w:rPr>
                <w:rFonts w:hint="eastAsia" w:ascii="Times New Roman" w:hAnsi="Times New Roman" w:eastAsia="宋体" w:cs="Times New Roman"/>
                <w:b w:val="0"/>
                <w:bCs w:val="0"/>
                <w:color w:val="auto"/>
                <w:sz w:val="24"/>
                <w:lang w:eastAsia="zh-CN"/>
              </w:rPr>
              <w:t>、</w:t>
            </w:r>
            <w:r>
              <w:rPr>
                <w:rFonts w:hint="eastAsia" w:eastAsia="宋体" w:cs="Times New Roman"/>
                <w:b w:val="0"/>
                <w:bCs w:val="0"/>
                <w:color w:val="auto"/>
                <w:sz w:val="24"/>
                <w:highlight w:val="none"/>
                <w:lang w:val="en-US" w:eastAsia="zh-CN"/>
              </w:rPr>
              <w:t>二氧化硫</w:t>
            </w:r>
            <w:r>
              <w:rPr>
                <w:rFonts w:hint="default" w:ascii="Times New Roman" w:hAnsi="Times New Roman" w:eastAsia="宋体" w:cs="Times New Roman"/>
                <w:b w:val="0"/>
                <w:bCs w:val="0"/>
                <w:color w:val="auto"/>
                <w:sz w:val="24"/>
                <w:lang w:val="en-US" w:eastAsia="zh-CN"/>
              </w:rPr>
              <w:t>产污</w:t>
            </w:r>
            <w:r>
              <w:rPr>
                <w:rFonts w:hint="default" w:ascii="Times New Roman" w:hAnsi="Times New Roman" w:eastAsia="宋体" w:cs="Times New Roman"/>
                <w:b w:val="0"/>
                <w:bCs w:val="0"/>
                <w:color w:val="auto"/>
                <w:sz w:val="24"/>
              </w:rPr>
              <w:t>系数为</w:t>
            </w:r>
            <w:r>
              <w:rPr>
                <w:rFonts w:hint="eastAsia" w:ascii="Times New Roman" w:hAnsi="Times New Roman" w:eastAsia="宋体" w:cs="Times New Roman"/>
                <w:b w:val="0"/>
                <w:bCs w:val="0"/>
                <w:color w:val="auto"/>
                <w:sz w:val="24"/>
                <w:lang w:val="en-US" w:eastAsia="zh-CN"/>
              </w:rPr>
              <w:t>0.000002</w:t>
            </w:r>
            <w:r>
              <w:rPr>
                <w:rFonts w:hint="eastAsia" w:cs="Times New Roman"/>
                <w:b w:val="0"/>
                <w:bCs w:val="0"/>
                <w:color w:val="auto"/>
                <w:sz w:val="24"/>
                <w:lang w:val="en-US" w:eastAsia="zh-CN"/>
              </w:rPr>
              <w:t>S</w:t>
            </w:r>
            <w:r>
              <w:rPr>
                <w:rFonts w:hint="default" w:ascii="Times New Roman" w:hAnsi="Times New Roman" w:eastAsia="宋体" w:cs="Times New Roman"/>
                <w:b w:val="0"/>
                <w:bCs w:val="0"/>
                <w:color w:val="auto"/>
                <w:sz w:val="24"/>
              </w:rPr>
              <w:t>千克/</w:t>
            </w:r>
            <w:r>
              <w:rPr>
                <w:rFonts w:hint="eastAsia" w:ascii="Times New Roman" w:hAnsi="Times New Roman" w:eastAsia="宋体" w:cs="Times New Roman"/>
                <w:b w:val="0"/>
                <w:bCs w:val="0"/>
                <w:color w:val="auto"/>
                <w:sz w:val="24"/>
                <w:lang w:val="en-US" w:eastAsia="zh-CN"/>
              </w:rPr>
              <w:t>m</w:t>
            </w:r>
            <w:r>
              <w:rPr>
                <w:rFonts w:hint="eastAsia"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rPr>
              <w:t>-原料</w:t>
            </w:r>
            <w:r>
              <w:rPr>
                <w:rFonts w:hint="eastAsia" w:cs="Times New Roman"/>
                <w:b w:val="0"/>
                <w:bCs w:val="0"/>
                <w:color w:val="auto"/>
                <w:sz w:val="24"/>
                <w:lang w:eastAsia="zh-CN"/>
              </w:rPr>
              <w:t>（</w:t>
            </w:r>
            <w:r>
              <w:rPr>
                <w:rFonts w:hint="eastAsia" w:cs="Times New Roman"/>
                <w:b w:val="0"/>
                <w:bCs w:val="0"/>
                <w:color w:val="auto"/>
                <w:sz w:val="24"/>
                <w:lang w:val="en-US" w:eastAsia="zh-CN"/>
              </w:rPr>
              <w:t>本次环评取20</w:t>
            </w:r>
            <w:r>
              <w:rPr>
                <w:rFonts w:hint="eastAsia" w:cs="Times New Roman"/>
                <w:b w:val="0"/>
                <w:bCs w:val="0"/>
                <w:color w:val="auto"/>
                <w:sz w:val="24"/>
                <w:lang w:eastAsia="zh-CN"/>
              </w:rPr>
              <w:t>）</w:t>
            </w:r>
            <w:r>
              <w:rPr>
                <w:rFonts w:hint="eastAsia" w:ascii="Times New Roman" w:hAnsi="Times New Roman" w:eastAsia="宋体" w:cs="Times New Roman"/>
                <w:b w:val="0"/>
                <w:bCs w:val="0"/>
                <w:color w:val="auto"/>
                <w:sz w:val="24"/>
                <w:lang w:eastAsia="zh-CN"/>
              </w:rPr>
              <w:t>、</w:t>
            </w:r>
            <w:r>
              <w:rPr>
                <w:rFonts w:hint="eastAsia" w:eastAsia="宋体" w:cs="Times New Roman"/>
                <w:b w:val="0"/>
                <w:bCs w:val="0"/>
                <w:color w:val="auto"/>
                <w:sz w:val="24"/>
                <w:highlight w:val="none"/>
                <w:lang w:val="en-US" w:eastAsia="zh-CN"/>
              </w:rPr>
              <w:t>氮氧化物</w:t>
            </w:r>
            <w:r>
              <w:rPr>
                <w:rFonts w:hint="default" w:ascii="Times New Roman" w:hAnsi="Times New Roman" w:eastAsia="宋体" w:cs="Times New Roman"/>
                <w:b w:val="0"/>
                <w:bCs w:val="0"/>
                <w:color w:val="auto"/>
                <w:sz w:val="24"/>
                <w:lang w:val="en-US" w:eastAsia="zh-CN"/>
              </w:rPr>
              <w:t>产污</w:t>
            </w:r>
            <w:r>
              <w:rPr>
                <w:rFonts w:hint="default" w:ascii="Times New Roman" w:hAnsi="Times New Roman" w:eastAsia="宋体" w:cs="Times New Roman"/>
                <w:b w:val="0"/>
                <w:bCs w:val="0"/>
                <w:color w:val="auto"/>
                <w:sz w:val="24"/>
              </w:rPr>
              <w:t>系数为</w:t>
            </w:r>
            <w:r>
              <w:rPr>
                <w:rFonts w:hint="eastAsia" w:ascii="Times New Roman" w:hAnsi="Times New Roman" w:eastAsia="宋体" w:cs="Times New Roman"/>
                <w:b w:val="0"/>
                <w:bCs w:val="0"/>
                <w:color w:val="auto"/>
                <w:sz w:val="24"/>
                <w:lang w:val="en-US" w:eastAsia="zh-CN"/>
              </w:rPr>
              <w:t>0.00596</w:t>
            </w:r>
            <w:r>
              <w:rPr>
                <w:rFonts w:hint="default" w:ascii="Times New Roman" w:hAnsi="Times New Roman" w:eastAsia="宋体" w:cs="Times New Roman"/>
                <w:b w:val="0"/>
                <w:bCs w:val="0"/>
                <w:color w:val="auto"/>
                <w:sz w:val="24"/>
              </w:rPr>
              <w:t>千克/</w:t>
            </w:r>
            <w:r>
              <w:rPr>
                <w:rFonts w:hint="eastAsia" w:ascii="Times New Roman" w:hAnsi="Times New Roman" w:eastAsia="宋体" w:cs="Times New Roman"/>
                <w:b w:val="0"/>
                <w:bCs w:val="0"/>
                <w:color w:val="auto"/>
                <w:sz w:val="24"/>
                <w:lang w:val="en-US" w:eastAsia="zh-CN"/>
              </w:rPr>
              <w:t>m</w:t>
            </w:r>
            <w:r>
              <w:rPr>
                <w:rFonts w:hint="eastAsia"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rPr>
              <w:t>-原料</w:t>
            </w:r>
            <w:r>
              <w:rPr>
                <w:rFonts w:hint="eastAsia" w:cs="Times New Roman"/>
                <w:b w:val="0"/>
                <w:bCs w:val="0"/>
                <w:color w:val="auto"/>
                <w:sz w:val="24"/>
                <w:lang w:eastAsia="zh-CN"/>
              </w:rPr>
              <w:t>。</w:t>
            </w:r>
          </w:p>
          <w:p w14:paraId="2DE7FD32">
            <w:pPr>
              <w:spacing w:line="360" w:lineRule="auto"/>
              <w:ind w:firstLine="480" w:firstLineChars="200"/>
              <w:rPr>
                <w:rFonts w:hint="default" w:cs="Times New Roman"/>
                <w:color w:val="auto"/>
                <w:sz w:val="24"/>
                <w:lang w:val="en-US" w:eastAsia="zh-CN"/>
              </w:rPr>
            </w:pPr>
            <w:r>
              <w:rPr>
                <w:rFonts w:hint="default" w:ascii="Times New Roman" w:hAnsi="Times New Roman" w:eastAsia="宋体" w:cs="Times New Roman"/>
                <w:b w:val="0"/>
                <w:bCs w:val="0"/>
                <w:color w:val="auto"/>
                <w:kern w:val="2"/>
                <w:sz w:val="24"/>
                <w:szCs w:val="24"/>
                <w:lang w:val="en-US" w:eastAsia="zh-CN" w:bidi="ar-SA"/>
              </w:rPr>
              <w:t>本项目</w:t>
            </w:r>
            <w:r>
              <w:rPr>
                <w:rFonts w:hint="default" w:ascii="Times New Roman" w:hAnsi="Times New Roman" w:eastAsia="宋体" w:cs="Times New Roman"/>
                <w:b w:val="0"/>
                <w:bCs w:val="0"/>
                <w:color w:val="auto"/>
                <w:sz w:val="24"/>
                <w:szCs w:val="24"/>
                <w:highlight w:val="none"/>
                <w:u w:val="none"/>
                <w:lang w:val="en-US" w:eastAsia="zh-CN"/>
              </w:rPr>
              <w:t>热风炉年耗气量</w:t>
            </w:r>
            <w:r>
              <w:rPr>
                <w:rFonts w:hint="eastAsia" w:eastAsia="宋体" w:cs="Times New Roman"/>
                <w:b w:val="0"/>
                <w:bCs w:val="0"/>
                <w:color w:val="auto"/>
                <w:sz w:val="24"/>
                <w:szCs w:val="24"/>
                <w:highlight w:val="none"/>
                <w:u w:val="none"/>
                <w:lang w:val="en-US" w:eastAsia="zh-CN"/>
              </w:rPr>
              <w:t>2640</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3</w:t>
            </w:r>
            <w:r>
              <w:rPr>
                <w:rFonts w:hint="default"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则</w:t>
            </w:r>
            <w:r>
              <w:rPr>
                <w:rFonts w:hint="eastAsia" w:eastAsia="宋体" w:cs="Times New Roman"/>
                <w:b w:val="0"/>
                <w:bCs w:val="0"/>
                <w:color w:val="auto"/>
                <w:sz w:val="24"/>
                <w:highlight w:val="none"/>
                <w:lang w:val="en-US" w:eastAsia="zh-CN"/>
              </w:rPr>
              <w:t>颗粒物</w:t>
            </w:r>
            <w:r>
              <w:rPr>
                <w:rFonts w:hint="eastAsia" w:eastAsia="宋体" w:cs="Times New Roman"/>
                <w:b w:val="0"/>
                <w:bCs w:val="0"/>
                <w:color w:val="auto"/>
                <w:kern w:val="2"/>
                <w:sz w:val="24"/>
                <w:szCs w:val="24"/>
                <w:lang w:val="en-US" w:eastAsia="zh-CN" w:bidi="ar-SA"/>
              </w:rPr>
              <w:t>产生量为</w:t>
            </w:r>
            <w:r>
              <w:rPr>
                <w:rFonts w:hint="eastAsia" w:cs="Times New Roman"/>
                <w:b w:val="0"/>
                <w:bCs w:val="0"/>
                <w:color w:val="auto"/>
                <w:kern w:val="2"/>
                <w:sz w:val="24"/>
                <w:szCs w:val="24"/>
                <w:lang w:val="en-US" w:eastAsia="zh-CN" w:bidi="ar-SA"/>
              </w:rPr>
              <w:t>0.01716</w:t>
            </w:r>
            <w:r>
              <w:rPr>
                <w:rFonts w:hint="default"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color w:val="auto"/>
                <w:kern w:val="0"/>
                <w:sz w:val="24"/>
                <w:szCs w:val="24"/>
                <w:lang w:val="en-US" w:eastAsia="zh-CN" w:bidi="ar"/>
              </w:rPr>
              <w:t>产生速率</w:t>
            </w:r>
            <w:r>
              <w:rPr>
                <w:rFonts w:hint="eastAsia" w:eastAsia="宋体" w:cs="Times New Roman"/>
                <w:b w:val="0"/>
                <w:bCs w:val="0"/>
                <w:color w:val="auto"/>
                <w:kern w:val="2"/>
                <w:sz w:val="24"/>
                <w:szCs w:val="24"/>
                <w:lang w:val="en-US" w:eastAsia="zh-CN" w:bidi="ar-SA"/>
              </w:rPr>
              <w:t>0.0</w:t>
            </w:r>
            <w:r>
              <w:rPr>
                <w:rFonts w:hint="eastAsia" w:cs="Times New Roman"/>
                <w:b w:val="0"/>
                <w:bCs w:val="0"/>
                <w:color w:val="auto"/>
                <w:kern w:val="2"/>
                <w:sz w:val="24"/>
                <w:szCs w:val="24"/>
                <w:lang w:val="en-US" w:eastAsia="zh-CN" w:bidi="ar-SA"/>
              </w:rPr>
              <w:t>0715</w:t>
            </w:r>
            <w:r>
              <w:rPr>
                <w:rFonts w:hint="default" w:ascii="Times New Roman" w:hAnsi="Times New Roman" w:eastAsia="宋体" w:cs="Times New Roman"/>
                <w:b w:val="0"/>
                <w:bCs w:val="0"/>
                <w:color w:val="auto"/>
                <w:kern w:val="2"/>
                <w:sz w:val="24"/>
                <w:szCs w:val="24"/>
                <w:lang w:val="en-US" w:eastAsia="zh-CN" w:bidi="ar-SA"/>
              </w:rPr>
              <w:t>g/</w:t>
            </w:r>
            <w:r>
              <w:rPr>
                <w:rFonts w:hint="eastAsia" w:ascii="Times New Roman" w:hAnsi="Times New Roman" w:eastAsia="宋体" w:cs="Times New Roman"/>
                <w:b w:val="0"/>
                <w:bCs w:val="0"/>
                <w:color w:val="auto"/>
                <w:kern w:val="2"/>
                <w:sz w:val="24"/>
                <w:szCs w:val="24"/>
                <w:lang w:val="en-US" w:eastAsia="zh-CN" w:bidi="ar-SA"/>
              </w:rPr>
              <w:t>h；</w:t>
            </w:r>
            <w:r>
              <w:rPr>
                <w:rFonts w:hint="eastAsia" w:eastAsia="宋体" w:cs="Times New Roman"/>
                <w:b w:val="0"/>
                <w:bCs w:val="0"/>
                <w:color w:val="auto"/>
                <w:sz w:val="24"/>
                <w:highlight w:val="none"/>
                <w:lang w:val="en-US" w:eastAsia="zh-CN"/>
              </w:rPr>
              <w:t>二氧化硫</w:t>
            </w:r>
            <w:r>
              <w:rPr>
                <w:rFonts w:hint="eastAsia" w:eastAsia="宋体" w:cs="Times New Roman"/>
                <w:b w:val="0"/>
                <w:bCs w:val="0"/>
                <w:color w:val="auto"/>
                <w:kern w:val="2"/>
                <w:sz w:val="24"/>
                <w:szCs w:val="24"/>
                <w:lang w:val="en-US" w:eastAsia="zh-CN" w:bidi="ar-SA"/>
              </w:rPr>
              <w:t>产生量为0.0</w:t>
            </w:r>
            <w:r>
              <w:rPr>
                <w:rFonts w:hint="eastAsia" w:cs="Times New Roman"/>
                <w:b w:val="0"/>
                <w:bCs w:val="0"/>
                <w:color w:val="auto"/>
                <w:kern w:val="2"/>
                <w:sz w:val="24"/>
                <w:szCs w:val="24"/>
                <w:lang w:val="en-US" w:eastAsia="zh-CN" w:bidi="ar-SA"/>
              </w:rPr>
              <w:t>0312</w:t>
            </w:r>
            <w:r>
              <w:rPr>
                <w:rFonts w:hint="default"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color w:val="auto"/>
                <w:kern w:val="0"/>
                <w:sz w:val="24"/>
                <w:szCs w:val="24"/>
                <w:lang w:val="en-US" w:eastAsia="zh-CN" w:bidi="ar"/>
              </w:rPr>
              <w:t>产生速率</w:t>
            </w:r>
            <w:r>
              <w:rPr>
                <w:rFonts w:hint="eastAsia" w:eastAsia="宋体" w:cs="Times New Roman"/>
                <w:b w:val="0"/>
                <w:bCs w:val="0"/>
                <w:color w:val="auto"/>
                <w:kern w:val="2"/>
                <w:sz w:val="24"/>
                <w:szCs w:val="24"/>
                <w:lang w:val="en-US" w:eastAsia="zh-CN" w:bidi="ar-SA"/>
              </w:rPr>
              <w:t>0.0</w:t>
            </w:r>
            <w:r>
              <w:rPr>
                <w:rFonts w:hint="eastAsia" w:cs="Times New Roman"/>
                <w:b w:val="0"/>
                <w:bCs w:val="0"/>
                <w:color w:val="auto"/>
                <w:kern w:val="2"/>
                <w:sz w:val="24"/>
                <w:szCs w:val="24"/>
                <w:lang w:val="en-US" w:eastAsia="zh-CN" w:bidi="ar-SA"/>
              </w:rPr>
              <w:t>013</w:t>
            </w:r>
            <w:r>
              <w:rPr>
                <w:rFonts w:hint="default" w:ascii="Times New Roman" w:hAnsi="Times New Roman" w:eastAsia="宋体" w:cs="Times New Roman"/>
                <w:b w:val="0"/>
                <w:bCs w:val="0"/>
                <w:color w:val="auto"/>
                <w:kern w:val="2"/>
                <w:sz w:val="24"/>
                <w:szCs w:val="24"/>
                <w:lang w:val="en-US" w:eastAsia="zh-CN" w:bidi="ar-SA"/>
              </w:rPr>
              <w:t>kg/</w:t>
            </w:r>
            <w:r>
              <w:rPr>
                <w:rFonts w:hint="eastAsia" w:ascii="Times New Roman" w:hAnsi="Times New Roman" w:eastAsia="宋体" w:cs="Times New Roman"/>
                <w:b w:val="0"/>
                <w:bCs w:val="0"/>
                <w:color w:val="auto"/>
                <w:kern w:val="2"/>
                <w:sz w:val="24"/>
                <w:szCs w:val="24"/>
                <w:lang w:val="en-US" w:eastAsia="zh-CN" w:bidi="ar-SA"/>
              </w:rPr>
              <w:t>h；</w:t>
            </w:r>
            <w:r>
              <w:rPr>
                <w:rFonts w:hint="eastAsia" w:eastAsia="宋体" w:cs="Times New Roman"/>
                <w:b w:val="0"/>
                <w:bCs w:val="0"/>
                <w:color w:val="auto"/>
                <w:sz w:val="24"/>
                <w:highlight w:val="none"/>
                <w:lang w:val="en-US" w:eastAsia="zh-CN"/>
              </w:rPr>
              <w:t>氮氧化物</w:t>
            </w:r>
            <w:r>
              <w:rPr>
                <w:rFonts w:hint="eastAsia" w:eastAsia="宋体" w:cs="Times New Roman"/>
                <w:b w:val="0"/>
                <w:bCs w:val="0"/>
                <w:color w:val="auto"/>
                <w:kern w:val="2"/>
                <w:sz w:val="24"/>
                <w:szCs w:val="24"/>
                <w:lang w:val="en-US" w:eastAsia="zh-CN" w:bidi="ar-SA"/>
              </w:rPr>
              <w:t>产生量为0</w:t>
            </w:r>
            <w:r>
              <w:rPr>
                <w:rFonts w:hint="eastAsia" w:cs="Times New Roman"/>
                <w:b w:val="0"/>
                <w:bCs w:val="0"/>
                <w:color w:val="auto"/>
                <w:kern w:val="2"/>
                <w:sz w:val="24"/>
                <w:szCs w:val="24"/>
                <w:lang w:val="en-US" w:eastAsia="zh-CN" w:bidi="ar-SA"/>
              </w:rPr>
              <w:t>.4648</w:t>
            </w:r>
            <w:r>
              <w:rPr>
                <w:rFonts w:hint="default" w:ascii="Times New Roman" w:hAnsi="Times New Roman" w:eastAsia="宋体" w:cs="Times New Roman"/>
                <w:b w:val="0"/>
                <w:bCs w:val="0"/>
                <w:color w:val="auto"/>
                <w:kern w:val="2"/>
                <w:sz w:val="24"/>
                <w:szCs w:val="24"/>
                <w:lang w:val="en-US" w:eastAsia="zh-CN" w:bidi="ar-SA"/>
              </w:rPr>
              <w:t>t/a</w:t>
            </w:r>
            <w:r>
              <w:rPr>
                <w:rFonts w:hint="eastAsia" w:ascii="Times New Roman" w:hAnsi="Times New Roman" w:eastAsia="宋体" w:cs="Times New Roman"/>
                <w:b w:val="0"/>
                <w:bCs w:val="0"/>
                <w:color w:val="auto"/>
                <w:kern w:val="2"/>
                <w:sz w:val="24"/>
                <w:szCs w:val="24"/>
                <w:lang w:val="en-US" w:eastAsia="zh-CN" w:bidi="ar-SA"/>
              </w:rPr>
              <w:t>，</w:t>
            </w:r>
            <w:r>
              <w:rPr>
                <w:rFonts w:hint="eastAsia" w:cs="Times New Roman"/>
                <w:color w:val="auto"/>
                <w:kern w:val="0"/>
                <w:sz w:val="24"/>
                <w:szCs w:val="24"/>
                <w:lang w:val="en-US" w:eastAsia="zh-CN" w:bidi="ar"/>
              </w:rPr>
              <w:t>产生速率</w:t>
            </w:r>
            <w:r>
              <w:rPr>
                <w:rFonts w:hint="eastAsia" w:eastAsia="宋体" w:cs="Times New Roman"/>
                <w:b w:val="0"/>
                <w:bCs w:val="0"/>
                <w:color w:val="auto"/>
                <w:kern w:val="2"/>
                <w:sz w:val="24"/>
                <w:szCs w:val="24"/>
                <w:lang w:val="en-US" w:eastAsia="zh-CN" w:bidi="ar-SA"/>
              </w:rPr>
              <w:t>0.</w:t>
            </w:r>
            <w:r>
              <w:rPr>
                <w:rFonts w:hint="eastAsia" w:cs="Times New Roman"/>
                <w:b w:val="0"/>
                <w:bCs w:val="0"/>
                <w:color w:val="auto"/>
                <w:kern w:val="2"/>
                <w:sz w:val="24"/>
                <w:szCs w:val="24"/>
                <w:lang w:val="en-US" w:eastAsia="zh-CN" w:bidi="ar-SA"/>
              </w:rPr>
              <w:t>1973</w:t>
            </w:r>
            <w:r>
              <w:rPr>
                <w:rFonts w:hint="default" w:ascii="Times New Roman" w:hAnsi="Times New Roman" w:eastAsia="宋体" w:cs="Times New Roman"/>
                <w:b w:val="0"/>
                <w:bCs w:val="0"/>
                <w:color w:val="auto"/>
                <w:kern w:val="2"/>
                <w:sz w:val="24"/>
                <w:szCs w:val="24"/>
                <w:lang w:val="en-US" w:eastAsia="zh-CN" w:bidi="ar-SA"/>
              </w:rPr>
              <w:t>kg/</w:t>
            </w:r>
            <w:r>
              <w:rPr>
                <w:rFonts w:hint="eastAsia" w:ascii="Times New Roman" w:hAnsi="Times New Roman" w:eastAsia="宋体" w:cs="Times New Roman"/>
                <w:b w:val="0"/>
                <w:bCs w:val="0"/>
                <w:color w:val="auto"/>
                <w:kern w:val="2"/>
                <w:sz w:val="24"/>
                <w:szCs w:val="24"/>
                <w:lang w:val="en-US" w:eastAsia="zh-CN" w:bidi="ar-SA"/>
              </w:rPr>
              <w:t>h。</w:t>
            </w:r>
            <w:r>
              <w:rPr>
                <w:rFonts w:hint="default" w:ascii="Times New Roman" w:hAnsi="Times New Roman" w:eastAsia="宋体" w:cs="Times New Roman"/>
                <w:color w:val="auto"/>
                <w:sz w:val="24"/>
                <w:highlight w:val="none"/>
                <w:lang w:val="en-US" w:eastAsia="zh-CN"/>
              </w:rPr>
              <w:t>本项目</w:t>
            </w:r>
            <w:r>
              <w:rPr>
                <w:rFonts w:hint="eastAsia" w:cs="Times New Roman"/>
                <w:color w:val="auto"/>
                <w:sz w:val="24"/>
                <w:highlight w:val="none"/>
                <w:lang w:val="en-US" w:eastAsia="zh-CN"/>
              </w:rPr>
              <w:t>热风炉产生的废气直接进入固化烘道，烘道出入口设置集气罩+软帘收集，收集后的废气由管道进入</w:t>
            </w:r>
            <w:r>
              <w:rPr>
                <w:rFonts w:hint="eastAsia" w:eastAsia="宋体" w:cs="Times New Roman"/>
                <w:color w:val="auto"/>
                <w:sz w:val="24"/>
                <w:highlight w:val="none"/>
                <w:lang w:val="en-US" w:eastAsia="zh-CN"/>
              </w:rPr>
              <w:t>旋风除尘</w:t>
            </w:r>
            <w:r>
              <w:rPr>
                <w:rFonts w:hint="eastAsia" w:cs="Times New Roman"/>
                <w:color w:val="auto"/>
                <w:sz w:val="24"/>
                <w:highlight w:val="none"/>
                <w:lang w:val="en-US" w:eastAsia="zh-CN"/>
              </w:rPr>
              <w:t>器</w:t>
            </w:r>
            <w:r>
              <w:rPr>
                <w:rFonts w:hint="eastAsia" w:eastAsia="宋体" w:cs="Times New Roman"/>
                <w:color w:val="auto"/>
                <w:sz w:val="24"/>
                <w:highlight w:val="none"/>
                <w:lang w:val="en-US" w:eastAsia="zh-CN"/>
              </w:rPr>
              <w:t>+布袋除尘</w:t>
            </w:r>
            <w:r>
              <w:rPr>
                <w:rFonts w:hint="eastAsia" w:cs="Times New Roman"/>
                <w:color w:val="auto"/>
                <w:sz w:val="24"/>
                <w:highlight w:val="none"/>
                <w:lang w:val="en-US" w:eastAsia="zh-CN"/>
              </w:rPr>
              <w:t>器+二级活性炭吸附装置，</w:t>
            </w:r>
            <w:r>
              <w:rPr>
                <w:rFonts w:hint="default" w:ascii="Times New Roman" w:hAnsi="Times New Roman" w:eastAsia="宋体" w:cs="Times New Roman"/>
                <w:color w:val="auto"/>
                <w:sz w:val="24"/>
                <w:highlight w:val="none"/>
                <w:lang w:val="en-US" w:eastAsia="zh-CN"/>
              </w:rPr>
              <w:t>处理后的废气经15m排气筒</w:t>
            </w:r>
            <w:r>
              <w:rPr>
                <w:rFonts w:hint="eastAsia" w:cs="Times New Roman"/>
                <w:color w:val="auto"/>
                <w:sz w:val="24"/>
                <w:highlight w:val="none"/>
                <w:lang w:val="en-US" w:eastAsia="zh-CN"/>
              </w:rPr>
              <w:t>（DA003）</w:t>
            </w:r>
            <w:r>
              <w:rPr>
                <w:rFonts w:hint="default" w:ascii="Times New Roman" w:hAnsi="Times New Roman" w:eastAsia="宋体" w:cs="Times New Roman"/>
                <w:color w:val="auto"/>
                <w:sz w:val="24"/>
                <w:highlight w:val="none"/>
                <w:lang w:val="en-US" w:eastAsia="zh-CN"/>
              </w:rPr>
              <w:t>有组织达标排放</w:t>
            </w:r>
            <w:r>
              <w:rPr>
                <w:rFonts w:hint="eastAsia" w:cs="Times New Roman"/>
                <w:color w:val="auto"/>
                <w:sz w:val="24"/>
                <w:highlight w:val="none"/>
                <w:lang w:val="en-US" w:eastAsia="zh-CN"/>
              </w:rPr>
              <w:t>。考虑软帘有缝隙，因此不能完全收集，约有5%废气未被收集，以无组织方式排放，除尘器去除效率90%，</w:t>
            </w:r>
            <w:r>
              <w:rPr>
                <w:rFonts w:hint="eastAsia"/>
                <w:color w:val="auto"/>
                <w:kern w:val="0"/>
                <w:sz w:val="24"/>
              </w:rPr>
              <w:t>二级活性炭</w:t>
            </w:r>
            <w:r>
              <w:rPr>
                <w:rFonts w:hint="eastAsia" w:ascii="Times New Roman" w:hAnsi="Times New Roman" w:eastAsia="宋体" w:cs="宋体"/>
                <w:bCs/>
                <w:color w:val="auto"/>
                <w:kern w:val="2"/>
                <w:sz w:val="24"/>
                <w:szCs w:val="22"/>
                <w:lang w:val="en-US" w:eastAsia="zh-CN" w:bidi="ar-SA"/>
              </w:rPr>
              <w:t>去除效率以</w:t>
            </w:r>
            <w:r>
              <w:rPr>
                <w:rFonts w:hint="eastAsia" w:cs="宋体"/>
                <w:bCs/>
                <w:color w:val="auto"/>
                <w:kern w:val="2"/>
                <w:sz w:val="24"/>
                <w:szCs w:val="22"/>
                <w:lang w:val="en-US" w:eastAsia="zh-CN" w:bidi="ar-SA"/>
              </w:rPr>
              <w:t>80</w:t>
            </w:r>
            <w:r>
              <w:rPr>
                <w:rFonts w:hint="eastAsia" w:ascii="Times New Roman" w:hAnsi="Times New Roman" w:eastAsia="宋体" w:cs="宋体"/>
                <w:bCs/>
                <w:color w:val="auto"/>
                <w:kern w:val="2"/>
                <w:sz w:val="24"/>
                <w:szCs w:val="22"/>
                <w:lang w:val="en-US" w:eastAsia="zh-CN" w:bidi="ar-SA"/>
              </w:rPr>
              <w:t>%计</w:t>
            </w:r>
            <w:r>
              <w:rPr>
                <w:rFonts w:hint="eastAsia" w:cs="Times New Roman"/>
                <w:color w:val="auto"/>
                <w:sz w:val="24"/>
                <w:highlight w:val="none"/>
                <w:lang w:val="en-US" w:eastAsia="zh-CN"/>
              </w:rPr>
              <w:t>。因此</w:t>
            </w:r>
            <w:r>
              <w:rPr>
                <w:rFonts w:hint="eastAsia" w:eastAsia="宋体" w:cs="Times New Roman"/>
                <w:b w:val="0"/>
                <w:bCs w:val="0"/>
                <w:color w:val="auto"/>
                <w:sz w:val="24"/>
                <w:highlight w:val="none"/>
                <w:lang w:val="en-US" w:eastAsia="zh-CN"/>
              </w:rPr>
              <w:t>颗粒物</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cs="Times New Roman"/>
                <w:b w:val="0"/>
                <w:bCs/>
                <w:color w:val="auto"/>
                <w:kern w:val="0"/>
                <w:sz w:val="24"/>
                <w:szCs w:val="24"/>
                <w:lang w:val="en-US" w:eastAsia="zh-CN" w:bidi="ar"/>
              </w:rPr>
              <w:t>0.00163t/</w:t>
            </w:r>
            <w:r>
              <w:rPr>
                <w:rFonts w:hint="default" w:ascii="Times New Roman" w:hAnsi="Times New Roman" w:eastAsia="宋体" w:cs="Times New Roman"/>
                <w:b w:val="0"/>
                <w:bCs/>
                <w:color w:val="auto"/>
                <w:kern w:val="0"/>
                <w:sz w:val="24"/>
                <w:szCs w:val="24"/>
                <w:lang w:val="en-US" w:eastAsia="zh-CN" w:bidi="ar"/>
              </w:rPr>
              <w:t>a，排放速率为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006793</w:t>
            </w:r>
            <w:r>
              <w:rPr>
                <w:rFonts w:hint="default" w:ascii="Times New Roman" w:hAnsi="Times New Roman" w:eastAsia="宋体" w:cs="Times New Roman"/>
                <w:b w:val="0"/>
                <w:bCs/>
                <w:color w:val="auto"/>
                <w:kern w:val="0"/>
                <w:sz w:val="24"/>
                <w:szCs w:val="24"/>
                <w:lang w:val="en-US" w:eastAsia="zh-CN" w:bidi="ar"/>
              </w:rPr>
              <w:t>kg/h，排放浓度</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6793</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eastAsia="宋体" w:cs="Times New Roman"/>
                <w:b w:val="0"/>
                <w:bCs w:val="0"/>
                <w:color w:val="auto"/>
                <w:sz w:val="24"/>
                <w:highlight w:val="none"/>
                <w:lang w:val="en-US" w:eastAsia="zh-CN"/>
              </w:rPr>
              <w:t>二氧化硫</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w:t>
            </w:r>
            <w:r>
              <w:rPr>
                <w:rFonts w:hint="eastAsia" w:cs="Times New Roman"/>
                <w:b w:val="0"/>
                <w:bCs/>
                <w:color w:val="auto"/>
                <w:kern w:val="0"/>
                <w:sz w:val="24"/>
                <w:szCs w:val="24"/>
                <w:lang w:val="en-US" w:eastAsia="zh-CN" w:bidi="ar"/>
              </w:rPr>
              <w:t>0005928</w:t>
            </w:r>
            <w:r>
              <w:rPr>
                <w:rFonts w:hint="eastAsia" w:ascii="Times New Roman" w:hAnsi="Times New Roman" w:eastAsia="宋体" w:cs="Times New Roman"/>
                <w:b w:val="0"/>
                <w:bCs/>
                <w:color w:val="auto"/>
                <w:kern w:val="0"/>
                <w:sz w:val="24"/>
                <w:szCs w:val="24"/>
                <w:lang w:val="en-US" w:eastAsia="zh-CN" w:bidi="ar"/>
              </w:rPr>
              <w:t>t</w:t>
            </w:r>
            <w:r>
              <w:rPr>
                <w:rFonts w:hint="default" w:ascii="Times New Roman" w:hAnsi="Times New Roman" w:eastAsia="宋体" w:cs="Times New Roman"/>
                <w:b w:val="0"/>
                <w:bCs/>
                <w:color w:val="auto"/>
                <w:kern w:val="0"/>
                <w:sz w:val="24"/>
                <w:szCs w:val="24"/>
                <w:lang w:val="en-US" w:eastAsia="zh-CN" w:bidi="ar"/>
              </w:rPr>
              <w:t>/a，排放速率为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0247</w:t>
            </w:r>
            <w:r>
              <w:rPr>
                <w:rFonts w:hint="default" w:ascii="Times New Roman" w:hAnsi="Times New Roman" w:eastAsia="宋体" w:cs="Times New Roman"/>
                <w:b w:val="0"/>
                <w:bCs/>
                <w:color w:val="auto"/>
                <w:kern w:val="0"/>
                <w:sz w:val="24"/>
                <w:szCs w:val="24"/>
                <w:lang w:val="en-US" w:eastAsia="zh-CN" w:bidi="ar"/>
              </w:rPr>
              <w:t>kg/h，排放浓度</w:t>
            </w:r>
            <w:r>
              <w:rPr>
                <w:rFonts w:hint="eastAsia" w:cs="Times New Roman"/>
                <w:b w:val="0"/>
                <w:bCs/>
                <w:color w:val="auto"/>
                <w:kern w:val="0"/>
                <w:sz w:val="24"/>
                <w:szCs w:val="24"/>
                <w:lang w:val="en-US" w:eastAsia="zh-CN" w:bidi="ar"/>
              </w:rPr>
              <w:t>0.0247</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eastAsia="宋体" w:cs="Times New Roman"/>
                <w:b w:val="0"/>
                <w:bCs w:val="0"/>
                <w:color w:val="auto"/>
                <w:sz w:val="24"/>
                <w:highlight w:val="none"/>
                <w:lang w:val="en-US" w:eastAsia="zh-CN"/>
              </w:rPr>
              <w:t>氮氧化物</w:t>
            </w:r>
            <w:r>
              <w:rPr>
                <w:rFonts w:hint="eastAsia" w:ascii="Times New Roman" w:hAnsi="Times New Roman" w:eastAsia="宋体" w:cs="Times New Roman"/>
                <w:b w:val="0"/>
                <w:bCs/>
                <w:color w:val="auto"/>
                <w:kern w:val="0"/>
                <w:sz w:val="24"/>
                <w:szCs w:val="24"/>
                <w:lang w:val="en-US" w:eastAsia="zh-CN" w:bidi="ar"/>
              </w:rPr>
              <w:t>有组织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w:t>
            </w:r>
            <w:r>
              <w:rPr>
                <w:rFonts w:hint="eastAsia" w:cs="Times New Roman"/>
                <w:b w:val="0"/>
                <w:bCs/>
                <w:color w:val="auto"/>
                <w:kern w:val="0"/>
                <w:sz w:val="24"/>
                <w:szCs w:val="24"/>
                <w:lang w:val="en-US" w:eastAsia="zh-CN" w:bidi="ar"/>
              </w:rPr>
              <w:t>08832</w:t>
            </w:r>
            <w:r>
              <w:rPr>
                <w:rFonts w:hint="eastAsia" w:ascii="Times New Roman" w:hAnsi="Times New Roman" w:eastAsia="宋体" w:cs="Times New Roman"/>
                <w:b w:val="0"/>
                <w:bCs/>
                <w:color w:val="auto"/>
                <w:kern w:val="0"/>
                <w:sz w:val="24"/>
                <w:szCs w:val="24"/>
                <w:lang w:val="en-US" w:eastAsia="zh-CN" w:bidi="ar"/>
              </w:rPr>
              <w:t>t</w:t>
            </w:r>
            <w:r>
              <w:rPr>
                <w:rFonts w:hint="default" w:ascii="Times New Roman" w:hAnsi="Times New Roman" w:eastAsia="宋体" w:cs="Times New Roman"/>
                <w:b w:val="0"/>
                <w:bCs/>
                <w:color w:val="auto"/>
                <w:kern w:val="0"/>
                <w:sz w:val="24"/>
                <w:szCs w:val="24"/>
                <w:lang w:val="en-US" w:eastAsia="zh-CN" w:bidi="ar"/>
              </w:rPr>
              <w:t>/a，排放速率为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368</w:t>
            </w:r>
            <w:r>
              <w:rPr>
                <w:rFonts w:hint="default" w:ascii="Times New Roman" w:hAnsi="Times New Roman" w:eastAsia="宋体" w:cs="Times New Roman"/>
                <w:b w:val="0"/>
                <w:bCs/>
                <w:color w:val="auto"/>
                <w:kern w:val="0"/>
                <w:sz w:val="24"/>
                <w:szCs w:val="24"/>
                <w:lang w:val="en-US" w:eastAsia="zh-CN" w:bidi="ar"/>
              </w:rPr>
              <w:t>kg/h，排放浓度</w:t>
            </w:r>
            <w:r>
              <w:rPr>
                <w:rFonts w:hint="eastAsia" w:cs="Times New Roman"/>
                <w:b w:val="0"/>
                <w:bCs/>
                <w:color w:val="auto"/>
                <w:kern w:val="0"/>
                <w:sz w:val="24"/>
                <w:szCs w:val="24"/>
                <w:lang w:val="en-US" w:eastAsia="zh-CN" w:bidi="ar"/>
              </w:rPr>
              <w:t>3.68</w:t>
            </w:r>
            <w:r>
              <w:rPr>
                <w:rFonts w:hint="default" w:ascii="Times New Roman" w:hAnsi="Times New Roman" w:eastAsia="宋体" w:cs="Times New Roman"/>
                <w:b w:val="0"/>
                <w:bCs/>
                <w:color w:val="auto"/>
                <w:kern w:val="0"/>
                <w:sz w:val="24"/>
                <w:szCs w:val="24"/>
                <w:lang w:val="en-US" w:eastAsia="zh-CN" w:bidi="ar"/>
              </w:rPr>
              <w:t>mg/m</w:t>
            </w:r>
            <w:r>
              <w:rPr>
                <w:rFonts w:hint="default" w:ascii="Times New Roman" w:hAnsi="Times New Roman" w:eastAsia="宋体" w:cs="Times New Roman"/>
                <w:b w:val="0"/>
                <w:bCs/>
                <w:color w:val="auto"/>
                <w:kern w:val="0"/>
                <w:sz w:val="24"/>
                <w:szCs w:val="24"/>
                <w:vertAlign w:val="superscript"/>
                <w:lang w:val="en-US" w:eastAsia="zh-CN" w:bidi="ar"/>
              </w:rPr>
              <w:t>3</w:t>
            </w:r>
            <w:r>
              <w:rPr>
                <w:rFonts w:hint="eastAsia" w:ascii="Times New Roman" w:hAnsi="Times New Roman" w:eastAsia="宋体" w:cs="Times New Roman"/>
                <w:b w:val="0"/>
                <w:bCs/>
                <w:color w:val="auto"/>
                <w:kern w:val="0"/>
                <w:sz w:val="24"/>
                <w:szCs w:val="24"/>
                <w:vertAlign w:val="baseline"/>
                <w:lang w:val="en-US" w:eastAsia="zh-CN" w:bidi="ar"/>
              </w:rPr>
              <w:t>；</w:t>
            </w:r>
            <w:r>
              <w:rPr>
                <w:rFonts w:hint="eastAsia" w:eastAsia="宋体" w:cs="Times New Roman"/>
                <w:b w:val="0"/>
                <w:bCs w:val="0"/>
                <w:color w:val="auto"/>
                <w:sz w:val="24"/>
                <w:highlight w:val="none"/>
                <w:lang w:val="en-US" w:eastAsia="zh-CN"/>
              </w:rPr>
              <w:t>颗粒物</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0858</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03575</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b w:val="0"/>
                <w:bCs/>
                <w:color w:val="auto"/>
                <w:kern w:val="0"/>
                <w:sz w:val="24"/>
                <w:szCs w:val="24"/>
                <w:lang w:val="en-US" w:eastAsia="zh-CN" w:bidi="ar"/>
              </w:rPr>
              <w:t>；</w:t>
            </w:r>
            <w:r>
              <w:rPr>
                <w:rFonts w:hint="eastAsia" w:eastAsia="宋体" w:cs="Times New Roman"/>
                <w:b w:val="0"/>
                <w:bCs w:val="0"/>
                <w:color w:val="auto"/>
                <w:sz w:val="24"/>
                <w:highlight w:val="none"/>
                <w:lang w:val="en-US" w:eastAsia="zh-CN"/>
              </w:rPr>
              <w:t>二氧化硫</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00156</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00065</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b w:val="0"/>
                <w:bCs/>
                <w:color w:val="auto"/>
                <w:kern w:val="0"/>
                <w:sz w:val="24"/>
                <w:szCs w:val="24"/>
                <w:lang w:val="en-US" w:eastAsia="zh-CN" w:bidi="ar"/>
              </w:rPr>
              <w:t>；</w:t>
            </w:r>
            <w:r>
              <w:rPr>
                <w:rFonts w:hint="eastAsia" w:eastAsia="宋体" w:cs="Times New Roman"/>
                <w:b w:val="0"/>
                <w:bCs w:val="0"/>
                <w:color w:val="auto"/>
                <w:sz w:val="24"/>
                <w:highlight w:val="none"/>
                <w:lang w:val="en-US" w:eastAsia="zh-CN"/>
              </w:rPr>
              <w:t>氮氧化物</w:t>
            </w:r>
            <w:r>
              <w:rPr>
                <w:rFonts w:hint="eastAsia" w:ascii="Times New Roman" w:hAnsi="Times New Roman" w:eastAsia="宋体" w:cs="Times New Roman"/>
                <w:b w:val="0"/>
                <w:bCs/>
                <w:color w:val="auto"/>
                <w:kern w:val="0"/>
                <w:sz w:val="24"/>
                <w:szCs w:val="24"/>
                <w:lang w:val="en-US" w:eastAsia="zh-CN" w:bidi="ar"/>
              </w:rPr>
              <w:t>无组织</w:t>
            </w:r>
            <w:r>
              <w:rPr>
                <w:rFonts w:hint="default" w:ascii="Times New Roman" w:hAnsi="Times New Roman" w:eastAsia="宋体" w:cs="Times New Roman"/>
                <w:b w:val="0"/>
                <w:bCs/>
                <w:color w:val="auto"/>
                <w:kern w:val="0"/>
                <w:sz w:val="24"/>
                <w:szCs w:val="24"/>
                <w:lang w:val="en-US" w:eastAsia="zh-CN" w:bidi="ar"/>
              </w:rPr>
              <w:t>排放量为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2324</w:t>
            </w:r>
            <w:r>
              <w:rPr>
                <w:rFonts w:hint="default" w:ascii="Times New Roman" w:hAnsi="Times New Roman" w:eastAsia="宋体" w:cs="Times New Roman"/>
                <w:b w:val="0"/>
                <w:bCs/>
                <w:color w:val="auto"/>
                <w:kern w:val="0"/>
                <w:sz w:val="24"/>
                <w:szCs w:val="24"/>
                <w:lang w:val="en-US" w:eastAsia="zh-CN" w:bidi="ar"/>
              </w:rPr>
              <w:t>t/a，排放速率为</w:t>
            </w:r>
            <w:r>
              <w:rPr>
                <w:rFonts w:hint="eastAsia" w:ascii="Times New Roman" w:hAnsi="Times New Roman" w:eastAsia="宋体" w:cs="Times New Roman"/>
                <w:b w:val="0"/>
                <w:bCs/>
                <w:color w:val="auto"/>
                <w:kern w:val="0"/>
                <w:sz w:val="24"/>
                <w:szCs w:val="24"/>
                <w:lang w:val="en-US" w:eastAsia="zh-CN" w:bidi="ar"/>
              </w:rPr>
              <w:t>0.0</w:t>
            </w:r>
            <w:r>
              <w:rPr>
                <w:rFonts w:hint="eastAsia" w:cs="Times New Roman"/>
                <w:b w:val="0"/>
                <w:bCs/>
                <w:color w:val="auto"/>
                <w:kern w:val="0"/>
                <w:sz w:val="24"/>
                <w:szCs w:val="24"/>
                <w:lang w:val="en-US" w:eastAsia="zh-CN" w:bidi="ar"/>
              </w:rPr>
              <w:t>09685</w:t>
            </w:r>
            <w:r>
              <w:rPr>
                <w:rFonts w:hint="default" w:ascii="Times New Roman" w:hAnsi="Times New Roman" w:eastAsia="宋体" w:cs="Times New Roman"/>
                <w:b w:val="0"/>
                <w:bCs/>
                <w:color w:val="auto"/>
                <w:kern w:val="0"/>
                <w:sz w:val="24"/>
                <w:szCs w:val="24"/>
                <w:lang w:val="en-US" w:eastAsia="zh-CN" w:bidi="ar"/>
              </w:rPr>
              <w:t>kg/h</w:t>
            </w:r>
            <w:r>
              <w:rPr>
                <w:rFonts w:hint="eastAsia" w:cs="Times New Roman"/>
                <w:b w:val="0"/>
                <w:bCs/>
                <w:color w:val="auto"/>
                <w:kern w:val="0"/>
                <w:sz w:val="24"/>
                <w:szCs w:val="24"/>
                <w:lang w:val="en-US" w:eastAsia="zh-CN" w:bidi="ar"/>
              </w:rPr>
              <w:t>。</w:t>
            </w:r>
          </w:p>
          <w:p w14:paraId="3E6E3A78">
            <w:pPr>
              <w:snapToGrid/>
              <w:spacing w:line="360" w:lineRule="auto"/>
              <w:ind w:firstLine="482" w:firstLineChars="200"/>
              <w:rPr>
                <w:rFonts w:hint="eastAsia" w:ascii="Times New Roman" w:hAnsi="Times New Roman" w:eastAsia="宋体" w:cs="Times New Roman"/>
                <w:b/>
                <w:bCs w:val="0"/>
                <w:color w:val="auto"/>
                <w:sz w:val="24"/>
                <w:highlight w:val="none"/>
              </w:rPr>
            </w:pPr>
            <w:r>
              <w:rPr>
                <w:rFonts w:hint="default" w:ascii="Times New Roman" w:hAnsi="Times New Roman" w:eastAsia="宋体" w:cs="Times New Roman"/>
                <w:b/>
                <w:bCs w:val="0"/>
                <w:color w:val="auto"/>
                <w:sz w:val="24"/>
                <w:highlight w:val="none"/>
              </w:rPr>
              <w:t>1</w:t>
            </w:r>
            <w:r>
              <w:rPr>
                <w:rFonts w:hint="default" w:ascii="Times New Roman" w:hAnsi="Times New Roman" w:eastAsia="宋体" w:cs="Times New Roman"/>
                <w:b/>
                <w:bCs w:val="0"/>
                <w:color w:val="auto"/>
                <w:sz w:val="24"/>
                <w:highlight w:val="none"/>
                <w:lang w:eastAsia="zh-CN"/>
              </w:rPr>
              <w:t>.</w:t>
            </w:r>
            <w:r>
              <w:rPr>
                <w:rFonts w:hint="eastAsia" w:ascii="Times New Roman" w:hAnsi="Times New Roman" w:eastAsia="宋体" w:cs="Times New Roman"/>
                <w:b/>
                <w:bCs w:val="0"/>
                <w:color w:val="auto"/>
                <w:sz w:val="24"/>
                <w:highlight w:val="none"/>
                <w:lang w:val="en-US" w:eastAsia="zh-CN"/>
              </w:rPr>
              <w:t>3</w:t>
            </w:r>
            <w:r>
              <w:rPr>
                <w:rFonts w:hint="eastAsia" w:ascii="Times New Roman" w:hAnsi="Times New Roman" w:eastAsia="宋体" w:cs="Times New Roman"/>
                <w:b/>
                <w:bCs w:val="0"/>
                <w:color w:val="auto"/>
                <w:sz w:val="24"/>
                <w:highlight w:val="none"/>
              </w:rPr>
              <w:t>非正常工况废气排放量核算</w:t>
            </w:r>
          </w:p>
          <w:p w14:paraId="664620B6">
            <w:pPr>
              <w:snapToGrid/>
              <w:spacing w:line="360" w:lineRule="auto"/>
              <w:ind w:firstLine="480" w:firstLineChars="200"/>
              <w:rPr>
                <w:rFonts w:hint="default" w:ascii="Times New Roman" w:hAnsi="Times New Roman" w:eastAsia="宋体" w:cs="Times New Roman"/>
                <w:b w:val="0"/>
                <w:bCs/>
                <w:color w:val="auto"/>
                <w:kern w:val="0"/>
                <w:sz w:val="24"/>
                <w:szCs w:val="24"/>
                <w:lang w:val="en-US" w:eastAsia="zh-CN" w:bidi="ar"/>
              </w:rPr>
            </w:pPr>
            <w:r>
              <w:rPr>
                <w:rFonts w:hint="default" w:ascii="Times New Roman" w:hAnsi="Times New Roman" w:eastAsia="宋体" w:cs="Times New Roman"/>
                <w:b w:val="0"/>
                <w:bCs/>
                <w:color w:val="auto"/>
                <w:kern w:val="0"/>
                <w:sz w:val="24"/>
                <w:szCs w:val="24"/>
                <w:lang w:val="en-US" w:eastAsia="zh-CN" w:bidi="ar"/>
              </w:rPr>
              <w:t>非正常情况主要是停电或设备开停机、检修时，环保装置未提前开启，造成废气超标排放，以最不利情况下废气处理系统净化效率为零考虑，源强最大的时段废气排放1h对周围环境的影响。</w:t>
            </w:r>
          </w:p>
          <w:p w14:paraId="0CB07BC8">
            <w:pPr>
              <w:snapToGrid/>
              <w:spacing w:line="360" w:lineRule="auto"/>
              <w:ind w:firstLine="460" w:firstLineChars="200"/>
              <w:rPr>
                <w:rFonts w:hint="default" w:ascii="Times New Roman" w:hAnsi="Times New Roman" w:eastAsia="宋体" w:cs="Times New Roman"/>
                <w:color w:val="auto"/>
                <w:spacing w:val="-5"/>
                <w:sz w:val="24"/>
                <w:highlight w:val="none"/>
              </w:rPr>
            </w:pPr>
            <w:r>
              <w:rPr>
                <w:rFonts w:hint="default" w:ascii="Times New Roman" w:hAnsi="Times New Roman" w:eastAsia="宋体" w:cs="Times New Roman"/>
                <w:color w:val="auto"/>
                <w:spacing w:val="-5"/>
                <w:sz w:val="24"/>
                <w:highlight w:val="none"/>
              </w:rPr>
              <w:t>非正常情况下比正常工况下各污染物排放量明显偏大。因此，为防止生产废气非正常工况排放，企业</w:t>
            </w:r>
            <w:r>
              <w:rPr>
                <w:rFonts w:hint="default" w:ascii="Times New Roman" w:hAnsi="Times New Roman" w:eastAsia="宋体" w:cs="Times New Roman"/>
                <w:color w:val="auto"/>
                <w:spacing w:val="-5"/>
                <w:sz w:val="24"/>
                <w:highlight w:val="none"/>
                <w:lang w:eastAsia="zh-CN"/>
              </w:rPr>
              <w:t>必须</w:t>
            </w:r>
            <w:r>
              <w:rPr>
                <w:rFonts w:hint="default" w:ascii="Times New Roman" w:hAnsi="Times New Roman" w:eastAsia="宋体" w:cs="Times New Roman"/>
                <w:color w:val="auto"/>
                <w:spacing w:val="-5"/>
                <w:sz w:val="24"/>
                <w:highlight w:val="none"/>
              </w:rPr>
              <w:t>加强废气处理设施的管理，定期检修，确保废气处理设施正常运行，在废气处理设备停止运行或出现故障时，产生废气的各工序也必须相应停止生产。为杜绝废气非正常排放，应采取以下措施确保废气达标排放：</w:t>
            </w:r>
          </w:p>
          <w:p w14:paraId="07FAAC73">
            <w:pPr>
              <w:adjustRightInd w:val="0"/>
              <w:spacing w:line="360" w:lineRule="auto"/>
              <w:ind w:firstLine="460" w:firstLineChars="200"/>
              <w:rPr>
                <w:rFonts w:hint="default" w:ascii="Times New Roman" w:hAnsi="Times New Roman" w:eastAsia="宋体" w:cs="Times New Roman"/>
                <w:color w:val="auto"/>
                <w:spacing w:val="-5"/>
                <w:sz w:val="24"/>
                <w:highlight w:val="none"/>
              </w:rPr>
            </w:pPr>
            <w:r>
              <w:rPr>
                <w:rFonts w:hint="default" w:ascii="Times New Roman" w:hAnsi="Times New Roman" w:eastAsia="宋体" w:cs="Times New Roman"/>
                <w:color w:val="auto"/>
                <w:spacing w:val="-5"/>
                <w:sz w:val="24"/>
                <w:highlight w:val="none"/>
              </w:rPr>
              <w:t>①安排专人负责环保设备的日常维护和管理，定期检查、汇报情况，及时发现废气处理设备的隐患，确保废气处理系统正常运行，当出现非正常排放时，建设单位应采取紧急处理措施，暂时停止生产，及时维修，直到生产设施或环保设施正常运转，坚决杜绝非正常排放；</w:t>
            </w:r>
          </w:p>
          <w:p w14:paraId="1868FF02">
            <w:pPr>
              <w:adjustRightInd w:val="0"/>
              <w:spacing w:line="360" w:lineRule="auto"/>
              <w:ind w:firstLine="460" w:firstLineChars="200"/>
              <w:rPr>
                <w:rFonts w:hint="default" w:ascii="Times New Roman" w:hAnsi="Times New Roman" w:eastAsia="宋体" w:cs="Times New Roman"/>
                <w:color w:val="auto"/>
                <w:spacing w:val="-5"/>
                <w:sz w:val="24"/>
                <w:highlight w:val="none"/>
              </w:rPr>
            </w:pPr>
            <w:r>
              <w:rPr>
                <w:rFonts w:hint="default" w:ascii="Times New Roman" w:hAnsi="Times New Roman" w:eastAsia="宋体" w:cs="Times New Roman"/>
                <w:color w:val="auto"/>
                <w:spacing w:val="-5"/>
                <w:sz w:val="24"/>
                <w:highlight w:val="none"/>
              </w:rPr>
              <w:t>②严格按照环保设备使用手册，定期对布袋</w:t>
            </w:r>
            <w:r>
              <w:rPr>
                <w:rFonts w:hint="default" w:ascii="Times New Roman" w:hAnsi="Times New Roman" w:eastAsia="宋体" w:cs="Times New Roman"/>
                <w:color w:val="auto"/>
                <w:spacing w:val="-5"/>
                <w:sz w:val="24"/>
                <w:highlight w:val="none"/>
                <w:lang w:eastAsia="zh-CN"/>
              </w:rPr>
              <w:t>、</w:t>
            </w:r>
            <w:r>
              <w:rPr>
                <w:rFonts w:hint="default" w:ascii="Times New Roman" w:hAnsi="Times New Roman" w:eastAsia="宋体" w:cs="Times New Roman"/>
                <w:color w:val="auto"/>
                <w:spacing w:val="-5"/>
                <w:sz w:val="24"/>
                <w:highlight w:val="none"/>
                <w:lang w:val="en-US" w:eastAsia="zh-CN"/>
              </w:rPr>
              <w:t>活性炭</w:t>
            </w:r>
            <w:r>
              <w:rPr>
                <w:rFonts w:hint="default" w:ascii="Times New Roman" w:hAnsi="Times New Roman" w:eastAsia="宋体" w:cs="Times New Roman"/>
                <w:color w:val="auto"/>
                <w:spacing w:val="-5"/>
                <w:sz w:val="24"/>
                <w:highlight w:val="none"/>
              </w:rPr>
              <w:t>进行更换；</w:t>
            </w:r>
          </w:p>
          <w:p w14:paraId="02B3BF8F">
            <w:pPr>
              <w:adjustRightInd w:val="0"/>
              <w:spacing w:line="360" w:lineRule="auto"/>
              <w:ind w:firstLine="460" w:firstLineChars="200"/>
              <w:rPr>
                <w:rFonts w:hint="default" w:ascii="Times New Roman" w:hAnsi="Times New Roman" w:eastAsia="宋体" w:cs="Times New Roman"/>
                <w:color w:val="auto"/>
                <w:spacing w:val="-5"/>
                <w:sz w:val="24"/>
                <w:highlight w:val="none"/>
              </w:rPr>
            </w:pPr>
            <w:r>
              <w:rPr>
                <w:rFonts w:hint="default" w:ascii="Times New Roman" w:hAnsi="Times New Roman" w:eastAsia="宋体" w:cs="Times New Roman"/>
                <w:color w:val="auto"/>
                <w:spacing w:val="-5"/>
                <w:sz w:val="24"/>
                <w:highlight w:val="none"/>
              </w:rPr>
              <w:t>③建立健全的环保管理机构，对环保管理人员和技术人员进行岗位培训，委托具有专业资质的环境检测单位对项目排放的各类污染物进行定期检测；</w:t>
            </w:r>
          </w:p>
          <w:p w14:paraId="05D40AB3">
            <w:pPr>
              <w:adjustRightInd w:val="0"/>
              <w:spacing w:line="360" w:lineRule="auto"/>
              <w:ind w:firstLine="460" w:firstLineChars="200"/>
              <w:rPr>
                <w:rFonts w:hint="default" w:ascii="Times New Roman" w:hAnsi="Times New Roman" w:eastAsia="宋体" w:cs="Times New Roman"/>
                <w:color w:val="auto"/>
                <w:spacing w:val="-5"/>
                <w:sz w:val="24"/>
                <w:highlight w:val="none"/>
              </w:rPr>
            </w:pPr>
            <w:r>
              <w:rPr>
                <w:rFonts w:hint="default" w:ascii="Times New Roman" w:hAnsi="Times New Roman" w:eastAsia="宋体" w:cs="Times New Roman"/>
                <w:color w:val="auto"/>
                <w:spacing w:val="-5"/>
                <w:sz w:val="24"/>
                <w:highlight w:val="none"/>
              </w:rPr>
              <w:t>④应定期维护、检修废气净化装置，以保持废气处理装置的净化能力和净化容量；</w:t>
            </w:r>
          </w:p>
          <w:p w14:paraId="205F2F8C">
            <w:pPr>
              <w:adjustRightInd w:val="0"/>
              <w:snapToGrid w:val="0"/>
              <w:spacing w:line="360" w:lineRule="auto"/>
              <w:ind w:firstLine="460" w:firstLineChars="200"/>
              <w:jc w:val="both"/>
              <w:rPr>
                <w:rFonts w:hint="default" w:ascii="Times New Roman" w:hAnsi="Times New Roman" w:eastAsia="宋体" w:cs="Times New Roman"/>
                <w:b w:val="0"/>
                <w:bCs/>
                <w:color w:val="000000"/>
                <w:kern w:val="0"/>
                <w:sz w:val="24"/>
                <w:szCs w:val="24"/>
                <w:lang w:val="en-US" w:eastAsia="zh-CN" w:bidi="ar"/>
              </w:rPr>
            </w:pPr>
            <w:r>
              <w:rPr>
                <w:rFonts w:hint="default" w:ascii="Times New Roman" w:hAnsi="Times New Roman" w:eastAsia="宋体" w:cs="Times New Roman"/>
                <w:color w:val="auto"/>
                <w:spacing w:val="-5"/>
                <w:sz w:val="24"/>
                <w:highlight w:val="none"/>
              </w:rPr>
              <w:t>⑤严格控制生产，装置开机时先运行废气处理系统，停机时后停废气处理装置，避免开停机时出现工艺废气事故排放</w:t>
            </w:r>
            <w:r>
              <w:rPr>
                <w:rFonts w:hint="default" w:ascii="Times New Roman" w:hAnsi="Times New Roman" w:eastAsia="宋体" w:cs="Times New Roman"/>
                <w:color w:val="auto"/>
                <w:spacing w:val="-3"/>
                <w:sz w:val="24"/>
                <w:highlight w:val="none"/>
              </w:rPr>
              <w:t>。</w:t>
            </w:r>
          </w:p>
        </w:tc>
      </w:tr>
    </w:tbl>
    <w:p w14:paraId="29AF68E5">
      <w:pPr>
        <w:rPr>
          <w:b/>
          <w:bCs/>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
        <w:gridCol w:w="12843"/>
      </w:tblGrid>
      <w:tr w14:paraId="51BA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86" w:type="dxa"/>
            <w:tcBorders>
              <w:top w:val="single" w:color="auto" w:sz="12" w:space="0"/>
              <w:left w:val="single" w:color="auto" w:sz="12" w:space="0"/>
              <w:bottom w:val="single" w:color="auto" w:sz="12" w:space="0"/>
            </w:tcBorders>
          </w:tcPr>
          <w:p w14:paraId="3E5D44DE">
            <w:pPr>
              <w:adjustRightInd w:val="0"/>
              <w:snapToGrid w:val="0"/>
              <w:jc w:val="center"/>
              <w:rPr>
                <w:rFonts w:eastAsiaTheme="minorEastAsia"/>
                <w:bCs/>
                <w:color w:val="auto"/>
                <w:sz w:val="24"/>
                <w:vertAlign w:val="baseline"/>
              </w:rPr>
            </w:pPr>
          </w:p>
        </w:tc>
        <w:tc>
          <w:tcPr>
            <w:tcW w:w="12843" w:type="dxa"/>
            <w:tcBorders>
              <w:top w:val="single" w:color="auto" w:sz="12" w:space="0"/>
              <w:bottom w:val="single" w:color="auto" w:sz="12" w:space="0"/>
              <w:right w:val="single" w:color="auto" w:sz="12" w:space="0"/>
            </w:tcBorders>
          </w:tcPr>
          <w:p w14:paraId="11288059">
            <w:pPr>
              <w:adjustRightInd w:val="0"/>
              <w:snapToGrid w:val="0"/>
              <w:spacing w:line="240" w:lineRule="auto"/>
              <w:ind w:firstLine="422"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lang w:val="en-US" w:eastAsia="zh-CN"/>
              </w:rPr>
              <w:t xml:space="preserve">  </w:t>
            </w:r>
            <w:r>
              <w:rPr>
                <w:rFonts w:hint="default" w:ascii="Times New Roman" w:hAnsi="Times New Roman" w:cs="Times New Roman"/>
                <w:b/>
                <w:color w:val="auto"/>
                <w:szCs w:val="21"/>
              </w:rPr>
              <w:t>污染源非正常排放量核算表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9"/>
              <w:gridCol w:w="1221"/>
              <w:gridCol w:w="1882"/>
              <w:gridCol w:w="1318"/>
              <w:gridCol w:w="1315"/>
              <w:gridCol w:w="988"/>
              <w:gridCol w:w="1401"/>
              <w:gridCol w:w="1240"/>
              <w:gridCol w:w="1318"/>
              <w:gridCol w:w="1255"/>
            </w:tblGrid>
            <w:tr w14:paraId="3290B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3CF51A73">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产污环节</w:t>
                  </w:r>
                </w:p>
              </w:tc>
              <w:tc>
                <w:tcPr>
                  <w:tcW w:w="747" w:type="pct"/>
                  <w:tcBorders>
                    <w:tl2br w:val="nil"/>
                    <w:tr2bl w:val="nil"/>
                  </w:tcBorders>
                  <w:vAlign w:val="center"/>
                </w:tcPr>
                <w:p w14:paraId="462F53BD">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投料</w:t>
                  </w:r>
                  <w:r>
                    <w:rPr>
                      <w:rFonts w:hint="eastAsia" w:cs="Times New Roman"/>
                      <w:bCs/>
                      <w:color w:val="auto"/>
                      <w:kern w:val="0"/>
                      <w:szCs w:val="21"/>
                      <w:highlight w:val="none"/>
                      <w:lang w:val="en-US" w:eastAsia="zh-CN"/>
                    </w:rPr>
                    <w:t>及</w:t>
                  </w:r>
                  <w:r>
                    <w:rPr>
                      <w:rFonts w:hint="eastAsia" w:ascii="Times New Roman" w:hAnsi="Times New Roman" w:eastAsia="宋体" w:cs="Times New Roman"/>
                      <w:bCs/>
                      <w:color w:val="auto"/>
                      <w:kern w:val="0"/>
                      <w:szCs w:val="21"/>
                      <w:highlight w:val="none"/>
                      <w:lang w:val="en-US" w:eastAsia="zh-CN"/>
                    </w:rPr>
                    <w:t>研磨</w:t>
                  </w:r>
                </w:p>
              </w:tc>
              <w:tc>
                <w:tcPr>
                  <w:tcW w:w="523" w:type="pct"/>
                  <w:tcBorders>
                    <w:tl2br w:val="nil"/>
                    <w:tr2bl w:val="nil"/>
                  </w:tcBorders>
                  <w:vAlign w:val="center"/>
                </w:tcPr>
                <w:p w14:paraId="2C5ABCCE">
                  <w:pPr>
                    <w:autoSpaceDE w:val="0"/>
                    <w:autoSpaceDN w:val="0"/>
                    <w:adjustRightInd w:val="0"/>
                    <w:jc w:val="center"/>
                    <w:rPr>
                      <w:rFonts w:hint="eastAsia"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熔融挤出、</w:t>
                  </w:r>
                </w:p>
                <w:p w14:paraId="75F4013E">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压片</w:t>
                  </w:r>
                </w:p>
              </w:tc>
              <w:tc>
                <w:tcPr>
                  <w:tcW w:w="521" w:type="pct"/>
                  <w:tcBorders>
                    <w:tl2br w:val="nil"/>
                    <w:tr2bl w:val="nil"/>
                  </w:tcBorders>
                  <w:vAlign w:val="center"/>
                </w:tcPr>
                <w:p w14:paraId="15A58F89">
                  <w:pPr>
                    <w:autoSpaceDE w:val="0"/>
                    <w:autoSpaceDN w:val="0"/>
                    <w:adjustRightInd w:val="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Cs w:val="21"/>
                      <w:highlight w:val="none"/>
                      <w:lang w:val="en-US" w:eastAsia="zh-CN"/>
                    </w:rPr>
                    <w:t>电泳涂装</w:t>
                  </w:r>
                </w:p>
              </w:tc>
              <w:tc>
                <w:tcPr>
                  <w:tcW w:w="392" w:type="pct"/>
                  <w:tcBorders>
                    <w:tl2br w:val="nil"/>
                    <w:tr2bl w:val="nil"/>
                  </w:tcBorders>
                  <w:vAlign w:val="center"/>
                </w:tcPr>
                <w:p w14:paraId="27B5ED10">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喷粉</w:t>
                  </w:r>
                </w:p>
              </w:tc>
              <w:tc>
                <w:tcPr>
                  <w:tcW w:w="556" w:type="pct"/>
                  <w:tcBorders>
                    <w:tl2br w:val="nil"/>
                    <w:tr2bl w:val="nil"/>
                  </w:tcBorders>
                  <w:vAlign w:val="center"/>
                </w:tcPr>
                <w:p w14:paraId="6F4C8F5F">
                  <w:pPr>
                    <w:autoSpaceDE w:val="0"/>
                    <w:autoSpaceDN w:val="0"/>
                    <w:adjustRightInd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固化</w:t>
                  </w:r>
                </w:p>
              </w:tc>
              <w:tc>
                <w:tcPr>
                  <w:tcW w:w="1511" w:type="pct"/>
                  <w:gridSpan w:val="3"/>
                  <w:tcBorders>
                    <w:tl2br w:val="nil"/>
                    <w:tr2bl w:val="nil"/>
                  </w:tcBorders>
                  <w:vAlign w:val="center"/>
                </w:tcPr>
                <w:p w14:paraId="19AB465B">
                  <w:pPr>
                    <w:autoSpaceDE w:val="0"/>
                    <w:autoSpaceDN w:val="0"/>
                    <w:adjustRightInd w:val="0"/>
                    <w:jc w:val="center"/>
                    <w:rPr>
                      <w:rFonts w:hint="eastAsia"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 w:val="0"/>
                      <w:bCs/>
                      <w:color w:val="auto"/>
                      <w:kern w:val="0"/>
                      <w:szCs w:val="21"/>
                      <w:highlight w:val="none"/>
                      <w:lang w:eastAsia="zh-CN"/>
                    </w:rPr>
                    <w:t>热风炉燃烧</w:t>
                  </w:r>
                </w:p>
              </w:tc>
            </w:tr>
            <w:tr w14:paraId="40FC3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0FF3D45F">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污染物</w:t>
                  </w:r>
                </w:p>
              </w:tc>
              <w:tc>
                <w:tcPr>
                  <w:tcW w:w="747" w:type="pct"/>
                  <w:tcBorders>
                    <w:tl2br w:val="nil"/>
                    <w:tr2bl w:val="nil"/>
                  </w:tcBorders>
                  <w:shd w:val="clear" w:color="auto" w:fill="auto"/>
                  <w:vAlign w:val="center"/>
                </w:tcPr>
                <w:p w14:paraId="57FC8657">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523" w:type="pct"/>
                  <w:tcBorders>
                    <w:tl2br w:val="nil"/>
                    <w:tr2bl w:val="nil"/>
                  </w:tcBorders>
                  <w:shd w:val="clear" w:color="auto" w:fill="auto"/>
                  <w:vAlign w:val="center"/>
                </w:tcPr>
                <w:p w14:paraId="142F3F38">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p>
              </w:tc>
              <w:tc>
                <w:tcPr>
                  <w:tcW w:w="521" w:type="pct"/>
                  <w:tcBorders>
                    <w:tl2br w:val="nil"/>
                    <w:tr2bl w:val="nil"/>
                  </w:tcBorders>
                  <w:shd w:val="clear" w:color="auto" w:fill="auto"/>
                  <w:vAlign w:val="center"/>
                </w:tcPr>
                <w:p w14:paraId="461833CF">
                  <w:pPr>
                    <w:pStyle w:val="33"/>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p>
              </w:tc>
              <w:tc>
                <w:tcPr>
                  <w:tcW w:w="392" w:type="pct"/>
                  <w:tcBorders>
                    <w:tl2br w:val="nil"/>
                    <w:tr2bl w:val="nil"/>
                  </w:tcBorders>
                  <w:shd w:val="clear" w:color="auto" w:fill="auto"/>
                  <w:vAlign w:val="center"/>
                </w:tcPr>
                <w:p w14:paraId="14C27159">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颗粒物</w:t>
                  </w:r>
                </w:p>
              </w:tc>
              <w:tc>
                <w:tcPr>
                  <w:tcW w:w="556" w:type="pct"/>
                  <w:tcBorders>
                    <w:tl2br w:val="nil"/>
                    <w:tr2bl w:val="nil"/>
                  </w:tcBorders>
                  <w:shd w:val="clear" w:color="auto" w:fill="auto"/>
                  <w:vAlign w:val="center"/>
                </w:tcPr>
                <w:p w14:paraId="2160EF76">
                  <w:pPr>
                    <w:pStyle w:val="33"/>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非甲烷总烃</w:t>
                  </w:r>
                </w:p>
              </w:tc>
              <w:tc>
                <w:tcPr>
                  <w:tcW w:w="492" w:type="pct"/>
                  <w:tcBorders>
                    <w:tl2br w:val="nil"/>
                    <w:tr2bl w:val="nil"/>
                  </w:tcBorders>
                  <w:shd w:val="clear" w:color="auto" w:fill="auto"/>
                  <w:vAlign w:val="center"/>
                </w:tcPr>
                <w:p w14:paraId="6DA86931">
                  <w:pPr>
                    <w:pStyle w:val="33"/>
                    <w:adjustRightInd w:val="0"/>
                    <w:snapToGrid w:val="0"/>
                    <w:spacing w:line="240" w:lineRule="auto"/>
                    <w:ind w:firstLine="0" w:firstLineChars="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523" w:type="pct"/>
                  <w:tcBorders>
                    <w:tl2br w:val="nil"/>
                    <w:tr2bl w:val="nil"/>
                  </w:tcBorders>
                  <w:shd w:val="clear" w:color="auto" w:fill="auto"/>
                  <w:vAlign w:val="center"/>
                </w:tcPr>
                <w:p w14:paraId="7A85A799">
                  <w:pPr>
                    <w:pStyle w:val="33"/>
                    <w:adjustRightInd w:val="0"/>
                    <w:snapToGri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496" w:type="pct"/>
                  <w:tcBorders>
                    <w:tl2br w:val="nil"/>
                    <w:tr2bl w:val="nil"/>
                  </w:tcBorders>
                  <w:shd w:val="clear" w:color="auto" w:fill="auto"/>
                  <w:vAlign w:val="center"/>
                </w:tcPr>
                <w:p w14:paraId="0721A7B9">
                  <w:pPr>
                    <w:pStyle w:val="33"/>
                    <w:adjustRightInd w:val="0"/>
                    <w:snapToGrid w:val="0"/>
                    <w:spacing w:line="240" w:lineRule="auto"/>
                    <w:ind w:firstLine="0" w:firstLineChars="0"/>
                    <w:jc w:val="center"/>
                    <w:rPr>
                      <w:rFonts w:hint="eastAsia"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r>
            <w:tr w14:paraId="0B472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0B7863C7">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产生速率（kg/h）</w:t>
                  </w:r>
                </w:p>
              </w:tc>
              <w:tc>
                <w:tcPr>
                  <w:tcW w:w="747" w:type="pct"/>
                  <w:tcBorders>
                    <w:tl2br w:val="nil"/>
                    <w:tr2bl w:val="nil"/>
                  </w:tcBorders>
                  <w:vAlign w:val="center"/>
                </w:tcPr>
                <w:p w14:paraId="12876E88">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eastAsia" w:eastAsia="宋体" w:cs="Times New Roman"/>
                      <w:bCs/>
                      <w:color w:val="auto"/>
                      <w:kern w:val="0"/>
                      <w:szCs w:val="21"/>
                      <w:highlight w:val="none"/>
                      <w:lang w:val="en-US" w:eastAsia="zh-CN"/>
                    </w:rPr>
                    <w:t>2.06</w:t>
                  </w:r>
                  <w:r>
                    <w:rPr>
                      <w:rFonts w:hint="eastAsia" w:cs="Times New Roman"/>
                      <w:bCs/>
                      <w:color w:val="auto"/>
                      <w:kern w:val="0"/>
                      <w:szCs w:val="21"/>
                      <w:highlight w:val="none"/>
                      <w:lang w:val="en-US" w:eastAsia="zh-CN"/>
                    </w:rPr>
                    <w:t>67</w:t>
                  </w:r>
                </w:p>
              </w:tc>
              <w:tc>
                <w:tcPr>
                  <w:tcW w:w="523" w:type="pct"/>
                  <w:tcBorders>
                    <w:tl2br w:val="nil"/>
                    <w:tr2bl w:val="nil"/>
                  </w:tcBorders>
                  <w:vAlign w:val="center"/>
                </w:tcPr>
                <w:p w14:paraId="511BC81D">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0.0175</w:t>
                  </w:r>
                </w:p>
              </w:tc>
              <w:tc>
                <w:tcPr>
                  <w:tcW w:w="521" w:type="pct"/>
                  <w:tcBorders>
                    <w:tl2br w:val="nil"/>
                    <w:tr2bl w:val="nil"/>
                  </w:tcBorders>
                  <w:vAlign w:val="center"/>
                </w:tcPr>
                <w:p w14:paraId="2796242B">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0.1667</w:t>
                  </w:r>
                </w:p>
              </w:tc>
              <w:tc>
                <w:tcPr>
                  <w:tcW w:w="392" w:type="pct"/>
                  <w:tcBorders>
                    <w:tl2br w:val="nil"/>
                    <w:tr2bl w:val="nil"/>
                  </w:tcBorders>
                  <w:vAlign w:val="center"/>
                </w:tcPr>
                <w:p w14:paraId="723AB4AC">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2.5</w:t>
                  </w:r>
                </w:p>
              </w:tc>
              <w:tc>
                <w:tcPr>
                  <w:tcW w:w="556" w:type="pct"/>
                  <w:tcBorders>
                    <w:tl2br w:val="nil"/>
                    <w:tr2bl w:val="nil"/>
                  </w:tcBorders>
                  <w:vAlign w:val="center"/>
                </w:tcPr>
                <w:p w14:paraId="0C2B74EF">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0.3033</w:t>
                  </w:r>
                </w:p>
              </w:tc>
              <w:tc>
                <w:tcPr>
                  <w:tcW w:w="492" w:type="pct"/>
                  <w:tcBorders>
                    <w:tl2br w:val="nil"/>
                    <w:tr2bl w:val="nil"/>
                  </w:tcBorders>
                  <w:vAlign w:val="center"/>
                </w:tcPr>
                <w:p w14:paraId="0470082A">
                  <w:pPr>
                    <w:adjustRightInd w:val="0"/>
                    <w:snapToGrid w:val="0"/>
                    <w:jc w:val="center"/>
                    <w:rPr>
                      <w:rFonts w:hint="eastAsia" w:cs="Times New Roman"/>
                      <w:bCs/>
                      <w:color w:val="auto"/>
                      <w:kern w:val="0"/>
                      <w:szCs w:val="21"/>
                      <w:highlight w:val="none"/>
                      <w:lang w:val="en-US" w:eastAsia="zh-CN"/>
                    </w:rPr>
                  </w:pPr>
                  <w:r>
                    <w:rPr>
                      <w:rFonts w:hint="eastAsia" w:cs="Times New Roman"/>
                      <w:bCs/>
                      <w:color w:val="auto"/>
                      <w:kern w:val="0"/>
                      <w:szCs w:val="21"/>
                      <w:highlight w:val="none"/>
                      <w:lang w:val="en-US" w:eastAsia="zh-CN"/>
                    </w:rPr>
                    <w:t>0.00715</w:t>
                  </w:r>
                </w:p>
              </w:tc>
              <w:tc>
                <w:tcPr>
                  <w:tcW w:w="523" w:type="pct"/>
                  <w:tcBorders>
                    <w:tl2br w:val="nil"/>
                    <w:tr2bl w:val="nil"/>
                  </w:tcBorders>
                  <w:vAlign w:val="center"/>
                </w:tcPr>
                <w:p w14:paraId="7024ADB9">
                  <w:pPr>
                    <w:adjustRightInd w:val="0"/>
                    <w:snapToGrid w:val="0"/>
                    <w:jc w:val="center"/>
                    <w:rPr>
                      <w:rFonts w:hint="eastAsia" w:cs="Times New Roman"/>
                      <w:bCs/>
                      <w:color w:val="auto"/>
                      <w:kern w:val="0"/>
                      <w:szCs w:val="21"/>
                      <w:highlight w:val="none"/>
                      <w:lang w:val="en-US" w:eastAsia="zh-CN"/>
                    </w:rPr>
                  </w:pPr>
                  <w:r>
                    <w:rPr>
                      <w:rFonts w:hint="eastAsia" w:cs="Times New Roman"/>
                      <w:bCs/>
                      <w:color w:val="auto"/>
                      <w:kern w:val="0"/>
                      <w:szCs w:val="21"/>
                      <w:highlight w:val="none"/>
                      <w:lang w:val="en-US" w:eastAsia="zh-CN"/>
                    </w:rPr>
                    <w:t>0.0013</w:t>
                  </w:r>
                </w:p>
              </w:tc>
              <w:tc>
                <w:tcPr>
                  <w:tcW w:w="496" w:type="pct"/>
                  <w:tcBorders>
                    <w:tl2br w:val="nil"/>
                    <w:tr2bl w:val="nil"/>
                  </w:tcBorders>
                  <w:vAlign w:val="center"/>
                </w:tcPr>
                <w:p w14:paraId="4AFF5617">
                  <w:pPr>
                    <w:adjustRightInd w:val="0"/>
                    <w:snapToGrid w:val="0"/>
                    <w:jc w:val="center"/>
                    <w:rPr>
                      <w:rFonts w:hint="eastAsia" w:cs="Times New Roman"/>
                      <w:bCs/>
                      <w:color w:val="auto"/>
                      <w:kern w:val="0"/>
                      <w:szCs w:val="21"/>
                      <w:highlight w:val="none"/>
                      <w:lang w:val="en-US" w:eastAsia="zh-CN"/>
                    </w:rPr>
                  </w:pPr>
                  <w:r>
                    <w:rPr>
                      <w:rFonts w:hint="eastAsia" w:cs="Times New Roman"/>
                      <w:bCs/>
                      <w:color w:val="auto"/>
                      <w:kern w:val="0"/>
                      <w:szCs w:val="21"/>
                      <w:highlight w:val="none"/>
                      <w:lang w:val="en-US" w:eastAsia="zh-CN"/>
                    </w:rPr>
                    <w:t>0.1937</w:t>
                  </w:r>
                </w:p>
              </w:tc>
            </w:tr>
            <w:tr w14:paraId="7BD85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273BB09E">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污染物产生量（t/a）</w:t>
                  </w:r>
                </w:p>
              </w:tc>
              <w:tc>
                <w:tcPr>
                  <w:tcW w:w="747" w:type="pct"/>
                  <w:tcBorders>
                    <w:tl2br w:val="nil"/>
                    <w:tr2bl w:val="nil"/>
                  </w:tcBorders>
                  <w:vAlign w:val="center"/>
                </w:tcPr>
                <w:p w14:paraId="16BE0FA1">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eastAsia" w:eastAsia="宋体" w:cs="Times New Roman"/>
                      <w:bCs/>
                      <w:color w:val="auto"/>
                      <w:kern w:val="0"/>
                      <w:szCs w:val="21"/>
                      <w:highlight w:val="none"/>
                      <w:lang w:val="en-US" w:eastAsia="zh-CN"/>
                    </w:rPr>
                    <w:t>4.96</w:t>
                  </w:r>
                </w:p>
              </w:tc>
              <w:tc>
                <w:tcPr>
                  <w:tcW w:w="523" w:type="pct"/>
                  <w:tcBorders>
                    <w:tl2br w:val="nil"/>
                    <w:tr2bl w:val="nil"/>
                  </w:tcBorders>
                  <w:vAlign w:val="center"/>
                </w:tcPr>
                <w:p w14:paraId="3D736A1F">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0.042</w:t>
                  </w:r>
                </w:p>
              </w:tc>
              <w:tc>
                <w:tcPr>
                  <w:tcW w:w="521" w:type="pct"/>
                  <w:tcBorders>
                    <w:tl2br w:val="nil"/>
                    <w:tr2bl w:val="nil"/>
                  </w:tcBorders>
                  <w:vAlign w:val="center"/>
                </w:tcPr>
                <w:p w14:paraId="73C236BD">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0.4</w:t>
                  </w:r>
                </w:p>
              </w:tc>
              <w:tc>
                <w:tcPr>
                  <w:tcW w:w="392" w:type="pct"/>
                  <w:tcBorders>
                    <w:tl2br w:val="nil"/>
                    <w:tr2bl w:val="nil"/>
                  </w:tcBorders>
                  <w:vAlign w:val="center"/>
                </w:tcPr>
                <w:p w14:paraId="585CE9F3">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6</w:t>
                  </w:r>
                </w:p>
              </w:tc>
              <w:tc>
                <w:tcPr>
                  <w:tcW w:w="556" w:type="pct"/>
                  <w:tcBorders>
                    <w:tl2br w:val="nil"/>
                    <w:tr2bl w:val="nil"/>
                  </w:tcBorders>
                  <w:vAlign w:val="center"/>
                </w:tcPr>
                <w:p w14:paraId="1E248D34">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0.364</w:t>
                  </w:r>
                </w:p>
              </w:tc>
              <w:tc>
                <w:tcPr>
                  <w:tcW w:w="492" w:type="pct"/>
                  <w:tcBorders>
                    <w:tl2br w:val="nil"/>
                    <w:tr2bl w:val="nil"/>
                  </w:tcBorders>
                  <w:vAlign w:val="center"/>
                </w:tcPr>
                <w:p w14:paraId="31E6907B">
                  <w:pPr>
                    <w:adjustRightInd w:val="0"/>
                    <w:snapToGrid w:val="0"/>
                    <w:jc w:val="center"/>
                    <w:rPr>
                      <w:rFonts w:hint="eastAsia" w:cs="Times New Roman"/>
                      <w:bCs/>
                      <w:color w:val="auto"/>
                      <w:kern w:val="0"/>
                      <w:szCs w:val="21"/>
                      <w:highlight w:val="none"/>
                      <w:lang w:val="en-US" w:eastAsia="zh-CN"/>
                    </w:rPr>
                  </w:pPr>
                  <w:r>
                    <w:rPr>
                      <w:rFonts w:hint="eastAsia" w:cs="Times New Roman"/>
                      <w:bCs/>
                      <w:color w:val="auto"/>
                      <w:kern w:val="0"/>
                      <w:szCs w:val="21"/>
                      <w:highlight w:val="none"/>
                      <w:lang w:val="en-US" w:eastAsia="zh-CN"/>
                    </w:rPr>
                    <w:t>0.01716</w:t>
                  </w:r>
                </w:p>
              </w:tc>
              <w:tc>
                <w:tcPr>
                  <w:tcW w:w="523" w:type="pct"/>
                  <w:tcBorders>
                    <w:tl2br w:val="nil"/>
                    <w:tr2bl w:val="nil"/>
                  </w:tcBorders>
                  <w:vAlign w:val="center"/>
                </w:tcPr>
                <w:p w14:paraId="46AE61B9">
                  <w:pPr>
                    <w:adjustRightInd w:val="0"/>
                    <w:snapToGrid w:val="0"/>
                    <w:jc w:val="center"/>
                    <w:rPr>
                      <w:rFonts w:hint="eastAsia" w:cs="Times New Roman"/>
                      <w:bCs/>
                      <w:color w:val="auto"/>
                      <w:kern w:val="0"/>
                      <w:szCs w:val="21"/>
                      <w:highlight w:val="none"/>
                      <w:lang w:val="en-US" w:eastAsia="zh-CN"/>
                    </w:rPr>
                  </w:pPr>
                  <w:r>
                    <w:rPr>
                      <w:rFonts w:hint="eastAsia" w:cs="Times New Roman"/>
                      <w:bCs/>
                      <w:color w:val="auto"/>
                      <w:kern w:val="0"/>
                      <w:szCs w:val="21"/>
                      <w:highlight w:val="none"/>
                      <w:lang w:val="en-US" w:eastAsia="zh-CN"/>
                    </w:rPr>
                    <w:t>0.00312</w:t>
                  </w:r>
                </w:p>
              </w:tc>
              <w:tc>
                <w:tcPr>
                  <w:tcW w:w="496" w:type="pct"/>
                  <w:tcBorders>
                    <w:tl2br w:val="nil"/>
                    <w:tr2bl w:val="nil"/>
                  </w:tcBorders>
                  <w:vAlign w:val="center"/>
                </w:tcPr>
                <w:p w14:paraId="10E3D118">
                  <w:pPr>
                    <w:adjustRightInd w:val="0"/>
                    <w:snapToGrid w:val="0"/>
                    <w:jc w:val="center"/>
                    <w:rPr>
                      <w:rFonts w:hint="eastAsia" w:cs="Times New Roman"/>
                      <w:bCs/>
                      <w:color w:val="auto"/>
                      <w:kern w:val="0"/>
                      <w:szCs w:val="21"/>
                      <w:highlight w:val="none"/>
                      <w:lang w:val="en-US" w:eastAsia="zh-CN"/>
                    </w:rPr>
                  </w:pPr>
                  <w:r>
                    <w:rPr>
                      <w:rFonts w:hint="eastAsia" w:cs="Times New Roman"/>
                      <w:bCs/>
                      <w:color w:val="auto"/>
                      <w:kern w:val="0"/>
                      <w:szCs w:val="21"/>
                      <w:highlight w:val="none"/>
                      <w:lang w:val="en-US" w:eastAsia="zh-CN"/>
                    </w:rPr>
                    <w:t>0.46488</w:t>
                  </w:r>
                </w:p>
              </w:tc>
            </w:tr>
            <w:tr w14:paraId="3CE99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7F9CFE72">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排放方式</w:t>
                  </w:r>
                </w:p>
              </w:tc>
              <w:tc>
                <w:tcPr>
                  <w:tcW w:w="747" w:type="pct"/>
                  <w:tcBorders>
                    <w:tl2br w:val="nil"/>
                    <w:tr2bl w:val="nil"/>
                  </w:tcBorders>
                  <w:vAlign w:val="center"/>
                </w:tcPr>
                <w:p w14:paraId="32C2E611">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有组织</w:t>
                  </w:r>
                </w:p>
              </w:tc>
              <w:tc>
                <w:tcPr>
                  <w:tcW w:w="1045" w:type="pct"/>
                  <w:gridSpan w:val="2"/>
                  <w:tcBorders>
                    <w:tl2br w:val="nil"/>
                    <w:tr2bl w:val="nil"/>
                  </w:tcBorders>
                  <w:vAlign w:val="center"/>
                </w:tcPr>
                <w:p w14:paraId="5F967A14">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有组织</w:t>
                  </w:r>
                </w:p>
              </w:tc>
              <w:tc>
                <w:tcPr>
                  <w:tcW w:w="2459" w:type="pct"/>
                  <w:gridSpan w:val="5"/>
                  <w:tcBorders>
                    <w:tl2br w:val="nil"/>
                    <w:tr2bl w:val="nil"/>
                  </w:tcBorders>
                  <w:vAlign w:val="center"/>
                </w:tcPr>
                <w:p w14:paraId="0525B0C1">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有组织</w:t>
                  </w:r>
                </w:p>
              </w:tc>
            </w:tr>
            <w:tr w14:paraId="64074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62" w:type="pct"/>
                  <w:vMerge w:val="restart"/>
                  <w:tcBorders>
                    <w:tl2br w:val="nil"/>
                    <w:tr2bl w:val="nil"/>
                  </w:tcBorders>
                  <w:vAlign w:val="center"/>
                </w:tcPr>
                <w:p w14:paraId="5A92C3BC">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治理设施</w:t>
                  </w:r>
                </w:p>
              </w:tc>
              <w:tc>
                <w:tcPr>
                  <w:tcW w:w="484" w:type="pct"/>
                  <w:tcBorders>
                    <w:tl2br w:val="nil"/>
                    <w:tr2bl w:val="nil"/>
                  </w:tcBorders>
                  <w:vAlign w:val="center"/>
                </w:tcPr>
                <w:p w14:paraId="35CFE8E9">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名称</w:t>
                  </w:r>
                </w:p>
              </w:tc>
              <w:tc>
                <w:tcPr>
                  <w:tcW w:w="747" w:type="pct"/>
                  <w:tcBorders>
                    <w:tl2br w:val="nil"/>
                    <w:tr2bl w:val="nil"/>
                  </w:tcBorders>
                  <w:shd w:val="clear" w:color="auto" w:fill="auto"/>
                  <w:vAlign w:val="center"/>
                </w:tcPr>
                <w:p w14:paraId="678F2A92">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旋风分离器+滤筒</w:t>
                  </w:r>
                  <w:r>
                    <w:rPr>
                      <w:rFonts w:hint="default" w:ascii="Times New Roman" w:hAnsi="Times New Roman" w:eastAsia="宋体" w:cs="Times New Roman"/>
                      <w:bCs/>
                      <w:color w:val="auto"/>
                      <w:kern w:val="0"/>
                      <w:szCs w:val="21"/>
                      <w:highlight w:val="none"/>
                      <w:lang w:val="en-US" w:eastAsia="zh-CN"/>
                    </w:rPr>
                    <w:t>除尘</w:t>
                  </w:r>
                  <w:r>
                    <w:rPr>
                      <w:rFonts w:hint="eastAsia" w:ascii="Times New Roman" w:hAnsi="Times New Roman" w:eastAsia="宋体" w:cs="Times New Roman"/>
                      <w:bCs/>
                      <w:color w:val="auto"/>
                      <w:kern w:val="0"/>
                      <w:szCs w:val="21"/>
                      <w:highlight w:val="none"/>
                      <w:lang w:val="en-US" w:eastAsia="zh-CN"/>
                    </w:rPr>
                    <w:t>器</w:t>
                  </w:r>
                </w:p>
              </w:tc>
              <w:tc>
                <w:tcPr>
                  <w:tcW w:w="1045" w:type="pct"/>
                  <w:gridSpan w:val="2"/>
                  <w:tcBorders>
                    <w:tl2br w:val="nil"/>
                    <w:tr2bl w:val="nil"/>
                  </w:tcBorders>
                  <w:shd w:val="clear" w:color="auto" w:fill="auto"/>
                  <w:vAlign w:val="center"/>
                </w:tcPr>
                <w:p w14:paraId="1FDF5F3A">
                  <w:pPr>
                    <w:adjustRightInd w:val="0"/>
                    <w:snapToGrid w:val="0"/>
                    <w:jc w:val="center"/>
                    <w:rPr>
                      <w:rFonts w:hint="eastAsia"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二级活性炭吸附装置</w:t>
                  </w:r>
                </w:p>
              </w:tc>
              <w:tc>
                <w:tcPr>
                  <w:tcW w:w="2459" w:type="pct"/>
                  <w:gridSpan w:val="5"/>
                  <w:tcBorders>
                    <w:tl2br w:val="nil"/>
                    <w:tr2bl w:val="nil"/>
                  </w:tcBorders>
                  <w:shd w:val="clear" w:color="auto" w:fill="auto"/>
                  <w:vAlign w:val="center"/>
                </w:tcPr>
                <w:p w14:paraId="4A836F83">
                  <w:pPr>
                    <w:adjustRightInd w:val="0"/>
                    <w:snapToGrid w:val="0"/>
                    <w:jc w:val="center"/>
                    <w:rPr>
                      <w:rFonts w:hint="eastAsia" w:ascii="Times New Roman" w:hAnsi="Times New Roman" w:eastAsia="宋体" w:cs="Times New Roman"/>
                      <w:bCs/>
                      <w:color w:val="auto"/>
                      <w:kern w:val="0"/>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旋风+布袋除尘</w:t>
                  </w:r>
                  <w:r>
                    <w:rPr>
                      <w:rFonts w:hint="default" w:ascii="Times New Roman" w:hAnsi="Times New Roman" w:eastAsia="宋体" w:cs="Times New Roman"/>
                      <w:bCs/>
                      <w:color w:val="auto"/>
                      <w:kern w:val="0"/>
                      <w:szCs w:val="21"/>
                      <w:highlight w:val="none"/>
                      <w:lang w:val="en-US" w:eastAsia="zh-CN"/>
                    </w:rPr>
                    <w:t>装置</w:t>
                  </w:r>
                  <w:r>
                    <w:rPr>
                      <w:rFonts w:hint="eastAsia" w:ascii="Times New Roman" w:hAnsi="Times New Roman" w:eastAsia="宋体" w:cs="Times New Roman"/>
                      <w:bCs/>
                      <w:color w:val="auto"/>
                      <w:kern w:val="0"/>
                      <w:szCs w:val="21"/>
                      <w:highlight w:val="none"/>
                      <w:lang w:val="en-US" w:eastAsia="zh-CN"/>
                    </w:rPr>
                    <w:t>+二级</w:t>
                  </w:r>
                  <w:r>
                    <w:rPr>
                      <w:rFonts w:hint="default" w:ascii="Times New Roman" w:hAnsi="Times New Roman" w:eastAsia="宋体" w:cs="Times New Roman"/>
                      <w:bCs/>
                      <w:color w:val="auto"/>
                      <w:kern w:val="0"/>
                      <w:szCs w:val="21"/>
                      <w:highlight w:val="none"/>
                      <w:lang w:val="en-US" w:eastAsia="zh-CN"/>
                    </w:rPr>
                    <w:t>活性炭吸附</w:t>
                  </w:r>
                  <w:r>
                    <w:rPr>
                      <w:rFonts w:hint="eastAsia" w:ascii="Times New Roman" w:hAnsi="Times New Roman" w:eastAsia="宋体" w:cs="Times New Roman"/>
                      <w:bCs/>
                      <w:color w:val="auto"/>
                      <w:kern w:val="0"/>
                      <w:szCs w:val="21"/>
                      <w:highlight w:val="none"/>
                      <w:lang w:val="en-US" w:eastAsia="zh-CN"/>
                    </w:rPr>
                    <w:t>装置</w:t>
                  </w:r>
                </w:p>
              </w:tc>
            </w:tr>
            <w:tr w14:paraId="69C39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262" w:type="pct"/>
                  <w:vMerge w:val="continue"/>
                  <w:tcBorders>
                    <w:tl2br w:val="nil"/>
                    <w:tr2bl w:val="nil"/>
                  </w:tcBorders>
                  <w:vAlign w:val="center"/>
                </w:tcPr>
                <w:p w14:paraId="484A572A">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p>
              </w:tc>
              <w:tc>
                <w:tcPr>
                  <w:tcW w:w="484" w:type="pct"/>
                  <w:tcBorders>
                    <w:tl2br w:val="nil"/>
                    <w:tr2bl w:val="nil"/>
                  </w:tcBorders>
                  <w:vAlign w:val="center"/>
                </w:tcPr>
                <w:p w14:paraId="451F1A7A">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去除效率</w:t>
                  </w:r>
                </w:p>
              </w:tc>
              <w:tc>
                <w:tcPr>
                  <w:tcW w:w="4252" w:type="pct"/>
                  <w:gridSpan w:val="8"/>
                  <w:tcBorders>
                    <w:tl2br w:val="nil"/>
                    <w:tr2bl w:val="nil"/>
                  </w:tcBorders>
                  <w:vAlign w:val="center"/>
                </w:tcPr>
                <w:p w14:paraId="738668EF">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0%</w:t>
                  </w:r>
                </w:p>
              </w:tc>
            </w:tr>
            <w:tr w14:paraId="1D838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0E206193">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排放浓度（mg/m</w:t>
                  </w:r>
                  <w:r>
                    <w:rPr>
                      <w:rFonts w:hint="default" w:ascii="Times New Roman" w:hAnsi="Times New Roman" w:eastAsia="宋体" w:cs="Times New Roman"/>
                      <w:b/>
                      <w:bCs w:val="0"/>
                      <w:color w:val="auto"/>
                      <w:kern w:val="0"/>
                      <w:szCs w:val="21"/>
                      <w:highlight w:val="none"/>
                      <w:vertAlign w:val="superscript"/>
                      <w:lang w:val="en-US" w:eastAsia="zh-CN"/>
                    </w:rPr>
                    <w:t>3</w:t>
                  </w:r>
                  <w:r>
                    <w:rPr>
                      <w:rFonts w:hint="default" w:ascii="Times New Roman" w:hAnsi="Times New Roman" w:eastAsia="宋体" w:cs="Times New Roman"/>
                      <w:b/>
                      <w:bCs w:val="0"/>
                      <w:color w:val="auto"/>
                      <w:kern w:val="0"/>
                      <w:szCs w:val="21"/>
                      <w:highlight w:val="none"/>
                      <w:lang w:val="en-US" w:eastAsia="zh-CN"/>
                    </w:rPr>
                    <w:t>）</w:t>
                  </w:r>
                </w:p>
              </w:tc>
              <w:tc>
                <w:tcPr>
                  <w:tcW w:w="747" w:type="pct"/>
                  <w:tcBorders>
                    <w:tl2br w:val="nil"/>
                    <w:tr2bl w:val="nil"/>
                  </w:tcBorders>
                  <w:vAlign w:val="center"/>
                </w:tcPr>
                <w:p w14:paraId="5A286689">
                  <w:pPr>
                    <w:adjustRightInd w:val="0"/>
                    <w:snapToGrid w:val="0"/>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175.67</w:t>
                  </w:r>
                </w:p>
              </w:tc>
              <w:tc>
                <w:tcPr>
                  <w:tcW w:w="523" w:type="pct"/>
                  <w:tcBorders>
                    <w:tl2br w:val="nil"/>
                    <w:tr2bl w:val="nil"/>
                  </w:tcBorders>
                  <w:vAlign w:val="center"/>
                </w:tcPr>
                <w:p w14:paraId="7D80C9B2">
                  <w:pPr>
                    <w:adjustRightInd w:val="0"/>
                    <w:snapToGrid w:val="0"/>
                    <w:jc w:val="center"/>
                    <w:rPr>
                      <w:rFonts w:hint="default" w:eastAsia="宋体" w:cs="Times New Roman"/>
                      <w:bCs/>
                      <w:color w:val="auto"/>
                      <w:kern w:val="0"/>
                      <w:szCs w:val="21"/>
                      <w:highlight w:val="none"/>
                      <w:lang w:val="en-US" w:eastAsia="zh-CN"/>
                    </w:rPr>
                  </w:pPr>
                  <w:r>
                    <w:rPr>
                      <w:rFonts w:hint="eastAsia" w:cs="Times New Roman"/>
                      <w:bCs/>
                      <w:color w:val="auto"/>
                      <w:kern w:val="0"/>
                      <w:szCs w:val="21"/>
                      <w:highlight w:val="none"/>
                      <w:lang w:val="en-US" w:eastAsia="zh-CN"/>
                    </w:rPr>
                    <w:t>1.488</w:t>
                  </w:r>
                </w:p>
              </w:tc>
              <w:tc>
                <w:tcPr>
                  <w:tcW w:w="521" w:type="pct"/>
                  <w:tcBorders>
                    <w:tl2br w:val="nil"/>
                    <w:tr2bl w:val="nil"/>
                  </w:tcBorders>
                  <w:vAlign w:val="center"/>
                </w:tcPr>
                <w:p w14:paraId="76AB54B6">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2.5</w:t>
                  </w:r>
                </w:p>
              </w:tc>
              <w:tc>
                <w:tcPr>
                  <w:tcW w:w="392" w:type="pct"/>
                  <w:tcBorders>
                    <w:tl2br w:val="nil"/>
                    <w:tr2bl w:val="nil"/>
                  </w:tcBorders>
                  <w:vAlign w:val="center"/>
                </w:tcPr>
                <w:p w14:paraId="62E56928">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237.5</w:t>
                  </w:r>
                </w:p>
              </w:tc>
              <w:tc>
                <w:tcPr>
                  <w:tcW w:w="556" w:type="pct"/>
                  <w:tcBorders>
                    <w:tl2br w:val="nil"/>
                    <w:tr2bl w:val="nil"/>
                  </w:tcBorders>
                  <w:vAlign w:val="center"/>
                </w:tcPr>
                <w:p w14:paraId="7B8116CB">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28.82</w:t>
                  </w:r>
                </w:p>
              </w:tc>
              <w:tc>
                <w:tcPr>
                  <w:tcW w:w="492" w:type="pct"/>
                  <w:tcBorders>
                    <w:tl2br w:val="nil"/>
                    <w:tr2bl w:val="nil"/>
                  </w:tcBorders>
                  <w:shd w:val="clear" w:color="auto" w:fill="auto"/>
                  <w:vAlign w:val="center"/>
                </w:tcPr>
                <w:p w14:paraId="351731E9">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0.67925</w:t>
                  </w:r>
                </w:p>
              </w:tc>
              <w:tc>
                <w:tcPr>
                  <w:tcW w:w="523" w:type="pct"/>
                  <w:tcBorders>
                    <w:tl2br w:val="nil"/>
                    <w:tr2bl w:val="nil"/>
                  </w:tcBorders>
                  <w:shd w:val="clear" w:color="auto" w:fill="auto"/>
                  <w:vAlign w:val="center"/>
                </w:tcPr>
                <w:p w14:paraId="09EB37C1">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0.1235</w:t>
                  </w:r>
                </w:p>
              </w:tc>
              <w:tc>
                <w:tcPr>
                  <w:tcW w:w="496" w:type="pct"/>
                  <w:tcBorders>
                    <w:tl2br w:val="nil"/>
                    <w:tr2bl w:val="nil"/>
                  </w:tcBorders>
                  <w:shd w:val="clear" w:color="auto" w:fill="auto"/>
                  <w:vAlign w:val="center"/>
                </w:tcPr>
                <w:p w14:paraId="60072F42">
                  <w:pPr>
                    <w:adjustRightInd w:val="0"/>
                    <w:snapToGrid w:val="0"/>
                    <w:jc w:val="center"/>
                    <w:rPr>
                      <w:rFonts w:hint="default" w:cs="Times New Roman"/>
                      <w:bCs/>
                      <w:color w:val="auto"/>
                      <w:kern w:val="0"/>
                      <w:szCs w:val="21"/>
                      <w:highlight w:val="none"/>
                      <w:lang w:val="en-US" w:eastAsia="zh-CN"/>
                    </w:rPr>
                  </w:pPr>
                  <w:r>
                    <w:rPr>
                      <w:rFonts w:hint="eastAsia" w:cs="Times New Roman"/>
                      <w:bCs/>
                      <w:color w:val="auto"/>
                      <w:kern w:val="0"/>
                      <w:szCs w:val="21"/>
                      <w:highlight w:val="none"/>
                      <w:lang w:val="en-US" w:eastAsia="zh-CN"/>
                    </w:rPr>
                    <w:t>18.4015</w:t>
                  </w:r>
                </w:p>
              </w:tc>
            </w:tr>
            <w:tr w14:paraId="0D562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1518DF75">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排放速率（kg/h）</w:t>
                  </w:r>
                </w:p>
              </w:tc>
              <w:tc>
                <w:tcPr>
                  <w:tcW w:w="747" w:type="pct"/>
                  <w:tcBorders>
                    <w:tl2br w:val="nil"/>
                    <w:tr2bl w:val="nil"/>
                  </w:tcBorders>
                  <w:shd w:val="clear" w:color="auto" w:fill="auto"/>
                  <w:vAlign w:val="center"/>
                </w:tcPr>
                <w:p w14:paraId="00097E63">
                  <w:pPr>
                    <w:adjustRightInd w:val="0"/>
                    <w:snapToGrid w:val="0"/>
                    <w:jc w:val="center"/>
                    <w:rPr>
                      <w:rFonts w:hint="default" w:ascii="Times New Roman" w:hAnsi="Times New Roman" w:cs="Times New Roman"/>
                      <w:bCs/>
                      <w:color w:val="auto"/>
                      <w:kern w:val="0"/>
                      <w:szCs w:val="21"/>
                      <w:highlight w:val="none"/>
                      <w:lang w:val="en-US" w:eastAsia="zh-CN"/>
                    </w:rPr>
                  </w:pPr>
                  <w:r>
                    <w:rPr>
                      <w:rFonts w:hint="eastAsia" w:ascii="Times New Roman" w:hAnsi="Times New Roman" w:cs="Times New Roman"/>
                      <w:bCs/>
                      <w:color w:val="auto"/>
                      <w:kern w:val="0"/>
                      <w:szCs w:val="21"/>
                      <w:highlight w:val="none"/>
                      <w:lang w:val="en-US" w:eastAsia="zh-CN"/>
                    </w:rPr>
                    <w:t>1.7567</w:t>
                  </w:r>
                </w:p>
              </w:tc>
              <w:tc>
                <w:tcPr>
                  <w:tcW w:w="523" w:type="pct"/>
                  <w:tcBorders>
                    <w:tl2br w:val="nil"/>
                    <w:tr2bl w:val="nil"/>
                  </w:tcBorders>
                  <w:shd w:val="clear" w:color="auto" w:fill="auto"/>
                  <w:vAlign w:val="center"/>
                </w:tcPr>
                <w:p w14:paraId="0B60732D">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cs="Times New Roman"/>
                      <w:bCs/>
                      <w:color w:val="auto"/>
                      <w:kern w:val="0"/>
                      <w:szCs w:val="21"/>
                      <w:highlight w:val="none"/>
                      <w:lang w:val="en-US" w:eastAsia="zh-CN"/>
                    </w:rPr>
                    <w:t>0.01488</w:t>
                  </w:r>
                </w:p>
              </w:tc>
              <w:tc>
                <w:tcPr>
                  <w:tcW w:w="521" w:type="pct"/>
                  <w:tcBorders>
                    <w:tl2br w:val="nil"/>
                    <w:tr2bl w:val="nil"/>
                  </w:tcBorders>
                  <w:shd w:val="clear" w:color="auto" w:fill="auto"/>
                  <w:vAlign w:val="center"/>
                </w:tcPr>
                <w:p w14:paraId="6546404A">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0.025</w:t>
                  </w:r>
                </w:p>
              </w:tc>
              <w:tc>
                <w:tcPr>
                  <w:tcW w:w="392" w:type="pct"/>
                  <w:tcBorders>
                    <w:tl2br w:val="nil"/>
                    <w:tr2bl w:val="nil"/>
                  </w:tcBorders>
                  <w:shd w:val="clear" w:color="auto" w:fill="auto"/>
                  <w:vAlign w:val="center"/>
                </w:tcPr>
                <w:p w14:paraId="2681B99D">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2.375</w:t>
                  </w:r>
                </w:p>
              </w:tc>
              <w:tc>
                <w:tcPr>
                  <w:tcW w:w="556" w:type="pct"/>
                  <w:tcBorders>
                    <w:tl2br w:val="nil"/>
                    <w:tr2bl w:val="nil"/>
                  </w:tcBorders>
                  <w:shd w:val="clear" w:color="auto" w:fill="auto"/>
                  <w:vAlign w:val="center"/>
                </w:tcPr>
                <w:p w14:paraId="0DC0B332">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0.2882</w:t>
                  </w:r>
                </w:p>
              </w:tc>
              <w:tc>
                <w:tcPr>
                  <w:tcW w:w="492" w:type="pct"/>
                  <w:tcBorders>
                    <w:tl2br w:val="nil"/>
                    <w:tr2bl w:val="nil"/>
                  </w:tcBorders>
                  <w:shd w:val="clear" w:color="auto" w:fill="auto"/>
                  <w:vAlign w:val="center"/>
                </w:tcPr>
                <w:p w14:paraId="19DE0471">
                  <w:pPr>
                    <w:keepNext w:val="0"/>
                    <w:keepLines w:val="0"/>
                    <w:widowControl/>
                    <w:suppressLineNumbers w:val="0"/>
                    <w:jc w:val="right"/>
                    <w:textAlignment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0.0067925</w:t>
                  </w:r>
                </w:p>
              </w:tc>
              <w:tc>
                <w:tcPr>
                  <w:tcW w:w="523" w:type="pct"/>
                  <w:tcBorders>
                    <w:tl2br w:val="nil"/>
                    <w:tr2bl w:val="nil"/>
                  </w:tcBorders>
                  <w:shd w:val="clear" w:color="auto" w:fill="auto"/>
                  <w:vAlign w:val="center"/>
                </w:tcPr>
                <w:p w14:paraId="0A2AF539">
                  <w:pPr>
                    <w:keepNext w:val="0"/>
                    <w:keepLines w:val="0"/>
                    <w:widowControl/>
                    <w:suppressLineNumbers w:val="0"/>
                    <w:jc w:val="right"/>
                    <w:textAlignment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0.001235</w:t>
                  </w:r>
                </w:p>
              </w:tc>
              <w:tc>
                <w:tcPr>
                  <w:tcW w:w="496" w:type="pct"/>
                  <w:tcBorders>
                    <w:tl2br w:val="nil"/>
                    <w:tr2bl w:val="nil"/>
                  </w:tcBorders>
                  <w:shd w:val="clear" w:color="auto" w:fill="auto"/>
                  <w:vAlign w:val="center"/>
                </w:tcPr>
                <w:p w14:paraId="6EA147F4">
                  <w:pPr>
                    <w:keepNext w:val="0"/>
                    <w:keepLines w:val="0"/>
                    <w:widowControl/>
                    <w:suppressLineNumbers w:val="0"/>
                    <w:jc w:val="right"/>
                    <w:textAlignment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eastAsia="宋体" w:cs="Times New Roman"/>
                      <w:bCs/>
                      <w:color w:val="auto"/>
                      <w:kern w:val="0"/>
                      <w:sz w:val="21"/>
                      <w:szCs w:val="21"/>
                      <w:highlight w:val="none"/>
                      <w:lang w:val="en-US" w:eastAsia="zh-CN" w:bidi="ar-SA"/>
                    </w:rPr>
                    <w:t>0.184015</w:t>
                  </w:r>
                </w:p>
              </w:tc>
            </w:tr>
            <w:tr w14:paraId="46839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7702AE26">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排放口编号</w:t>
                  </w:r>
                </w:p>
              </w:tc>
              <w:tc>
                <w:tcPr>
                  <w:tcW w:w="747" w:type="pct"/>
                  <w:tcBorders>
                    <w:tl2br w:val="nil"/>
                    <w:tr2bl w:val="nil"/>
                  </w:tcBorders>
                  <w:shd w:val="clear" w:color="auto" w:fill="auto"/>
                  <w:vAlign w:val="center"/>
                </w:tcPr>
                <w:p w14:paraId="57355559">
                  <w:pPr>
                    <w:pStyle w:val="33"/>
                    <w:adjustRightInd w:val="0"/>
                    <w:snapToGrid w:val="0"/>
                    <w:spacing w:line="240" w:lineRule="auto"/>
                    <w:ind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cs="Times New Roman"/>
                      <w:bCs/>
                      <w:color w:val="auto"/>
                      <w:kern w:val="0"/>
                      <w:sz w:val="21"/>
                      <w:szCs w:val="21"/>
                      <w:lang w:val="en-US" w:eastAsia="zh-CN"/>
                    </w:rPr>
                    <w:t>DA001</w:t>
                  </w:r>
                </w:p>
              </w:tc>
              <w:tc>
                <w:tcPr>
                  <w:tcW w:w="1045" w:type="pct"/>
                  <w:gridSpan w:val="2"/>
                  <w:tcBorders>
                    <w:tl2br w:val="nil"/>
                    <w:tr2bl w:val="nil"/>
                  </w:tcBorders>
                  <w:shd w:val="clear" w:color="auto" w:fill="auto"/>
                  <w:vAlign w:val="center"/>
                </w:tcPr>
                <w:p w14:paraId="32898A6B">
                  <w:pPr>
                    <w:pStyle w:val="33"/>
                    <w:adjustRightInd w:val="0"/>
                    <w:snapToGrid w:val="0"/>
                    <w:spacing w:line="240" w:lineRule="auto"/>
                    <w:ind w:firstLine="0" w:firstLineChars="0"/>
                    <w:jc w:val="center"/>
                    <w:rPr>
                      <w:rFonts w:hint="eastAsia"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DA002</w:t>
                  </w:r>
                </w:p>
              </w:tc>
              <w:tc>
                <w:tcPr>
                  <w:tcW w:w="2459" w:type="pct"/>
                  <w:gridSpan w:val="5"/>
                  <w:tcBorders>
                    <w:tl2br w:val="nil"/>
                    <w:tr2bl w:val="nil"/>
                  </w:tcBorders>
                  <w:shd w:val="clear" w:color="auto" w:fill="auto"/>
                  <w:vAlign w:val="center"/>
                </w:tcPr>
                <w:p w14:paraId="36EB0F26">
                  <w:pPr>
                    <w:pStyle w:val="33"/>
                    <w:adjustRightInd w:val="0"/>
                    <w:snapToGrid w:val="0"/>
                    <w:spacing w:line="240" w:lineRule="auto"/>
                    <w:ind w:firstLine="0" w:firstLineChars="0"/>
                    <w:jc w:val="center"/>
                    <w:rPr>
                      <w:rFonts w:hint="eastAsia" w:ascii="Times New Roman" w:hAnsi="Times New Roman" w:cs="Times New Roman"/>
                      <w:bCs/>
                      <w:color w:val="auto"/>
                      <w:kern w:val="0"/>
                      <w:sz w:val="21"/>
                      <w:szCs w:val="21"/>
                      <w:lang w:val="en-US" w:eastAsia="zh-CN"/>
                    </w:rPr>
                  </w:pPr>
                  <w:r>
                    <w:rPr>
                      <w:rFonts w:hint="eastAsia" w:ascii="Times New Roman" w:hAnsi="Times New Roman" w:cs="Times New Roman"/>
                      <w:bCs/>
                      <w:color w:val="auto"/>
                      <w:kern w:val="0"/>
                      <w:sz w:val="21"/>
                      <w:szCs w:val="21"/>
                      <w:lang w:val="en-US" w:eastAsia="zh-CN"/>
                    </w:rPr>
                    <w:t>DA003</w:t>
                  </w:r>
                </w:p>
              </w:tc>
            </w:tr>
            <w:tr w14:paraId="230D3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3AC7A7E4">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频次</w:t>
                  </w:r>
                </w:p>
              </w:tc>
              <w:tc>
                <w:tcPr>
                  <w:tcW w:w="4252" w:type="pct"/>
                  <w:gridSpan w:val="8"/>
                  <w:tcBorders>
                    <w:tl2br w:val="nil"/>
                    <w:tr2bl w:val="nil"/>
                  </w:tcBorders>
                  <w:vAlign w:val="center"/>
                </w:tcPr>
                <w:p w14:paraId="77D90AFF">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1次/年</w:t>
                  </w:r>
                </w:p>
              </w:tc>
            </w:tr>
            <w:tr w14:paraId="02EAB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47" w:type="pct"/>
                  <w:gridSpan w:val="2"/>
                  <w:tcBorders>
                    <w:tl2br w:val="nil"/>
                    <w:tr2bl w:val="nil"/>
                  </w:tcBorders>
                  <w:vAlign w:val="center"/>
                </w:tcPr>
                <w:p w14:paraId="12DAA857">
                  <w:pPr>
                    <w:adjustRightInd w:val="0"/>
                    <w:snapToGrid w:val="0"/>
                    <w:jc w:val="center"/>
                    <w:rPr>
                      <w:rFonts w:hint="default" w:ascii="Times New Roman" w:hAnsi="Times New Roman" w:eastAsia="宋体" w:cs="Times New Roman"/>
                      <w:b/>
                      <w:bCs w:val="0"/>
                      <w:color w:val="auto"/>
                      <w:kern w:val="0"/>
                      <w:szCs w:val="21"/>
                      <w:highlight w:val="none"/>
                      <w:lang w:val="en-US" w:eastAsia="zh-CN"/>
                    </w:rPr>
                  </w:pPr>
                  <w:r>
                    <w:rPr>
                      <w:rFonts w:hint="default" w:ascii="Times New Roman" w:hAnsi="Times New Roman" w:eastAsia="宋体" w:cs="Times New Roman"/>
                      <w:b/>
                      <w:bCs w:val="0"/>
                      <w:color w:val="auto"/>
                      <w:kern w:val="0"/>
                      <w:szCs w:val="21"/>
                      <w:highlight w:val="none"/>
                      <w:lang w:val="en-US" w:eastAsia="zh-CN"/>
                    </w:rPr>
                    <w:t>持续时间</w:t>
                  </w:r>
                </w:p>
              </w:tc>
              <w:tc>
                <w:tcPr>
                  <w:tcW w:w="4252" w:type="pct"/>
                  <w:gridSpan w:val="8"/>
                  <w:tcBorders>
                    <w:tl2br w:val="nil"/>
                    <w:tr2bl w:val="nil"/>
                  </w:tcBorders>
                  <w:vAlign w:val="center"/>
                </w:tcPr>
                <w:p w14:paraId="75983A29">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1h</w:t>
                  </w:r>
                </w:p>
              </w:tc>
            </w:tr>
          </w:tbl>
          <w:p w14:paraId="4F635706">
            <w:pPr>
              <w:snapToGrid/>
              <w:spacing w:line="360" w:lineRule="auto"/>
              <w:ind w:left="0" w:leftChars="0" w:firstLine="482" w:firstLineChars="200"/>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b/>
                <w:bCs w:val="0"/>
                <w:color w:val="auto"/>
                <w:sz w:val="24"/>
                <w:szCs w:val="24"/>
                <w:highlight w:val="none"/>
                <w:lang w:val="en-US" w:eastAsia="zh-CN"/>
              </w:rPr>
              <w:t>1.4</w:t>
            </w:r>
            <w:r>
              <w:rPr>
                <w:rFonts w:hint="eastAsia" w:ascii="Times New Roman" w:hAnsi="Times New Roman" w:eastAsia="宋体" w:cs="Times New Roman"/>
                <w:b/>
                <w:bCs w:val="0"/>
                <w:color w:val="auto"/>
                <w:sz w:val="24"/>
                <w:szCs w:val="24"/>
                <w:highlight w:val="none"/>
              </w:rPr>
              <w:t>废气污染防治措施可行性及其影响分析</w:t>
            </w:r>
          </w:p>
          <w:p w14:paraId="106E549D">
            <w:pPr>
              <w:pStyle w:val="31"/>
              <w:wordWrap w:val="0"/>
              <w:ind w:firstLine="480"/>
              <w:rPr>
                <w:rFonts w:eastAsiaTheme="minorEastAsia"/>
                <w:b/>
                <w:bCs w:val="0"/>
                <w:color w:val="auto"/>
                <w:sz w:val="24"/>
                <w:vertAlign w:val="baseline"/>
              </w:rPr>
            </w:pPr>
            <w:r>
              <w:rPr>
                <w:rFonts w:hint="eastAsia" w:ascii="Times New Roman" w:hAnsi="Times New Roman" w:cs="Times New Roman" w:eastAsiaTheme="minorEastAsia"/>
                <w:color w:val="auto"/>
                <w:kern w:val="0"/>
                <w:sz w:val="24"/>
                <w:lang w:val="en-US" w:eastAsia="zh-CN" w:bidi="ar"/>
              </w:rPr>
              <w:t>项目在混料机进料口上方设置集气罩及研磨超细的粉粒则是进入旋风分离器后</w:t>
            </w:r>
            <w:r>
              <w:rPr>
                <w:rFonts w:hint="default" w:ascii="Times New Roman" w:hAnsi="Times New Roman" w:cs="Times New Roman" w:eastAsiaTheme="minorEastAsia"/>
                <w:color w:val="auto"/>
                <w:kern w:val="0"/>
                <w:sz w:val="24"/>
                <w:lang w:val="en-US" w:eastAsia="zh-CN" w:bidi="ar"/>
              </w:rPr>
              <w:t>，进入</w:t>
            </w:r>
            <w:r>
              <w:rPr>
                <w:rFonts w:hint="eastAsia" w:ascii="Times New Roman" w:hAnsi="Times New Roman" w:cs="Times New Roman" w:eastAsiaTheme="minorEastAsia"/>
                <w:color w:val="auto"/>
                <w:kern w:val="0"/>
                <w:sz w:val="24"/>
                <w:lang w:val="en-US" w:eastAsia="zh-CN" w:bidi="ar"/>
              </w:rPr>
              <w:t>同一套滤筒</w:t>
            </w:r>
            <w:r>
              <w:rPr>
                <w:rFonts w:hint="default" w:ascii="Times New Roman" w:hAnsi="Times New Roman" w:cs="Times New Roman" w:eastAsiaTheme="minorEastAsia"/>
                <w:color w:val="auto"/>
                <w:kern w:val="0"/>
                <w:sz w:val="24"/>
                <w:lang w:val="en-US" w:eastAsia="zh-CN" w:bidi="ar"/>
              </w:rPr>
              <w:t>除尘系统</w:t>
            </w:r>
            <w:r>
              <w:rPr>
                <w:rFonts w:hint="eastAsia" w:ascii="Times New Roman" w:hAnsi="Times New Roman" w:cs="Times New Roman" w:eastAsiaTheme="minorEastAsia"/>
                <w:color w:val="auto"/>
                <w:kern w:val="0"/>
                <w:sz w:val="24"/>
                <w:lang w:val="en-US" w:eastAsia="zh-CN" w:bidi="ar"/>
              </w:rPr>
              <w:t>处理</w:t>
            </w:r>
            <w:r>
              <w:rPr>
                <w:rFonts w:hint="default" w:ascii="Times New Roman" w:hAnsi="Times New Roman" w:cs="Times New Roman" w:eastAsiaTheme="minorEastAsia"/>
                <w:color w:val="auto"/>
                <w:kern w:val="0"/>
                <w:sz w:val="24"/>
                <w:lang w:val="en-US" w:eastAsia="zh-CN" w:bidi="ar"/>
              </w:rPr>
              <w:t>，处理后经15m高</w:t>
            </w:r>
            <w:r>
              <w:rPr>
                <w:rFonts w:hint="eastAsia" w:ascii="Times New Roman" w:hAnsi="Times New Roman" w:cs="Times New Roman" w:eastAsiaTheme="minorEastAsia"/>
                <w:color w:val="auto"/>
                <w:kern w:val="0"/>
                <w:sz w:val="24"/>
                <w:lang w:val="en-US" w:eastAsia="zh-CN" w:bidi="ar"/>
              </w:rPr>
              <w:t>排气筒</w:t>
            </w:r>
            <w:r>
              <w:rPr>
                <w:rFonts w:hint="default" w:ascii="Times New Roman" w:hAnsi="Times New Roman" w:cs="Times New Roman" w:eastAsiaTheme="minorEastAsia"/>
                <w:color w:val="auto"/>
                <w:kern w:val="0"/>
                <w:sz w:val="24"/>
                <w:lang w:val="en-US" w:eastAsia="zh-CN" w:bidi="ar"/>
              </w:rPr>
              <w:t>P1有组织达标排放</w:t>
            </w:r>
            <w:r>
              <w:rPr>
                <w:rFonts w:hint="eastAsia" w:ascii="Times New Roman" w:hAnsi="Times New Roman" w:cs="Times New Roman" w:eastAsiaTheme="minorEastAsia"/>
                <w:color w:val="auto"/>
                <w:kern w:val="0"/>
                <w:sz w:val="24"/>
                <w:lang w:val="en-US" w:eastAsia="zh-CN" w:bidi="ar"/>
              </w:rPr>
              <w:t>；在各挤出机物料出口上方安装集气罩收集后引至二级活性炭吸附装置处理，通过15m</w:t>
            </w:r>
            <w:r>
              <w:rPr>
                <w:rFonts w:hint="default" w:ascii="Times New Roman" w:hAnsi="Times New Roman" w:cs="Times New Roman" w:eastAsiaTheme="minorEastAsia"/>
                <w:color w:val="auto"/>
                <w:kern w:val="0"/>
                <w:sz w:val="24"/>
                <w:lang w:val="en-US" w:eastAsia="zh-CN" w:bidi="ar"/>
              </w:rPr>
              <w:t>高</w:t>
            </w:r>
            <w:r>
              <w:rPr>
                <w:rFonts w:hint="eastAsia" w:ascii="Times New Roman" w:hAnsi="Times New Roman" w:cs="Times New Roman" w:eastAsiaTheme="minorEastAsia"/>
                <w:color w:val="auto"/>
                <w:kern w:val="0"/>
                <w:sz w:val="24"/>
                <w:lang w:val="en-US" w:eastAsia="zh-CN" w:bidi="ar"/>
              </w:rPr>
              <w:t>排气筒</w:t>
            </w:r>
            <w:r>
              <w:rPr>
                <w:rFonts w:hint="default" w:ascii="Times New Roman" w:hAnsi="Times New Roman" w:cs="Times New Roman" w:eastAsiaTheme="minorEastAsia"/>
                <w:color w:val="auto"/>
                <w:kern w:val="0"/>
                <w:sz w:val="24"/>
                <w:lang w:val="en-US" w:eastAsia="zh-CN" w:bidi="ar"/>
              </w:rPr>
              <w:t>P</w:t>
            </w:r>
            <w:r>
              <w:rPr>
                <w:rFonts w:hint="eastAsia" w:ascii="Times New Roman" w:hAnsi="Times New Roman" w:cs="Times New Roman" w:eastAsiaTheme="minorEastAsia"/>
                <w:color w:val="auto"/>
                <w:kern w:val="0"/>
                <w:sz w:val="24"/>
                <w:lang w:val="en-US" w:eastAsia="zh-CN" w:bidi="ar"/>
              </w:rPr>
              <w:t>2</w:t>
            </w:r>
            <w:r>
              <w:rPr>
                <w:rFonts w:hint="default" w:ascii="Times New Roman" w:hAnsi="Times New Roman" w:cs="Times New Roman" w:eastAsiaTheme="minorEastAsia"/>
                <w:color w:val="auto"/>
                <w:kern w:val="0"/>
                <w:sz w:val="24"/>
                <w:lang w:val="en-US" w:eastAsia="zh-CN" w:bidi="ar"/>
              </w:rPr>
              <w:t>有组织达标排放</w:t>
            </w:r>
            <w:r>
              <w:rPr>
                <w:rFonts w:hint="eastAsia" w:ascii="Times New Roman" w:hAnsi="Times New Roman" w:cs="Times New Roman" w:eastAsiaTheme="minorEastAsia"/>
                <w:color w:val="auto"/>
                <w:kern w:val="0"/>
                <w:sz w:val="24"/>
                <w:lang w:val="en-US" w:eastAsia="zh-CN" w:bidi="ar"/>
              </w:rPr>
              <w:t>；电泳有机废气经电泳槽上部设置包围型集气罩收集后引至二级活性炭吸附装置处理，通过15m</w:t>
            </w:r>
            <w:r>
              <w:rPr>
                <w:rFonts w:hint="default" w:ascii="Times New Roman" w:hAnsi="Times New Roman" w:cs="Times New Roman" w:eastAsiaTheme="minorEastAsia"/>
                <w:color w:val="auto"/>
                <w:kern w:val="0"/>
                <w:sz w:val="24"/>
                <w:lang w:val="en-US" w:eastAsia="zh-CN" w:bidi="ar"/>
              </w:rPr>
              <w:t>高</w:t>
            </w:r>
            <w:r>
              <w:rPr>
                <w:rFonts w:hint="eastAsia" w:ascii="Times New Roman" w:hAnsi="Times New Roman" w:cs="Times New Roman" w:eastAsiaTheme="minorEastAsia"/>
                <w:color w:val="auto"/>
                <w:kern w:val="0"/>
                <w:sz w:val="24"/>
                <w:lang w:val="en-US" w:eastAsia="zh-CN" w:bidi="ar"/>
              </w:rPr>
              <w:t>排气筒</w:t>
            </w:r>
            <w:r>
              <w:rPr>
                <w:rFonts w:hint="default" w:ascii="Times New Roman" w:hAnsi="Times New Roman" w:cs="Times New Roman" w:eastAsiaTheme="minorEastAsia"/>
                <w:color w:val="auto"/>
                <w:kern w:val="0"/>
                <w:sz w:val="24"/>
                <w:lang w:val="en-US" w:eastAsia="zh-CN" w:bidi="ar"/>
              </w:rPr>
              <w:t>P</w:t>
            </w:r>
            <w:r>
              <w:rPr>
                <w:rFonts w:hint="eastAsia" w:ascii="Times New Roman" w:hAnsi="Times New Roman" w:cs="Times New Roman" w:eastAsiaTheme="minorEastAsia"/>
                <w:color w:val="auto"/>
                <w:kern w:val="0"/>
                <w:sz w:val="24"/>
                <w:lang w:val="en-US" w:eastAsia="zh-CN" w:bidi="ar"/>
              </w:rPr>
              <w:t>2</w:t>
            </w:r>
            <w:r>
              <w:rPr>
                <w:rFonts w:hint="default" w:ascii="Times New Roman" w:hAnsi="Times New Roman" w:cs="Times New Roman" w:eastAsiaTheme="minorEastAsia"/>
                <w:color w:val="auto"/>
                <w:kern w:val="0"/>
                <w:sz w:val="24"/>
                <w:lang w:val="en-US" w:eastAsia="zh-CN" w:bidi="ar"/>
              </w:rPr>
              <w:t>排放</w:t>
            </w:r>
            <w:r>
              <w:rPr>
                <w:rFonts w:hint="eastAsia" w:ascii="Times New Roman" w:hAnsi="Times New Roman" w:cs="Times New Roman" w:eastAsiaTheme="minorEastAsia"/>
                <w:color w:val="auto"/>
                <w:kern w:val="0"/>
                <w:sz w:val="24"/>
                <w:lang w:val="en-US" w:eastAsia="zh-CN" w:bidi="ar"/>
              </w:rPr>
              <w:t>；</w:t>
            </w:r>
            <w:r>
              <w:rPr>
                <w:rFonts w:hint="default" w:ascii="Times New Roman" w:hAnsi="Times New Roman" w:cs="Times New Roman" w:eastAsiaTheme="minorEastAsia"/>
                <w:color w:val="auto"/>
                <w:kern w:val="0"/>
                <w:sz w:val="24"/>
                <w:lang w:val="en-US" w:eastAsia="zh-CN" w:bidi="ar"/>
              </w:rPr>
              <w:t>喷粉作业在单独的密闭喷粉室内进行，塑粉经过喷枪充电后喷出，没有附着工件的粉末由喷粉室配备的</w:t>
            </w:r>
            <w:r>
              <w:rPr>
                <w:rFonts w:hint="eastAsia" w:ascii="Times New Roman" w:hAnsi="Times New Roman" w:cs="Times New Roman" w:eastAsiaTheme="minorEastAsia"/>
                <w:color w:val="auto"/>
                <w:kern w:val="0"/>
                <w:sz w:val="24"/>
                <w:lang w:val="en-US" w:eastAsia="zh-CN" w:bidi="ar"/>
              </w:rPr>
              <w:t>旋风+布袋除尘</w:t>
            </w:r>
            <w:r>
              <w:rPr>
                <w:rFonts w:hint="default" w:ascii="Times New Roman" w:hAnsi="Times New Roman" w:cs="Times New Roman" w:eastAsiaTheme="minorEastAsia"/>
                <w:color w:val="auto"/>
                <w:kern w:val="0"/>
                <w:sz w:val="24"/>
                <w:lang w:val="en-US" w:eastAsia="zh-CN" w:bidi="ar"/>
              </w:rPr>
              <w:t>装置收集处理，处理后的废气经15m排气筒P</w:t>
            </w:r>
            <w:r>
              <w:rPr>
                <w:rFonts w:hint="eastAsia" w:ascii="Times New Roman" w:hAnsi="Times New Roman" w:cs="Times New Roman" w:eastAsiaTheme="minorEastAsia"/>
                <w:color w:val="auto"/>
                <w:kern w:val="0"/>
                <w:sz w:val="24"/>
                <w:lang w:val="en-US" w:eastAsia="zh-CN" w:bidi="ar"/>
              </w:rPr>
              <w:t>3</w:t>
            </w:r>
            <w:r>
              <w:rPr>
                <w:rFonts w:hint="default" w:ascii="Times New Roman" w:hAnsi="Times New Roman" w:cs="Times New Roman" w:eastAsiaTheme="minorEastAsia"/>
                <w:color w:val="auto"/>
                <w:kern w:val="0"/>
                <w:sz w:val="24"/>
                <w:lang w:val="en-US" w:eastAsia="zh-CN" w:bidi="ar"/>
              </w:rPr>
              <w:t>有组织达标排放</w:t>
            </w:r>
            <w:r>
              <w:rPr>
                <w:rFonts w:hint="eastAsia" w:ascii="Times New Roman" w:hAnsi="Times New Roman" w:cs="Times New Roman" w:eastAsiaTheme="minorEastAsia"/>
                <w:color w:val="auto"/>
                <w:kern w:val="0"/>
                <w:sz w:val="24"/>
                <w:lang w:val="en-US" w:eastAsia="zh-CN" w:bidi="ar"/>
              </w:rPr>
              <w:t>；固化废气在烘道出入口设置集气罩+软帘收集，收集后的废气由管道进入二级活性炭吸附装置，</w:t>
            </w:r>
            <w:r>
              <w:rPr>
                <w:rFonts w:hint="default" w:ascii="Times New Roman" w:hAnsi="Times New Roman" w:cs="Times New Roman" w:eastAsiaTheme="minorEastAsia"/>
                <w:color w:val="auto"/>
                <w:kern w:val="0"/>
                <w:sz w:val="24"/>
                <w:lang w:val="en-US" w:eastAsia="zh-CN" w:bidi="ar"/>
              </w:rPr>
              <w:t>处理后的废气经15m排气筒P</w:t>
            </w:r>
            <w:r>
              <w:rPr>
                <w:rFonts w:hint="eastAsia" w:ascii="Times New Roman" w:hAnsi="Times New Roman" w:cs="Times New Roman" w:eastAsiaTheme="minorEastAsia"/>
                <w:color w:val="auto"/>
                <w:kern w:val="0"/>
                <w:sz w:val="24"/>
                <w:lang w:val="en-US" w:eastAsia="zh-CN" w:bidi="ar"/>
              </w:rPr>
              <w:t>3</w:t>
            </w:r>
            <w:r>
              <w:rPr>
                <w:rFonts w:hint="default" w:ascii="Times New Roman" w:hAnsi="Times New Roman" w:cs="Times New Roman" w:eastAsiaTheme="minorEastAsia"/>
                <w:color w:val="auto"/>
                <w:kern w:val="0"/>
                <w:sz w:val="24"/>
                <w:lang w:val="en-US" w:eastAsia="zh-CN" w:bidi="ar"/>
              </w:rPr>
              <w:t>有组织达标排放</w:t>
            </w:r>
            <w:r>
              <w:rPr>
                <w:rFonts w:hint="eastAsia" w:ascii="Times New Roman" w:hAnsi="Times New Roman" w:cs="Times New Roman" w:eastAsiaTheme="minorEastAsia"/>
                <w:color w:val="auto"/>
                <w:kern w:val="0"/>
                <w:sz w:val="24"/>
                <w:lang w:val="en-US" w:eastAsia="zh-CN" w:bidi="ar"/>
              </w:rPr>
              <w:t>；热</w:t>
            </w:r>
          </w:p>
        </w:tc>
      </w:tr>
    </w:tbl>
    <w:p w14:paraId="5423DC44">
      <w:pPr>
        <w:rPr>
          <w:b/>
          <w:bCs/>
          <w:lang w:val="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8"/>
        <w:gridCol w:w="7964"/>
      </w:tblGrid>
      <w:tr w14:paraId="2975A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44" w:hRule="atLeast"/>
        </w:trPr>
        <w:tc>
          <w:tcPr>
            <w:tcW w:w="558" w:type="dxa"/>
            <w:tcBorders>
              <w:tl2br w:val="nil"/>
              <w:tr2bl w:val="nil"/>
            </w:tcBorders>
          </w:tcPr>
          <w:p w14:paraId="0265DD16">
            <w:pPr>
              <w:rPr>
                <w:b/>
                <w:bCs/>
                <w:vertAlign w:val="baseline"/>
                <w:lang w:val="zh-CN"/>
              </w:rPr>
            </w:pPr>
          </w:p>
        </w:tc>
        <w:tc>
          <w:tcPr>
            <w:tcW w:w="7964" w:type="dxa"/>
            <w:tcBorders>
              <w:tl2br w:val="nil"/>
              <w:tr2bl w:val="nil"/>
            </w:tcBorders>
          </w:tcPr>
          <w:p w14:paraId="7F186D28">
            <w:pPr>
              <w:pStyle w:val="31"/>
              <w:wordWrap w:val="0"/>
              <w:ind w:left="0" w:leftChars="0" w:firstLine="0" w:firstLineChars="0"/>
              <w:rPr>
                <w:rFonts w:hint="eastAsia" w:ascii="Times New Roman" w:hAnsi="Times New Roman" w:cs="Times New Roman" w:eastAsiaTheme="minorEastAsia"/>
                <w:color w:val="auto"/>
                <w:kern w:val="0"/>
                <w:sz w:val="24"/>
                <w:szCs w:val="24"/>
                <w:lang w:val="en-US" w:eastAsia="zh-CN" w:bidi="ar"/>
              </w:rPr>
            </w:pPr>
            <w:r>
              <w:rPr>
                <w:rFonts w:hint="eastAsia" w:ascii="Times New Roman" w:hAnsi="Times New Roman" w:cs="Times New Roman" w:eastAsiaTheme="minorEastAsia"/>
                <w:color w:val="auto"/>
                <w:kern w:val="0"/>
                <w:sz w:val="24"/>
                <w:szCs w:val="24"/>
                <w:lang w:val="en-US" w:eastAsia="zh-CN" w:bidi="ar"/>
              </w:rPr>
              <w:t>风炉产生的废气直接进入固化烘道，烘道出入口设置集气罩+软帘收集，收集后的废气由管道进入旋风除尘器+布袋除尘器+二级活性炭吸附装置，</w:t>
            </w:r>
            <w:r>
              <w:rPr>
                <w:rFonts w:hint="default" w:ascii="Times New Roman" w:hAnsi="Times New Roman" w:cs="Times New Roman" w:eastAsiaTheme="minorEastAsia"/>
                <w:color w:val="auto"/>
                <w:kern w:val="0"/>
                <w:sz w:val="24"/>
                <w:szCs w:val="24"/>
                <w:lang w:val="en-US" w:eastAsia="zh-CN" w:bidi="ar"/>
              </w:rPr>
              <w:t>处理后的废气经15m排气筒P</w:t>
            </w:r>
            <w:r>
              <w:rPr>
                <w:rFonts w:hint="eastAsia" w:ascii="Times New Roman" w:hAnsi="Times New Roman" w:cs="Times New Roman" w:eastAsiaTheme="minorEastAsia"/>
                <w:color w:val="auto"/>
                <w:kern w:val="0"/>
                <w:sz w:val="24"/>
                <w:szCs w:val="24"/>
                <w:lang w:val="en-US" w:eastAsia="zh-CN" w:bidi="ar"/>
              </w:rPr>
              <w:t>3</w:t>
            </w:r>
            <w:r>
              <w:rPr>
                <w:rFonts w:hint="default" w:ascii="Times New Roman" w:hAnsi="Times New Roman" w:cs="Times New Roman" w:eastAsiaTheme="minorEastAsia"/>
                <w:color w:val="auto"/>
                <w:kern w:val="0"/>
                <w:sz w:val="24"/>
                <w:szCs w:val="24"/>
                <w:lang w:val="en-US" w:eastAsia="zh-CN" w:bidi="ar"/>
              </w:rPr>
              <w:t>有组织达标排放</w:t>
            </w:r>
            <w:r>
              <w:rPr>
                <w:rFonts w:hint="eastAsia" w:ascii="Times New Roman" w:hAnsi="Times New Roman" w:cs="Times New Roman" w:eastAsiaTheme="minorEastAsia"/>
                <w:color w:val="auto"/>
                <w:kern w:val="0"/>
                <w:sz w:val="24"/>
                <w:szCs w:val="24"/>
                <w:lang w:val="en-US" w:eastAsia="zh-CN" w:bidi="ar"/>
              </w:rPr>
              <w:t>。</w:t>
            </w:r>
          </w:p>
          <w:p w14:paraId="29F0A1DA">
            <w:pPr>
              <w:pStyle w:val="31"/>
              <w:wordWrap w:val="0"/>
              <w:ind w:left="0" w:leftChars="0" w:firstLine="480" w:firstLineChars="20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各工序产生的废气经治理后，排放浓度满足</w:t>
            </w:r>
            <w:r>
              <w:rPr>
                <w:rFonts w:hint="default" w:ascii="Times New Roman" w:hAnsi="Times New Roman" w:cs="Times New Roman" w:eastAsiaTheme="minorEastAsia"/>
                <w:color w:val="auto"/>
                <w:lang w:val="en-US" w:eastAsia="zh-CN"/>
              </w:rPr>
              <w:t>《重污染天气重点行业应急减排措施制定技术指南》（环办大气函〔2020〕340号）</w:t>
            </w:r>
            <w:r>
              <w:rPr>
                <w:rFonts w:hint="eastAsia" w:ascii="Times New Roman" w:hAnsi="Times New Roman" w:cs="Times New Roman" w:eastAsiaTheme="minorEastAsia"/>
                <w:color w:val="auto"/>
                <w:lang w:val="en-US" w:eastAsia="zh-CN"/>
              </w:rPr>
              <w:t>《涂料、油墨及胶粘剂工业大气污染物排放标准》</w:t>
            </w:r>
            <w:r>
              <w:rPr>
                <w:rFonts w:hint="default" w:ascii="Times New Roman" w:hAnsi="Times New Roman" w:cs="Times New Roman" w:eastAsiaTheme="minorEastAsia"/>
                <w:color w:val="auto"/>
                <w:lang w:val="en-US" w:eastAsia="zh-CN"/>
              </w:rPr>
              <w:t>（GB</w:t>
            </w:r>
            <w:r>
              <w:rPr>
                <w:rFonts w:hint="eastAsia" w:ascii="Times New Roman" w:hAnsi="Times New Roman" w:cs="Times New Roman" w:eastAsiaTheme="minorEastAsia"/>
                <w:color w:val="auto"/>
                <w:lang w:val="en-US" w:eastAsia="zh-CN"/>
              </w:rPr>
              <w:t>37824-2019</w:t>
            </w: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lang w:val="zh-CN" w:eastAsia="zh-CN"/>
              </w:rPr>
              <w:t>《大气污染物综合排放标准》（GB16297-1996）</w:t>
            </w:r>
            <w:r>
              <w:rPr>
                <w:rFonts w:hint="default" w:ascii="Times New Roman" w:hAnsi="Times New Roman" w:cs="Times New Roman" w:eastAsiaTheme="minorEastAsia"/>
                <w:color w:val="auto"/>
                <w:lang w:val="en-US" w:eastAsia="zh-CN"/>
              </w:rPr>
              <w:t>《关于印发〈工业炉窑大气污染综合治理方案〉》的通知（环大气〔2019〕56号）</w:t>
            </w:r>
            <w:r>
              <w:rPr>
                <w:rFonts w:hint="eastAsia" w:ascii="Times New Roman" w:hAnsi="Times New Roman" w:cs="Times New Roman" w:eastAsiaTheme="minorEastAsia"/>
                <w:color w:val="auto"/>
                <w:lang w:val="en-US" w:eastAsia="zh-CN"/>
              </w:rPr>
              <w:t>排放限值要求；车间内废气无组织排放浓度满足《大气污染物综合排放标准》（GB16297-1996）</w:t>
            </w:r>
            <w:r>
              <w:rPr>
                <w:rFonts w:hint="default" w:ascii="Times New Roman" w:hAnsi="Times New Roman" w:cs="Times New Roman" w:eastAsiaTheme="minorEastAsia"/>
                <w:color w:val="auto"/>
                <w:lang w:val="en-US" w:eastAsia="zh-CN"/>
              </w:rPr>
              <w:t>《重污染天气重点行业应急减排措施制定技术指南》（环办大气函〔2020〕340号）</w:t>
            </w:r>
            <w:r>
              <w:rPr>
                <w:rFonts w:hint="default" w:ascii="Times New Roman" w:hAnsi="Times New Roman" w:cs="Times New Roman" w:eastAsiaTheme="minorEastAsia"/>
                <w:color w:val="auto"/>
                <w:lang w:val="zh-CN" w:eastAsia="zh-CN"/>
              </w:rPr>
              <w:t>《挥发性有机物无组织排放控制标准》（GB37822-2019）</w:t>
            </w:r>
            <w:r>
              <w:rPr>
                <w:rFonts w:hint="default" w:ascii="Times New Roman" w:hAnsi="Times New Roman" w:cs="Times New Roman" w:eastAsiaTheme="minorEastAsia"/>
                <w:color w:val="auto"/>
                <w:lang w:val="en-US" w:eastAsia="zh-CN"/>
              </w:rPr>
              <w:t>《关于印发〈工业炉窑大气污染综合治理方案〉》的通知（环大气〔2019〕56号）</w:t>
            </w:r>
            <w:r>
              <w:rPr>
                <w:rFonts w:hint="eastAsia" w:ascii="Times New Roman" w:hAnsi="Times New Roman" w:cs="Times New Roman" w:eastAsiaTheme="minorEastAsia"/>
                <w:color w:val="auto"/>
                <w:lang w:val="en-US" w:eastAsia="zh-CN"/>
              </w:rPr>
              <w:t>中无组织排放的相关要求，可实现达标排放。对大气环境保护目标影响较小，对环境空气影响可接受。</w:t>
            </w:r>
          </w:p>
          <w:p w14:paraId="4BEDEDC4">
            <w:pPr>
              <w:pStyle w:val="31"/>
              <w:wordWrap w:val="0"/>
              <w:ind w:left="0" w:leftChars="0" w:firstLine="480" w:firstLineChars="200"/>
              <w:rPr>
                <w:rFonts w:hint="eastAsia"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本项目废气处理技术均属于《排放源统计调查产排污核算方法和系数手册》末端治理技术中的可行技术。</w:t>
            </w:r>
          </w:p>
          <w:p w14:paraId="23E1D40E">
            <w:pPr>
              <w:snapToGrid/>
              <w:spacing w:line="360" w:lineRule="auto"/>
              <w:ind w:left="0" w:leftChars="0"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w:t>
            </w:r>
            <w:r>
              <w:rPr>
                <w:rFonts w:hint="default" w:ascii="Times New Roman" w:hAnsi="Times New Roman" w:eastAsia="宋体" w:cs="Times New Roman"/>
                <w:b/>
                <w:color w:val="auto"/>
                <w:sz w:val="24"/>
                <w:highlight w:val="none"/>
                <w:lang w:eastAsia="zh-CN"/>
              </w:rPr>
              <w:t>.</w:t>
            </w:r>
            <w:r>
              <w:rPr>
                <w:rFonts w:hint="eastAsia"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监测计划</w:t>
            </w:r>
          </w:p>
          <w:p w14:paraId="5BC5E245">
            <w:pPr>
              <w:snapToGrid/>
              <w:spacing w:line="360" w:lineRule="auto"/>
              <w:ind w:firstLine="480" w:firstLineChars="200"/>
              <w:rPr>
                <w:rFonts w:hint="default" w:ascii="Times New Roman" w:hAnsi="Times New Roman" w:eastAsia="宋体" w:cs="Times New Roman"/>
                <w:color w:val="auto"/>
                <w:sz w:val="24"/>
                <w:szCs w:val="22"/>
                <w:highlight w:val="none"/>
              </w:rPr>
            </w:pPr>
            <w:r>
              <w:rPr>
                <w:rFonts w:hint="default" w:ascii="Times New Roman" w:hAnsi="Times New Roman" w:eastAsia="宋体" w:cs="Times New Roman"/>
                <w:color w:val="auto"/>
                <w:sz w:val="24"/>
                <w:szCs w:val="22"/>
                <w:highlight w:val="none"/>
              </w:rPr>
              <w:t>监测工作可由企业自身完成，企业如不具备工作条件，可安排资金委托有资质单位完成，根据项目运营期的环境污染特点</w:t>
            </w:r>
            <w:r>
              <w:rPr>
                <w:rFonts w:hint="default" w:ascii="Times New Roman" w:hAnsi="Times New Roman" w:eastAsia="宋体" w:cs="Times New Roman"/>
                <w:color w:val="auto"/>
                <w:sz w:val="24"/>
                <w:szCs w:val="22"/>
                <w:highlight w:val="none"/>
                <w:lang w:eastAsia="zh-CN"/>
              </w:rPr>
              <w:t>、《排污单位自行监测技术指南总则》（HJ819-2017）</w:t>
            </w:r>
            <w:r>
              <w:rPr>
                <w:rFonts w:hint="default" w:ascii="Times New Roman" w:hAnsi="Times New Roman" w:eastAsia="宋体" w:cs="Times New Roman"/>
                <w:color w:val="auto"/>
                <w:sz w:val="24"/>
                <w:szCs w:val="22"/>
                <w:highlight w:val="none"/>
              </w:rPr>
              <w:t>《排污单位自行监测技术指南 涂装》（HJ1086-2020</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《排污单位自行监测技术指南 涂料油墨制造》（HJ1087-2020）等相关规定要求，制定了污染源监测计划表</w:t>
            </w:r>
            <w:r>
              <w:rPr>
                <w:rFonts w:hint="default" w:ascii="Times New Roman" w:hAnsi="Times New Roman" w:eastAsia="宋体" w:cs="Times New Roman"/>
                <w:color w:val="auto"/>
                <w:sz w:val="24"/>
                <w:szCs w:val="22"/>
                <w:highlight w:val="none"/>
                <w:lang w:eastAsia="zh-CN"/>
              </w:rPr>
              <w:t>，</w:t>
            </w:r>
            <w:r>
              <w:rPr>
                <w:rFonts w:hint="default" w:ascii="Times New Roman" w:hAnsi="Times New Roman" w:eastAsia="宋体" w:cs="Times New Roman"/>
                <w:color w:val="auto"/>
                <w:sz w:val="24"/>
                <w:szCs w:val="22"/>
                <w:highlight w:val="none"/>
              </w:rPr>
              <w:t>具体内容如下：</w:t>
            </w:r>
          </w:p>
          <w:p w14:paraId="7A0BA087">
            <w:pPr>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lang w:val="en-US" w:eastAsia="zh-CN"/>
              </w:rPr>
              <w:t>3</w:t>
            </w:r>
            <w:r>
              <w:rPr>
                <w:rFonts w:eastAsiaTheme="minorEastAsia"/>
                <w:b/>
                <w:bCs/>
                <w:color w:val="auto"/>
                <w:szCs w:val="21"/>
              </w:rPr>
              <w:t xml:space="preserve">  项目废气监测计划表</w:t>
            </w:r>
          </w:p>
          <w:tbl>
            <w:tblPr>
              <w:tblStyle w:val="21"/>
              <w:tblW w:w="77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1"/>
              <w:gridCol w:w="868"/>
              <w:gridCol w:w="2215"/>
              <w:gridCol w:w="887"/>
              <w:gridCol w:w="3057"/>
            </w:tblGrid>
            <w:tr w14:paraId="0F5A7D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51" w:type="dxa"/>
                  <w:tcBorders>
                    <w:tl2br w:val="nil"/>
                    <w:tr2bl w:val="nil"/>
                  </w:tcBorders>
                  <w:vAlign w:val="center"/>
                </w:tcPr>
                <w:p w14:paraId="68BAA086">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color w:val="auto"/>
                      <w:sz w:val="21"/>
                      <w:szCs w:val="21"/>
                    </w:rPr>
                  </w:pPr>
                  <w:r>
                    <w:rPr>
                      <w:rFonts w:eastAsiaTheme="minorEastAsia"/>
                      <w:b/>
                      <w:color w:val="auto"/>
                      <w:sz w:val="21"/>
                      <w:szCs w:val="21"/>
                    </w:rPr>
                    <w:t>监测</w:t>
                  </w:r>
                </w:p>
                <w:p w14:paraId="456B1AF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color w:val="auto"/>
                      <w:sz w:val="21"/>
                      <w:szCs w:val="21"/>
                    </w:rPr>
                  </w:pPr>
                  <w:r>
                    <w:rPr>
                      <w:rFonts w:eastAsiaTheme="minorEastAsia"/>
                      <w:b/>
                      <w:color w:val="auto"/>
                      <w:sz w:val="21"/>
                      <w:szCs w:val="21"/>
                    </w:rPr>
                    <w:t>指标</w:t>
                  </w:r>
                </w:p>
              </w:tc>
              <w:tc>
                <w:tcPr>
                  <w:tcW w:w="868" w:type="dxa"/>
                  <w:tcBorders>
                    <w:tl2br w:val="nil"/>
                    <w:tr2bl w:val="nil"/>
                  </w:tcBorders>
                  <w:vAlign w:val="center"/>
                </w:tcPr>
                <w:p w14:paraId="506F2136">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color w:val="auto"/>
                      <w:sz w:val="21"/>
                      <w:szCs w:val="21"/>
                    </w:rPr>
                  </w:pPr>
                  <w:r>
                    <w:rPr>
                      <w:rFonts w:eastAsiaTheme="minorEastAsia"/>
                      <w:b/>
                      <w:color w:val="auto"/>
                      <w:sz w:val="21"/>
                      <w:szCs w:val="21"/>
                    </w:rPr>
                    <w:t>项目</w:t>
                  </w:r>
                </w:p>
              </w:tc>
              <w:tc>
                <w:tcPr>
                  <w:tcW w:w="2215" w:type="dxa"/>
                  <w:tcBorders>
                    <w:tl2br w:val="nil"/>
                    <w:tr2bl w:val="nil"/>
                  </w:tcBorders>
                  <w:vAlign w:val="center"/>
                </w:tcPr>
                <w:p w14:paraId="3E1550B4">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color w:val="auto"/>
                      <w:sz w:val="21"/>
                      <w:szCs w:val="21"/>
                    </w:rPr>
                  </w:pPr>
                  <w:r>
                    <w:rPr>
                      <w:rFonts w:eastAsiaTheme="minorEastAsia"/>
                      <w:b/>
                      <w:color w:val="auto"/>
                      <w:sz w:val="21"/>
                      <w:szCs w:val="21"/>
                    </w:rPr>
                    <w:t>监测点位</w:t>
                  </w:r>
                </w:p>
              </w:tc>
              <w:tc>
                <w:tcPr>
                  <w:tcW w:w="887" w:type="dxa"/>
                  <w:tcBorders>
                    <w:tl2br w:val="nil"/>
                    <w:tr2bl w:val="nil"/>
                  </w:tcBorders>
                  <w:vAlign w:val="center"/>
                </w:tcPr>
                <w:p w14:paraId="7E7FF202">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color w:val="auto"/>
                      <w:sz w:val="21"/>
                      <w:szCs w:val="21"/>
                    </w:rPr>
                  </w:pPr>
                  <w:r>
                    <w:rPr>
                      <w:rFonts w:eastAsiaTheme="minorEastAsia"/>
                      <w:b/>
                      <w:color w:val="auto"/>
                      <w:sz w:val="21"/>
                      <w:szCs w:val="21"/>
                    </w:rPr>
                    <w:t>监测</w:t>
                  </w:r>
                </w:p>
                <w:p w14:paraId="2A66091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color w:val="auto"/>
                      <w:sz w:val="21"/>
                      <w:szCs w:val="21"/>
                    </w:rPr>
                  </w:pPr>
                  <w:r>
                    <w:rPr>
                      <w:rFonts w:hint="eastAsia" w:eastAsiaTheme="minorEastAsia"/>
                      <w:b/>
                      <w:color w:val="auto"/>
                      <w:sz w:val="21"/>
                      <w:szCs w:val="21"/>
                      <w:lang w:val="en-US" w:eastAsia="zh-CN"/>
                    </w:rPr>
                    <w:t>频</w:t>
                  </w:r>
                  <w:r>
                    <w:rPr>
                      <w:rFonts w:eastAsiaTheme="minorEastAsia"/>
                      <w:b/>
                      <w:color w:val="auto"/>
                      <w:sz w:val="21"/>
                      <w:szCs w:val="21"/>
                    </w:rPr>
                    <w:t>次</w:t>
                  </w:r>
                </w:p>
              </w:tc>
              <w:tc>
                <w:tcPr>
                  <w:tcW w:w="3057" w:type="dxa"/>
                  <w:tcBorders>
                    <w:tl2br w:val="nil"/>
                    <w:tr2bl w:val="nil"/>
                  </w:tcBorders>
                  <w:vAlign w:val="center"/>
                </w:tcPr>
                <w:p w14:paraId="562A3F5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b/>
                      <w:color w:val="auto"/>
                      <w:sz w:val="21"/>
                      <w:szCs w:val="21"/>
                    </w:rPr>
                  </w:pPr>
                  <w:r>
                    <w:rPr>
                      <w:rFonts w:eastAsiaTheme="minorEastAsia"/>
                      <w:b/>
                      <w:color w:val="auto"/>
                      <w:sz w:val="21"/>
                      <w:szCs w:val="21"/>
                    </w:rPr>
                    <w:t>执行排放标准</w:t>
                  </w:r>
                </w:p>
              </w:tc>
            </w:tr>
            <w:tr w14:paraId="31705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751" w:type="dxa"/>
                  <w:vMerge w:val="restart"/>
                  <w:tcBorders>
                    <w:tl2br w:val="nil"/>
                    <w:tr2bl w:val="nil"/>
                  </w:tcBorders>
                  <w:vAlign w:val="center"/>
                </w:tcPr>
                <w:p w14:paraId="1C898B9B">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颗粒物</w:t>
                  </w:r>
                </w:p>
              </w:tc>
              <w:tc>
                <w:tcPr>
                  <w:tcW w:w="868" w:type="dxa"/>
                  <w:tcBorders>
                    <w:tl2br w:val="nil"/>
                    <w:tr2bl w:val="nil"/>
                  </w:tcBorders>
                  <w:vAlign w:val="center"/>
                </w:tcPr>
                <w:p w14:paraId="171B0DB4">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Theme="minorEastAsia"/>
                      <w:color w:val="auto"/>
                      <w:sz w:val="21"/>
                      <w:szCs w:val="21"/>
                      <w:lang w:val="en-US" w:eastAsia="zh-CN"/>
                    </w:rPr>
                  </w:pPr>
                  <w:r>
                    <w:rPr>
                      <w:rFonts w:hint="eastAsia" w:eastAsiaTheme="minorEastAsia"/>
                      <w:color w:val="auto"/>
                      <w:sz w:val="21"/>
                      <w:szCs w:val="21"/>
                      <w:lang w:val="en-US" w:eastAsia="zh-CN"/>
                    </w:rPr>
                    <w:t>有组织</w:t>
                  </w:r>
                </w:p>
              </w:tc>
              <w:tc>
                <w:tcPr>
                  <w:tcW w:w="2215" w:type="dxa"/>
                  <w:tcBorders>
                    <w:tl2br w:val="nil"/>
                    <w:tr2bl w:val="nil"/>
                  </w:tcBorders>
                  <w:shd w:val="clear" w:color="auto" w:fill="auto"/>
                  <w:vAlign w:val="center"/>
                </w:tcPr>
                <w:p w14:paraId="7AD1AAB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eastAsiaTheme="minorEastAsia"/>
                      <w:color w:val="auto"/>
                      <w:kern w:val="2"/>
                      <w:sz w:val="21"/>
                      <w:szCs w:val="21"/>
                      <w:lang w:val="en-US" w:eastAsia="zh-CN" w:bidi="ar-SA"/>
                    </w:rPr>
                  </w:pPr>
                  <w:r>
                    <w:rPr>
                      <w:rFonts w:eastAsiaTheme="minorEastAsia"/>
                      <w:color w:val="auto"/>
                      <w:sz w:val="21"/>
                      <w:szCs w:val="21"/>
                    </w:rPr>
                    <w:t>排气筒DA00</w:t>
                  </w:r>
                  <w:r>
                    <w:rPr>
                      <w:rFonts w:hint="eastAsia" w:eastAsiaTheme="minorEastAsia"/>
                      <w:color w:val="auto"/>
                      <w:sz w:val="21"/>
                      <w:szCs w:val="21"/>
                      <w:lang w:val="en-US" w:eastAsia="zh-CN"/>
                    </w:rPr>
                    <w:t>1、</w:t>
                  </w:r>
                  <w:r>
                    <w:rPr>
                      <w:rFonts w:eastAsiaTheme="minorEastAsia"/>
                      <w:color w:val="auto"/>
                      <w:sz w:val="21"/>
                      <w:szCs w:val="21"/>
                    </w:rPr>
                    <w:t>DA00</w:t>
                  </w:r>
                  <w:r>
                    <w:rPr>
                      <w:rFonts w:hint="eastAsia" w:eastAsiaTheme="minorEastAsia"/>
                      <w:color w:val="auto"/>
                      <w:sz w:val="21"/>
                      <w:szCs w:val="21"/>
                      <w:lang w:val="en-US" w:eastAsia="zh-CN"/>
                    </w:rPr>
                    <w:t>3</w:t>
                  </w:r>
                </w:p>
              </w:tc>
              <w:tc>
                <w:tcPr>
                  <w:tcW w:w="887" w:type="dxa"/>
                  <w:tcBorders>
                    <w:tl2br w:val="nil"/>
                    <w:tr2bl w:val="nil"/>
                  </w:tcBorders>
                  <w:shd w:val="clear" w:color="auto" w:fill="auto"/>
                  <w:vAlign w:val="center"/>
                </w:tcPr>
                <w:p w14:paraId="151BFF9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s="Times New Roman" w:eastAsiaTheme="minorEastAsia"/>
                      <w:color w:val="auto"/>
                      <w:kern w:val="2"/>
                      <w:sz w:val="21"/>
                      <w:szCs w:val="21"/>
                      <w:lang w:val="en-US" w:eastAsia="zh-CN" w:bidi="ar-SA"/>
                    </w:rPr>
                  </w:pPr>
                  <w:r>
                    <w:rPr>
                      <w:rFonts w:eastAsiaTheme="minorEastAsia"/>
                      <w:color w:val="auto"/>
                      <w:sz w:val="21"/>
                      <w:szCs w:val="21"/>
                    </w:rPr>
                    <w:t>1次/年</w:t>
                  </w:r>
                </w:p>
              </w:tc>
              <w:tc>
                <w:tcPr>
                  <w:tcW w:w="3057" w:type="dxa"/>
                  <w:vMerge w:val="restart"/>
                  <w:tcBorders>
                    <w:tl2br w:val="nil"/>
                    <w:tr2bl w:val="nil"/>
                  </w:tcBorders>
                  <w:vAlign w:val="center"/>
                </w:tcPr>
                <w:p w14:paraId="375D25E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《大气污染物综合排放标准》（GB16297-1996）</w:t>
                  </w:r>
                  <w:r>
                    <w:rPr>
                      <w:rFonts w:hint="eastAsia" w:ascii="Times New Roman" w:hAnsi="Times New Roman" w:eastAsia="宋体" w:cs="Times New Roman"/>
                      <w:color w:val="auto"/>
                      <w:kern w:val="2"/>
                      <w:sz w:val="21"/>
                      <w:szCs w:val="21"/>
                      <w:highlight w:val="none"/>
                      <w:lang w:val="en-US" w:eastAsia="zh-CN" w:bidi="ar-SA"/>
                    </w:rPr>
                    <w:t>及《涂料、油墨及胶粘剂工业大气污染物排放标准》</w:t>
                  </w:r>
                  <w:r>
                    <w:rPr>
                      <w:rFonts w:hint="default" w:ascii="Times New Roman" w:hAnsi="Times New Roman" w:eastAsia="宋体" w:cs="Times New Roman"/>
                      <w:color w:val="auto"/>
                      <w:kern w:val="2"/>
                      <w:sz w:val="21"/>
                      <w:szCs w:val="21"/>
                      <w:highlight w:val="none"/>
                      <w:lang w:val="en-US" w:eastAsia="zh-CN" w:bidi="ar-SA"/>
                    </w:rPr>
                    <w:t>（GB</w:t>
                  </w:r>
                  <w:r>
                    <w:rPr>
                      <w:rFonts w:hint="eastAsia" w:ascii="Times New Roman" w:hAnsi="Times New Roman" w:eastAsia="宋体" w:cs="Times New Roman"/>
                      <w:color w:val="auto"/>
                      <w:kern w:val="2"/>
                      <w:sz w:val="21"/>
                      <w:szCs w:val="21"/>
                      <w:highlight w:val="none"/>
                      <w:lang w:val="en-US" w:eastAsia="zh-CN" w:bidi="ar-SA"/>
                    </w:rPr>
                    <w:t>37824-2019</w:t>
                  </w:r>
                  <w:r>
                    <w:rPr>
                      <w:rFonts w:hint="default" w:ascii="Times New Roman" w:hAnsi="Times New Roman" w:eastAsia="宋体" w:cs="Times New Roman"/>
                      <w:color w:val="auto"/>
                      <w:kern w:val="2"/>
                      <w:sz w:val="21"/>
                      <w:szCs w:val="21"/>
                      <w:highlight w:val="none"/>
                      <w:lang w:val="en-US" w:eastAsia="zh-CN" w:bidi="ar-SA"/>
                    </w:rPr>
                    <w:t>）表2</w:t>
                  </w:r>
                </w:p>
              </w:tc>
            </w:tr>
            <w:tr w14:paraId="58792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751" w:type="dxa"/>
                  <w:vMerge w:val="continue"/>
                  <w:tcBorders>
                    <w:tl2br w:val="nil"/>
                    <w:tr2bl w:val="nil"/>
                  </w:tcBorders>
                  <w:vAlign w:val="center"/>
                </w:tcPr>
                <w:p w14:paraId="3C5B8F15">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rPr>
                  </w:pPr>
                </w:p>
              </w:tc>
              <w:tc>
                <w:tcPr>
                  <w:tcW w:w="868" w:type="dxa"/>
                  <w:vMerge w:val="restart"/>
                  <w:tcBorders>
                    <w:tl2br w:val="nil"/>
                    <w:tr2bl w:val="nil"/>
                  </w:tcBorders>
                  <w:shd w:val="clear" w:color="auto" w:fill="auto"/>
                  <w:vAlign w:val="center"/>
                </w:tcPr>
                <w:p w14:paraId="6AA387F2">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s="Times New Roman" w:eastAsiaTheme="minorEastAsia"/>
                      <w:b/>
                      <w:color w:val="auto"/>
                      <w:kern w:val="2"/>
                      <w:sz w:val="21"/>
                      <w:szCs w:val="21"/>
                      <w:lang w:val="en-US" w:eastAsia="zh-CN" w:bidi="ar-SA"/>
                    </w:rPr>
                  </w:pPr>
                  <w:r>
                    <w:rPr>
                      <w:rFonts w:eastAsiaTheme="minorEastAsia"/>
                      <w:color w:val="auto"/>
                      <w:sz w:val="21"/>
                      <w:szCs w:val="21"/>
                    </w:rPr>
                    <w:t>无组织</w:t>
                  </w:r>
                </w:p>
              </w:tc>
              <w:tc>
                <w:tcPr>
                  <w:tcW w:w="2215" w:type="dxa"/>
                  <w:tcBorders>
                    <w:tl2br w:val="nil"/>
                    <w:tr2bl w:val="nil"/>
                  </w:tcBorders>
                  <w:shd w:val="clear" w:color="auto" w:fill="auto"/>
                  <w:vAlign w:val="center"/>
                </w:tcPr>
                <w:p w14:paraId="0A0D98A0">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eastAsiaTheme="minorEastAsia"/>
                      <w:b/>
                      <w:color w:val="auto"/>
                      <w:kern w:val="2"/>
                      <w:sz w:val="21"/>
                      <w:szCs w:val="21"/>
                      <w:lang w:val="en-US" w:eastAsia="zh-CN" w:bidi="ar-SA"/>
                    </w:rPr>
                  </w:pPr>
                  <w:r>
                    <w:rPr>
                      <w:rFonts w:eastAsiaTheme="minorEastAsia"/>
                      <w:color w:val="auto"/>
                      <w:sz w:val="21"/>
                      <w:szCs w:val="21"/>
                    </w:rPr>
                    <w:t>厂界（上风向1个点，下风向3个点）</w:t>
                  </w:r>
                </w:p>
              </w:tc>
              <w:tc>
                <w:tcPr>
                  <w:tcW w:w="887" w:type="dxa"/>
                  <w:tcBorders>
                    <w:tl2br w:val="nil"/>
                    <w:tr2bl w:val="nil"/>
                  </w:tcBorders>
                  <w:shd w:val="clear" w:color="auto" w:fill="auto"/>
                  <w:vAlign w:val="center"/>
                </w:tcPr>
                <w:p w14:paraId="179CD638">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s="Times New Roman" w:eastAsiaTheme="minorEastAsia"/>
                      <w:b/>
                      <w:color w:val="auto"/>
                      <w:kern w:val="2"/>
                      <w:sz w:val="21"/>
                      <w:szCs w:val="21"/>
                      <w:lang w:val="en-US" w:eastAsia="zh-CN" w:bidi="ar-SA"/>
                    </w:rPr>
                  </w:pPr>
                  <w:r>
                    <w:rPr>
                      <w:rFonts w:eastAsiaTheme="minorEastAsia"/>
                      <w:color w:val="auto"/>
                      <w:sz w:val="21"/>
                      <w:szCs w:val="21"/>
                    </w:rPr>
                    <w:t>1次/年</w:t>
                  </w:r>
                </w:p>
              </w:tc>
              <w:tc>
                <w:tcPr>
                  <w:tcW w:w="3057" w:type="dxa"/>
                  <w:vMerge w:val="continue"/>
                  <w:tcBorders>
                    <w:tl2br w:val="nil"/>
                    <w:tr2bl w:val="nil"/>
                  </w:tcBorders>
                  <w:vAlign w:val="center"/>
                </w:tcPr>
                <w:p w14:paraId="0FEE932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r>
            <w:tr w14:paraId="346DB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1" w:type="dxa"/>
                  <w:vMerge w:val="continue"/>
                  <w:tcBorders>
                    <w:tl2br w:val="nil"/>
                    <w:tr2bl w:val="nil"/>
                  </w:tcBorders>
                  <w:vAlign w:val="center"/>
                </w:tcPr>
                <w:p w14:paraId="24972C48">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rPr>
                  </w:pPr>
                </w:p>
              </w:tc>
              <w:tc>
                <w:tcPr>
                  <w:tcW w:w="868" w:type="dxa"/>
                  <w:vMerge w:val="continue"/>
                  <w:tcBorders>
                    <w:tl2br w:val="nil"/>
                    <w:tr2bl w:val="nil"/>
                  </w:tcBorders>
                  <w:shd w:val="clear" w:color="auto" w:fill="auto"/>
                  <w:vAlign w:val="center"/>
                </w:tcPr>
                <w:p w14:paraId="0AC2ADB9">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c>
                <w:tcPr>
                  <w:tcW w:w="2215" w:type="dxa"/>
                  <w:tcBorders>
                    <w:tl2br w:val="nil"/>
                    <w:tr2bl w:val="nil"/>
                  </w:tcBorders>
                  <w:shd w:val="clear" w:color="auto" w:fill="auto"/>
                  <w:vAlign w:val="center"/>
                </w:tcPr>
                <w:p w14:paraId="2375F950">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color w:val="auto"/>
                      <w:sz w:val="21"/>
                      <w:szCs w:val="21"/>
                      <w:highlight w:val="none"/>
                      <w:lang w:eastAsia="zh-CN"/>
                    </w:rPr>
                    <w:t>在厂房外设置监控点</w:t>
                  </w:r>
                </w:p>
              </w:tc>
              <w:tc>
                <w:tcPr>
                  <w:tcW w:w="887" w:type="dxa"/>
                  <w:tcBorders>
                    <w:tl2br w:val="nil"/>
                    <w:tr2bl w:val="nil"/>
                  </w:tcBorders>
                  <w:shd w:val="clear" w:color="auto" w:fill="auto"/>
                  <w:vAlign w:val="center"/>
                </w:tcPr>
                <w:p w14:paraId="0E1B122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1次/年</w:t>
                  </w:r>
                </w:p>
              </w:tc>
              <w:tc>
                <w:tcPr>
                  <w:tcW w:w="3057" w:type="dxa"/>
                  <w:tcBorders>
                    <w:tl2br w:val="nil"/>
                    <w:tr2bl w:val="nil"/>
                  </w:tcBorders>
                  <w:vAlign w:val="center"/>
                </w:tcPr>
                <w:p w14:paraId="5B8F64D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zh-CN" w:eastAsia="zh-CN" w:bidi="ar-SA"/>
                    </w:rPr>
                    <w:t>《工业炉窑大气污染物排放标准》（GB9078-1996）表3</w:t>
                  </w:r>
                </w:p>
              </w:tc>
            </w:tr>
            <w:tr w14:paraId="6B64E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51" w:type="dxa"/>
                  <w:vMerge w:val="restart"/>
                  <w:tcBorders>
                    <w:tl2br w:val="nil"/>
                    <w:tr2bl w:val="nil"/>
                  </w:tcBorders>
                  <w:vAlign w:val="center"/>
                </w:tcPr>
                <w:p w14:paraId="0AF5B25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eastAsiaTheme="minorEastAsia"/>
                      <w:color w:val="auto"/>
                      <w:sz w:val="21"/>
                      <w:szCs w:val="21"/>
                      <w:lang w:val="en-US" w:eastAsia="zh-CN"/>
                    </w:rPr>
                  </w:pPr>
                  <w:r>
                    <w:rPr>
                      <w:rFonts w:hint="eastAsia" w:eastAsiaTheme="minorEastAsia"/>
                      <w:color w:val="auto"/>
                      <w:sz w:val="21"/>
                      <w:szCs w:val="21"/>
                      <w:lang w:val="en-US" w:eastAsia="zh-CN"/>
                    </w:rPr>
                    <w:t>非甲烷总烃</w:t>
                  </w:r>
                </w:p>
              </w:tc>
              <w:tc>
                <w:tcPr>
                  <w:tcW w:w="868" w:type="dxa"/>
                  <w:tcBorders>
                    <w:tl2br w:val="nil"/>
                    <w:tr2bl w:val="nil"/>
                  </w:tcBorders>
                  <w:vAlign w:val="center"/>
                </w:tcPr>
                <w:p w14:paraId="7E8BE32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有组织</w:t>
                  </w:r>
                </w:p>
              </w:tc>
              <w:tc>
                <w:tcPr>
                  <w:tcW w:w="2215" w:type="dxa"/>
                  <w:tcBorders>
                    <w:tl2br w:val="nil"/>
                    <w:tr2bl w:val="nil"/>
                  </w:tcBorders>
                  <w:vAlign w:val="center"/>
                </w:tcPr>
                <w:p w14:paraId="657EC403">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rPr>
                  </w:pPr>
                  <w:r>
                    <w:rPr>
                      <w:rFonts w:eastAsiaTheme="minorEastAsia"/>
                      <w:color w:val="auto"/>
                      <w:sz w:val="21"/>
                      <w:szCs w:val="21"/>
                    </w:rPr>
                    <w:t>排气筒DA002</w:t>
                  </w:r>
                  <w:r>
                    <w:rPr>
                      <w:rFonts w:hint="eastAsia" w:eastAsiaTheme="minorEastAsia"/>
                      <w:color w:val="auto"/>
                      <w:sz w:val="21"/>
                      <w:szCs w:val="21"/>
                      <w:lang w:eastAsia="zh-CN"/>
                    </w:rPr>
                    <w:t>、</w:t>
                  </w:r>
                  <w:r>
                    <w:rPr>
                      <w:rFonts w:eastAsiaTheme="minorEastAsia"/>
                      <w:color w:val="auto"/>
                      <w:sz w:val="21"/>
                      <w:szCs w:val="21"/>
                    </w:rPr>
                    <w:t>DA00</w:t>
                  </w:r>
                  <w:r>
                    <w:rPr>
                      <w:rFonts w:hint="eastAsia" w:eastAsiaTheme="minorEastAsia"/>
                      <w:color w:val="auto"/>
                      <w:sz w:val="21"/>
                      <w:szCs w:val="21"/>
                      <w:lang w:val="en-US" w:eastAsia="zh-CN"/>
                    </w:rPr>
                    <w:t>3</w:t>
                  </w:r>
                </w:p>
              </w:tc>
              <w:tc>
                <w:tcPr>
                  <w:tcW w:w="887" w:type="dxa"/>
                  <w:tcBorders>
                    <w:tl2br w:val="nil"/>
                    <w:tr2bl w:val="nil"/>
                  </w:tcBorders>
                  <w:vAlign w:val="center"/>
                </w:tcPr>
                <w:p w14:paraId="0C9458B1">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bCs/>
                      <w:color w:val="auto"/>
                      <w:kern w:val="0"/>
                      <w:szCs w:val="21"/>
                      <w:highlight w:val="none"/>
                    </w:rPr>
                    <w:t>1次/年</w:t>
                  </w:r>
                </w:p>
              </w:tc>
              <w:tc>
                <w:tcPr>
                  <w:tcW w:w="3057" w:type="dxa"/>
                  <w:vMerge w:val="restart"/>
                  <w:tcBorders>
                    <w:tl2br w:val="nil"/>
                    <w:tr2bl w:val="nil"/>
                  </w:tcBorders>
                  <w:vAlign w:val="center"/>
                </w:tcPr>
                <w:p w14:paraId="085B7F1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《重污染天气重点行业应急减排措施制定技术指南》（环办大气函〔2020〕340号）</w:t>
                  </w:r>
                  <w:r>
                    <w:rPr>
                      <w:rFonts w:hint="eastAsia" w:ascii="Times New Roman" w:hAnsi="Times New Roman" w:eastAsia="宋体" w:cs="Times New Roman"/>
                      <w:color w:val="auto"/>
                      <w:kern w:val="2"/>
                      <w:sz w:val="21"/>
                      <w:szCs w:val="21"/>
                      <w:highlight w:val="none"/>
                      <w:lang w:val="en-US" w:eastAsia="zh-CN" w:bidi="ar-SA"/>
                    </w:rPr>
                    <w:t>及《涂料、油墨及胶粘剂工业大气污染物排放标准》</w:t>
                  </w:r>
                  <w:r>
                    <w:rPr>
                      <w:rFonts w:hint="default" w:ascii="Times New Roman" w:hAnsi="Times New Roman" w:eastAsia="宋体" w:cs="Times New Roman"/>
                      <w:color w:val="auto"/>
                      <w:kern w:val="2"/>
                      <w:sz w:val="21"/>
                      <w:szCs w:val="21"/>
                      <w:highlight w:val="none"/>
                      <w:lang w:val="en-US" w:eastAsia="zh-CN" w:bidi="ar-SA"/>
                    </w:rPr>
                    <w:t>（GB</w:t>
                  </w:r>
                  <w:r>
                    <w:rPr>
                      <w:rFonts w:hint="eastAsia" w:ascii="Times New Roman" w:hAnsi="Times New Roman" w:eastAsia="宋体" w:cs="Times New Roman"/>
                      <w:color w:val="auto"/>
                      <w:kern w:val="2"/>
                      <w:sz w:val="21"/>
                      <w:szCs w:val="21"/>
                      <w:highlight w:val="none"/>
                      <w:lang w:val="en-US" w:eastAsia="zh-CN" w:bidi="ar-SA"/>
                    </w:rPr>
                    <w:t>37824-2019</w:t>
                  </w:r>
                  <w:r>
                    <w:rPr>
                      <w:rFonts w:hint="default" w:ascii="Times New Roman" w:hAnsi="Times New Roman" w:eastAsia="宋体" w:cs="Times New Roman"/>
                      <w:color w:val="auto"/>
                      <w:kern w:val="2"/>
                      <w:sz w:val="21"/>
                      <w:szCs w:val="21"/>
                      <w:highlight w:val="none"/>
                      <w:lang w:val="en-US" w:eastAsia="zh-CN" w:bidi="ar-SA"/>
                    </w:rPr>
                    <w:t>）表2</w:t>
                  </w:r>
                </w:p>
              </w:tc>
            </w:tr>
            <w:tr w14:paraId="1E667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751" w:type="dxa"/>
                  <w:vMerge w:val="continue"/>
                  <w:tcBorders>
                    <w:tl2br w:val="nil"/>
                    <w:tr2bl w:val="nil"/>
                  </w:tcBorders>
                  <w:vAlign w:val="center"/>
                </w:tcPr>
                <w:p w14:paraId="7DDCFE62">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c>
                <w:tcPr>
                  <w:tcW w:w="868" w:type="dxa"/>
                  <w:vMerge w:val="restart"/>
                  <w:tcBorders>
                    <w:tl2br w:val="nil"/>
                    <w:tr2bl w:val="nil"/>
                  </w:tcBorders>
                  <w:vAlign w:val="center"/>
                </w:tcPr>
                <w:p w14:paraId="743FA157">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无组织</w:t>
                  </w:r>
                </w:p>
              </w:tc>
              <w:tc>
                <w:tcPr>
                  <w:tcW w:w="2215" w:type="dxa"/>
                  <w:tcBorders>
                    <w:tl2br w:val="nil"/>
                    <w:tr2bl w:val="nil"/>
                  </w:tcBorders>
                  <w:vAlign w:val="center"/>
                </w:tcPr>
                <w:p w14:paraId="0E5FDE47">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厂界</w:t>
                  </w:r>
                  <w:r>
                    <w:rPr>
                      <w:rFonts w:hint="eastAsia" w:eastAsiaTheme="minorEastAsia"/>
                      <w:color w:val="auto"/>
                      <w:sz w:val="21"/>
                      <w:szCs w:val="21"/>
                      <w:lang w:val="en-US" w:eastAsia="zh-CN"/>
                    </w:rPr>
                    <w:t>四周</w:t>
                  </w:r>
                </w:p>
              </w:tc>
              <w:tc>
                <w:tcPr>
                  <w:tcW w:w="887" w:type="dxa"/>
                  <w:tcBorders>
                    <w:tl2br w:val="nil"/>
                    <w:tr2bl w:val="nil"/>
                  </w:tcBorders>
                  <w:vAlign w:val="center"/>
                </w:tcPr>
                <w:p w14:paraId="0D35B25D">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bCs/>
                      <w:color w:val="auto"/>
                      <w:kern w:val="0"/>
                      <w:szCs w:val="21"/>
                      <w:highlight w:val="none"/>
                    </w:rPr>
                    <w:t>1次/年</w:t>
                  </w:r>
                </w:p>
              </w:tc>
              <w:tc>
                <w:tcPr>
                  <w:tcW w:w="3057" w:type="dxa"/>
                  <w:vMerge w:val="continue"/>
                  <w:tcBorders>
                    <w:tl2br w:val="nil"/>
                    <w:tr2bl w:val="nil"/>
                  </w:tcBorders>
                  <w:vAlign w:val="center"/>
                </w:tcPr>
                <w:p w14:paraId="67E5100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p>
              </w:tc>
            </w:tr>
            <w:tr w14:paraId="26ADA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51" w:type="dxa"/>
                  <w:vMerge w:val="continue"/>
                  <w:tcBorders>
                    <w:tl2br w:val="nil"/>
                    <w:tr2bl w:val="nil"/>
                  </w:tcBorders>
                  <w:vAlign w:val="center"/>
                </w:tcPr>
                <w:p w14:paraId="031D9335">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c>
                <w:tcPr>
                  <w:tcW w:w="868" w:type="dxa"/>
                  <w:vMerge w:val="continue"/>
                  <w:tcBorders>
                    <w:tl2br w:val="nil"/>
                    <w:tr2bl w:val="nil"/>
                  </w:tcBorders>
                  <w:vAlign w:val="center"/>
                </w:tcPr>
                <w:p w14:paraId="71D7FB13">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p>
              </w:tc>
              <w:tc>
                <w:tcPr>
                  <w:tcW w:w="2215" w:type="dxa"/>
                  <w:tcBorders>
                    <w:tl2br w:val="nil"/>
                    <w:tr2bl w:val="nil"/>
                  </w:tcBorders>
                  <w:vAlign w:val="center"/>
                </w:tcPr>
                <w:p w14:paraId="188A16B0">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eastAsiaTheme="minorEastAsia"/>
                      <w:color w:val="auto"/>
                      <w:sz w:val="21"/>
                      <w:szCs w:val="21"/>
                      <w:lang w:val="en-US" w:eastAsia="zh-CN"/>
                    </w:rPr>
                  </w:pPr>
                  <w:r>
                    <w:rPr>
                      <w:rFonts w:hint="default" w:ascii="Times New Roman" w:hAnsi="Times New Roman" w:eastAsia="宋体" w:cs="Times New Roman"/>
                      <w:color w:val="auto"/>
                      <w:sz w:val="21"/>
                      <w:szCs w:val="21"/>
                      <w:highlight w:val="none"/>
                      <w:lang w:eastAsia="zh-CN"/>
                    </w:rPr>
                    <w:t>厂房外设置监控点</w:t>
                  </w:r>
                </w:p>
              </w:tc>
              <w:tc>
                <w:tcPr>
                  <w:tcW w:w="887" w:type="dxa"/>
                  <w:tcBorders>
                    <w:tl2br w:val="nil"/>
                    <w:tr2bl w:val="nil"/>
                  </w:tcBorders>
                  <w:vAlign w:val="center"/>
                </w:tcPr>
                <w:p w14:paraId="6D2BAECE">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bCs/>
                      <w:color w:val="auto"/>
                      <w:kern w:val="0"/>
                      <w:szCs w:val="21"/>
                      <w:highlight w:val="none"/>
                    </w:rPr>
                    <w:t>1次/年</w:t>
                  </w:r>
                </w:p>
              </w:tc>
              <w:tc>
                <w:tcPr>
                  <w:tcW w:w="3057" w:type="dxa"/>
                  <w:tcBorders>
                    <w:tl2br w:val="nil"/>
                    <w:tr2bl w:val="nil"/>
                  </w:tcBorders>
                  <w:vAlign w:val="center"/>
                </w:tcPr>
                <w:p w14:paraId="101157B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zh-CN" w:eastAsia="zh-CN" w:bidi="ar-SA"/>
                    </w:rPr>
                    <w:t>《挥发性有机物无组织排放控制标准》（GB37822-2019）附录A中厂区内无组织特别排放限值</w:t>
                  </w:r>
                </w:p>
              </w:tc>
            </w:tr>
            <w:tr w14:paraId="7DBA59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51" w:type="dxa"/>
                  <w:vMerge w:val="restart"/>
                  <w:tcBorders>
                    <w:tl2br w:val="nil"/>
                    <w:tr2bl w:val="nil"/>
                  </w:tcBorders>
                  <w:vAlign w:val="center"/>
                </w:tcPr>
                <w:p w14:paraId="7F22D72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color w:val="auto"/>
                      <w:sz w:val="21"/>
                      <w:szCs w:val="21"/>
                      <w:highlight w:val="none"/>
                      <w:lang w:eastAsia="zh-CN"/>
                    </w:rPr>
                    <w:t>二氧化硫</w:t>
                  </w:r>
                </w:p>
              </w:tc>
              <w:tc>
                <w:tcPr>
                  <w:tcW w:w="868" w:type="dxa"/>
                  <w:tcBorders>
                    <w:tl2br w:val="nil"/>
                    <w:tr2bl w:val="nil"/>
                  </w:tcBorders>
                  <w:vAlign w:val="center"/>
                </w:tcPr>
                <w:p w14:paraId="03840C35">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有组织</w:t>
                  </w:r>
                </w:p>
              </w:tc>
              <w:tc>
                <w:tcPr>
                  <w:tcW w:w="2215" w:type="dxa"/>
                  <w:tcBorders>
                    <w:tl2br w:val="nil"/>
                    <w:tr2bl w:val="nil"/>
                  </w:tcBorders>
                  <w:vAlign w:val="center"/>
                </w:tcPr>
                <w:p w14:paraId="650D11C2">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eastAsiaTheme="minorEastAsia"/>
                      <w:color w:val="auto"/>
                      <w:sz w:val="21"/>
                      <w:szCs w:val="21"/>
                      <w:lang w:eastAsia="zh-CN"/>
                    </w:rPr>
                  </w:pPr>
                  <w:r>
                    <w:rPr>
                      <w:rFonts w:ascii="Times New Roman" w:hAnsi="Times New Roman" w:cs="Times New Roman" w:eastAsiaTheme="minorEastAsia"/>
                      <w:color w:val="auto"/>
                      <w:sz w:val="21"/>
                      <w:szCs w:val="21"/>
                    </w:rPr>
                    <w:t>排气筒DA00</w:t>
                  </w:r>
                  <w:r>
                    <w:rPr>
                      <w:rFonts w:hint="eastAsia" w:ascii="Times New Roman" w:hAnsi="Times New Roman" w:cs="Times New Roman" w:eastAsiaTheme="minorEastAsia"/>
                      <w:color w:val="auto"/>
                      <w:sz w:val="21"/>
                      <w:szCs w:val="21"/>
                      <w:lang w:val="en-US" w:eastAsia="zh-CN"/>
                    </w:rPr>
                    <w:t>3</w:t>
                  </w:r>
                </w:p>
              </w:tc>
              <w:tc>
                <w:tcPr>
                  <w:tcW w:w="887" w:type="dxa"/>
                  <w:tcBorders>
                    <w:tl2br w:val="nil"/>
                    <w:tr2bl w:val="nil"/>
                  </w:tcBorders>
                  <w:vAlign w:val="center"/>
                </w:tcPr>
                <w:p w14:paraId="0F01E802">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1次/年</w:t>
                  </w:r>
                </w:p>
              </w:tc>
              <w:tc>
                <w:tcPr>
                  <w:tcW w:w="3057" w:type="dxa"/>
                  <w:tcBorders>
                    <w:tl2br w:val="nil"/>
                    <w:tr2bl w:val="nil"/>
                  </w:tcBorders>
                  <w:vAlign w:val="center"/>
                </w:tcPr>
                <w:p w14:paraId="07DE256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en-US" w:eastAsia="zh-CN" w:bidi="ar-SA"/>
                    </w:rPr>
                    <w:t>《关于印发〈工业炉窑大气污染综合治理方案〉》的通知（环大气〔2019〕56号）</w:t>
                  </w:r>
                </w:p>
              </w:tc>
            </w:tr>
            <w:tr w14:paraId="00C895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51" w:type="dxa"/>
                  <w:vMerge w:val="continue"/>
                  <w:tcBorders>
                    <w:tl2br w:val="nil"/>
                    <w:tr2bl w:val="nil"/>
                  </w:tcBorders>
                  <w:vAlign w:val="center"/>
                </w:tcPr>
                <w:p w14:paraId="507810F7">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rPr>
                  </w:pPr>
                </w:p>
              </w:tc>
              <w:tc>
                <w:tcPr>
                  <w:tcW w:w="868" w:type="dxa"/>
                  <w:tcBorders>
                    <w:tl2br w:val="nil"/>
                    <w:tr2bl w:val="nil"/>
                  </w:tcBorders>
                  <w:vAlign w:val="center"/>
                </w:tcPr>
                <w:p w14:paraId="7392003C">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无组织</w:t>
                  </w:r>
                </w:p>
              </w:tc>
              <w:tc>
                <w:tcPr>
                  <w:tcW w:w="2215" w:type="dxa"/>
                  <w:tcBorders>
                    <w:tl2br w:val="nil"/>
                    <w:tr2bl w:val="nil"/>
                  </w:tcBorders>
                  <w:vAlign w:val="center"/>
                </w:tcPr>
                <w:p w14:paraId="48E370E3">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厂界四周</w:t>
                  </w:r>
                </w:p>
              </w:tc>
              <w:tc>
                <w:tcPr>
                  <w:tcW w:w="887" w:type="dxa"/>
                  <w:tcBorders>
                    <w:tl2br w:val="nil"/>
                    <w:tr2bl w:val="nil"/>
                  </w:tcBorders>
                  <w:vAlign w:val="center"/>
                </w:tcPr>
                <w:p w14:paraId="4BCF9649">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bCs/>
                      <w:color w:val="auto"/>
                      <w:kern w:val="0"/>
                      <w:szCs w:val="21"/>
                      <w:highlight w:val="none"/>
                    </w:rPr>
                    <w:t>1次/年</w:t>
                  </w:r>
                </w:p>
              </w:tc>
              <w:tc>
                <w:tcPr>
                  <w:tcW w:w="3057" w:type="dxa"/>
                  <w:tcBorders>
                    <w:tl2br w:val="nil"/>
                    <w:tr2bl w:val="nil"/>
                  </w:tcBorders>
                  <w:vAlign w:val="center"/>
                </w:tcPr>
                <w:p w14:paraId="02F01D16">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zh-CN" w:eastAsia="zh-CN" w:bidi="ar-SA"/>
                    </w:rPr>
                    <w:t>《大气污染物综合排放标准》（GB16297-1996）表2（摘录）</w:t>
                  </w:r>
                </w:p>
              </w:tc>
            </w:tr>
            <w:tr w14:paraId="69CA4D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51" w:type="dxa"/>
                  <w:vMerge w:val="restart"/>
                  <w:tcBorders>
                    <w:tl2br w:val="nil"/>
                    <w:tr2bl w:val="nil"/>
                  </w:tcBorders>
                  <w:vAlign w:val="center"/>
                </w:tcPr>
                <w:p w14:paraId="2B3AFFE9">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rPr>
                  </w:pPr>
                  <w:r>
                    <w:rPr>
                      <w:rFonts w:hint="default" w:ascii="Times New Roman" w:hAnsi="Times New Roman" w:eastAsia="宋体" w:cs="Times New Roman"/>
                      <w:color w:val="auto"/>
                      <w:sz w:val="21"/>
                      <w:szCs w:val="21"/>
                      <w:highlight w:val="none"/>
                      <w:lang w:eastAsia="zh-CN"/>
                    </w:rPr>
                    <w:t>氮氧化物</w:t>
                  </w:r>
                </w:p>
              </w:tc>
              <w:tc>
                <w:tcPr>
                  <w:tcW w:w="868" w:type="dxa"/>
                  <w:tcBorders>
                    <w:tl2br w:val="nil"/>
                    <w:tr2bl w:val="nil"/>
                  </w:tcBorders>
                  <w:vAlign w:val="center"/>
                </w:tcPr>
                <w:p w14:paraId="6C7323F6">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有组织</w:t>
                  </w:r>
                </w:p>
              </w:tc>
              <w:tc>
                <w:tcPr>
                  <w:tcW w:w="2215" w:type="dxa"/>
                  <w:tcBorders>
                    <w:tl2br w:val="nil"/>
                    <w:tr2bl w:val="nil"/>
                  </w:tcBorders>
                  <w:vAlign w:val="center"/>
                </w:tcPr>
                <w:p w14:paraId="35D77F77">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Times New Roman" w:hAnsi="Times New Roman" w:cs="Times New Roman" w:eastAsiaTheme="minorEastAsia"/>
                      <w:color w:val="auto"/>
                      <w:sz w:val="21"/>
                      <w:szCs w:val="21"/>
                      <w:lang w:val="en-US" w:eastAsia="zh-CN"/>
                    </w:rPr>
                  </w:pPr>
                  <w:r>
                    <w:rPr>
                      <w:rFonts w:ascii="Times New Roman" w:hAnsi="Times New Roman" w:cs="Times New Roman" w:eastAsiaTheme="minorEastAsia"/>
                      <w:color w:val="auto"/>
                      <w:sz w:val="21"/>
                      <w:szCs w:val="21"/>
                    </w:rPr>
                    <w:t>排气筒DA00</w:t>
                  </w:r>
                  <w:r>
                    <w:rPr>
                      <w:rFonts w:hint="eastAsia" w:ascii="Times New Roman" w:hAnsi="Times New Roman" w:cs="Times New Roman" w:eastAsiaTheme="minorEastAsia"/>
                      <w:color w:val="auto"/>
                      <w:sz w:val="21"/>
                      <w:szCs w:val="21"/>
                      <w:lang w:val="en-US" w:eastAsia="zh-CN"/>
                    </w:rPr>
                    <w:t>3</w:t>
                  </w:r>
                </w:p>
              </w:tc>
              <w:tc>
                <w:tcPr>
                  <w:tcW w:w="887" w:type="dxa"/>
                  <w:tcBorders>
                    <w:tl2br w:val="nil"/>
                    <w:tr2bl w:val="nil"/>
                  </w:tcBorders>
                  <w:vAlign w:val="center"/>
                </w:tcPr>
                <w:p w14:paraId="6F613B64">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bCs/>
                      <w:color w:val="auto"/>
                      <w:kern w:val="0"/>
                      <w:szCs w:val="21"/>
                      <w:highlight w:val="none"/>
                    </w:rPr>
                    <w:t>1次/年</w:t>
                  </w:r>
                </w:p>
              </w:tc>
              <w:tc>
                <w:tcPr>
                  <w:tcW w:w="3057" w:type="dxa"/>
                  <w:tcBorders>
                    <w:tl2br w:val="nil"/>
                    <w:tr2bl w:val="nil"/>
                  </w:tcBorders>
                  <w:vAlign w:val="center"/>
                </w:tcPr>
                <w:p w14:paraId="4503333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en-US" w:eastAsia="zh-CN" w:bidi="ar-SA"/>
                    </w:rPr>
                    <w:t>《关于印发〈工业炉窑大气污染综合治理方案〉》的通知（环大气〔2019〕56号）</w:t>
                  </w:r>
                </w:p>
              </w:tc>
            </w:tr>
            <w:tr w14:paraId="39988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51" w:type="dxa"/>
                  <w:vMerge w:val="continue"/>
                  <w:tcBorders>
                    <w:tl2br w:val="nil"/>
                    <w:tr2bl w:val="nil"/>
                  </w:tcBorders>
                  <w:vAlign w:val="center"/>
                </w:tcPr>
                <w:p w14:paraId="682FB6BE">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color w:val="auto"/>
                    </w:rPr>
                  </w:pPr>
                </w:p>
              </w:tc>
              <w:tc>
                <w:tcPr>
                  <w:tcW w:w="868" w:type="dxa"/>
                  <w:tcBorders>
                    <w:tl2br w:val="nil"/>
                    <w:tr2bl w:val="nil"/>
                  </w:tcBorders>
                  <w:vAlign w:val="center"/>
                </w:tcPr>
                <w:p w14:paraId="35D35062">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eastAsiaTheme="minorEastAsia"/>
                      <w:color w:val="auto"/>
                      <w:sz w:val="21"/>
                      <w:szCs w:val="21"/>
                    </w:rPr>
                    <w:t>无组织</w:t>
                  </w:r>
                </w:p>
              </w:tc>
              <w:tc>
                <w:tcPr>
                  <w:tcW w:w="2215" w:type="dxa"/>
                  <w:tcBorders>
                    <w:tl2br w:val="nil"/>
                    <w:tr2bl w:val="nil"/>
                  </w:tcBorders>
                  <w:vAlign w:val="center"/>
                </w:tcPr>
                <w:p w14:paraId="763412BF">
                  <w:pPr>
                    <w:pStyle w:val="19"/>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厂界四周</w:t>
                  </w:r>
                </w:p>
              </w:tc>
              <w:tc>
                <w:tcPr>
                  <w:tcW w:w="887" w:type="dxa"/>
                  <w:tcBorders>
                    <w:tl2br w:val="nil"/>
                    <w:tr2bl w:val="nil"/>
                  </w:tcBorders>
                  <w:vAlign w:val="center"/>
                </w:tcPr>
                <w:p w14:paraId="5391603D">
                  <w:pPr>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eastAsiaTheme="minorEastAsia"/>
                      <w:color w:val="auto"/>
                      <w:sz w:val="21"/>
                      <w:szCs w:val="21"/>
                    </w:rPr>
                  </w:pPr>
                  <w:r>
                    <w:rPr>
                      <w:rFonts w:hint="default" w:ascii="Times New Roman" w:hAnsi="Times New Roman" w:eastAsia="宋体" w:cs="Times New Roman"/>
                      <w:bCs/>
                      <w:color w:val="auto"/>
                      <w:kern w:val="0"/>
                      <w:szCs w:val="21"/>
                      <w:highlight w:val="none"/>
                    </w:rPr>
                    <w:t>1次/年</w:t>
                  </w:r>
                </w:p>
              </w:tc>
              <w:tc>
                <w:tcPr>
                  <w:tcW w:w="3057" w:type="dxa"/>
                  <w:tcBorders>
                    <w:tl2br w:val="nil"/>
                    <w:tr2bl w:val="nil"/>
                  </w:tcBorders>
                  <w:vAlign w:val="center"/>
                </w:tcPr>
                <w:p w14:paraId="10BA81F7">
                  <w:pPr>
                    <w:pStyle w:val="15"/>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zh-CN" w:eastAsia="zh-CN" w:bidi="ar-SA"/>
                    </w:rPr>
                    <w:t>《大气污染物综合排放标准》（GB16297-1996）表2（摘录）</w:t>
                  </w:r>
                </w:p>
              </w:tc>
            </w:tr>
          </w:tbl>
          <w:p w14:paraId="40CA459F">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eastAsiaTheme="minorEastAsia"/>
                <w:b/>
                <w:color w:val="auto"/>
                <w:sz w:val="24"/>
                <w:szCs w:val="24"/>
              </w:rPr>
            </w:pPr>
            <w:r>
              <w:rPr>
                <w:rFonts w:eastAsiaTheme="minorEastAsia"/>
                <w:b/>
                <w:color w:val="auto"/>
                <w:sz w:val="24"/>
                <w:szCs w:val="24"/>
              </w:rPr>
              <w:t>二、废水</w:t>
            </w:r>
          </w:p>
          <w:p w14:paraId="3453A3D3">
            <w:pPr>
              <w:pStyle w:val="19"/>
              <w:spacing w:after="0" w:line="360" w:lineRule="auto"/>
              <w:ind w:left="0" w:leftChars="0" w:firstLine="482" w:firstLineChars="200"/>
              <w:rPr>
                <w:rFonts w:eastAsiaTheme="minorEastAsia"/>
                <w:b/>
                <w:color w:val="auto"/>
                <w:sz w:val="24"/>
                <w:szCs w:val="24"/>
              </w:rPr>
            </w:pPr>
            <w:r>
              <w:rPr>
                <w:rFonts w:eastAsiaTheme="minorEastAsia"/>
                <w:b/>
                <w:color w:val="auto"/>
                <w:sz w:val="24"/>
                <w:szCs w:val="24"/>
              </w:rPr>
              <w:t>1</w:t>
            </w:r>
            <w:r>
              <w:rPr>
                <w:rFonts w:hint="eastAsia" w:eastAsiaTheme="minorEastAsia"/>
                <w:b/>
                <w:color w:val="auto"/>
                <w:sz w:val="24"/>
                <w:szCs w:val="24"/>
                <w:lang w:val="en-US" w:eastAsia="zh-CN"/>
              </w:rPr>
              <w:t>.</w:t>
            </w:r>
            <w:r>
              <w:rPr>
                <w:rFonts w:eastAsiaTheme="minorEastAsia"/>
                <w:b/>
                <w:color w:val="auto"/>
                <w:sz w:val="24"/>
                <w:szCs w:val="24"/>
              </w:rPr>
              <w:t>废水排放情况分析</w:t>
            </w:r>
          </w:p>
          <w:p w14:paraId="0815139F">
            <w:pPr>
              <w:widowControl/>
              <w:spacing w:line="360" w:lineRule="auto"/>
              <w:ind w:firstLine="480" w:firstLineChars="200"/>
              <w:jc w:val="left"/>
              <w:rPr>
                <w:rFonts w:hint="eastAsia" w:ascii="Times New Roman" w:hAnsi="Times New Roman" w:cs="宋体" w:eastAsiaTheme="minorEastAsia"/>
                <w:color w:val="auto"/>
                <w:kern w:val="0"/>
                <w:sz w:val="24"/>
                <w:szCs w:val="24"/>
                <w:highlight w:val="none"/>
                <w:lang w:eastAsia="zh-CN" w:bidi="ar"/>
              </w:rPr>
            </w:pPr>
            <w:r>
              <w:rPr>
                <w:rFonts w:hint="eastAsia" w:ascii="Times New Roman" w:hAnsi="Times New Roman" w:eastAsia="宋体" w:cs="宋体"/>
                <w:color w:val="auto"/>
                <w:kern w:val="0"/>
                <w:sz w:val="24"/>
                <w:szCs w:val="24"/>
                <w:highlight w:val="none"/>
                <w:lang w:val="en-US" w:eastAsia="zh-CN" w:bidi="ar"/>
              </w:rPr>
              <w:t>纯水制备系统废水产生量为</w:t>
            </w:r>
            <w:r>
              <w:rPr>
                <w:rFonts w:hint="eastAsia" w:cs="宋体"/>
                <w:color w:val="auto"/>
                <w:kern w:val="0"/>
                <w:sz w:val="24"/>
                <w:szCs w:val="24"/>
                <w:highlight w:val="none"/>
                <w:lang w:val="en-US" w:eastAsia="zh-CN" w:bidi="ar"/>
              </w:rPr>
              <w:t>1.17</w:t>
            </w:r>
            <w:r>
              <w:rPr>
                <w:rFonts w:ascii="Times New Roman" w:hAnsi="Times New Roman" w:cs="Times New Roman" w:eastAsiaTheme="minorEastAsia"/>
                <w:color w:val="auto"/>
                <w:sz w:val="24"/>
                <w:szCs w:val="24"/>
                <w:lang w:val="en-US"/>
              </w:rPr>
              <w:t>m</w:t>
            </w:r>
            <w:r>
              <w:rPr>
                <w:rFonts w:ascii="Times New Roman" w:hAnsi="Times New Roman" w:cs="Times New Roman" w:eastAsiaTheme="minorEastAsia"/>
                <w:color w:val="auto"/>
                <w:sz w:val="24"/>
                <w:szCs w:val="24"/>
                <w:vertAlign w:val="superscript"/>
                <w:lang w:val="en-US"/>
              </w:rPr>
              <w:t>3</w:t>
            </w:r>
            <w:r>
              <w:rPr>
                <w:rFonts w:hint="default" w:ascii="Times New Roman" w:hAnsi="Times New Roman" w:eastAsia="宋体" w:cs="宋体"/>
                <w:color w:val="auto"/>
                <w:kern w:val="0"/>
                <w:sz w:val="24"/>
                <w:szCs w:val="24"/>
                <w:highlight w:val="none"/>
                <w:lang w:val="en-US" w:eastAsia="zh-CN" w:bidi="ar"/>
              </w:rPr>
              <w:t>/</w:t>
            </w:r>
            <w:r>
              <w:rPr>
                <w:rFonts w:hint="eastAsia" w:ascii="Times New Roman" w:hAnsi="Times New Roman" w:eastAsia="宋体" w:cs="宋体"/>
                <w:color w:val="auto"/>
                <w:kern w:val="0"/>
                <w:sz w:val="24"/>
                <w:szCs w:val="24"/>
                <w:highlight w:val="none"/>
                <w:lang w:val="en-US" w:eastAsia="zh-CN" w:bidi="ar"/>
              </w:rPr>
              <w:t>d（</w:t>
            </w:r>
            <w:r>
              <w:rPr>
                <w:rFonts w:hint="eastAsia" w:cs="Times New Roman" w:eastAsiaTheme="minorEastAsia"/>
                <w:color w:val="auto"/>
                <w:sz w:val="24"/>
                <w:szCs w:val="24"/>
                <w:lang w:val="en-US" w:eastAsia="zh-CN"/>
              </w:rPr>
              <w:t>351</w:t>
            </w:r>
            <w:r>
              <w:rPr>
                <w:rFonts w:ascii="Times New Roman" w:hAnsi="Times New Roman" w:cs="Times New Roman" w:eastAsiaTheme="minorEastAsia"/>
                <w:color w:val="auto"/>
                <w:sz w:val="24"/>
                <w:szCs w:val="24"/>
                <w:lang w:val="en-US"/>
              </w:rPr>
              <w:t>m</w:t>
            </w:r>
            <w:r>
              <w:rPr>
                <w:rFonts w:ascii="Times New Roman" w:hAnsi="Times New Roman" w:cs="Times New Roman" w:eastAsiaTheme="minorEastAsia"/>
                <w:color w:val="auto"/>
                <w:sz w:val="24"/>
                <w:szCs w:val="24"/>
                <w:vertAlign w:val="superscript"/>
                <w:lang w:val="en-US"/>
              </w:rPr>
              <w:t>3</w:t>
            </w:r>
            <w:r>
              <w:rPr>
                <w:rFonts w:ascii="Times New Roman" w:hAnsi="Times New Roman" w:cs="Times New Roman" w:eastAsiaTheme="minorEastAsia"/>
                <w:color w:val="auto"/>
                <w:sz w:val="24"/>
                <w:szCs w:val="24"/>
                <w:lang w:val="en-US"/>
              </w:rPr>
              <w:t>/a</w:t>
            </w:r>
            <w:r>
              <w:rPr>
                <w:rFonts w:hint="eastAsia" w:ascii="Times New Roman" w:hAnsi="Times New Roman" w:eastAsia="宋体" w:cs="宋体"/>
                <w:color w:val="auto"/>
                <w:kern w:val="0"/>
                <w:sz w:val="24"/>
                <w:szCs w:val="24"/>
                <w:highlight w:val="none"/>
                <w:lang w:val="en-US" w:eastAsia="zh-CN" w:bidi="ar"/>
              </w:rPr>
              <w:t>），</w:t>
            </w:r>
            <w:r>
              <w:rPr>
                <w:rFonts w:hint="default" w:ascii="Times New Roman" w:hAnsi="Times New Roman" w:cs="Times New Roman"/>
                <w:color w:val="auto"/>
                <w:kern w:val="0"/>
                <w:sz w:val="24"/>
                <w:szCs w:val="24"/>
              </w:rPr>
              <w:t>生活</w:t>
            </w:r>
            <w:r>
              <w:rPr>
                <w:rFonts w:hint="eastAsia" w:ascii="Times New Roman" w:hAnsi="Times New Roman" w:cs="Times New Roman"/>
                <w:color w:val="auto"/>
                <w:kern w:val="0"/>
                <w:sz w:val="24"/>
                <w:szCs w:val="24"/>
                <w:lang w:val="en-US" w:eastAsia="zh-CN"/>
              </w:rPr>
              <w:t>污水</w:t>
            </w:r>
            <w:r>
              <w:rPr>
                <w:rFonts w:hint="default" w:ascii="Times New Roman" w:hAnsi="Times New Roman" w:cs="Times New Roman"/>
                <w:color w:val="auto"/>
                <w:kern w:val="0"/>
                <w:sz w:val="24"/>
                <w:szCs w:val="24"/>
              </w:rPr>
              <w:t>产生量为</w:t>
            </w:r>
            <w:r>
              <w:rPr>
                <w:rFonts w:hint="eastAsia" w:ascii="Times New Roman" w:hAnsi="Times New Roman" w:cs="Times New Roman" w:eastAsiaTheme="minorEastAsia"/>
                <w:color w:val="auto"/>
                <w:sz w:val="24"/>
                <w:szCs w:val="24"/>
                <w:lang w:val="en-US"/>
              </w:rPr>
              <w:t>0.</w:t>
            </w:r>
            <w:r>
              <w:rPr>
                <w:rFonts w:hint="eastAsia" w:ascii="Times New Roman" w:hAnsi="Times New Roman" w:cs="Times New Roman" w:eastAsiaTheme="minorEastAsia"/>
                <w:color w:val="auto"/>
                <w:sz w:val="24"/>
                <w:szCs w:val="24"/>
                <w:lang w:val="en-US" w:eastAsia="zh-CN"/>
              </w:rPr>
              <w:t>28</w:t>
            </w:r>
            <w:r>
              <w:rPr>
                <w:rFonts w:ascii="Times New Roman" w:hAnsi="Times New Roman" w:cs="Times New Roman" w:eastAsiaTheme="minorEastAsia"/>
                <w:color w:val="auto"/>
                <w:sz w:val="24"/>
                <w:szCs w:val="24"/>
                <w:lang w:val="en-US"/>
              </w:rPr>
              <w:t>m</w:t>
            </w:r>
            <w:r>
              <w:rPr>
                <w:rFonts w:ascii="Times New Roman" w:hAnsi="Times New Roman" w:cs="Times New Roman" w:eastAsiaTheme="minorEastAsia"/>
                <w:color w:val="auto"/>
                <w:sz w:val="24"/>
                <w:szCs w:val="24"/>
                <w:vertAlign w:val="superscript"/>
                <w:lang w:val="en-US"/>
              </w:rPr>
              <w:t>3</w:t>
            </w:r>
            <w:r>
              <w:rPr>
                <w:rFonts w:ascii="Times New Roman" w:hAnsi="Times New Roman" w:cs="Times New Roman" w:eastAsiaTheme="minorEastAsia"/>
                <w:color w:val="auto"/>
                <w:sz w:val="24"/>
                <w:szCs w:val="24"/>
                <w:lang w:val="en-US"/>
              </w:rPr>
              <w:t>/d（</w:t>
            </w:r>
            <w:r>
              <w:rPr>
                <w:rFonts w:hint="eastAsia" w:ascii="Times New Roman" w:hAnsi="Times New Roman" w:cs="Times New Roman" w:eastAsiaTheme="minorEastAsia"/>
                <w:color w:val="auto"/>
                <w:sz w:val="24"/>
                <w:szCs w:val="24"/>
                <w:lang w:val="en-US" w:eastAsia="zh-CN"/>
              </w:rPr>
              <w:t>84</w:t>
            </w:r>
            <w:r>
              <w:rPr>
                <w:rFonts w:ascii="Times New Roman" w:hAnsi="Times New Roman" w:cs="Times New Roman" w:eastAsiaTheme="minorEastAsia"/>
                <w:color w:val="auto"/>
                <w:sz w:val="24"/>
                <w:szCs w:val="24"/>
                <w:lang w:val="en-US"/>
              </w:rPr>
              <w:t>m</w:t>
            </w:r>
            <w:r>
              <w:rPr>
                <w:rFonts w:ascii="Times New Roman" w:hAnsi="Times New Roman" w:cs="Times New Roman" w:eastAsiaTheme="minorEastAsia"/>
                <w:color w:val="auto"/>
                <w:sz w:val="24"/>
                <w:szCs w:val="24"/>
                <w:vertAlign w:val="superscript"/>
                <w:lang w:val="en-US"/>
              </w:rPr>
              <w:t>3</w:t>
            </w:r>
            <w:r>
              <w:rPr>
                <w:rFonts w:ascii="Times New Roman" w:hAnsi="Times New Roman" w:cs="Times New Roman" w:eastAsiaTheme="minorEastAsia"/>
                <w:color w:val="auto"/>
                <w:sz w:val="24"/>
                <w:szCs w:val="24"/>
                <w:lang w:val="en-US"/>
              </w:rPr>
              <w:t>/a）</w:t>
            </w:r>
            <w:r>
              <w:rPr>
                <w:rFonts w:hint="eastAsia" w:ascii="Times New Roman" w:hAnsi="Times New Roman" w:cs="Times New Roman" w:eastAsiaTheme="minorEastAsia"/>
                <w:color w:val="auto"/>
                <w:sz w:val="24"/>
                <w:szCs w:val="24"/>
                <w:lang w:val="en-US" w:eastAsia="zh-CN"/>
              </w:rPr>
              <w:t>。</w:t>
            </w:r>
            <w:r>
              <w:rPr>
                <w:rFonts w:hint="eastAsia" w:ascii="Times New Roman" w:hAnsi="Times New Roman" w:eastAsia="宋体" w:cs="宋体"/>
                <w:color w:val="auto"/>
                <w:kern w:val="0"/>
                <w:sz w:val="24"/>
                <w:szCs w:val="24"/>
                <w:highlight w:val="none"/>
                <w:lang w:val="en-US" w:eastAsia="zh-CN" w:bidi="ar"/>
              </w:rPr>
              <w:t>纯水制备系统废水与生活污水</w:t>
            </w:r>
            <w:r>
              <w:rPr>
                <w:rFonts w:ascii="Times New Roman" w:hAnsi="Times New Roman" w:cs="Times New Roman" w:eastAsiaTheme="minorEastAsia"/>
                <w:color w:val="auto"/>
                <w:sz w:val="24"/>
                <w:szCs w:val="24"/>
                <w:lang w:val="en-US"/>
              </w:rPr>
              <w:t>进入化粪池沉淀处理后排入</w:t>
            </w:r>
            <w:r>
              <w:rPr>
                <w:rFonts w:hint="eastAsia" w:ascii="Times New Roman" w:hAnsi="Times New Roman" w:cs="Times New Roman" w:eastAsiaTheme="minorEastAsia"/>
                <w:color w:val="auto"/>
                <w:sz w:val="24"/>
                <w:szCs w:val="24"/>
                <w:lang w:val="en-US"/>
              </w:rPr>
              <w:t>沣西新城大王</w:t>
            </w:r>
            <w:r>
              <w:rPr>
                <w:rFonts w:ascii="Times New Roman" w:hAnsi="Times New Roman" w:cs="Times New Roman" w:eastAsiaTheme="minorEastAsia"/>
                <w:color w:val="auto"/>
                <w:sz w:val="24"/>
                <w:szCs w:val="24"/>
                <w:lang w:val="en-US"/>
              </w:rPr>
              <w:t>污水处理厂，经处理达标后排入</w:t>
            </w:r>
            <w:r>
              <w:rPr>
                <w:rFonts w:hint="eastAsia" w:ascii="Times New Roman" w:hAnsi="Times New Roman" w:cs="Times New Roman" w:eastAsiaTheme="minorEastAsia"/>
                <w:color w:val="auto"/>
                <w:sz w:val="24"/>
                <w:szCs w:val="24"/>
                <w:lang w:val="en-US"/>
              </w:rPr>
              <w:t>新河</w:t>
            </w:r>
            <w:r>
              <w:rPr>
                <w:rFonts w:hint="eastAsia" w:ascii="Times New Roman" w:hAnsi="Times New Roman" w:cs="Times New Roman" w:eastAsiaTheme="minorEastAsia"/>
                <w:color w:val="auto"/>
                <w:sz w:val="24"/>
                <w:szCs w:val="24"/>
                <w:lang w:val="en-US" w:eastAsia="zh-CN"/>
              </w:rPr>
              <w:t>。</w:t>
            </w:r>
          </w:p>
          <w:p w14:paraId="22B47528">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废水污染物为COD、BOD</w:t>
            </w:r>
            <w:r>
              <w:rPr>
                <w:rFonts w:hint="default" w:ascii="Times New Roman" w:hAnsi="Times New Roman" w:cs="Times New Roman"/>
                <w:color w:val="auto"/>
                <w:kern w:val="0"/>
                <w:sz w:val="24"/>
                <w:vertAlign w:val="subscript"/>
              </w:rPr>
              <w:t>5</w:t>
            </w:r>
            <w:r>
              <w:rPr>
                <w:rFonts w:hint="default" w:ascii="Times New Roman" w:hAnsi="Times New Roman" w:cs="Times New Roman"/>
                <w:color w:val="auto"/>
                <w:kern w:val="0"/>
                <w:sz w:val="24"/>
              </w:rPr>
              <w:t>、SS、氨氮，其产生浓度分别为320mg/L、160mg/L、200mg/L、25mg/L。</w:t>
            </w:r>
            <w:r>
              <w:rPr>
                <w:rFonts w:hint="eastAsia" w:ascii="Times New Roman" w:hAnsi="Times New Roman" w:eastAsia="宋体" w:cs="Times New Roman"/>
                <w:color w:val="auto"/>
                <w:kern w:val="0"/>
                <w:sz w:val="24"/>
                <w:lang w:val="en-US" w:eastAsia="zh-CN"/>
              </w:rPr>
              <w:t>纯水制备系统废水与生活污水</w:t>
            </w:r>
            <w:r>
              <w:rPr>
                <w:rFonts w:hint="default" w:ascii="Times New Roman" w:hAnsi="Times New Roman" w:eastAsia="宋体" w:cs="Times New Roman"/>
                <w:color w:val="auto"/>
                <w:kern w:val="0"/>
                <w:sz w:val="24"/>
              </w:rPr>
              <w:t>经</w:t>
            </w:r>
            <w:r>
              <w:rPr>
                <w:rFonts w:hint="default" w:ascii="Times New Roman" w:hAnsi="Times New Roman" w:cs="Times New Roman"/>
                <w:color w:val="auto"/>
                <w:kern w:val="0"/>
                <w:sz w:val="24"/>
              </w:rPr>
              <w:t>化粪池处理，达到《污水综合排放标准》（GB8978-1996）三级标准及《污水排入城镇下水道水质标准》（GB/T31962-2015）B级标准的要求后排入沣西新城大王污水处理厂，经处理达标后排入新河。</w:t>
            </w:r>
          </w:p>
          <w:p w14:paraId="4E138953">
            <w:pPr>
              <w:pStyle w:val="19"/>
              <w:spacing w:after="0" w:line="360" w:lineRule="auto"/>
              <w:ind w:left="0" w:leftChars="0" w:firstLine="482"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2</w:t>
            </w:r>
            <w:r>
              <w:rPr>
                <w:rFonts w:hint="eastAsia" w:cs="Times New Roman"/>
                <w:b/>
                <w:bCs/>
                <w:color w:val="auto"/>
                <w:kern w:val="0"/>
                <w:sz w:val="24"/>
                <w:szCs w:val="24"/>
                <w:lang w:val="en-US" w:eastAsia="zh-CN" w:bidi="ar-SA"/>
              </w:rPr>
              <w:t>.</w:t>
            </w:r>
            <w:r>
              <w:rPr>
                <w:rFonts w:hint="default" w:ascii="Times New Roman" w:hAnsi="Times New Roman" w:eastAsia="宋体" w:cs="Times New Roman"/>
                <w:b/>
                <w:bCs/>
                <w:color w:val="auto"/>
                <w:kern w:val="0"/>
                <w:sz w:val="24"/>
                <w:szCs w:val="24"/>
                <w:lang w:val="en-US" w:eastAsia="zh-CN" w:bidi="ar-SA"/>
              </w:rPr>
              <w:t>废水源强核算</w:t>
            </w:r>
          </w:p>
          <w:p w14:paraId="07E3E72C">
            <w:pPr>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lang w:val="en-US" w:eastAsia="zh-CN"/>
              </w:rPr>
              <w:t xml:space="preserve">4  </w:t>
            </w:r>
            <w:r>
              <w:rPr>
                <w:rFonts w:eastAsiaTheme="minorEastAsia"/>
                <w:b/>
                <w:bCs/>
                <w:color w:val="auto"/>
                <w:szCs w:val="21"/>
              </w:rPr>
              <w:t>项目废水产生情况一览表</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2221"/>
              <w:gridCol w:w="983"/>
              <w:gridCol w:w="1085"/>
              <w:gridCol w:w="1085"/>
              <w:gridCol w:w="1087"/>
            </w:tblGrid>
            <w:tr w14:paraId="52E1A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54" w:type="pct"/>
                  <w:gridSpan w:val="2"/>
                  <w:tcBorders>
                    <w:tl2br w:val="nil"/>
                    <w:tr2bl w:val="nil"/>
                  </w:tcBorders>
                  <w:vAlign w:val="center"/>
                </w:tcPr>
                <w:p w14:paraId="6423EEAF">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b/>
                      <w:color w:val="auto"/>
                      <w:szCs w:val="21"/>
                      <w:lang w:val="en-US"/>
                    </w:rPr>
                  </w:pPr>
                  <w:r>
                    <w:rPr>
                      <w:rFonts w:ascii="Times New Roman" w:hAnsi="Times New Roman" w:cs="Times New Roman" w:eastAsiaTheme="minorEastAsia"/>
                      <w:b/>
                      <w:color w:val="auto"/>
                      <w:szCs w:val="21"/>
                      <w:lang w:val="en-US"/>
                    </w:rPr>
                    <w:t>项目</w:t>
                  </w:r>
                </w:p>
              </w:tc>
              <w:tc>
                <w:tcPr>
                  <w:tcW w:w="637" w:type="pct"/>
                  <w:tcBorders>
                    <w:tl2br w:val="nil"/>
                    <w:tr2bl w:val="nil"/>
                  </w:tcBorders>
                  <w:vAlign w:val="center"/>
                </w:tcPr>
                <w:p w14:paraId="53ADB7BC">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b/>
                      <w:color w:val="auto"/>
                      <w:szCs w:val="21"/>
                      <w:lang w:val="en-US"/>
                    </w:rPr>
                  </w:pPr>
                  <w:r>
                    <w:rPr>
                      <w:rFonts w:ascii="Times New Roman" w:hAnsi="Times New Roman" w:cs="Times New Roman" w:eastAsiaTheme="minorEastAsia"/>
                      <w:b/>
                      <w:color w:val="auto"/>
                      <w:szCs w:val="21"/>
                      <w:lang w:val="en-US"/>
                    </w:rPr>
                    <w:t>COD</w:t>
                  </w:r>
                  <w:r>
                    <w:rPr>
                      <w:rFonts w:ascii="Times New Roman" w:hAnsi="Times New Roman" w:cs="Times New Roman" w:eastAsiaTheme="minorEastAsia"/>
                      <w:b/>
                      <w:color w:val="auto"/>
                      <w:szCs w:val="21"/>
                      <w:vertAlign w:val="subscript"/>
                      <w:lang w:val="en-US"/>
                    </w:rPr>
                    <w:t>cr</w:t>
                  </w:r>
                </w:p>
              </w:tc>
              <w:tc>
                <w:tcPr>
                  <w:tcW w:w="703" w:type="pct"/>
                  <w:tcBorders>
                    <w:tl2br w:val="nil"/>
                    <w:tr2bl w:val="nil"/>
                  </w:tcBorders>
                  <w:vAlign w:val="center"/>
                </w:tcPr>
                <w:p w14:paraId="776EC87F">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b/>
                      <w:color w:val="auto"/>
                      <w:szCs w:val="21"/>
                      <w:lang w:val="en-US"/>
                    </w:rPr>
                  </w:pPr>
                  <w:r>
                    <w:rPr>
                      <w:rFonts w:ascii="Times New Roman" w:hAnsi="Times New Roman" w:cs="Times New Roman" w:eastAsiaTheme="minorEastAsia"/>
                      <w:b/>
                      <w:color w:val="auto"/>
                      <w:szCs w:val="21"/>
                      <w:lang w:val="en-US"/>
                    </w:rPr>
                    <w:t>BOD</w:t>
                  </w:r>
                  <w:r>
                    <w:rPr>
                      <w:rFonts w:ascii="Times New Roman" w:hAnsi="Times New Roman" w:cs="Times New Roman" w:eastAsiaTheme="minorEastAsia"/>
                      <w:b/>
                      <w:color w:val="auto"/>
                      <w:szCs w:val="21"/>
                      <w:vertAlign w:val="subscript"/>
                      <w:lang w:val="en-US"/>
                    </w:rPr>
                    <w:t>5</w:t>
                  </w:r>
                </w:p>
              </w:tc>
              <w:tc>
                <w:tcPr>
                  <w:tcW w:w="703" w:type="pct"/>
                  <w:tcBorders>
                    <w:tl2br w:val="nil"/>
                    <w:tr2bl w:val="nil"/>
                  </w:tcBorders>
                  <w:vAlign w:val="center"/>
                </w:tcPr>
                <w:p w14:paraId="675B9F37">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b/>
                      <w:color w:val="auto"/>
                      <w:szCs w:val="21"/>
                      <w:lang w:val="en-US"/>
                    </w:rPr>
                  </w:pPr>
                  <w:r>
                    <w:rPr>
                      <w:rFonts w:ascii="Times New Roman" w:hAnsi="Times New Roman" w:cs="Times New Roman" w:eastAsiaTheme="minorEastAsia"/>
                      <w:b/>
                      <w:color w:val="auto"/>
                      <w:szCs w:val="21"/>
                      <w:lang w:val="en-US"/>
                    </w:rPr>
                    <w:t>SS</w:t>
                  </w:r>
                </w:p>
              </w:tc>
              <w:tc>
                <w:tcPr>
                  <w:tcW w:w="703" w:type="pct"/>
                  <w:tcBorders>
                    <w:tl2br w:val="nil"/>
                    <w:tr2bl w:val="nil"/>
                  </w:tcBorders>
                  <w:vAlign w:val="center"/>
                </w:tcPr>
                <w:p w14:paraId="68D44240">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b/>
                      <w:color w:val="auto"/>
                      <w:szCs w:val="21"/>
                      <w:lang w:val="en-US"/>
                    </w:rPr>
                  </w:pPr>
                  <w:r>
                    <w:rPr>
                      <w:rFonts w:ascii="Times New Roman" w:hAnsi="Times New Roman" w:cs="Times New Roman" w:eastAsiaTheme="minorEastAsia"/>
                      <w:b/>
                      <w:color w:val="auto"/>
                      <w:szCs w:val="21"/>
                      <w:lang w:val="en-US"/>
                    </w:rPr>
                    <w:t>NH</w:t>
                  </w:r>
                  <w:r>
                    <w:rPr>
                      <w:rFonts w:ascii="Times New Roman" w:hAnsi="Times New Roman" w:cs="Times New Roman" w:eastAsiaTheme="minorEastAsia"/>
                      <w:b/>
                      <w:color w:val="auto"/>
                      <w:szCs w:val="21"/>
                      <w:vertAlign w:val="subscript"/>
                      <w:lang w:val="en-US"/>
                    </w:rPr>
                    <w:t>3</w:t>
                  </w:r>
                  <w:r>
                    <w:rPr>
                      <w:rFonts w:ascii="Times New Roman" w:hAnsi="Times New Roman" w:cs="Times New Roman" w:eastAsiaTheme="minorEastAsia"/>
                      <w:b/>
                      <w:color w:val="auto"/>
                      <w:szCs w:val="21"/>
                      <w:lang w:val="en-US"/>
                    </w:rPr>
                    <w:t>-N</w:t>
                  </w:r>
                </w:p>
              </w:tc>
            </w:tr>
            <w:tr w14:paraId="26141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pct"/>
                  <w:vMerge w:val="restart"/>
                  <w:tcBorders>
                    <w:tl2br w:val="nil"/>
                    <w:tr2bl w:val="nil"/>
                  </w:tcBorders>
                  <w:vAlign w:val="center"/>
                </w:tcPr>
                <w:p w14:paraId="51022100">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 w:val="21"/>
                      <w:szCs w:val="21"/>
                      <w:lang w:val="en-US" w:eastAsia="zh-CN"/>
                    </w:rPr>
                    <w:t>废水</w:t>
                  </w:r>
                  <w:r>
                    <w:rPr>
                      <w:rFonts w:ascii="Times New Roman" w:hAnsi="Times New Roman" w:cs="Times New Roman" w:eastAsiaTheme="minorEastAsia"/>
                      <w:color w:val="auto"/>
                      <w:sz w:val="21"/>
                      <w:szCs w:val="21"/>
                      <w:lang w:val="en-US"/>
                    </w:rPr>
                    <w:t>（</w:t>
                  </w:r>
                  <w:r>
                    <w:rPr>
                      <w:rFonts w:hint="eastAsia" w:ascii="Times New Roman" w:hAnsi="Times New Roman" w:cs="Times New Roman" w:eastAsiaTheme="minorEastAsia"/>
                      <w:color w:val="auto"/>
                      <w:sz w:val="21"/>
                      <w:szCs w:val="21"/>
                      <w:lang w:val="en-US" w:eastAsia="zh-CN"/>
                    </w:rPr>
                    <w:t>435</w:t>
                  </w:r>
                  <w:r>
                    <w:rPr>
                      <w:rFonts w:ascii="Times New Roman" w:hAnsi="Times New Roman" w:cs="Times New Roman" w:eastAsiaTheme="minorEastAsia"/>
                      <w:color w:val="auto"/>
                      <w:sz w:val="21"/>
                      <w:szCs w:val="21"/>
                      <w:lang w:val="en-US"/>
                    </w:rPr>
                    <w:t>m</w:t>
                  </w:r>
                  <w:r>
                    <w:rPr>
                      <w:rFonts w:ascii="Times New Roman" w:hAnsi="Times New Roman" w:cs="Times New Roman" w:eastAsiaTheme="minorEastAsia"/>
                      <w:color w:val="auto"/>
                      <w:sz w:val="21"/>
                      <w:szCs w:val="21"/>
                      <w:vertAlign w:val="superscript"/>
                      <w:lang w:val="en-US"/>
                    </w:rPr>
                    <w:t>3</w:t>
                  </w:r>
                  <w:r>
                    <w:rPr>
                      <w:rFonts w:ascii="Times New Roman" w:hAnsi="Times New Roman" w:cs="Times New Roman" w:eastAsiaTheme="minorEastAsia"/>
                      <w:color w:val="auto"/>
                      <w:sz w:val="21"/>
                      <w:szCs w:val="21"/>
                      <w:lang w:val="en-US"/>
                    </w:rPr>
                    <w:t>/a）</w:t>
                  </w:r>
                </w:p>
              </w:tc>
              <w:tc>
                <w:tcPr>
                  <w:tcW w:w="1439" w:type="pct"/>
                  <w:tcBorders>
                    <w:tl2br w:val="nil"/>
                    <w:tr2bl w:val="nil"/>
                  </w:tcBorders>
                  <w:vAlign w:val="center"/>
                </w:tcPr>
                <w:p w14:paraId="686FAB9A">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r>
                    <w:rPr>
                      <w:rFonts w:ascii="Times New Roman" w:hAnsi="Times New Roman" w:cs="Times New Roman" w:eastAsiaTheme="minorEastAsia"/>
                      <w:color w:val="auto"/>
                      <w:szCs w:val="21"/>
                      <w:lang w:val="en-US"/>
                    </w:rPr>
                    <w:t>产生浓度（mg/L）</w:t>
                  </w:r>
                </w:p>
              </w:tc>
              <w:tc>
                <w:tcPr>
                  <w:tcW w:w="983" w:type="dxa"/>
                  <w:tcBorders>
                    <w:tl2br w:val="nil"/>
                    <w:tr2bl w:val="nil"/>
                  </w:tcBorders>
                  <w:vAlign w:val="center"/>
                </w:tcPr>
                <w:p w14:paraId="6EBD6A0C">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1085" w:type="dxa"/>
                  <w:tcBorders>
                    <w:tl2br w:val="nil"/>
                    <w:tr2bl w:val="nil"/>
                  </w:tcBorders>
                  <w:vAlign w:val="center"/>
                </w:tcPr>
                <w:p w14:paraId="0437136C">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1085" w:type="dxa"/>
                  <w:tcBorders>
                    <w:tl2br w:val="nil"/>
                    <w:tr2bl w:val="nil"/>
                  </w:tcBorders>
                  <w:vAlign w:val="center"/>
                </w:tcPr>
                <w:p w14:paraId="430A749A">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087" w:type="dxa"/>
                  <w:tcBorders>
                    <w:tl2br w:val="nil"/>
                    <w:tr2bl w:val="nil"/>
                  </w:tcBorders>
                  <w:vAlign w:val="center"/>
                </w:tcPr>
                <w:p w14:paraId="7F5BAB7A">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25</w:t>
                  </w:r>
                </w:p>
              </w:tc>
            </w:tr>
            <w:tr w14:paraId="0B692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pct"/>
                  <w:vMerge w:val="continue"/>
                  <w:tcBorders>
                    <w:tl2br w:val="nil"/>
                    <w:tr2bl w:val="nil"/>
                  </w:tcBorders>
                  <w:vAlign w:val="center"/>
                </w:tcPr>
                <w:p w14:paraId="67F0C3A4">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p>
              </w:tc>
              <w:tc>
                <w:tcPr>
                  <w:tcW w:w="1439" w:type="pct"/>
                  <w:tcBorders>
                    <w:tl2br w:val="nil"/>
                    <w:tr2bl w:val="nil"/>
                  </w:tcBorders>
                  <w:vAlign w:val="center"/>
                </w:tcPr>
                <w:p w14:paraId="6378EBEC">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r>
                    <w:rPr>
                      <w:rFonts w:ascii="Times New Roman" w:hAnsi="Times New Roman" w:cs="Times New Roman" w:eastAsiaTheme="minorEastAsia"/>
                      <w:color w:val="auto"/>
                      <w:szCs w:val="21"/>
                      <w:lang w:val="en-US"/>
                    </w:rPr>
                    <w:t>产生量（t/a）</w:t>
                  </w:r>
                </w:p>
              </w:tc>
              <w:tc>
                <w:tcPr>
                  <w:tcW w:w="1093" w:type="dxa"/>
                  <w:tcBorders>
                    <w:tl2br w:val="nil"/>
                    <w:tr2bl w:val="nil"/>
                  </w:tcBorders>
                  <w:vAlign w:val="center"/>
                </w:tcPr>
                <w:p w14:paraId="404BFAF6">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0.1392</w:t>
                  </w:r>
                </w:p>
              </w:tc>
              <w:tc>
                <w:tcPr>
                  <w:tcW w:w="1207" w:type="dxa"/>
                  <w:tcBorders>
                    <w:tl2br w:val="nil"/>
                    <w:tr2bl w:val="nil"/>
                  </w:tcBorders>
                  <w:vAlign w:val="center"/>
                </w:tcPr>
                <w:p w14:paraId="2764449C">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0.0696</w:t>
                  </w:r>
                </w:p>
              </w:tc>
              <w:tc>
                <w:tcPr>
                  <w:tcW w:w="1207" w:type="dxa"/>
                  <w:tcBorders>
                    <w:tl2br w:val="nil"/>
                    <w:tr2bl w:val="nil"/>
                  </w:tcBorders>
                  <w:vAlign w:val="center"/>
                </w:tcPr>
                <w:p w14:paraId="644A1B6C">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0.0870</w:t>
                  </w:r>
                </w:p>
              </w:tc>
              <w:tc>
                <w:tcPr>
                  <w:tcW w:w="1209" w:type="dxa"/>
                  <w:tcBorders>
                    <w:tl2br w:val="nil"/>
                    <w:tr2bl w:val="nil"/>
                  </w:tcBorders>
                  <w:vAlign w:val="center"/>
                </w:tcPr>
                <w:p w14:paraId="0310DA30">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0.0109</w:t>
                  </w:r>
                </w:p>
              </w:tc>
            </w:tr>
            <w:tr w14:paraId="5A5F2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pct"/>
                  <w:vMerge w:val="continue"/>
                  <w:tcBorders>
                    <w:tl2br w:val="nil"/>
                    <w:tr2bl w:val="nil"/>
                  </w:tcBorders>
                  <w:vAlign w:val="center"/>
                </w:tcPr>
                <w:p w14:paraId="53DE3F8F">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p>
              </w:tc>
              <w:tc>
                <w:tcPr>
                  <w:tcW w:w="1439" w:type="pct"/>
                  <w:tcBorders>
                    <w:tl2br w:val="nil"/>
                    <w:tr2bl w:val="nil"/>
                  </w:tcBorders>
                  <w:vAlign w:val="center"/>
                </w:tcPr>
                <w:p w14:paraId="75714DBE">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r>
                    <w:rPr>
                      <w:rFonts w:ascii="Times New Roman" w:hAnsi="Times New Roman" w:cs="Times New Roman" w:eastAsiaTheme="minorEastAsia"/>
                      <w:color w:val="auto"/>
                      <w:szCs w:val="21"/>
                      <w:lang w:val="en-US"/>
                    </w:rPr>
                    <w:t>化粪池处理效率（%）</w:t>
                  </w:r>
                </w:p>
              </w:tc>
              <w:tc>
                <w:tcPr>
                  <w:tcW w:w="983" w:type="dxa"/>
                  <w:tcBorders>
                    <w:tl2br w:val="nil"/>
                    <w:tr2bl w:val="nil"/>
                  </w:tcBorders>
                  <w:vAlign w:val="center"/>
                </w:tcPr>
                <w:p w14:paraId="433229DF">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85" w:type="dxa"/>
                  <w:tcBorders>
                    <w:tl2br w:val="nil"/>
                    <w:tr2bl w:val="nil"/>
                  </w:tcBorders>
                  <w:vAlign w:val="center"/>
                </w:tcPr>
                <w:p w14:paraId="1DE64155">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085" w:type="dxa"/>
                  <w:tcBorders>
                    <w:tl2br w:val="nil"/>
                    <w:tr2bl w:val="nil"/>
                  </w:tcBorders>
                  <w:vAlign w:val="center"/>
                </w:tcPr>
                <w:p w14:paraId="5D6A2F88">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1087" w:type="dxa"/>
                  <w:tcBorders>
                    <w:tl2br w:val="nil"/>
                    <w:tr2bl w:val="nil"/>
                  </w:tcBorders>
                  <w:vAlign w:val="center"/>
                </w:tcPr>
                <w:p w14:paraId="39E74364">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3</w:t>
                  </w:r>
                </w:p>
              </w:tc>
            </w:tr>
            <w:tr w14:paraId="65B88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pct"/>
                  <w:vMerge w:val="continue"/>
                  <w:tcBorders>
                    <w:tl2br w:val="nil"/>
                    <w:tr2bl w:val="nil"/>
                  </w:tcBorders>
                  <w:vAlign w:val="center"/>
                </w:tcPr>
                <w:p w14:paraId="5F3A8F11">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p>
              </w:tc>
              <w:tc>
                <w:tcPr>
                  <w:tcW w:w="1439" w:type="pct"/>
                  <w:tcBorders>
                    <w:tl2br w:val="nil"/>
                    <w:tr2bl w:val="nil"/>
                  </w:tcBorders>
                  <w:vAlign w:val="center"/>
                </w:tcPr>
                <w:p w14:paraId="11AB916C">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r>
                    <w:rPr>
                      <w:rFonts w:ascii="Times New Roman" w:hAnsi="Times New Roman" w:cs="Times New Roman" w:eastAsiaTheme="minorEastAsia"/>
                      <w:color w:val="auto"/>
                      <w:szCs w:val="21"/>
                      <w:lang w:val="en-US"/>
                    </w:rPr>
                    <w:t>排放浓度（mg/L）</w:t>
                  </w:r>
                </w:p>
              </w:tc>
              <w:tc>
                <w:tcPr>
                  <w:tcW w:w="983" w:type="dxa"/>
                  <w:tcBorders>
                    <w:tl2br w:val="nil"/>
                    <w:tr2bl w:val="nil"/>
                  </w:tcBorders>
                  <w:vAlign w:val="center"/>
                </w:tcPr>
                <w:p w14:paraId="7B6560DD">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272</w:t>
                  </w:r>
                </w:p>
              </w:tc>
              <w:tc>
                <w:tcPr>
                  <w:tcW w:w="1085" w:type="dxa"/>
                  <w:tcBorders>
                    <w:tl2br w:val="nil"/>
                    <w:tr2bl w:val="nil"/>
                  </w:tcBorders>
                  <w:vAlign w:val="center"/>
                </w:tcPr>
                <w:p w14:paraId="728F7114">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145.6</w:t>
                  </w:r>
                </w:p>
              </w:tc>
              <w:tc>
                <w:tcPr>
                  <w:tcW w:w="1085" w:type="dxa"/>
                  <w:tcBorders>
                    <w:tl2br w:val="nil"/>
                    <w:tr2bl w:val="nil"/>
                  </w:tcBorders>
                  <w:vAlign w:val="center"/>
                </w:tcPr>
                <w:p w14:paraId="2AC3929B">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140</w:t>
                  </w:r>
                </w:p>
              </w:tc>
              <w:tc>
                <w:tcPr>
                  <w:tcW w:w="1087" w:type="dxa"/>
                  <w:tcBorders>
                    <w:tl2br w:val="nil"/>
                    <w:tr2bl w:val="nil"/>
                  </w:tcBorders>
                  <w:vAlign w:val="center"/>
                </w:tcPr>
                <w:p w14:paraId="5763267C">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24.25</w:t>
                  </w:r>
                </w:p>
              </w:tc>
            </w:tr>
            <w:tr w14:paraId="087E5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5" w:type="pct"/>
                  <w:vMerge w:val="continue"/>
                  <w:tcBorders>
                    <w:tl2br w:val="nil"/>
                    <w:tr2bl w:val="nil"/>
                  </w:tcBorders>
                  <w:vAlign w:val="center"/>
                </w:tcPr>
                <w:p w14:paraId="5861B1C3">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p>
              </w:tc>
              <w:tc>
                <w:tcPr>
                  <w:tcW w:w="1439" w:type="pct"/>
                  <w:tcBorders>
                    <w:tl2br w:val="nil"/>
                    <w:tr2bl w:val="nil"/>
                  </w:tcBorders>
                  <w:vAlign w:val="center"/>
                </w:tcPr>
                <w:p w14:paraId="280AD17A">
                  <w:pPr>
                    <w:pStyle w:val="27"/>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ascii="Times New Roman" w:hAnsi="Times New Roman" w:cs="Times New Roman" w:eastAsiaTheme="minorEastAsia"/>
                      <w:color w:val="auto"/>
                      <w:szCs w:val="21"/>
                      <w:lang w:val="en-US"/>
                    </w:rPr>
                  </w:pPr>
                  <w:r>
                    <w:rPr>
                      <w:rFonts w:ascii="Times New Roman" w:hAnsi="Times New Roman" w:cs="Times New Roman" w:eastAsiaTheme="minorEastAsia"/>
                      <w:color w:val="auto"/>
                      <w:szCs w:val="21"/>
                      <w:lang w:val="en-US"/>
                    </w:rPr>
                    <w:t>排放量（t/a）</w:t>
                  </w:r>
                </w:p>
              </w:tc>
              <w:tc>
                <w:tcPr>
                  <w:tcW w:w="1093" w:type="dxa"/>
                  <w:tcBorders>
                    <w:tl2br w:val="nil"/>
                    <w:tr2bl w:val="nil"/>
                  </w:tcBorders>
                  <w:vAlign w:val="center"/>
                </w:tcPr>
                <w:p w14:paraId="4FC1D80B">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0.1183</w:t>
                  </w:r>
                </w:p>
              </w:tc>
              <w:tc>
                <w:tcPr>
                  <w:tcW w:w="1207" w:type="dxa"/>
                  <w:tcBorders>
                    <w:tl2br w:val="nil"/>
                    <w:tr2bl w:val="nil"/>
                  </w:tcBorders>
                  <w:vAlign w:val="center"/>
                </w:tcPr>
                <w:p w14:paraId="2923412C">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0.0633</w:t>
                  </w:r>
                </w:p>
              </w:tc>
              <w:tc>
                <w:tcPr>
                  <w:tcW w:w="1207" w:type="dxa"/>
                  <w:tcBorders>
                    <w:tl2br w:val="nil"/>
                    <w:tr2bl w:val="nil"/>
                  </w:tcBorders>
                  <w:vAlign w:val="center"/>
                </w:tcPr>
                <w:p w14:paraId="6C6331E9">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0.0609</w:t>
                  </w:r>
                </w:p>
              </w:tc>
              <w:tc>
                <w:tcPr>
                  <w:tcW w:w="1209" w:type="dxa"/>
                  <w:tcBorders>
                    <w:tl2br w:val="nil"/>
                    <w:tr2bl w:val="nil"/>
                  </w:tcBorders>
                  <w:vAlign w:val="center"/>
                </w:tcPr>
                <w:p w14:paraId="2939CD28">
                  <w:pPr>
                    <w:keepNext w:val="0"/>
                    <w:keepLines w:val="0"/>
                    <w:widowControl/>
                    <w:suppressLineNumbers w:val="0"/>
                    <w:jc w:val="center"/>
                    <w:textAlignment w:val="center"/>
                    <w:rPr>
                      <w:rFonts w:ascii="Times New Roman" w:hAnsi="Times New Roman" w:cs="Times New Roman" w:eastAsiaTheme="minorEastAsia"/>
                      <w:color w:val="auto"/>
                      <w:szCs w:val="21"/>
                      <w:lang w:val="en-US"/>
                    </w:rPr>
                  </w:pPr>
                  <w:r>
                    <w:rPr>
                      <w:rFonts w:hint="default" w:ascii="Times New Roman" w:hAnsi="Times New Roman" w:eastAsia="宋体" w:cs="Times New Roman"/>
                      <w:i w:val="0"/>
                      <w:iCs w:val="0"/>
                      <w:color w:val="000000"/>
                      <w:kern w:val="0"/>
                      <w:sz w:val="21"/>
                      <w:szCs w:val="21"/>
                      <w:u w:val="none"/>
                      <w:lang w:val="en-US" w:eastAsia="zh-CN" w:bidi="ar"/>
                    </w:rPr>
                    <w:t>0.0105</w:t>
                  </w:r>
                </w:p>
              </w:tc>
            </w:tr>
          </w:tbl>
          <w:p w14:paraId="0F19CAB5">
            <w:pPr>
              <w:pStyle w:val="19"/>
              <w:spacing w:after="0" w:line="360" w:lineRule="auto"/>
              <w:ind w:left="0" w:leftChars="0"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从上表可看出，经相关废水处理措施处理后，废水排放达到《污水综合排放标准》</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GB68978-1996</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中三级标准和《污水排入城镇下水道水质标准》（GB/T31962-2015）B级标准。</w:t>
            </w:r>
            <w:r>
              <w:rPr>
                <w:rFonts w:hint="eastAsia" w:cs="Times New Roman"/>
                <w:color w:val="auto"/>
                <w:kern w:val="0"/>
                <w:sz w:val="24"/>
                <w:szCs w:val="24"/>
                <w:lang w:val="en-US" w:eastAsia="zh-CN" w:bidi="ar-SA"/>
              </w:rPr>
              <w:t>废水</w:t>
            </w:r>
            <w:r>
              <w:rPr>
                <w:rFonts w:hint="default" w:ascii="Times New Roman" w:hAnsi="Times New Roman" w:eastAsia="宋体" w:cs="Times New Roman"/>
                <w:color w:val="auto"/>
                <w:kern w:val="0"/>
                <w:sz w:val="24"/>
                <w:szCs w:val="24"/>
                <w:lang w:val="en-US" w:eastAsia="zh-CN" w:bidi="ar-SA"/>
              </w:rPr>
              <w:t>经</w:t>
            </w:r>
            <w:r>
              <w:rPr>
                <w:rFonts w:hint="eastAsia" w:ascii="Times New Roman" w:hAnsi="Times New Roman" w:eastAsia="宋体" w:cs="Times New Roman"/>
                <w:color w:val="auto"/>
                <w:kern w:val="0"/>
                <w:sz w:val="24"/>
                <w:szCs w:val="24"/>
                <w:lang w:val="en-US" w:eastAsia="zh-CN" w:bidi="ar-SA"/>
              </w:rPr>
              <w:t>沣西新城大王</w:t>
            </w:r>
            <w:r>
              <w:rPr>
                <w:rFonts w:hint="default" w:ascii="Times New Roman" w:hAnsi="Times New Roman" w:eastAsia="宋体" w:cs="Times New Roman"/>
                <w:color w:val="auto"/>
                <w:kern w:val="0"/>
                <w:sz w:val="24"/>
                <w:szCs w:val="24"/>
                <w:lang w:val="en-US" w:eastAsia="zh-CN" w:bidi="ar-SA"/>
              </w:rPr>
              <w:t>污水处理厂处理后达标排</w:t>
            </w:r>
            <w:r>
              <w:rPr>
                <w:rFonts w:hint="eastAsia" w:ascii="Times New Roman" w:hAnsi="Times New Roman" w:eastAsia="宋体" w:cs="Times New Roman"/>
                <w:color w:val="auto"/>
                <w:kern w:val="0"/>
                <w:sz w:val="24"/>
                <w:szCs w:val="24"/>
                <w:lang w:val="en-US" w:eastAsia="zh-CN" w:bidi="ar-SA"/>
              </w:rPr>
              <w:t>入新河</w:t>
            </w:r>
            <w:r>
              <w:rPr>
                <w:rFonts w:hint="default" w:ascii="Times New Roman" w:hAnsi="Times New Roman" w:eastAsia="宋体" w:cs="Times New Roman"/>
                <w:color w:val="auto"/>
                <w:kern w:val="0"/>
                <w:sz w:val="24"/>
                <w:szCs w:val="24"/>
                <w:lang w:val="en-US" w:eastAsia="zh-CN" w:bidi="ar-SA"/>
              </w:rPr>
              <w:t>，不会对周围环境造成</w:t>
            </w:r>
            <w:r>
              <w:rPr>
                <w:rFonts w:hint="eastAsia" w:ascii="Times New Roman" w:hAnsi="Times New Roman" w:eastAsia="宋体" w:cs="Times New Roman"/>
                <w:color w:val="auto"/>
                <w:kern w:val="0"/>
                <w:sz w:val="24"/>
                <w:szCs w:val="24"/>
                <w:lang w:val="en-US" w:eastAsia="zh-CN" w:bidi="ar-SA"/>
              </w:rPr>
              <w:t>直接</w:t>
            </w:r>
            <w:r>
              <w:rPr>
                <w:rFonts w:hint="default" w:ascii="Times New Roman" w:hAnsi="Times New Roman" w:eastAsia="宋体" w:cs="Times New Roman"/>
                <w:color w:val="auto"/>
                <w:kern w:val="0"/>
                <w:sz w:val="24"/>
                <w:szCs w:val="24"/>
                <w:lang w:val="en-US" w:eastAsia="zh-CN" w:bidi="ar-SA"/>
              </w:rPr>
              <w:t>影响。</w:t>
            </w:r>
          </w:p>
          <w:p w14:paraId="4D2E16B2">
            <w:pPr>
              <w:pStyle w:val="19"/>
              <w:spacing w:after="0" w:line="360" w:lineRule="auto"/>
              <w:ind w:left="0" w:leftChars="0" w:firstLine="482" w:firstLineChars="200"/>
              <w:rPr>
                <w:rFonts w:hint="default" w:ascii="Times New Roman" w:hAnsi="Times New Roman" w:cs="Times New Roman" w:eastAsiaTheme="minorEastAsia"/>
                <w:b/>
                <w:color w:val="auto"/>
                <w:sz w:val="24"/>
                <w:szCs w:val="24"/>
                <w:lang w:val="en-US" w:eastAsia="zh-CN"/>
              </w:rPr>
            </w:pPr>
            <w:r>
              <w:rPr>
                <w:rFonts w:hint="default" w:ascii="Times New Roman" w:hAnsi="Times New Roman" w:cs="Times New Roman" w:eastAsiaTheme="minorEastAsia"/>
                <w:b/>
                <w:color w:val="auto"/>
                <w:sz w:val="24"/>
                <w:szCs w:val="24"/>
                <w:lang w:val="en-US" w:eastAsia="zh-CN"/>
              </w:rPr>
              <w:t>3</w:t>
            </w:r>
            <w:r>
              <w:rPr>
                <w:rFonts w:hint="eastAsia" w:ascii="Times New Roman" w:hAnsi="Times New Roman" w:cs="Times New Roman" w:eastAsiaTheme="minorEastAsia"/>
                <w:b/>
                <w:color w:val="auto"/>
                <w:sz w:val="24"/>
                <w:szCs w:val="24"/>
                <w:lang w:val="en-US" w:eastAsia="zh-CN"/>
              </w:rPr>
              <w:t>.</w:t>
            </w:r>
            <w:r>
              <w:rPr>
                <w:rFonts w:hint="default" w:ascii="Times New Roman" w:hAnsi="Times New Roman" w:cs="Times New Roman" w:eastAsiaTheme="minorEastAsia"/>
                <w:b/>
                <w:color w:val="auto"/>
                <w:sz w:val="24"/>
                <w:szCs w:val="24"/>
                <w:lang w:val="en-US" w:eastAsia="zh-CN"/>
              </w:rPr>
              <w:t>废水处理可行性分析</w:t>
            </w:r>
          </w:p>
          <w:p w14:paraId="4A47540B">
            <w:pPr>
              <w:pStyle w:val="19"/>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（1）处理设施可行性分析</w:t>
            </w:r>
          </w:p>
          <w:p w14:paraId="75FAA784">
            <w:pPr>
              <w:pStyle w:val="19"/>
              <w:spacing w:after="0" w:line="360" w:lineRule="auto"/>
              <w:ind w:left="0" w:leftChars="0" w:firstLine="482"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b/>
                <w:color w:val="auto"/>
                <w:sz w:val="24"/>
                <w:szCs w:val="24"/>
              </w:rPr>
              <w:t>化粪池：</w:t>
            </w:r>
            <w:r>
              <w:rPr>
                <w:rFonts w:hint="default" w:ascii="Times New Roman" w:hAnsi="Times New Roman" w:cs="Times New Roman" w:eastAsiaTheme="minorEastAsia"/>
                <w:color w:val="auto"/>
                <w:sz w:val="24"/>
                <w:szCs w:val="24"/>
              </w:rPr>
              <w:t>处理粪便并加以过滤沉淀的设备。其原理是固化物在池底分解，上层的水化物体，进入管道流走，防止了管道堵塞，给固化物体（粪便等垃圾）有充足的时间水解。化粪池指的是将生活污水分格沉淀，及对污泥进行厌氧消化的小型处理构筑物。化粪池容量为</w:t>
            </w:r>
            <w:r>
              <w:rPr>
                <w:rFonts w:hint="eastAsia" w:cs="Times New Roman" w:eastAsiaTheme="minorEastAsia"/>
                <w:color w:val="auto"/>
                <w:sz w:val="24"/>
                <w:szCs w:val="24"/>
                <w:lang w:val="en-US" w:eastAsia="zh-CN"/>
              </w:rPr>
              <w:t>50</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，容量充足。项目</w:t>
            </w:r>
            <w:r>
              <w:rPr>
                <w:rFonts w:hint="eastAsia" w:cs="Times New Roman" w:eastAsiaTheme="minorEastAsia"/>
                <w:color w:val="auto"/>
                <w:sz w:val="24"/>
                <w:szCs w:val="24"/>
                <w:lang w:val="en-US" w:eastAsia="zh-CN"/>
              </w:rPr>
              <w:t>废水</w:t>
            </w:r>
            <w:r>
              <w:rPr>
                <w:rFonts w:hint="default" w:ascii="Times New Roman" w:hAnsi="Times New Roman" w:cs="Times New Roman" w:eastAsiaTheme="minorEastAsia"/>
                <w:color w:val="auto"/>
                <w:sz w:val="24"/>
                <w:szCs w:val="24"/>
              </w:rPr>
              <w:t>产生量</w:t>
            </w:r>
            <w:r>
              <w:rPr>
                <w:rFonts w:hint="eastAsia" w:cs="Times New Roman" w:eastAsiaTheme="minorEastAsia"/>
                <w:color w:val="auto"/>
                <w:sz w:val="24"/>
                <w:szCs w:val="24"/>
                <w:lang w:val="en-US" w:eastAsia="zh-CN"/>
              </w:rPr>
              <w:t>1.45</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/d，占化粪池总容积比例较小，使用化粪池初步对废水进行处理为可行方法。</w:t>
            </w:r>
          </w:p>
          <w:p w14:paraId="7968ACF1">
            <w:pPr>
              <w:pStyle w:val="19"/>
              <w:numPr>
                <w:ilvl w:val="0"/>
                <w:numId w:val="5"/>
              </w:numPr>
              <w:spacing w:after="0" w:line="360" w:lineRule="auto"/>
              <w:ind w:left="0" w:leftChars="0" w:firstLine="48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沣西新城大王污水处理厂依托可行性分析</w:t>
            </w:r>
          </w:p>
          <w:p w14:paraId="76705B96">
            <w:pPr>
              <w:pStyle w:val="19"/>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沣西新城大王污水处理厂位于陕西省西咸新区沣西新城大王街道，总占地37.85亩，一期占地21.5亩。设计规模5000吨/日，远期达到10000吨/日。一期项目服务人口约3.1万人，已于2019年11月15日通水试运行。一期工程处理规模（2020年）为5000m³/d；二期工程处理规模（2030年）为10000m³/d。该</w:t>
            </w:r>
            <w:r>
              <w:rPr>
                <w:rFonts w:hint="eastAsia" w:cs="Times New Roman" w:eastAsiaTheme="minorEastAsia"/>
                <w:color w:val="auto"/>
                <w:sz w:val="24"/>
                <w:szCs w:val="24"/>
                <w:lang w:eastAsia="zh-CN"/>
              </w:rPr>
              <w:t>污水处理厂</w:t>
            </w:r>
            <w:r>
              <w:rPr>
                <w:rFonts w:hint="default" w:ascii="Times New Roman" w:hAnsi="Times New Roman" w:cs="Times New Roman" w:eastAsiaTheme="minorEastAsia"/>
                <w:color w:val="auto"/>
                <w:sz w:val="24"/>
                <w:szCs w:val="24"/>
              </w:rPr>
              <w:t>采用立体生态处理工艺，立体生态处理工艺在生物池内，通过布设曝气系统、设置仿生生物膜填料、种植挺水植物、安装回流泵及搅拌机等一系列工程技术措施，创造有利于微生物生长繁殖的适宜环境，加速微生物的新陈代谢，利用生物池内生长的大量微生物，氧化分解污水中的各种污染物，并将其转化为稳定的无机物，从而实现去除污水中有机污染物的目的。出水水质达到《陕西省黄河流域污水综合排放标准》</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DB61724-2018</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表1中A标准要求，处理达标后的尾水排入新河进行生态补水。</w:t>
            </w:r>
          </w:p>
          <w:p w14:paraId="69DB5059">
            <w:pPr>
              <w:pStyle w:val="19"/>
              <w:spacing w:after="0" w:line="360" w:lineRule="auto"/>
              <w:ind w:left="0" w:leftChars="0"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本项目污水量较小，水质简单，不会对沣西新城大王污水处理厂的进水水质、水量及处理能力造成较大的影响，依托可行。</w:t>
            </w:r>
          </w:p>
          <w:p w14:paraId="0C123781">
            <w:pPr>
              <w:pStyle w:val="19"/>
              <w:spacing w:after="0" w:line="360" w:lineRule="auto"/>
              <w:ind w:left="0" w:leftChars="0" w:firstLine="482" w:firstLineChars="200"/>
              <w:rPr>
                <w:rFonts w:eastAsiaTheme="minorEastAsia"/>
                <w:b/>
                <w:color w:val="auto"/>
                <w:sz w:val="24"/>
                <w:szCs w:val="24"/>
              </w:rPr>
            </w:pPr>
            <w:r>
              <w:rPr>
                <w:rFonts w:eastAsiaTheme="minorEastAsia"/>
                <w:b/>
                <w:color w:val="auto"/>
                <w:sz w:val="24"/>
                <w:szCs w:val="24"/>
              </w:rPr>
              <w:t>4</w:t>
            </w:r>
            <w:r>
              <w:rPr>
                <w:rFonts w:hint="eastAsia" w:eastAsiaTheme="minorEastAsia"/>
                <w:b/>
                <w:color w:val="auto"/>
                <w:sz w:val="24"/>
                <w:szCs w:val="24"/>
                <w:lang w:val="en-US" w:eastAsia="zh-CN"/>
              </w:rPr>
              <w:t>.</w:t>
            </w:r>
            <w:r>
              <w:rPr>
                <w:rFonts w:eastAsiaTheme="minorEastAsia"/>
                <w:b/>
                <w:color w:val="auto"/>
                <w:sz w:val="24"/>
                <w:szCs w:val="24"/>
              </w:rPr>
              <w:t>监测要求</w:t>
            </w:r>
          </w:p>
          <w:p w14:paraId="341970E7">
            <w:pPr>
              <w:pStyle w:val="19"/>
              <w:spacing w:after="0" w:line="360" w:lineRule="auto"/>
              <w:ind w:left="0" w:leftChars="0" w:firstLine="480" w:firstLineChars="200"/>
              <w:rPr>
                <w:rFonts w:eastAsiaTheme="minorEastAsia"/>
                <w:color w:val="auto"/>
                <w:sz w:val="24"/>
                <w:szCs w:val="24"/>
              </w:rPr>
            </w:pPr>
            <w:r>
              <w:rPr>
                <w:rFonts w:eastAsiaTheme="minorEastAsia"/>
                <w:color w:val="auto"/>
                <w:sz w:val="24"/>
                <w:szCs w:val="24"/>
              </w:rPr>
              <w:t>根据《排污单位自行监测技术指南 总则》（HJ819-2017）制定监测方案。</w:t>
            </w:r>
          </w:p>
          <w:p w14:paraId="6B244A73">
            <w:pPr>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lang w:val="en-US" w:eastAsia="zh-CN"/>
              </w:rPr>
              <w:t xml:space="preserve">5 </w:t>
            </w:r>
            <w:r>
              <w:rPr>
                <w:rFonts w:eastAsiaTheme="minorEastAsia"/>
                <w:b/>
                <w:bCs/>
                <w:color w:val="auto"/>
                <w:szCs w:val="21"/>
              </w:rPr>
              <w:t xml:space="preserve"> </w:t>
            </w:r>
            <w:r>
              <w:rPr>
                <w:rFonts w:hint="eastAsia" w:eastAsiaTheme="minorEastAsia"/>
                <w:b/>
                <w:bCs/>
                <w:color w:val="auto"/>
                <w:szCs w:val="21"/>
                <w:lang w:val="en-US" w:eastAsia="zh-CN"/>
              </w:rPr>
              <w:t xml:space="preserve">  </w:t>
            </w:r>
            <w:r>
              <w:rPr>
                <w:rFonts w:eastAsiaTheme="minorEastAsia"/>
                <w:b/>
                <w:bCs/>
                <w:color w:val="auto"/>
                <w:szCs w:val="21"/>
              </w:rPr>
              <w:t>监测要求</w:t>
            </w:r>
          </w:p>
          <w:tbl>
            <w:tblPr>
              <w:tblStyle w:val="2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055"/>
              <w:gridCol w:w="1078"/>
              <w:gridCol w:w="3358"/>
            </w:tblGrid>
            <w:tr w14:paraId="3A8F8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tcBorders>
                    <w:tl2br w:val="nil"/>
                    <w:tr2bl w:val="nil"/>
                  </w:tcBorders>
                  <w:vAlign w:val="center"/>
                </w:tcPr>
                <w:p w14:paraId="382ADDE9">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监测点位</w:t>
                  </w:r>
                </w:p>
              </w:tc>
              <w:tc>
                <w:tcPr>
                  <w:tcW w:w="1331" w:type="pct"/>
                  <w:tcBorders>
                    <w:tl2br w:val="nil"/>
                    <w:tr2bl w:val="nil"/>
                  </w:tcBorders>
                  <w:vAlign w:val="center"/>
                </w:tcPr>
                <w:p w14:paraId="04B38E85">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监测因子</w:t>
                  </w:r>
                </w:p>
              </w:tc>
              <w:tc>
                <w:tcPr>
                  <w:tcW w:w="698" w:type="pct"/>
                  <w:tcBorders>
                    <w:tl2br w:val="nil"/>
                    <w:tr2bl w:val="nil"/>
                  </w:tcBorders>
                  <w:vAlign w:val="center"/>
                </w:tcPr>
                <w:p w14:paraId="3CC19AB4">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检测频次</w:t>
                  </w:r>
                </w:p>
              </w:tc>
              <w:tc>
                <w:tcPr>
                  <w:tcW w:w="2175" w:type="pct"/>
                  <w:tcBorders>
                    <w:tl2br w:val="nil"/>
                    <w:tr2bl w:val="nil"/>
                  </w:tcBorders>
                  <w:vAlign w:val="center"/>
                </w:tcPr>
                <w:p w14:paraId="2EB631CC">
                  <w:pPr>
                    <w:jc w:val="center"/>
                    <w:rPr>
                      <w:rFonts w:hint="default" w:ascii="Times New Roman" w:hAnsi="Times New Roman" w:cs="Times New Roman" w:eastAsiaTheme="minorEastAsia"/>
                      <w:b/>
                      <w:color w:val="auto"/>
                      <w:szCs w:val="21"/>
                    </w:rPr>
                  </w:pPr>
                  <w:r>
                    <w:rPr>
                      <w:rFonts w:hint="default" w:ascii="Times New Roman" w:hAnsi="Times New Roman" w:cs="Times New Roman" w:eastAsiaTheme="minorEastAsia"/>
                      <w:b/>
                      <w:color w:val="auto"/>
                      <w:szCs w:val="21"/>
                    </w:rPr>
                    <w:t>控制指标</w:t>
                  </w:r>
                </w:p>
              </w:tc>
            </w:tr>
            <w:tr w14:paraId="4D7A32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94" w:type="pct"/>
                  <w:tcBorders>
                    <w:tl2br w:val="nil"/>
                    <w:tr2bl w:val="nil"/>
                  </w:tcBorders>
                  <w:vAlign w:val="center"/>
                </w:tcPr>
                <w:p w14:paraId="32438078">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总排口（DW001）</w:t>
                  </w:r>
                </w:p>
              </w:tc>
              <w:tc>
                <w:tcPr>
                  <w:tcW w:w="1331" w:type="pct"/>
                  <w:tcBorders>
                    <w:tl2br w:val="nil"/>
                    <w:tr2bl w:val="nil"/>
                  </w:tcBorders>
                  <w:vAlign w:val="center"/>
                </w:tcPr>
                <w:p w14:paraId="2DE5DDC8">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流量、pH值、悬浮物、五日生化需氧量、化学需氧量、氨氮、总磷、总氮</w:t>
                  </w:r>
                </w:p>
              </w:tc>
              <w:tc>
                <w:tcPr>
                  <w:tcW w:w="698" w:type="pct"/>
                  <w:tcBorders>
                    <w:tl2br w:val="nil"/>
                    <w:tr2bl w:val="nil"/>
                  </w:tcBorders>
                  <w:vAlign w:val="center"/>
                </w:tcPr>
                <w:p w14:paraId="2D7035CC">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1次/年</w:t>
                  </w:r>
                </w:p>
              </w:tc>
              <w:tc>
                <w:tcPr>
                  <w:tcW w:w="2175" w:type="pct"/>
                  <w:tcBorders>
                    <w:tl2br w:val="nil"/>
                    <w:tr2bl w:val="nil"/>
                  </w:tcBorders>
                  <w:vAlign w:val="center"/>
                </w:tcPr>
                <w:p w14:paraId="40D26F22">
                  <w:pPr>
                    <w:jc w:val="center"/>
                    <w:rPr>
                      <w:rFonts w:hint="default" w:ascii="Times New Roman" w:hAnsi="Times New Roman" w:cs="Times New Roman" w:eastAsiaTheme="minorEastAsia"/>
                      <w:color w:val="auto"/>
                      <w:kern w:val="0"/>
                      <w:szCs w:val="21"/>
                    </w:rPr>
                  </w:pPr>
                  <w:r>
                    <w:rPr>
                      <w:rFonts w:hint="default" w:ascii="Times New Roman" w:hAnsi="Times New Roman" w:cs="Times New Roman" w:eastAsiaTheme="minorEastAsia"/>
                      <w:color w:val="auto"/>
                      <w:kern w:val="0"/>
                      <w:szCs w:val="21"/>
                    </w:rPr>
                    <w:t>《污水综合排放标准》</w:t>
                  </w:r>
                  <w:r>
                    <w:rPr>
                      <w:rFonts w:hint="eastAsia" w:cs="Times New Roman" w:eastAsiaTheme="minorEastAsia"/>
                      <w:color w:val="auto"/>
                      <w:kern w:val="0"/>
                      <w:szCs w:val="21"/>
                      <w:lang w:eastAsia="zh-CN"/>
                    </w:rPr>
                    <w:t>（</w:t>
                  </w:r>
                  <w:r>
                    <w:rPr>
                      <w:rFonts w:hint="default" w:ascii="Times New Roman" w:hAnsi="Times New Roman" w:cs="Times New Roman" w:eastAsiaTheme="minorEastAsia"/>
                      <w:color w:val="auto"/>
                      <w:kern w:val="0"/>
                      <w:szCs w:val="21"/>
                    </w:rPr>
                    <w:t>GB68978-1996</w:t>
                  </w:r>
                  <w:r>
                    <w:rPr>
                      <w:rFonts w:hint="eastAsia" w:cs="Times New Roman" w:eastAsiaTheme="minorEastAsia"/>
                      <w:color w:val="auto"/>
                      <w:kern w:val="0"/>
                      <w:szCs w:val="21"/>
                      <w:lang w:eastAsia="zh-CN"/>
                    </w:rPr>
                    <w:t>）</w:t>
                  </w:r>
                  <w:r>
                    <w:rPr>
                      <w:rFonts w:hint="default" w:ascii="Times New Roman" w:hAnsi="Times New Roman" w:cs="Times New Roman" w:eastAsiaTheme="minorEastAsia"/>
                      <w:color w:val="auto"/>
                      <w:kern w:val="0"/>
                      <w:szCs w:val="21"/>
                    </w:rPr>
                    <w:t>中三级标准《污水排入城镇下水道水质标准》（GB/T31962-2015）</w:t>
                  </w:r>
                  <w:r>
                    <w:rPr>
                      <w:rFonts w:hint="default" w:ascii="Times New Roman" w:hAnsi="Times New Roman" w:cs="Times New Roman" w:eastAsiaTheme="minorEastAsia"/>
                      <w:color w:val="auto"/>
                      <w:szCs w:val="21"/>
                    </w:rPr>
                    <w:t>B</w:t>
                  </w:r>
                  <w:r>
                    <w:rPr>
                      <w:rFonts w:hint="default" w:ascii="Times New Roman" w:hAnsi="Times New Roman" w:cs="Times New Roman" w:eastAsiaTheme="minorEastAsia"/>
                      <w:color w:val="auto"/>
                      <w:kern w:val="0"/>
                      <w:szCs w:val="21"/>
                    </w:rPr>
                    <w:t>级标准。</w:t>
                  </w:r>
                </w:p>
              </w:tc>
            </w:tr>
          </w:tbl>
          <w:p w14:paraId="2DC1183E">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eastAsiaTheme="minorEastAsia"/>
                <w:b/>
                <w:color w:val="auto"/>
                <w:sz w:val="24"/>
                <w:szCs w:val="24"/>
              </w:rPr>
            </w:pPr>
            <w:r>
              <w:rPr>
                <w:rFonts w:eastAsiaTheme="minorEastAsia"/>
                <w:b/>
                <w:color w:val="auto"/>
                <w:sz w:val="24"/>
                <w:szCs w:val="24"/>
              </w:rPr>
              <w:t>三、噪声</w:t>
            </w:r>
          </w:p>
          <w:p w14:paraId="424DC4F3">
            <w:pPr>
              <w:pStyle w:val="19"/>
              <w:spacing w:after="0" w:line="360" w:lineRule="auto"/>
              <w:ind w:left="0" w:leftChars="0" w:firstLine="482" w:firstLineChars="200"/>
              <w:rPr>
                <w:rFonts w:eastAsiaTheme="minorEastAsia"/>
                <w:b/>
                <w:color w:val="auto"/>
                <w:sz w:val="24"/>
                <w:szCs w:val="24"/>
              </w:rPr>
            </w:pPr>
            <w:r>
              <w:rPr>
                <w:rFonts w:eastAsiaTheme="minorEastAsia"/>
                <w:b/>
                <w:color w:val="auto"/>
                <w:sz w:val="24"/>
                <w:szCs w:val="24"/>
              </w:rPr>
              <w:t>1</w:t>
            </w:r>
            <w:r>
              <w:rPr>
                <w:rFonts w:hint="eastAsia" w:eastAsiaTheme="minorEastAsia"/>
                <w:b/>
                <w:color w:val="auto"/>
                <w:sz w:val="24"/>
                <w:szCs w:val="24"/>
                <w:lang w:val="en-US" w:eastAsia="zh-CN"/>
              </w:rPr>
              <w:t>.</w:t>
            </w:r>
            <w:r>
              <w:rPr>
                <w:rFonts w:eastAsiaTheme="minorEastAsia"/>
                <w:b/>
                <w:color w:val="auto"/>
                <w:sz w:val="24"/>
                <w:szCs w:val="24"/>
              </w:rPr>
              <w:t>噪声源强</w:t>
            </w:r>
          </w:p>
          <w:p w14:paraId="7C7D6845">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cs="Times New Roman" w:eastAsiaTheme="minorEastAsia"/>
                <w:color w:val="auto"/>
                <w:kern w:val="2"/>
                <w:sz w:val="24"/>
                <w:szCs w:val="24"/>
                <w:lang w:val="en-US" w:eastAsia="zh-CN" w:bidi="ar-SA"/>
              </w:rPr>
              <w:t>本项目主要噪声源为</w:t>
            </w:r>
            <w:r>
              <w:rPr>
                <w:rFonts w:hint="eastAsia" w:ascii="Times New Roman" w:hAnsi="Times New Roman" w:cs="Times New Roman" w:eastAsiaTheme="minorEastAsia"/>
                <w:color w:val="auto"/>
                <w:kern w:val="2"/>
                <w:sz w:val="24"/>
                <w:szCs w:val="24"/>
                <w:lang w:val="en-US" w:eastAsia="zh-CN" w:bidi="ar-SA"/>
              </w:rPr>
              <w:t>空气离心混合机</w:t>
            </w:r>
            <w:r>
              <w:rPr>
                <w:rFonts w:hint="default" w:ascii="Times New Roman" w:hAnsi="Times New Roman" w:cs="Times New Roman" w:eastAsiaTheme="minorEastAsia"/>
                <w:color w:val="auto"/>
                <w:kern w:val="2"/>
                <w:sz w:val="24"/>
                <w:szCs w:val="24"/>
                <w:lang w:val="en-US" w:eastAsia="zh-CN" w:bidi="ar-SA"/>
              </w:rPr>
              <w:t>、</w:t>
            </w:r>
            <w:r>
              <w:rPr>
                <w:rFonts w:hint="eastAsia" w:ascii="Times New Roman" w:hAnsi="Times New Roman" w:cs="Times New Roman" w:eastAsiaTheme="minorEastAsia"/>
                <w:color w:val="auto"/>
                <w:kern w:val="2"/>
                <w:sz w:val="24"/>
                <w:szCs w:val="24"/>
                <w:lang w:val="en-US" w:eastAsia="zh-CN" w:bidi="ar-SA"/>
              </w:rPr>
              <w:t>自动加热预融机、恒温冷却压片破碎机、变频</w:t>
            </w:r>
            <w:r>
              <w:rPr>
                <w:rFonts w:hint="default" w:ascii="Times New Roman" w:hAnsi="Times New Roman" w:cs="Times New Roman" w:eastAsiaTheme="minorEastAsia"/>
                <w:color w:val="auto"/>
                <w:kern w:val="2"/>
                <w:sz w:val="24"/>
                <w:szCs w:val="24"/>
                <w:lang w:val="en-US" w:eastAsia="zh-CN" w:bidi="ar-SA"/>
              </w:rPr>
              <w:t>磨粉机</w:t>
            </w:r>
            <w:r>
              <w:rPr>
                <w:rFonts w:hint="eastAsia" w:ascii="Times New Roman" w:hAnsi="Times New Roman"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螺杆式空压机</w:t>
            </w:r>
            <w:r>
              <w:rPr>
                <w:rFonts w:hint="eastAsia" w:ascii="Times New Roman" w:hAnsi="Times New Roman"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冷却</w:t>
            </w:r>
            <w:r>
              <w:rPr>
                <w:rFonts w:hint="eastAsia" w:ascii="Times New Roman" w:hAnsi="Times New Roman" w:cs="Times New Roman" w:eastAsiaTheme="minorEastAsia"/>
                <w:color w:val="auto"/>
                <w:kern w:val="2"/>
                <w:sz w:val="24"/>
                <w:szCs w:val="24"/>
                <w:lang w:val="en-US" w:eastAsia="zh-CN" w:bidi="ar-SA"/>
              </w:rPr>
              <w:t>水泵</w:t>
            </w:r>
            <w:r>
              <w:rPr>
                <w:rFonts w:hint="default" w:ascii="Times New Roman" w:hAnsi="Times New Roman" w:cs="Times New Roman" w:eastAsiaTheme="minorEastAsia"/>
                <w:color w:val="auto"/>
                <w:kern w:val="2"/>
                <w:sz w:val="24"/>
                <w:szCs w:val="24"/>
                <w:lang w:val="en-US" w:eastAsia="zh-CN" w:bidi="ar-SA"/>
              </w:rPr>
              <w:t>等各种生产设备运行产生的噪声，其声级值为</w:t>
            </w:r>
            <w:r>
              <w:rPr>
                <w:rFonts w:hint="eastAsia" w:ascii="Times New Roman" w:hAnsi="Times New Roman" w:cs="Times New Roman" w:eastAsiaTheme="minorEastAsia"/>
                <w:color w:val="auto"/>
                <w:kern w:val="2"/>
                <w:sz w:val="24"/>
                <w:szCs w:val="24"/>
                <w:lang w:val="en-US" w:eastAsia="zh-CN" w:bidi="ar-SA"/>
              </w:rPr>
              <w:t>75</w:t>
            </w:r>
            <w:r>
              <w:rPr>
                <w:rFonts w:hint="default" w:ascii="Times New Roman" w:hAnsi="Times New Roman" w:cs="Times New Roman" w:eastAsiaTheme="minorEastAsia"/>
                <w:color w:val="auto"/>
                <w:kern w:val="2"/>
                <w:sz w:val="24"/>
                <w:szCs w:val="24"/>
                <w:lang w:val="en-US" w:eastAsia="zh-CN" w:bidi="ar-SA"/>
              </w:rPr>
              <w:t>～9</w:t>
            </w:r>
            <w:r>
              <w:rPr>
                <w:rFonts w:hint="eastAsia" w:ascii="Times New Roman" w:hAnsi="Times New Roman" w:cs="Times New Roman" w:eastAsiaTheme="minorEastAsia"/>
                <w:color w:val="auto"/>
                <w:kern w:val="2"/>
                <w:sz w:val="24"/>
                <w:szCs w:val="24"/>
                <w:lang w:val="en-US" w:eastAsia="zh-CN" w:bidi="ar-SA"/>
              </w:rPr>
              <w:t>0</w:t>
            </w:r>
            <w:r>
              <w:rPr>
                <w:rFonts w:hint="default" w:ascii="Times New Roman" w:hAnsi="Times New Roman" w:cs="Times New Roman" w:eastAsiaTheme="minorEastAsia"/>
                <w:color w:val="auto"/>
                <w:kern w:val="2"/>
                <w:sz w:val="24"/>
                <w:szCs w:val="24"/>
                <w:lang w:val="en-US" w:eastAsia="zh-CN" w:bidi="ar-SA"/>
              </w:rPr>
              <w:t>dB（A）。</w:t>
            </w:r>
            <w:r>
              <w:rPr>
                <w:rFonts w:hint="default" w:ascii="Times New Roman" w:hAnsi="Times New Roman" w:eastAsia="宋体" w:cs="Times New Roman"/>
                <w:color w:val="auto"/>
                <w:sz w:val="24"/>
                <w:szCs w:val="24"/>
              </w:rPr>
              <w:t>本项目以厂界西南角为原点（0，0，0），向东为X轴正方向，向北为Y轴正方向，向上为Z轴正方向。</w:t>
            </w:r>
            <w:r>
              <w:rPr>
                <w:rFonts w:hint="default" w:ascii="Times New Roman" w:hAnsi="Times New Roman" w:eastAsia="宋体" w:cs="Times New Roman"/>
                <w:b w:val="0"/>
                <w:bCs/>
                <w:color w:val="auto"/>
                <w:sz w:val="24"/>
                <w:highlight w:val="none"/>
                <w:lang w:eastAsia="zh-CN"/>
              </w:rPr>
              <w:t>项目噪声源基本信息见下表。</w:t>
            </w:r>
          </w:p>
          <w:p w14:paraId="2715F1AF">
            <w:pPr>
              <w:pStyle w:val="27"/>
              <w:autoSpaceDE w:val="0"/>
              <w:autoSpaceDN w:val="0"/>
              <w:ind w:left="110" w:hanging="110" w:hangingChars="52"/>
              <w:jc w:val="center"/>
              <w:rPr>
                <w:rFonts w:hint="eastAsia" w:ascii="Times New Roman" w:hAnsi="Times New Roman" w:eastAsia="宋体" w:cs="Times New Roman"/>
                <w:b/>
                <w:bCs/>
                <w:color w:val="auto"/>
                <w:szCs w:val="21"/>
                <w:lang w:val="en-US" w:eastAsia="zh-CN"/>
              </w:rPr>
            </w:pPr>
            <w:r>
              <w:rPr>
                <w:rFonts w:ascii="Times New Roman" w:hAnsi="Times New Roman" w:cs="Times New Roman"/>
                <w:b/>
                <w:bCs/>
                <w:color w:val="auto"/>
                <w:szCs w:val="21"/>
                <w:lang w:val="en-US"/>
              </w:rPr>
              <w:t>表4-</w:t>
            </w:r>
            <w:r>
              <w:rPr>
                <w:rFonts w:hint="eastAsia" w:ascii="Times New Roman" w:hAnsi="Times New Roman" w:cs="Times New Roman"/>
                <w:b/>
                <w:bCs/>
                <w:color w:val="auto"/>
                <w:szCs w:val="21"/>
                <w:lang w:val="en-US" w:eastAsia="zh-CN"/>
              </w:rPr>
              <w:t>6</w:t>
            </w:r>
            <w:r>
              <w:rPr>
                <w:rFonts w:ascii="Times New Roman" w:hAnsi="Times New Roman" w:cs="Times New Roman"/>
                <w:b/>
                <w:bCs/>
                <w:color w:val="auto"/>
                <w:szCs w:val="21"/>
                <w:lang w:val="en-US"/>
              </w:rPr>
              <w:t xml:space="preserve">  </w:t>
            </w:r>
            <w:r>
              <w:rPr>
                <w:rFonts w:ascii="Times New Roman" w:hAnsi="Times New Roman" w:cs="Times New Roman"/>
                <w:b/>
                <w:bCs/>
                <w:color w:val="auto"/>
                <w:sz w:val="21"/>
                <w:szCs w:val="21"/>
                <w:lang w:val="en-US"/>
              </w:rPr>
              <w:t>主要设备噪声源强一览表</w:t>
            </w:r>
            <w:r>
              <w:rPr>
                <w:rFonts w:hint="eastAsia" w:ascii="Times New Roman" w:hAnsi="Times New Roman" w:cs="Times New Roman"/>
                <w:b/>
                <w:bCs/>
                <w:color w:val="auto"/>
                <w:sz w:val="21"/>
                <w:szCs w:val="21"/>
                <w:lang w:val="en-US" w:eastAsia="zh-CN"/>
              </w:rPr>
              <w:t>（室内）</w:t>
            </w:r>
          </w:p>
          <w:tbl>
            <w:tblPr>
              <w:tblStyle w:val="21"/>
              <w:tblW w:w="76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
              <w:gridCol w:w="2263"/>
              <w:gridCol w:w="1083"/>
              <w:gridCol w:w="743"/>
              <w:gridCol w:w="820"/>
              <w:gridCol w:w="905"/>
              <w:gridCol w:w="658"/>
              <w:gridCol w:w="752"/>
            </w:tblGrid>
            <w:tr w14:paraId="486E7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52" w:type="dxa"/>
                  <w:vMerge w:val="restart"/>
                  <w:tcBorders>
                    <w:tl2br w:val="nil"/>
                    <w:tr2bl w:val="nil"/>
                  </w:tcBorders>
                  <w:noWrap w:val="0"/>
                  <w:vAlign w:val="center"/>
                </w:tcPr>
                <w:p w14:paraId="2896DF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车间</w:t>
                  </w:r>
                </w:p>
              </w:tc>
              <w:tc>
                <w:tcPr>
                  <w:tcW w:w="2263" w:type="dxa"/>
                  <w:vMerge w:val="restart"/>
                  <w:tcBorders>
                    <w:tl2br w:val="nil"/>
                    <w:tr2bl w:val="nil"/>
                  </w:tcBorders>
                  <w:noWrap w:val="0"/>
                  <w:vAlign w:val="center"/>
                </w:tcPr>
                <w:p w14:paraId="661F01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声源</w:t>
                  </w:r>
                </w:p>
                <w:p w14:paraId="0896A7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名称</w:t>
                  </w:r>
                </w:p>
              </w:tc>
              <w:tc>
                <w:tcPr>
                  <w:tcW w:w="1083" w:type="dxa"/>
                  <w:vMerge w:val="restart"/>
                  <w:tcBorders>
                    <w:tl2br w:val="nil"/>
                    <w:tr2bl w:val="nil"/>
                  </w:tcBorders>
                  <w:noWrap w:val="0"/>
                  <w:vAlign w:val="center"/>
                </w:tcPr>
                <w:p w14:paraId="2BA392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声功率/dB</w:t>
                  </w:r>
                </w:p>
              </w:tc>
              <w:tc>
                <w:tcPr>
                  <w:tcW w:w="743" w:type="dxa"/>
                  <w:vMerge w:val="restart"/>
                  <w:tcBorders>
                    <w:tl2br w:val="nil"/>
                    <w:tr2bl w:val="nil"/>
                  </w:tcBorders>
                  <w:noWrap w:val="0"/>
                  <w:vAlign w:val="center"/>
                </w:tcPr>
                <w:p w14:paraId="7753918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声源控制措施</w:t>
                  </w:r>
                </w:p>
              </w:tc>
              <w:tc>
                <w:tcPr>
                  <w:tcW w:w="2383" w:type="dxa"/>
                  <w:gridSpan w:val="3"/>
                  <w:tcBorders>
                    <w:tl2br w:val="nil"/>
                    <w:tr2bl w:val="nil"/>
                  </w:tcBorders>
                  <w:noWrap w:val="0"/>
                  <w:vAlign w:val="center"/>
                </w:tcPr>
                <w:p w14:paraId="42300D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空间相对位置m</w:t>
                  </w:r>
                </w:p>
              </w:tc>
              <w:tc>
                <w:tcPr>
                  <w:tcW w:w="752" w:type="dxa"/>
                  <w:vMerge w:val="restart"/>
                  <w:tcBorders>
                    <w:tl2br w:val="nil"/>
                    <w:tr2bl w:val="nil"/>
                  </w:tcBorders>
                  <w:noWrap w:val="0"/>
                  <w:vAlign w:val="center"/>
                </w:tcPr>
                <w:p w14:paraId="20800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bookmarkStart w:id="15" w:name="_Toc6007"/>
                  <w:r>
                    <w:rPr>
                      <w:rFonts w:hint="default" w:ascii="Times New Roman" w:hAnsi="Times New Roman" w:eastAsia="宋体" w:cs="Times New Roman"/>
                      <w:b/>
                      <w:bCs/>
                      <w:snapToGrid w:val="0"/>
                      <w:color w:val="auto"/>
                      <w:sz w:val="21"/>
                      <w:szCs w:val="21"/>
                      <w:highlight w:val="none"/>
                      <w:vertAlign w:val="baseline"/>
                    </w:rPr>
                    <w:t>运行时段</w:t>
                  </w:r>
                  <w:bookmarkEnd w:id="15"/>
                </w:p>
              </w:tc>
            </w:tr>
            <w:tr w14:paraId="734D4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52" w:type="dxa"/>
                  <w:vMerge w:val="continue"/>
                  <w:tcBorders>
                    <w:tl2br w:val="nil"/>
                    <w:tr2bl w:val="nil"/>
                  </w:tcBorders>
                  <w:noWrap w:val="0"/>
                  <w:vAlign w:val="center"/>
                </w:tcPr>
                <w:p w14:paraId="6E767EA0">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2263" w:type="dxa"/>
                  <w:vMerge w:val="continue"/>
                  <w:tcBorders>
                    <w:tl2br w:val="nil"/>
                    <w:tr2bl w:val="nil"/>
                  </w:tcBorders>
                  <w:noWrap w:val="0"/>
                  <w:vAlign w:val="center"/>
                </w:tcPr>
                <w:p w14:paraId="45775B52">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1083" w:type="dxa"/>
                  <w:vMerge w:val="continue"/>
                  <w:tcBorders>
                    <w:tl2br w:val="nil"/>
                    <w:tr2bl w:val="nil"/>
                  </w:tcBorders>
                  <w:noWrap w:val="0"/>
                  <w:vAlign w:val="center"/>
                </w:tcPr>
                <w:p w14:paraId="7FF1BFC9">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743" w:type="dxa"/>
                  <w:vMerge w:val="continue"/>
                  <w:tcBorders>
                    <w:tl2br w:val="nil"/>
                    <w:tr2bl w:val="nil"/>
                  </w:tcBorders>
                  <w:noWrap w:val="0"/>
                  <w:vAlign w:val="center"/>
                </w:tcPr>
                <w:p w14:paraId="041C8D5C">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tcBorders>
                    <w:tl2br w:val="nil"/>
                    <w:tr2bl w:val="nil"/>
                  </w:tcBorders>
                  <w:noWrap w:val="0"/>
                  <w:vAlign w:val="center"/>
                </w:tcPr>
                <w:p w14:paraId="5FF39C13">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X</w:t>
                  </w:r>
                </w:p>
              </w:tc>
              <w:tc>
                <w:tcPr>
                  <w:tcW w:w="905" w:type="dxa"/>
                  <w:tcBorders>
                    <w:tl2br w:val="nil"/>
                    <w:tr2bl w:val="nil"/>
                  </w:tcBorders>
                  <w:noWrap w:val="0"/>
                  <w:vAlign w:val="center"/>
                </w:tcPr>
                <w:p w14:paraId="284C7D21">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Y</w:t>
                  </w:r>
                </w:p>
              </w:tc>
              <w:tc>
                <w:tcPr>
                  <w:tcW w:w="658" w:type="dxa"/>
                  <w:tcBorders>
                    <w:tl2br w:val="nil"/>
                    <w:tr2bl w:val="nil"/>
                  </w:tcBorders>
                  <w:noWrap w:val="0"/>
                  <w:vAlign w:val="center"/>
                </w:tcPr>
                <w:p w14:paraId="14738CEE">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rPr>
                    <w:t>Z</w:t>
                  </w:r>
                </w:p>
              </w:tc>
              <w:tc>
                <w:tcPr>
                  <w:tcW w:w="752" w:type="dxa"/>
                  <w:vMerge w:val="continue"/>
                  <w:tcBorders>
                    <w:tl2br w:val="nil"/>
                    <w:tr2bl w:val="nil"/>
                  </w:tcBorders>
                  <w:noWrap w:val="0"/>
                  <w:vAlign w:val="center"/>
                </w:tcPr>
                <w:p w14:paraId="3FC995E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bCs/>
                      <w:color w:val="auto"/>
                      <w:sz w:val="21"/>
                      <w:szCs w:val="21"/>
                    </w:rPr>
                  </w:pPr>
                </w:p>
              </w:tc>
            </w:tr>
            <w:tr w14:paraId="4C189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restart"/>
                  <w:tcBorders>
                    <w:tl2br w:val="nil"/>
                    <w:tr2bl w:val="nil"/>
                  </w:tcBorders>
                  <w:noWrap w:val="0"/>
                  <w:vAlign w:val="center"/>
                </w:tcPr>
                <w:p w14:paraId="080DE383">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钢结构生产厂房</w:t>
                  </w:r>
                </w:p>
              </w:tc>
              <w:tc>
                <w:tcPr>
                  <w:tcW w:w="2263" w:type="dxa"/>
                  <w:tcBorders>
                    <w:tl2br w:val="nil"/>
                    <w:tr2bl w:val="nil"/>
                  </w:tcBorders>
                  <w:shd w:val="clear" w:color="auto" w:fill="auto"/>
                  <w:noWrap w:val="0"/>
                  <w:vAlign w:val="center"/>
                </w:tcPr>
                <w:p w14:paraId="5EAB42C8">
                  <w:pPr>
                    <w:widowControl/>
                    <w:jc w:val="center"/>
                    <w:rPr>
                      <w:rFonts w:hint="default" w:ascii="Times New Roman" w:hAnsi="Times New Roman" w:eastAsia="宋体" w:cs="Times New Roman"/>
                      <w:color w:val="auto"/>
                      <w:kern w:val="0"/>
                      <w:sz w:val="21"/>
                      <w:szCs w:val="21"/>
                      <w:lang w:val="en-US" w:eastAsia="zh-CN" w:bidi="ar-SA"/>
                    </w:rPr>
                  </w:pPr>
                  <w:r>
                    <w:rPr>
                      <w:color w:val="auto"/>
                      <w:kern w:val="0"/>
                      <w:szCs w:val="21"/>
                    </w:rPr>
                    <w:t>空气离心混合机</w:t>
                  </w:r>
                  <w:r>
                    <w:rPr>
                      <w:rFonts w:hint="eastAsia"/>
                      <w:color w:val="auto"/>
                      <w:kern w:val="0"/>
                      <w:szCs w:val="21"/>
                      <w:lang w:val="en-US" w:eastAsia="zh-CN"/>
                    </w:rPr>
                    <w:t>1#</w:t>
                  </w:r>
                </w:p>
              </w:tc>
              <w:tc>
                <w:tcPr>
                  <w:tcW w:w="1083" w:type="dxa"/>
                  <w:tcBorders>
                    <w:tl2br w:val="nil"/>
                    <w:tr2bl w:val="nil"/>
                  </w:tcBorders>
                  <w:shd w:val="clear" w:color="auto" w:fill="auto"/>
                  <w:noWrap w:val="0"/>
                  <w:vAlign w:val="center"/>
                </w:tcPr>
                <w:p w14:paraId="3E9D518E">
                  <w:pPr>
                    <w:widowControl/>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743" w:type="dxa"/>
                  <w:vMerge w:val="restart"/>
                  <w:tcBorders>
                    <w:tl2br w:val="nil"/>
                    <w:tr2bl w:val="nil"/>
                  </w:tcBorders>
                  <w:noWrap w:val="0"/>
                  <w:vAlign w:val="center"/>
                </w:tcPr>
                <w:p w14:paraId="1527F5C5">
                  <w:pPr>
                    <w:pStyle w:val="27"/>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center"/>
                    <w:textAlignment w:val="auto"/>
                    <w:rPr>
                      <w:rFonts w:hint="default" w:ascii="Times New Roman" w:hAnsi="Times New Roman" w:eastAsia="宋体" w:cs="Times New Roman"/>
                      <w:color w:val="auto"/>
                      <w:sz w:val="21"/>
                      <w:szCs w:val="21"/>
                      <w:lang w:val="en-US"/>
                    </w:rPr>
                  </w:pPr>
                  <w:r>
                    <w:rPr>
                      <w:rStyle w:val="34"/>
                      <w:rFonts w:hint="eastAsia" w:ascii="Times New Roman" w:hAnsi="Times New Roman" w:cs="Times New Roman"/>
                      <w:b w:val="0"/>
                      <w:bCs w:val="0"/>
                      <w:color w:val="auto"/>
                      <w:kern w:val="21"/>
                      <w:sz w:val="21"/>
                      <w:szCs w:val="21"/>
                      <w:highlight w:val="none"/>
                      <w:lang w:val="en-US" w:eastAsia="zh-CN"/>
                    </w:rPr>
                    <w:t>10</w:t>
                  </w:r>
                </w:p>
              </w:tc>
              <w:tc>
                <w:tcPr>
                  <w:tcW w:w="820" w:type="dxa"/>
                  <w:tcBorders>
                    <w:tl2br w:val="nil"/>
                    <w:tr2bl w:val="nil"/>
                  </w:tcBorders>
                  <w:noWrap w:val="0"/>
                  <w:vAlign w:val="center"/>
                </w:tcPr>
                <w:p w14:paraId="121EB7F7">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15</w:t>
                  </w:r>
                </w:p>
              </w:tc>
              <w:tc>
                <w:tcPr>
                  <w:tcW w:w="905" w:type="dxa"/>
                  <w:tcBorders>
                    <w:tl2br w:val="nil"/>
                    <w:tr2bl w:val="nil"/>
                  </w:tcBorders>
                  <w:noWrap w:val="0"/>
                  <w:vAlign w:val="center"/>
                </w:tcPr>
                <w:p w14:paraId="0DE2C49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56</w:t>
                  </w:r>
                </w:p>
              </w:tc>
              <w:tc>
                <w:tcPr>
                  <w:tcW w:w="658" w:type="dxa"/>
                  <w:tcBorders>
                    <w:tl2br w:val="nil"/>
                    <w:tr2bl w:val="nil"/>
                  </w:tcBorders>
                  <w:noWrap w:val="0"/>
                  <w:vAlign w:val="center"/>
                </w:tcPr>
                <w:p w14:paraId="34C3ACAC">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752" w:type="dxa"/>
                  <w:tcBorders>
                    <w:tl2br w:val="nil"/>
                    <w:tr2bl w:val="nil"/>
                  </w:tcBorders>
                  <w:noWrap w:val="0"/>
                  <w:vAlign w:val="center"/>
                </w:tcPr>
                <w:p w14:paraId="04D472BF">
                  <w:pPr>
                    <w:spacing w:beforeAutospacing="0" w:afterAutospacing="0" w:line="240" w:lineRule="auto"/>
                    <w:jc w:val="center"/>
                    <w:outlineLvl w:val="0"/>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1CA87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tcBorders>
                    <w:tl2br w:val="nil"/>
                    <w:tr2bl w:val="nil"/>
                  </w:tcBorders>
                  <w:noWrap w:val="0"/>
                  <w:vAlign w:val="center"/>
                </w:tcPr>
                <w:p w14:paraId="5D918E99">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tcBorders>
                    <w:tl2br w:val="nil"/>
                    <w:tr2bl w:val="nil"/>
                  </w:tcBorders>
                  <w:shd w:val="clear" w:color="auto" w:fill="auto"/>
                  <w:noWrap w:val="0"/>
                  <w:vAlign w:val="center"/>
                </w:tcPr>
                <w:p w14:paraId="67165BD8">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空气离心混合机</w:t>
                  </w:r>
                  <w:r>
                    <w:rPr>
                      <w:rFonts w:hint="eastAsia"/>
                      <w:color w:val="auto"/>
                      <w:kern w:val="0"/>
                      <w:szCs w:val="21"/>
                      <w:lang w:val="en-US" w:eastAsia="zh-CN"/>
                    </w:rPr>
                    <w:t>2#</w:t>
                  </w:r>
                </w:p>
              </w:tc>
              <w:tc>
                <w:tcPr>
                  <w:tcW w:w="1083" w:type="dxa"/>
                  <w:tcBorders>
                    <w:tl2br w:val="nil"/>
                    <w:tr2bl w:val="nil"/>
                  </w:tcBorders>
                  <w:shd w:val="clear" w:color="auto" w:fill="auto"/>
                  <w:noWrap w:val="0"/>
                  <w:vAlign w:val="center"/>
                </w:tcPr>
                <w:p w14:paraId="072E85B5">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743" w:type="dxa"/>
                  <w:vMerge w:val="continue"/>
                  <w:tcBorders>
                    <w:tl2br w:val="nil"/>
                    <w:tr2bl w:val="nil"/>
                  </w:tcBorders>
                  <w:noWrap w:val="0"/>
                  <w:vAlign w:val="center"/>
                </w:tcPr>
                <w:p w14:paraId="5EEC7C2D">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tcBorders>
                    <w:tl2br w:val="nil"/>
                    <w:tr2bl w:val="nil"/>
                  </w:tcBorders>
                  <w:noWrap w:val="0"/>
                  <w:vAlign w:val="center"/>
                </w:tcPr>
                <w:p w14:paraId="4A3653F9">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18</w:t>
                  </w:r>
                </w:p>
              </w:tc>
              <w:tc>
                <w:tcPr>
                  <w:tcW w:w="905" w:type="dxa"/>
                  <w:tcBorders>
                    <w:tl2br w:val="nil"/>
                    <w:tr2bl w:val="nil"/>
                  </w:tcBorders>
                  <w:noWrap w:val="0"/>
                  <w:vAlign w:val="center"/>
                </w:tcPr>
                <w:p w14:paraId="340FCC9C">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56</w:t>
                  </w:r>
                </w:p>
              </w:tc>
              <w:tc>
                <w:tcPr>
                  <w:tcW w:w="658" w:type="dxa"/>
                  <w:tcBorders>
                    <w:tl2br w:val="nil"/>
                    <w:tr2bl w:val="nil"/>
                  </w:tcBorders>
                  <w:noWrap w:val="0"/>
                  <w:vAlign w:val="center"/>
                </w:tcPr>
                <w:p w14:paraId="255F7B7F">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752" w:type="dxa"/>
                  <w:tcBorders>
                    <w:tl2br w:val="nil"/>
                    <w:tr2bl w:val="nil"/>
                  </w:tcBorders>
                  <w:noWrap w:val="0"/>
                  <w:vAlign w:val="center"/>
                </w:tcPr>
                <w:p w14:paraId="4E9F64D6">
                  <w:pPr>
                    <w:spacing w:beforeAutospacing="0" w:afterAutospacing="0" w:line="240" w:lineRule="auto"/>
                    <w:jc w:val="center"/>
                    <w:outlineLvl w:val="0"/>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15730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tcBorders>
                    <w:tl2br w:val="nil"/>
                    <w:tr2bl w:val="nil"/>
                  </w:tcBorders>
                  <w:noWrap w:val="0"/>
                  <w:vAlign w:val="center"/>
                </w:tcPr>
                <w:p w14:paraId="5052B1F9">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tcBorders>
                    <w:tl2br w:val="nil"/>
                    <w:tr2bl w:val="nil"/>
                  </w:tcBorders>
                  <w:shd w:val="clear" w:color="auto" w:fill="auto"/>
                  <w:noWrap w:val="0"/>
                  <w:vAlign w:val="center"/>
                </w:tcPr>
                <w:p w14:paraId="792AE0D5">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空气离心混合机</w:t>
                  </w:r>
                  <w:r>
                    <w:rPr>
                      <w:rFonts w:hint="eastAsia"/>
                      <w:color w:val="auto"/>
                      <w:kern w:val="0"/>
                      <w:szCs w:val="21"/>
                      <w:lang w:val="en-US" w:eastAsia="zh-CN"/>
                    </w:rPr>
                    <w:t>3#</w:t>
                  </w:r>
                </w:p>
              </w:tc>
              <w:tc>
                <w:tcPr>
                  <w:tcW w:w="1083" w:type="dxa"/>
                  <w:tcBorders>
                    <w:tl2br w:val="nil"/>
                    <w:tr2bl w:val="nil"/>
                  </w:tcBorders>
                  <w:shd w:val="clear" w:color="auto" w:fill="auto"/>
                  <w:noWrap w:val="0"/>
                  <w:vAlign w:val="center"/>
                </w:tcPr>
                <w:p w14:paraId="758FE3C6">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743" w:type="dxa"/>
                  <w:vMerge w:val="continue"/>
                  <w:tcBorders>
                    <w:tl2br w:val="nil"/>
                    <w:tr2bl w:val="nil"/>
                  </w:tcBorders>
                  <w:noWrap w:val="0"/>
                  <w:vAlign w:val="center"/>
                </w:tcPr>
                <w:p w14:paraId="02D58A9D">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tcBorders>
                    <w:tl2br w:val="nil"/>
                    <w:tr2bl w:val="nil"/>
                  </w:tcBorders>
                  <w:noWrap w:val="0"/>
                  <w:vAlign w:val="center"/>
                </w:tcPr>
                <w:p w14:paraId="0AC6F12E">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22</w:t>
                  </w:r>
                </w:p>
              </w:tc>
              <w:tc>
                <w:tcPr>
                  <w:tcW w:w="905" w:type="dxa"/>
                  <w:tcBorders>
                    <w:tl2br w:val="nil"/>
                    <w:tr2bl w:val="nil"/>
                  </w:tcBorders>
                  <w:noWrap w:val="0"/>
                  <w:vAlign w:val="center"/>
                </w:tcPr>
                <w:p w14:paraId="7BD47043">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56</w:t>
                  </w:r>
                </w:p>
              </w:tc>
              <w:tc>
                <w:tcPr>
                  <w:tcW w:w="658" w:type="dxa"/>
                  <w:tcBorders>
                    <w:tl2br w:val="nil"/>
                    <w:tr2bl w:val="nil"/>
                  </w:tcBorders>
                  <w:noWrap w:val="0"/>
                  <w:vAlign w:val="center"/>
                </w:tcPr>
                <w:p w14:paraId="74547A30">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1</w:t>
                  </w:r>
                </w:p>
              </w:tc>
              <w:tc>
                <w:tcPr>
                  <w:tcW w:w="752" w:type="dxa"/>
                  <w:tcBorders>
                    <w:tl2br w:val="nil"/>
                    <w:tr2bl w:val="nil"/>
                  </w:tcBorders>
                  <w:noWrap w:val="0"/>
                  <w:vAlign w:val="center"/>
                </w:tcPr>
                <w:p w14:paraId="2CA05027">
                  <w:pPr>
                    <w:spacing w:beforeAutospacing="0" w:afterAutospacing="0" w:line="240" w:lineRule="auto"/>
                    <w:jc w:val="center"/>
                    <w:outlineLvl w:val="0"/>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249D5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tcBorders>
                    <w:tl2br w:val="nil"/>
                    <w:tr2bl w:val="nil"/>
                  </w:tcBorders>
                  <w:noWrap w:val="0"/>
                  <w:vAlign w:val="center"/>
                </w:tcPr>
                <w:p w14:paraId="358E11EB">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tcBorders>
                    <w:tl2br w:val="nil"/>
                    <w:tr2bl w:val="nil"/>
                  </w:tcBorders>
                  <w:shd w:val="clear" w:color="auto" w:fill="auto"/>
                  <w:noWrap w:val="0"/>
                  <w:vAlign w:val="center"/>
                </w:tcPr>
                <w:p w14:paraId="6D2A2851">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空气离心混合机</w:t>
                  </w:r>
                  <w:r>
                    <w:rPr>
                      <w:rFonts w:hint="eastAsia"/>
                      <w:color w:val="auto"/>
                      <w:kern w:val="0"/>
                      <w:szCs w:val="21"/>
                      <w:lang w:val="en-US" w:eastAsia="zh-CN"/>
                    </w:rPr>
                    <w:t>4#</w:t>
                  </w:r>
                </w:p>
              </w:tc>
              <w:tc>
                <w:tcPr>
                  <w:tcW w:w="1083" w:type="dxa"/>
                  <w:tcBorders>
                    <w:tl2br w:val="nil"/>
                    <w:tr2bl w:val="nil"/>
                  </w:tcBorders>
                  <w:shd w:val="clear" w:color="auto" w:fill="auto"/>
                  <w:noWrap w:val="0"/>
                  <w:vAlign w:val="center"/>
                </w:tcPr>
                <w:p w14:paraId="51AECA17">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743" w:type="dxa"/>
                  <w:vMerge w:val="continue"/>
                  <w:tcBorders>
                    <w:tl2br w:val="nil"/>
                    <w:tr2bl w:val="nil"/>
                  </w:tcBorders>
                  <w:noWrap w:val="0"/>
                  <w:vAlign w:val="center"/>
                </w:tcPr>
                <w:p w14:paraId="2D6680D4">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tcBorders>
                    <w:tl2br w:val="nil"/>
                    <w:tr2bl w:val="nil"/>
                  </w:tcBorders>
                  <w:noWrap w:val="0"/>
                  <w:vAlign w:val="center"/>
                </w:tcPr>
                <w:p w14:paraId="443219F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w:t>
                  </w:r>
                </w:p>
              </w:tc>
              <w:tc>
                <w:tcPr>
                  <w:tcW w:w="905" w:type="dxa"/>
                  <w:tcBorders>
                    <w:tl2br w:val="nil"/>
                    <w:tr2bl w:val="nil"/>
                  </w:tcBorders>
                  <w:noWrap w:val="0"/>
                  <w:vAlign w:val="center"/>
                </w:tcPr>
                <w:p w14:paraId="44D8F7ED">
                  <w:pPr>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56</w:t>
                  </w:r>
                </w:p>
              </w:tc>
              <w:tc>
                <w:tcPr>
                  <w:tcW w:w="658" w:type="dxa"/>
                  <w:tcBorders>
                    <w:tl2br w:val="nil"/>
                    <w:tr2bl w:val="nil"/>
                  </w:tcBorders>
                  <w:noWrap w:val="0"/>
                  <w:vAlign w:val="center"/>
                </w:tcPr>
                <w:p w14:paraId="5FF2376A">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tcBorders>
                    <w:tl2br w:val="nil"/>
                    <w:tr2bl w:val="nil"/>
                  </w:tcBorders>
                  <w:noWrap w:val="0"/>
                  <w:vAlign w:val="center"/>
                </w:tcPr>
                <w:p w14:paraId="393E21FB">
                  <w:pPr>
                    <w:spacing w:beforeAutospacing="0" w:afterAutospacing="0" w:line="240" w:lineRule="auto"/>
                    <w:jc w:val="center"/>
                    <w:outlineLvl w:val="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00F13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tcBorders>
                    <w:tl2br w:val="nil"/>
                    <w:tr2bl w:val="nil"/>
                  </w:tcBorders>
                  <w:noWrap w:val="0"/>
                  <w:vAlign w:val="center"/>
                </w:tcPr>
                <w:p w14:paraId="49A27704">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tcBorders>
                    <w:tl2br w:val="nil"/>
                    <w:tr2bl w:val="nil"/>
                  </w:tcBorders>
                  <w:shd w:val="clear" w:color="auto" w:fill="auto"/>
                  <w:noWrap w:val="0"/>
                  <w:vAlign w:val="center"/>
                </w:tcPr>
                <w:p w14:paraId="6415D22F">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空气离心混合机</w:t>
                  </w:r>
                  <w:r>
                    <w:rPr>
                      <w:rFonts w:hint="eastAsia"/>
                      <w:color w:val="auto"/>
                      <w:kern w:val="0"/>
                      <w:szCs w:val="21"/>
                      <w:lang w:val="en-US" w:eastAsia="zh-CN"/>
                    </w:rPr>
                    <w:t>5#</w:t>
                  </w:r>
                </w:p>
              </w:tc>
              <w:tc>
                <w:tcPr>
                  <w:tcW w:w="1083" w:type="dxa"/>
                  <w:tcBorders>
                    <w:tl2br w:val="nil"/>
                    <w:tr2bl w:val="nil"/>
                  </w:tcBorders>
                  <w:shd w:val="clear" w:color="auto" w:fill="auto"/>
                  <w:noWrap w:val="0"/>
                  <w:vAlign w:val="center"/>
                </w:tcPr>
                <w:p w14:paraId="1B3DDD4A">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743" w:type="dxa"/>
                  <w:vMerge w:val="continue"/>
                  <w:tcBorders>
                    <w:tl2br w:val="nil"/>
                    <w:tr2bl w:val="nil"/>
                  </w:tcBorders>
                  <w:noWrap w:val="0"/>
                  <w:vAlign w:val="center"/>
                </w:tcPr>
                <w:p w14:paraId="59B328E4">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tcBorders>
                    <w:tl2br w:val="nil"/>
                    <w:tr2bl w:val="nil"/>
                  </w:tcBorders>
                  <w:noWrap w:val="0"/>
                  <w:vAlign w:val="center"/>
                </w:tcPr>
                <w:p w14:paraId="0E305157">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905" w:type="dxa"/>
                  <w:tcBorders>
                    <w:tl2br w:val="nil"/>
                    <w:tr2bl w:val="nil"/>
                  </w:tcBorders>
                  <w:noWrap w:val="0"/>
                  <w:vAlign w:val="center"/>
                </w:tcPr>
                <w:p w14:paraId="29A4A211">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56</w:t>
                  </w:r>
                </w:p>
              </w:tc>
              <w:tc>
                <w:tcPr>
                  <w:tcW w:w="658" w:type="dxa"/>
                  <w:tcBorders>
                    <w:tl2br w:val="nil"/>
                    <w:tr2bl w:val="nil"/>
                  </w:tcBorders>
                  <w:noWrap w:val="0"/>
                  <w:vAlign w:val="center"/>
                </w:tcPr>
                <w:p w14:paraId="28D1E81F">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tcBorders>
                    <w:tl2br w:val="nil"/>
                    <w:tr2bl w:val="nil"/>
                  </w:tcBorders>
                  <w:noWrap w:val="0"/>
                  <w:vAlign w:val="center"/>
                </w:tcPr>
                <w:p w14:paraId="61D31467">
                  <w:pPr>
                    <w:spacing w:beforeAutospacing="0" w:afterAutospacing="0" w:line="240" w:lineRule="auto"/>
                    <w:jc w:val="center"/>
                    <w:outlineLvl w:val="0"/>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19170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tcBorders>
                    <w:tl2br w:val="nil"/>
                    <w:tr2bl w:val="nil"/>
                  </w:tcBorders>
                  <w:noWrap w:val="0"/>
                  <w:vAlign w:val="center"/>
                </w:tcPr>
                <w:p w14:paraId="2FA37AE5">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tcBorders>
                    <w:tl2br w:val="nil"/>
                    <w:tr2bl w:val="nil"/>
                  </w:tcBorders>
                  <w:shd w:val="clear" w:color="auto" w:fill="auto"/>
                  <w:noWrap w:val="0"/>
                  <w:vAlign w:val="center"/>
                </w:tcPr>
                <w:p w14:paraId="55DF475F">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空气离心混合机</w:t>
                  </w:r>
                  <w:r>
                    <w:rPr>
                      <w:rFonts w:hint="eastAsia"/>
                      <w:color w:val="auto"/>
                      <w:kern w:val="0"/>
                      <w:szCs w:val="21"/>
                      <w:lang w:val="en-US" w:eastAsia="zh-CN"/>
                    </w:rPr>
                    <w:t>6#</w:t>
                  </w:r>
                </w:p>
              </w:tc>
              <w:tc>
                <w:tcPr>
                  <w:tcW w:w="1083" w:type="dxa"/>
                  <w:tcBorders>
                    <w:tl2br w:val="nil"/>
                    <w:tr2bl w:val="nil"/>
                  </w:tcBorders>
                  <w:shd w:val="clear" w:color="auto" w:fill="auto"/>
                  <w:noWrap w:val="0"/>
                  <w:vAlign w:val="center"/>
                </w:tcPr>
                <w:p w14:paraId="49D48139">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743" w:type="dxa"/>
                  <w:vMerge w:val="continue"/>
                  <w:tcBorders>
                    <w:tl2br w:val="nil"/>
                    <w:tr2bl w:val="nil"/>
                  </w:tcBorders>
                  <w:noWrap w:val="0"/>
                  <w:vAlign w:val="center"/>
                </w:tcPr>
                <w:p w14:paraId="5B89E04E">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tcBorders>
                    <w:tl2br w:val="nil"/>
                    <w:tr2bl w:val="nil"/>
                  </w:tcBorders>
                  <w:noWrap w:val="0"/>
                  <w:vAlign w:val="center"/>
                </w:tcPr>
                <w:p w14:paraId="3885B134">
                  <w:pPr>
                    <w:jc w:val="center"/>
                    <w:rPr>
                      <w:rFonts w:hint="default" w:ascii="Times New Roman" w:hAnsi="Times New Roman"/>
                      <w:color w:val="auto"/>
                      <w:szCs w:val="21"/>
                      <w:lang w:val="en-US" w:eastAsia="zh-CN"/>
                    </w:rPr>
                  </w:pPr>
                  <w:r>
                    <w:rPr>
                      <w:rFonts w:hint="eastAsia"/>
                      <w:color w:val="auto"/>
                      <w:szCs w:val="21"/>
                      <w:lang w:val="en-US" w:eastAsia="zh-CN"/>
                    </w:rPr>
                    <w:t>34</w:t>
                  </w:r>
                </w:p>
              </w:tc>
              <w:tc>
                <w:tcPr>
                  <w:tcW w:w="905" w:type="dxa"/>
                  <w:tcBorders>
                    <w:tl2br w:val="nil"/>
                    <w:tr2bl w:val="nil"/>
                  </w:tcBorders>
                  <w:noWrap w:val="0"/>
                  <w:vAlign w:val="center"/>
                </w:tcPr>
                <w:p w14:paraId="0260769F">
                  <w:pPr>
                    <w:jc w:val="center"/>
                    <w:rPr>
                      <w:rFonts w:hint="default"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56</w:t>
                  </w:r>
                </w:p>
              </w:tc>
              <w:tc>
                <w:tcPr>
                  <w:tcW w:w="658" w:type="dxa"/>
                  <w:tcBorders>
                    <w:tl2br w:val="nil"/>
                    <w:tr2bl w:val="nil"/>
                  </w:tcBorders>
                  <w:noWrap w:val="0"/>
                  <w:vAlign w:val="center"/>
                </w:tcPr>
                <w:p w14:paraId="65B46B1E">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tcBorders>
                    <w:tl2br w:val="nil"/>
                    <w:tr2bl w:val="nil"/>
                  </w:tcBorders>
                  <w:noWrap w:val="0"/>
                  <w:vAlign w:val="center"/>
                </w:tcPr>
                <w:p w14:paraId="1EC0739A">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4EBFA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2" w:type="dxa"/>
                  <w:vMerge w:val="continue"/>
                  <w:vAlign w:val="center"/>
                </w:tcPr>
                <w:p w14:paraId="79E6F6EF">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7205859B">
                  <w:pPr>
                    <w:widowControl/>
                    <w:jc w:val="center"/>
                    <w:rPr>
                      <w:rFonts w:hint="default" w:ascii="Times New Roman" w:hAnsi="Times New Roman" w:eastAsia="宋体" w:cs="Times New Roman"/>
                      <w:color w:val="auto"/>
                      <w:kern w:val="0"/>
                      <w:sz w:val="21"/>
                      <w:szCs w:val="21"/>
                      <w:lang w:val="en-US" w:eastAsia="zh-CN" w:bidi="ar-SA"/>
                    </w:rPr>
                  </w:pPr>
                  <w:r>
                    <w:rPr>
                      <w:color w:val="auto"/>
                      <w:kern w:val="0"/>
                      <w:szCs w:val="21"/>
                    </w:rPr>
                    <w:t>自动加热预融机</w:t>
                  </w:r>
                  <w:r>
                    <w:rPr>
                      <w:rFonts w:hint="eastAsia"/>
                      <w:color w:val="auto"/>
                      <w:kern w:val="0"/>
                      <w:szCs w:val="21"/>
                      <w:lang w:val="en-US" w:eastAsia="zh-CN"/>
                    </w:rPr>
                    <w:t>及</w:t>
                  </w:r>
                  <w:r>
                    <w:rPr>
                      <w:color w:val="auto"/>
                      <w:kern w:val="0"/>
                      <w:szCs w:val="21"/>
                    </w:rPr>
                    <w:t>恒温冷却压片破碎机</w:t>
                  </w:r>
                  <w:r>
                    <w:rPr>
                      <w:rFonts w:hint="eastAsia"/>
                      <w:color w:val="auto"/>
                      <w:kern w:val="0"/>
                      <w:szCs w:val="21"/>
                      <w:lang w:val="en-US" w:eastAsia="zh-CN"/>
                    </w:rPr>
                    <w:t>1#</w:t>
                  </w:r>
                </w:p>
              </w:tc>
              <w:tc>
                <w:tcPr>
                  <w:tcW w:w="1083" w:type="dxa"/>
                  <w:shd w:val="clear" w:color="auto" w:fill="auto"/>
                  <w:vAlign w:val="center"/>
                </w:tcPr>
                <w:p w14:paraId="21CD2386">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37674AC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4D9BD7C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15</w:t>
                  </w:r>
                </w:p>
              </w:tc>
              <w:tc>
                <w:tcPr>
                  <w:tcW w:w="905" w:type="dxa"/>
                  <w:shd w:val="clear" w:color="auto" w:fill="auto"/>
                  <w:vAlign w:val="center"/>
                </w:tcPr>
                <w:p w14:paraId="17608EF8">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w:t>
                  </w:r>
                </w:p>
              </w:tc>
              <w:tc>
                <w:tcPr>
                  <w:tcW w:w="658" w:type="dxa"/>
                  <w:vAlign w:val="center"/>
                </w:tcPr>
                <w:p w14:paraId="71233508">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5A22008B">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5D44DB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2" w:type="dxa"/>
                  <w:vMerge w:val="continue"/>
                  <w:vAlign w:val="center"/>
                </w:tcPr>
                <w:p w14:paraId="173728DC">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2D305AFD">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自动加热预融机</w:t>
                  </w:r>
                  <w:r>
                    <w:rPr>
                      <w:rFonts w:hint="eastAsia"/>
                      <w:color w:val="auto"/>
                      <w:kern w:val="0"/>
                      <w:szCs w:val="21"/>
                      <w:lang w:val="en-US" w:eastAsia="zh-CN"/>
                    </w:rPr>
                    <w:t>及</w:t>
                  </w:r>
                  <w:r>
                    <w:rPr>
                      <w:color w:val="auto"/>
                      <w:kern w:val="0"/>
                      <w:szCs w:val="21"/>
                    </w:rPr>
                    <w:t>恒温冷却压片破碎机</w:t>
                  </w:r>
                  <w:r>
                    <w:rPr>
                      <w:rFonts w:hint="eastAsia"/>
                      <w:color w:val="auto"/>
                      <w:kern w:val="0"/>
                      <w:szCs w:val="21"/>
                      <w:lang w:val="en-US" w:eastAsia="zh-CN"/>
                    </w:rPr>
                    <w:t>2#</w:t>
                  </w:r>
                </w:p>
              </w:tc>
              <w:tc>
                <w:tcPr>
                  <w:tcW w:w="1083" w:type="dxa"/>
                  <w:shd w:val="clear" w:color="auto" w:fill="auto"/>
                  <w:vAlign w:val="center"/>
                </w:tcPr>
                <w:p w14:paraId="5EF293A8">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7988B7A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3F22A90C">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20</w:t>
                  </w:r>
                </w:p>
              </w:tc>
              <w:tc>
                <w:tcPr>
                  <w:tcW w:w="905" w:type="dxa"/>
                  <w:shd w:val="clear" w:color="auto" w:fill="auto"/>
                  <w:vAlign w:val="center"/>
                </w:tcPr>
                <w:p w14:paraId="3C3D818A">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w:t>
                  </w:r>
                </w:p>
              </w:tc>
              <w:tc>
                <w:tcPr>
                  <w:tcW w:w="658" w:type="dxa"/>
                  <w:vAlign w:val="center"/>
                </w:tcPr>
                <w:p w14:paraId="03C50D2C">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740F26F1">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1DA15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2" w:type="dxa"/>
                  <w:vMerge w:val="continue"/>
                  <w:vAlign w:val="center"/>
                </w:tcPr>
                <w:p w14:paraId="4AE86099">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3AD17C3F">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自动加热预融机</w:t>
                  </w:r>
                  <w:r>
                    <w:rPr>
                      <w:rFonts w:hint="eastAsia"/>
                      <w:color w:val="auto"/>
                      <w:kern w:val="0"/>
                      <w:szCs w:val="21"/>
                      <w:lang w:val="en-US" w:eastAsia="zh-CN"/>
                    </w:rPr>
                    <w:t>及</w:t>
                  </w:r>
                  <w:r>
                    <w:rPr>
                      <w:color w:val="auto"/>
                      <w:kern w:val="0"/>
                      <w:szCs w:val="21"/>
                    </w:rPr>
                    <w:t>恒温冷却压片破碎机</w:t>
                  </w:r>
                  <w:r>
                    <w:rPr>
                      <w:rFonts w:hint="eastAsia"/>
                      <w:color w:val="auto"/>
                      <w:kern w:val="0"/>
                      <w:szCs w:val="21"/>
                      <w:lang w:val="en-US" w:eastAsia="zh-CN"/>
                    </w:rPr>
                    <w:t>3#</w:t>
                  </w:r>
                </w:p>
              </w:tc>
              <w:tc>
                <w:tcPr>
                  <w:tcW w:w="1083" w:type="dxa"/>
                  <w:shd w:val="clear" w:color="auto" w:fill="auto"/>
                  <w:vAlign w:val="center"/>
                </w:tcPr>
                <w:p w14:paraId="0C514CDB">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63D30878">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5096A749">
                  <w:pPr>
                    <w:keepNext w:val="0"/>
                    <w:keepLines w:val="0"/>
                    <w:pageBreakBefore w:val="0"/>
                    <w:kinsoku/>
                    <w:wordWrap/>
                    <w:overflowPunct/>
                    <w:topLinePunct w:val="0"/>
                    <w:bidi w:val="0"/>
                    <w:adjustRightInd/>
                    <w:snapToGrid/>
                    <w:spacing w:line="240" w:lineRule="auto"/>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25</w:t>
                  </w:r>
                </w:p>
              </w:tc>
              <w:tc>
                <w:tcPr>
                  <w:tcW w:w="905" w:type="dxa"/>
                  <w:shd w:val="clear" w:color="auto" w:fill="auto"/>
                  <w:vAlign w:val="center"/>
                </w:tcPr>
                <w:p w14:paraId="0C4666B5">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64</w:t>
                  </w:r>
                </w:p>
              </w:tc>
              <w:tc>
                <w:tcPr>
                  <w:tcW w:w="658" w:type="dxa"/>
                  <w:vAlign w:val="center"/>
                </w:tcPr>
                <w:p w14:paraId="2490BCEA">
                  <w:pPr>
                    <w:jc w:val="center"/>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4244B452">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64FBF8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2" w:type="dxa"/>
                  <w:vMerge w:val="continue"/>
                  <w:vAlign w:val="center"/>
                </w:tcPr>
                <w:p w14:paraId="4E569C51">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5E886510">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自动加热预融机</w:t>
                  </w:r>
                  <w:r>
                    <w:rPr>
                      <w:rFonts w:hint="eastAsia"/>
                      <w:color w:val="auto"/>
                      <w:kern w:val="0"/>
                      <w:szCs w:val="21"/>
                      <w:lang w:val="en-US" w:eastAsia="zh-CN"/>
                    </w:rPr>
                    <w:t>及</w:t>
                  </w:r>
                  <w:r>
                    <w:rPr>
                      <w:color w:val="auto"/>
                      <w:kern w:val="0"/>
                      <w:szCs w:val="21"/>
                    </w:rPr>
                    <w:t>恒温冷却压片破碎机</w:t>
                  </w:r>
                  <w:r>
                    <w:rPr>
                      <w:rFonts w:hint="eastAsia"/>
                      <w:color w:val="auto"/>
                      <w:kern w:val="0"/>
                      <w:szCs w:val="21"/>
                      <w:lang w:val="en-US" w:eastAsia="zh-CN"/>
                    </w:rPr>
                    <w:t>4#</w:t>
                  </w:r>
                </w:p>
              </w:tc>
              <w:tc>
                <w:tcPr>
                  <w:tcW w:w="1083" w:type="dxa"/>
                  <w:shd w:val="clear" w:color="auto" w:fill="auto"/>
                  <w:vAlign w:val="center"/>
                </w:tcPr>
                <w:p w14:paraId="194697A2">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4D31E27D">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356502F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905" w:type="dxa"/>
                  <w:shd w:val="clear" w:color="auto" w:fill="auto"/>
                  <w:vAlign w:val="center"/>
                </w:tcPr>
                <w:p w14:paraId="54BE0B7F">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kern w:val="2"/>
                      <w:sz w:val="21"/>
                      <w:szCs w:val="21"/>
                      <w:lang w:val="en-US" w:eastAsia="zh-CN" w:bidi="ar-SA"/>
                    </w:rPr>
                    <w:t>64</w:t>
                  </w:r>
                </w:p>
              </w:tc>
              <w:tc>
                <w:tcPr>
                  <w:tcW w:w="658" w:type="dxa"/>
                  <w:vAlign w:val="center"/>
                </w:tcPr>
                <w:p w14:paraId="6E55BA53">
                  <w:pPr>
                    <w:jc w:val="center"/>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2B5008BA">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7A09E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52" w:type="dxa"/>
                  <w:vMerge w:val="continue"/>
                  <w:vAlign w:val="center"/>
                </w:tcPr>
                <w:p w14:paraId="462E0C11">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5AC32C15">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自动加热预融机</w:t>
                  </w:r>
                  <w:r>
                    <w:rPr>
                      <w:rFonts w:hint="eastAsia"/>
                      <w:color w:val="auto"/>
                      <w:kern w:val="0"/>
                      <w:szCs w:val="21"/>
                      <w:lang w:val="en-US" w:eastAsia="zh-CN"/>
                    </w:rPr>
                    <w:t>及</w:t>
                  </w:r>
                  <w:r>
                    <w:rPr>
                      <w:color w:val="auto"/>
                      <w:kern w:val="0"/>
                      <w:szCs w:val="21"/>
                    </w:rPr>
                    <w:t>恒温冷却压片破碎机</w:t>
                  </w:r>
                  <w:r>
                    <w:rPr>
                      <w:rFonts w:hint="eastAsia"/>
                      <w:color w:val="auto"/>
                      <w:kern w:val="0"/>
                      <w:szCs w:val="21"/>
                      <w:lang w:val="en-US" w:eastAsia="zh-CN"/>
                    </w:rPr>
                    <w:t>5#</w:t>
                  </w:r>
                </w:p>
              </w:tc>
              <w:tc>
                <w:tcPr>
                  <w:tcW w:w="1083" w:type="dxa"/>
                  <w:shd w:val="clear" w:color="auto" w:fill="auto"/>
                  <w:vAlign w:val="center"/>
                </w:tcPr>
                <w:p w14:paraId="0C8E8C93">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35A74A28">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526B226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905" w:type="dxa"/>
                  <w:shd w:val="clear" w:color="auto" w:fill="auto"/>
                  <w:vAlign w:val="center"/>
                </w:tcPr>
                <w:p w14:paraId="12C16683">
                  <w:pPr>
                    <w:jc w:val="center"/>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kern w:val="2"/>
                      <w:sz w:val="21"/>
                      <w:szCs w:val="21"/>
                      <w:lang w:val="en-US" w:eastAsia="zh-CN" w:bidi="ar-SA"/>
                    </w:rPr>
                    <w:t>64</w:t>
                  </w:r>
                </w:p>
              </w:tc>
              <w:tc>
                <w:tcPr>
                  <w:tcW w:w="658" w:type="dxa"/>
                  <w:vAlign w:val="center"/>
                </w:tcPr>
                <w:p w14:paraId="79B6F450">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2AD79C3A">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4F003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1F48226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2F7C06FF">
                  <w:pPr>
                    <w:widowControl/>
                    <w:jc w:val="center"/>
                    <w:rPr>
                      <w:rFonts w:hint="default" w:ascii="Times New Roman" w:hAnsi="Times New Roman" w:eastAsia="宋体" w:cs="Times New Roman"/>
                      <w:color w:val="auto"/>
                      <w:kern w:val="0"/>
                      <w:sz w:val="21"/>
                      <w:szCs w:val="21"/>
                      <w:lang w:val="en-US" w:eastAsia="zh-CN" w:bidi="ar-SA"/>
                    </w:rPr>
                  </w:pPr>
                  <w:r>
                    <w:rPr>
                      <w:color w:val="auto"/>
                      <w:kern w:val="0"/>
                      <w:szCs w:val="21"/>
                    </w:rPr>
                    <w:t>变频磨粉机</w:t>
                  </w:r>
                  <w:r>
                    <w:rPr>
                      <w:rFonts w:hint="eastAsia"/>
                      <w:color w:val="auto"/>
                      <w:kern w:val="0"/>
                      <w:szCs w:val="21"/>
                      <w:lang w:val="en-US" w:eastAsia="zh-CN"/>
                    </w:rPr>
                    <w:t>1#</w:t>
                  </w:r>
                </w:p>
              </w:tc>
              <w:tc>
                <w:tcPr>
                  <w:tcW w:w="1083" w:type="dxa"/>
                  <w:shd w:val="clear" w:color="auto" w:fill="auto"/>
                  <w:vAlign w:val="center"/>
                </w:tcPr>
                <w:p w14:paraId="05FC8CFB">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shd w:val="clear" w:color="auto" w:fill="auto"/>
                  <w:vAlign w:val="center"/>
                </w:tcPr>
                <w:p w14:paraId="7677C5F4">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40E2E4A7">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905" w:type="dxa"/>
                  <w:shd w:val="clear" w:color="auto" w:fill="auto"/>
                  <w:vAlign w:val="center"/>
                </w:tcPr>
                <w:p w14:paraId="3FE333E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658" w:type="dxa"/>
                  <w:vAlign w:val="center"/>
                </w:tcPr>
                <w:p w14:paraId="5D47D7F5">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2B584AA5">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35A29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3F49AC40">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388964C5">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变频磨粉机</w:t>
                  </w:r>
                  <w:r>
                    <w:rPr>
                      <w:rFonts w:hint="eastAsia"/>
                      <w:color w:val="auto"/>
                      <w:kern w:val="0"/>
                      <w:szCs w:val="21"/>
                      <w:lang w:val="en-US" w:eastAsia="zh-CN"/>
                    </w:rPr>
                    <w:t>2#</w:t>
                  </w:r>
                </w:p>
              </w:tc>
              <w:tc>
                <w:tcPr>
                  <w:tcW w:w="1083" w:type="dxa"/>
                  <w:shd w:val="clear" w:color="auto" w:fill="auto"/>
                  <w:vAlign w:val="center"/>
                </w:tcPr>
                <w:p w14:paraId="0697F6E4">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596C8DA2">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3D064A5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21</w:t>
                  </w:r>
                </w:p>
              </w:tc>
              <w:tc>
                <w:tcPr>
                  <w:tcW w:w="905" w:type="dxa"/>
                  <w:shd w:val="clear" w:color="auto" w:fill="auto"/>
                  <w:vAlign w:val="center"/>
                </w:tcPr>
                <w:p w14:paraId="41B58E03">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658" w:type="dxa"/>
                  <w:vAlign w:val="center"/>
                </w:tcPr>
                <w:p w14:paraId="125857D4">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226504E5">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6D1D6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43231C8B">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01EAF1B7">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变频磨粉机</w:t>
                  </w:r>
                  <w:r>
                    <w:rPr>
                      <w:rFonts w:hint="eastAsia"/>
                      <w:color w:val="auto"/>
                      <w:kern w:val="0"/>
                      <w:szCs w:val="21"/>
                      <w:lang w:val="en-US" w:eastAsia="zh-CN"/>
                    </w:rPr>
                    <w:t>3#</w:t>
                  </w:r>
                </w:p>
              </w:tc>
              <w:tc>
                <w:tcPr>
                  <w:tcW w:w="1083" w:type="dxa"/>
                  <w:shd w:val="clear" w:color="auto" w:fill="auto"/>
                  <w:vAlign w:val="center"/>
                </w:tcPr>
                <w:p w14:paraId="5578238F">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7FCDB5B5">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1C74BD2D">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w:t>
                  </w:r>
                </w:p>
              </w:tc>
              <w:tc>
                <w:tcPr>
                  <w:tcW w:w="905" w:type="dxa"/>
                  <w:shd w:val="clear" w:color="auto" w:fill="auto"/>
                  <w:vAlign w:val="center"/>
                </w:tcPr>
                <w:p w14:paraId="5B75A150">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658" w:type="dxa"/>
                  <w:vAlign w:val="center"/>
                </w:tcPr>
                <w:p w14:paraId="3217D0DD">
                  <w:pPr>
                    <w:jc w:val="center"/>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7FA4F529">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0892B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46DB531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1746B150">
                  <w:pPr>
                    <w:spacing w:beforeAutospacing="0" w:afterAutospacing="0" w:line="240" w:lineRule="auto"/>
                    <w:jc w:val="center"/>
                    <w:outlineLvl w:val="0"/>
                    <w:rPr>
                      <w:rFonts w:hint="default" w:ascii="Times New Roman" w:hAnsi="Times New Roman" w:eastAsia="宋体" w:cs="Times New Roman"/>
                      <w:color w:val="auto"/>
                      <w:kern w:val="0"/>
                      <w:sz w:val="21"/>
                      <w:szCs w:val="21"/>
                      <w:lang w:val="en-US" w:eastAsia="zh-CN" w:bidi="ar-SA"/>
                    </w:rPr>
                  </w:pPr>
                  <w:r>
                    <w:rPr>
                      <w:color w:val="auto"/>
                      <w:kern w:val="0"/>
                      <w:szCs w:val="21"/>
                    </w:rPr>
                    <w:t>变频磨粉机</w:t>
                  </w:r>
                  <w:r>
                    <w:rPr>
                      <w:rFonts w:hint="eastAsia"/>
                      <w:color w:val="auto"/>
                      <w:kern w:val="0"/>
                      <w:szCs w:val="21"/>
                      <w:lang w:val="en-US" w:eastAsia="zh-CN"/>
                    </w:rPr>
                    <w:t>4#</w:t>
                  </w:r>
                </w:p>
              </w:tc>
              <w:tc>
                <w:tcPr>
                  <w:tcW w:w="1083" w:type="dxa"/>
                  <w:shd w:val="clear" w:color="auto" w:fill="auto"/>
                  <w:vAlign w:val="center"/>
                </w:tcPr>
                <w:p w14:paraId="086A2C71">
                  <w:pPr>
                    <w:spacing w:beforeAutospacing="0" w:afterAutospacing="0" w:line="240" w:lineRule="auto"/>
                    <w:jc w:val="center"/>
                    <w:outlineLvl w:val="0"/>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vAlign w:val="center"/>
                </w:tcPr>
                <w:p w14:paraId="5EF4E460">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5FDF1D5B">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34</w:t>
                  </w:r>
                </w:p>
              </w:tc>
              <w:tc>
                <w:tcPr>
                  <w:tcW w:w="905" w:type="dxa"/>
                  <w:shd w:val="clear" w:color="auto" w:fill="auto"/>
                  <w:vAlign w:val="center"/>
                </w:tcPr>
                <w:p w14:paraId="3570EA08">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70</w:t>
                  </w:r>
                </w:p>
              </w:tc>
              <w:tc>
                <w:tcPr>
                  <w:tcW w:w="658" w:type="dxa"/>
                  <w:vAlign w:val="center"/>
                </w:tcPr>
                <w:p w14:paraId="72FF580F">
                  <w:pPr>
                    <w:jc w:val="center"/>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4EE3090E">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7C5A0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52" w:type="dxa"/>
                  <w:vMerge w:val="continue"/>
                  <w:vAlign w:val="center"/>
                </w:tcPr>
                <w:p w14:paraId="6BB3918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0E3321AE">
                  <w:pPr>
                    <w:widowControl/>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Cs w:val="21"/>
                    </w:rPr>
                    <w:t>集成式冷水机</w:t>
                  </w:r>
                </w:p>
              </w:tc>
              <w:tc>
                <w:tcPr>
                  <w:tcW w:w="1083" w:type="dxa"/>
                  <w:shd w:val="clear" w:color="auto" w:fill="auto"/>
                  <w:vAlign w:val="center"/>
                </w:tcPr>
                <w:p w14:paraId="1CED1ACF">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75</w:t>
                  </w:r>
                </w:p>
              </w:tc>
              <w:tc>
                <w:tcPr>
                  <w:tcW w:w="743" w:type="dxa"/>
                  <w:vMerge w:val="continue"/>
                  <w:vAlign w:val="center"/>
                </w:tcPr>
                <w:p w14:paraId="4DF2AD2E">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32A28D6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w:t>
                  </w:r>
                </w:p>
              </w:tc>
              <w:tc>
                <w:tcPr>
                  <w:tcW w:w="905" w:type="dxa"/>
                  <w:shd w:val="clear" w:color="auto" w:fill="auto"/>
                  <w:vAlign w:val="center"/>
                </w:tcPr>
                <w:p w14:paraId="717056E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658" w:type="dxa"/>
                  <w:vAlign w:val="center"/>
                </w:tcPr>
                <w:p w14:paraId="5E8154E8">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246D657E">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57B4CA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610A9870">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2AD18D24">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rPr>
                    <w:t>纯水</w:t>
                  </w:r>
                  <w:r>
                    <w:rPr>
                      <w:rFonts w:hint="eastAsia"/>
                      <w:color w:val="auto"/>
                      <w:highlight w:val="none"/>
                      <w:lang w:val="en-US" w:eastAsia="zh-CN"/>
                    </w:rPr>
                    <w:t>制备</w:t>
                  </w:r>
                  <w:r>
                    <w:rPr>
                      <w:rFonts w:hint="eastAsia"/>
                      <w:color w:val="auto"/>
                      <w:highlight w:val="none"/>
                    </w:rPr>
                    <w:t>设备</w:t>
                  </w:r>
                </w:p>
              </w:tc>
              <w:tc>
                <w:tcPr>
                  <w:tcW w:w="1083" w:type="dxa"/>
                  <w:shd w:val="clear" w:color="auto" w:fill="auto"/>
                  <w:vAlign w:val="center"/>
                </w:tcPr>
                <w:p w14:paraId="187A15AD">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85</w:t>
                  </w:r>
                </w:p>
              </w:tc>
              <w:tc>
                <w:tcPr>
                  <w:tcW w:w="743" w:type="dxa"/>
                  <w:vMerge w:val="continue"/>
                  <w:shd w:val="clear" w:color="auto" w:fill="auto"/>
                  <w:vAlign w:val="center"/>
                </w:tcPr>
                <w:p w14:paraId="3BA0E1CA">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4B8DC02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905" w:type="dxa"/>
                  <w:shd w:val="clear" w:color="auto" w:fill="auto"/>
                  <w:vAlign w:val="center"/>
                </w:tcPr>
                <w:p w14:paraId="3017FDD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w:t>
                  </w:r>
                </w:p>
              </w:tc>
              <w:tc>
                <w:tcPr>
                  <w:tcW w:w="658" w:type="dxa"/>
                  <w:vAlign w:val="center"/>
                </w:tcPr>
                <w:p w14:paraId="1C8A3D23">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52403BD7">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1F3B1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2B28285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18956980">
                  <w:pPr>
                    <w:widowControl/>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热风炉</w:t>
                  </w:r>
                </w:p>
              </w:tc>
              <w:tc>
                <w:tcPr>
                  <w:tcW w:w="1083" w:type="dxa"/>
                  <w:shd w:val="clear" w:color="auto" w:fill="auto"/>
                  <w:vAlign w:val="center"/>
                </w:tcPr>
                <w:p w14:paraId="6ED00248">
                  <w:pPr>
                    <w:widowControl/>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743" w:type="dxa"/>
                  <w:vMerge w:val="continue"/>
                  <w:vAlign w:val="center"/>
                </w:tcPr>
                <w:p w14:paraId="37DDC9BE">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sz w:val="21"/>
                      <w:szCs w:val="21"/>
                    </w:rPr>
                  </w:pPr>
                </w:p>
              </w:tc>
              <w:tc>
                <w:tcPr>
                  <w:tcW w:w="820" w:type="dxa"/>
                  <w:shd w:val="clear" w:color="auto" w:fill="auto"/>
                  <w:vAlign w:val="center"/>
                </w:tcPr>
                <w:p w14:paraId="078FF0FA">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905" w:type="dxa"/>
                  <w:shd w:val="clear" w:color="auto" w:fill="auto"/>
                  <w:vAlign w:val="center"/>
                </w:tcPr>
                <w:p w14:paraId="11792E38">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48</w:t>
                  </w:r>
                </w:p>
              </w:tc>
              <w:tc>
                <w:tcPr>
                  <w:tcW w:w="658" w:type="dxa"/>
                  <w:vAlign w:val="center"/>
                </w:tcPr>
                <w:p w14:paraId="28DC99EA">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2E8A4A8E">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10B074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1FCAECE6">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5F29A866">
                  <w:pPr>
                    <w:pStyle w:val="16"/>
                    <w:keepNext w:val="0"/>
                    <w:keepLines w:val="0"/>
                    <w:pageBreakBefore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环保设备风机1#</w:t>
                  </w:r>
                </w:p>
              </w:tc>
              <w:tc>
                <w:tcPr>
                  <w:tcW w:w="1083" w:type="dxa"/>
                  <w:shd w:val="clear" w:color="auto" w:fill="auto"/>
                  <w:vAlign w:val="center"/>
                </w:tcPr>
                <w:p w14:paraId="5086D902">
                  <w:pPr>
                    <w:widowControl/>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w:t>
                  </w:r>
                </w:p>
              </w:tc>
              <w:tc>
                <w:tcPr>
                  <w:tcW w:w="743" w:type="dxa"/>
                  <w:vMerge w:val="continue"/>
                  <w:vAlign w:val="center"/>
                </w:tcPr>
                <w:p w14:paraId="6B3F4794">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820" w:type="dxa"/>
                  <w:shd w:val="clear" w:color="auto" w:fill="auto"/>
                  <w:vAlign w:val="center"/>
                </w:tcPr>
                <w:p w14:paraId="44B3286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905" w:type="dxa"/>
                  <w:shd w:val="clear" w:color="auto" w:fill="auto"/>
                  <w:vAlign w:val="center"/>
                </w:tcPr>
                <w:p w14:paraId="26E980A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75</w:t>
                  </w:r>
                </w:p>
              </w:tc>
              <w:tc>
                <w:tcPr>
                  <w:tcW w:w="658" w:type="dxa"/>
                  <w:vAlign w:val="center"/>
                </w:tcPr>
                <w:p w14:paraId="240C5B3A">
                  <w:pPr>
                    <w:jc w:val="center"/>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2ED31D67">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305070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52" w:type="dxa"/>
                  <w:vMerge w:val="continue"/>
                  <w:vAlign w:val="center"/>
                </w:tcPr>
                <w:p w14:paraId="1CF6613C">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684FB9F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环保设备风机2#</w:t>
                  </w:r>
                </w:p>
              </w:tc>
              <w:tc>
                <w:tcPr>
                  <w:tcW w:w="1083" w:type="dxa"/>
                  <w:shd w:val="clear" w:color="auto" w:fill="auto"/>
                  <w:vAlign w:val="center"/>
                </w:tcPr>
                <w:p w14:paraId="66D7F56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w:t>
                  </w:r>
                </w:p>
              </w:tc>
              <w:tc>
                <w:tcPr>
                  <w:tcW w:w="743" w:type="dxa"/>
                  <w:vMerge w:val="continue"/>
                  <w:vAlign w:val="center"/>
                </w:tcPr>
                <w:p w14:paraId="03E95A1C">
                  <w:pPr>
                    <w:jc w:val="center"/>
                    <w:rPr>
                      <w:rFonts w:hint="default" w:ascii="Times New Roman" w:hAnsi="Times New Roman" w:eastAsia="宋体" w:cs="Times New Roman"/>
                      <w:color w:val="auto"/>
                      <w:kern w:val="2"/>
                      <w:sz w:val="21"/>
                      <w:szCs w:val="21"/>
                      <w:lang w:val="en-US" w:eastAsia="zh-CN" w:bidi="ar-SA"/>
                    </w:rPr>
                  </w:pPr>
                </w:p>
              </w:tc>
              <w:tc>
                <w:tcPr>
                  <w:tcW w:w="820" w:type="dxa"/>
                  <w:shd w:val="clear" w:color="auto" w:fill="auto"/>
                  <w:vAlign w:val="center"/>
                </w:tcPr>
                <w:p w14:paraId="3B932F4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905" w:type="dxa"/>
                  <w:shd w:val="clear" w:color="auto" w:fill="auto"/>
                  <w:vAlign w:val="center"/>
                </w:tcPr>
                <w:p w14:paraId="4FEEF9D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w:t>
                  </w:r>
                </w:p>
              </w:tc>
              <w:tc>
                <w:tcPr>
                  <w:tcW w:w="658" w:type="dxa"/>
                  <w:vAlign w:val="center"/>
                </w:tcPr>
                <w:p w14:paraId="27466F4F">
                  <w:pPr>
                    <w:jc w:val="center"/>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39ADAE22">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r w14:paraId="6EB23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452" w:type="dxa"/>
                  <w:vMerge w:val="continue"/>
                  <w:vAlign w:val="center"/>
                </w:tcPr>
                <w:p w14:paraId="6277C5D2">
                  <w:pPr>
                    <w:pStyle w:val="27"/>
                    <w:keepNext w:val="0"/>
                    <w:keepLines w:val="0"/>
                    <w:pageBreakBefore w:val="0"/>
                    <w:kinsoku/>
                    <w:wordWrap/>
                    <w:overflowPunct/>
                    <w:topLinePunct w:val="0"/>
                    <w:bidi w:val="0"/>
                    <w:adjustRightInd/>
                    <w:snapToGrid/>
                    <w:spacing w:line="240" w:lineRule="auto"/>
                    <w:ind w:right="84" w:rightChars="0"/>
                    <w:jc w:val="center"/>
                    <w:textAlignment w:val="auto"/>
                    <w:rPr>
                      <w:rFonts w:hint="default" w:ascii="Times New Roman" w:hAnsi="Times New Roman" w:eastAsia="宋体" w:cs="Times New Roman"/>
                      <w:color w:val="auto"/>
                      <w:kern w:val="2"/>
                      <w:sz w:val="21"/>
                      <w:szCs w:val="21"/>
                      <w:lang w:val="en-US" w:eastAsia="zh-CN" w:bidi="ar-SA"/>
                    </w:rPr>
                  </w:pPr>
                </w:p>
              </w:tc>
              <w:tc>
                <w:tcPr>
                  <w:tcW w:w="2263" w:type="dxa"/>
                  <w:shd w:val="clear" w:color="auto" w:fill="auto"/>
                  <w:vAlign w:val="center"/>
                </w:tcPr>
                <w:p w14:paraId="2354330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环保设备风机3#</w:t>
                  </w:r>
                </w:p>
              </w:tc>
              <w:tc>
                <w:tcPr>
                  <w:tcW w:w="1083" w:type="dxa"/>
                  <w:shd w:val="clear" w:color="auto" w:fill="auto"/>
                  <w:vAlign w:val="center"/>
                </w:tcPr>
                <w:p w14:paraId="5A3980C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90</w:t>
                  </w:r>
                </w:p>
              </w:tc>
              <w:tc>
                <w:tcPr>
                  <w:tcW w:w="743" w:type="dxa"/>
                  <w:vMerge w:val="continue"/>
                  <w:vAlign w:val="center"/>
                </w:tcPr>
                <w:p w14:paraId="27BF433F">
                  <w:pPr>
                    <w:jc w:val="center"/>
                    <w:rPr>
                      <w:rFonts w:hint="default" w:ascii="Times New Roman" w:hAnsi="Times New Roman" w:eastAsia="宋体" w:cs="Times New Roman"/>
                      <w:color w:val="auto"/>
                      <w:kern w:val="2"/>
                      <w:sz w:val="21"/>
                      <w:szCs w:val="21"/>
                      <w:lang w:val="en-US" w:eastAsia="zh-CN" w:bidi="ar-SA"/>
                    </w:rPr>
                  </w:pPr>
                </w:p>
              </w:tc>
              <w:tc>
                <w:tcPr>
                  <w:tcW w:w="820" w:type="dxa"/>
                  <w:shd w:val="clear" w:color="auto" w:fill="auto"/>
                  <w:vAlign w:val="center"/>
                </w:tcPr>
                <w:p w14:paraId="76DBD54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905" w:type="dxa"/>
                  <w:shd w:val="clear" w:color="auto" w:fill="auto"/>
                  <w:vAlign w:val="center"/>
                </w:tcPr>
                <w:p w14:paraId="6E7FC22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59</w:t>
                  </w:r>
                </w:p>
              </w:tc>
              <w:tc>
                <w:tcPr>
                  <w:tcW w:w="658" w:type="dxa"/>
                  <w:vAlign w:val="center"/>
                </w:tcPr>
                <w:p w14:paraId="5262CF8F">
                  <w:pPr>
                    <w:keepNext w:val="0"/>
                    <w:keepLines w:val="0"/>
                    <w:pageBreakBefore w:val="0"/>
                    <w:kinsoku/>
                    <w:wordWrap/>
                    <w:overflowPunct/>
                    <w:topLinePunct w:val="0"/>
                    <w:bidi w:val="0"/>
                    <w:adjustRightInd/>
                    <w:snapToGrid/>
                    <w:spacing w:line="240" w:lineRule="auto"/>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 w:val="0"/>
                      <w:bCs w:val="0"/>
                      <w:color w:val="auto"/>
                      <w:sz w:val="21"/>
                      <w:szCs w:val="21"/>
                      <w:lang w:val="en-US" w:eastAsia="zh-CN"/>
                    </w:rPr>
                    <w:t>1</w:t>
                  </w:r>
                </w:p>
              </w:tc>
              <w:tc>
                <w:tcPr>
                  <w:tcW w:w="752" w:type="dxa"/>
                  <w:vAlign w:val="center"/>
                </w:tcPr>
                <w:p w14:paraId="657B55FB">
                  <w:pPr>
                    <w:spacing w:beforeAutospacing="0" w:afterAutospacing="0" w:line="240" w:lineRule="auto"/>
                    <w:jc w:val="center"/>
                    <w:outlineLvl w:val="0"/>
                    <w:rPr>
                      <w:rFonts w:hint="eastAsia" w:ascii="Times New Roman" w:hAnsi="Times New Roman" w:cs="Times New Roman"/>
                      <w:color w:val="auto"/>
                      <w:kern w:val="2"/>
                      <w:sz w:val="21"/>
                      <w:szCs w:val="21"/>
                      <w:lang w:val="en-US" w:eastAsia="zh-CN" w:bidi="ar-SA"/>
                    </w:rPr>
                  </w:pPr>
                  <w:r>
                    <w:rPr>
                      <w:rFonts w:hint="default" w:ascii="Times New Roman" w:hAnsi="Times New Roman" w:eastAsia="宋体" w:cs="Times New Roman"/>
                      <w:snapToGrid w:val="0"/>
                      <w:color w:val="auto"/>
                      <w:sz w:val="21"/>
                      <w:szCs w:val="21"/>
                      <w:highlight w:val="none"/>
                      <w:vertAlign w:val="baseline"/>
                      <w:lang w:val="en-US" w:eastAsia="zh-CN"/>
                    </w:rPr>
                    <w:t>昼间</w:t>
                  </w:r>
                </w:p>
              </w:tc>
            </w:tr>
          </w:tbl>
          <w:p w14:paraId="2EA913B8">
            <w:pPr>
              <w:spacing w:before="120" w:beforeLines="50" w:line="360" w:lineRule="auto"/>
              <w:ind w:firstLine="482" w:firstLineChars="200"/>
              <w:rPr>
                <w:rFonts w:hint="default" w:ascii="Times New Roman" w:hAnsi="Times New Roman" w:eastAsia="宋体" w:cs="Times New Roman"/>
                <w:b/>
                <w:color w:val="auto"/>
                <w:sz w:val="24"/>
                <w:highlight w:val="none"/>
                <w:lang w:eastAsia="zh-CN"/>
              </w:rPr>
            </w:pPr>
            <w:r>
              <w:rPr>
                <w:rFonts w:hint="eastAsia" w:eastAsiaTheme="minorEastAsia"/>
                <w:b/>
                <w:color w:val="auto"/>
                <w:sz w:val="24"/>
                <w:lang w:val="en-US" w:eastAsia="zh-CN"/>
              </w:rPr>
              <w:t>2.</w:t>
            </w:r>
            <w:r>
              <w:rPr>
                <w:rFonts w:hint="default" w:ascii="Times New Roman" w:hAnsi="Times New Roman" w:eastAsia="宋体" w:cs="Times New Roman"/>
                <w:b/>
                <w:color w:val="auto"/>
                <w:sz w:val="24"/>
                <w:highlight w:val="none"/>
                <w:lang w:eastAsia="zh-CN"/>
              </w:rPr>
              <w:t>噪声防治措施</w:t>
            </w:r>
          </w:p>
          <w:p w14:paraId="701F9FEE">
            <w:pPr>
              <w:spacing w:line="360" w:lineRule="auto"/>
              <w:ind w:left="111" w:right="41"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szCs w:val="24"/>
              </w:rPr>
              <w:t>设备选型上采用低噪声设备，并在连接处采用挠性连接，减少振动；</w:t>
            </w:r>
          </w:p>
          <w:p w14:paraId="739364B3">
            <w:pPr>
              <w:spacing w:line="360" w:lineRule="auto"/>
              <w:ind w:left="111" w:right="41"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szCs w:val="24"/>
              </w:rPr>
              <w:t>严格控制工作时间，夜间（18:00-</w:t>
            </w:r>
            <w:r>
              <w:rPr>
                <w:rFonts w:hint="eastAsia" w:ascii="Times New Roman" w:hAnsi="Times New Roman" w:eastAsia="宋体" w:cs="Times New Roman"/>
                <w:color w:val="auto"/>
                <w:sz w:val="24"/>
                <w:szCs w:val="24"/>
                <w:lang w:val="en-US" w:eastAsia="zh-CN"/>
              </w:rPr>
              <w:t>次日</w:t>
            </w:r>
            <w:r>
              <w:rPr>
                <w:rFonts w:hint="default" w:ascii="Times New Roman" w:hAnsi="Times New Roman" w:eastAsia="宋体" w:cs="Times New Roman"/>
                <w:color w:val="auto"/>
                <w:sz w:val="24"/>
                <w:szCs w:val="24"/>
              </w:rPr>
              <w:t>8:00）严禁生产，并降低人为噪声；生产设备均布置于车间内，对</w:t>
            </w:r>
            <w:r>
              <w:rPr>
                <w:rFonts w:hint="default" w:ascii="Times New Roman" w:hAnsi="Times New Roman" w:eastAsia="宋体" w:cs="Times New Roman"/>
                <w:color w:val="auto"/>
                <w:sz w:val="24"/>
                <w:szCs w:val="24"/>
                <w:lang w:val="en-US" w:eastAsia="zh-CN"/>
              </w:rPr>
              <w:t>剪板机、激光切割机、抛丸机、热风炉</w:t>
            </w:r>
            <w:r>
              <w:rPr>
                <w:rFonts w:hint="default" w:ascii="Times New Roman" w:hAnsi="Times New Roman" w:eastAsia="宋体" w:cs="Times New Roman"/>
                <w:color w:val="auto"/>
                <w:sz w:val="24"/>
                <w:szCs w:val="24"/>
              </w:rPr>
              <w:t>等设备</w:t>
            </w:r>
            <w:r>
              <w:rPr>
                <w:rFonts w:hint="default" w:ascii="Times New Roman" w:hAnsi="Times New Roman" w:eastAsia="宋体" w:cs="Times New Roman"/>
                <w:color w:val="auto"/>
                <w:sz w:val="24"/>
                <w:highlight w:val="none"/>
                <w:lang w:val="en-US" w:eastAsia="zh-CN"/>
              </w:rPr>
              <w:t>在安装时根据设备的自重及振动特性采用合适的减振垫</w:t>
            </w:r>
            <w:r>
              <w:rPr>
                <w:rFonts w:hint="default" w:ascii="Times New Roman" w:hAnsi="Times New Roman" w:eastAsia="宋体" w:cs="Times New Roman"/>
                <w:color w:val="auto"/>
                <w:sz w:val="24"/>
                <w:szCs w:val="24"/>
              </w:rPr>
              <w:t>；</w:t>
            </w:r>
          </w:p>
          <w:p w14:paraId="5E5A8149">
            <w:pPr>
              <w:spacing w:line="360" w:lineRule="auto"/>
              <w:ind w:left="111" w:right="41" w:firstLine="48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highlight w:val="none"/>
              </w:rPr>
              <w:t>在满足项目生产工艺的前提下，</w:t>
            </w:r>
            <w:r>
              <w:rPr>
                <w:rFonts w:hint="default" w:ascii="Times New Roman" w:hAnsi="Times New Roman" w:eastAsia="宋体" w:cs="Times New Roman"/>
                <w:color w:val="auto"/>
                <w:sz w:val="24"/>
                <w:highlight w:val="none"/>
                <w:lang w:val="en-US" w:eastAsia="zh-CN"/>
              </w:rPr>
              <w:t>风机</w:t>
            </w:r>
            <w:r>
              <w:rPr>
                <w:rFonts w:hint="default" w:ascii="Times New Roman" w:hAnsi="Times New Roman" w:eastAsia="宋体" w:cs="Times New Roman"/>
                <w:color w:val="auto"/>
                <w:sz w:val="24"/>
                <w:highlight w:val="none"/>
              </w:rPr>
              <w:t>尽可能选择</w:t>
            </w:r>
            <w:r>
              <w:rPr>
                <w:rFonts w:hint="default" w:ascii="Times New Roman" w:hAnsi="Times New Roman" w:eastAsia="宋体" w:cs="Times New Roman"/>
                <w:color w:val="auto"/>
                <w:sz w:val="24"/>
                <w:highlight w:val="none"/>
                <w:lang w:val="en-US" w:eastAsia="zh-CN"/>
              </w:rPr>
              <w:t>选用变频风机，</w:t>
            </w:r>
            <w:r>
              <w:rPr>
                <w:rFonts w:hint="default" w:ascii="Times New Roman" w:hAnsi="Times New Roman" w:eastAsia="宋体" w:cs="Times New Roman"/>
                <w:color w:val="auto"/>
                <w:sz w:val="24"/>
                <w:highlight w:val="none"/>
              </w:rPr>
              <w:t>从源头降低噪声</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rPr>
              <w:t>设备风机</w:t>
            </w:r>
            <w:r>
              <w:rPr>
                <w:rFonts w:hint="default" w:ascii="Times New Roman" w:hAnsi="Times New Roman" w:eastAsia="宋体" w:cs="Times New Roman"/>
                <w:color w:val="auto"/>
                <w:sz w:val="24"/>
                <w:szCs w:val="24"/>
                <w:lang w:val="en-US" w:eastAsia="zh-CN"/>
              </w:rPr>
              <w:t>底部安装</w:t>
            </w:r>
            <w:r>
              <w:rPr>
                <w:rFonts w:hint="eastAsia" w:ascii="Times New Roman" w:hAnsi="Times New Roman" w:eastAsia="宋体" w:cs="Times New Roman"/>
                <w:color w:val="auto"/>
                <w:sz w:val="24"/>
                <w:szCs w:val="24"/>
                <w:lang w:val="en-US" w:eastAsia="zh-CN"/>
              </w:rPr>
              <w:t>减振</w:t>
            </w:r>
            <w:r>
              <w:rPr>
                <w:rFonts w:hint="default" w:ascii="Times New Roman" w:hAnsi="Times New Roman" w:eastAsia="宋体" w:cs="Times New Roman"/>
                <w:color w:val="auto"/>
                <w:sz w:val="24"/>
                <w:szCs w:val="24"/>
                <w:lang w:val="en-US" w:eastAsia="zh-CN"/>
              </w:rPr>
              <w:t>垫，管道安装消</w:t>
            </w:r>
            <w:r>
              <w:rPr>
                <w:rFonts w:hint="eastAsia" w:ascii="Times New Roman" w:hAnsi="Times New Roman" w:eastAsia="宋体" w:cs="Times New Roman"/>
                <w:color w:val="auto"/>
                <w:sz w:val="24"/>
                <w:szCs w:val="24"/>
                <w:lang w:val="en-US" w:eastAsia="zh-CN"/>
              </w:rPr>
              <w:t>声</w:t>
            </w:r>
            <w:r>
              <w:rPr>
                <w:rFonts w:hint="default" w:ascii="Times New Roman" w:hAnsi="Times New Roman" w:eastAsia="宋体" w:cs="Times New Roman"/>
                <w:color w:val="auto"/>
                <w:sz w:val="24"/>
                <w:szCs w:val="24"/>
                <w:lang w:val="en-US" w:eastAsia="zh-CN"/>
              </w:rPr>
              <w:t>器</w:t>
            </w:r>
            <w:r>
              <w:rPr>
                <w:rFonts w:hint="default" w:ascii="Times New Roman" w:hAnsi="Times New Roman" w:eastAsia="宋体" w:cs="Times New Roman"/>
                <w:color w:val="auto"/>
                <w:sz w:val="24"/>
                <w:szCs w:val="24"/>
              </w:rPr>
              <w:t>，挠性连接</w:t>
            </w:r>
            <w:r>
              <w:rPr>
                <w:rFonts w:hint="default" w:ascii="Times New Roman" w:hAnsi="Times New Roman" w:eastAsia="宋体" w:cs="Times New Roman"/>
                <w:color w:val="auto"/>
                <w:sz w:val="24"/>
                <w:szCs w:val="24"/>
                <w:lang w:eastAsia="zh-CN"/>
              </w:rPr>
              <w:t>。</w:t>
            </w:r>
          </w:p>
          <w:p w14:paraId="77872BEE">
            <w:pPr>
              <w:spacing w:line="360" w:lineRule="auto"/>
              <w:ind w:left="111" w:right="41" w:firstLine="48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highlight w:val="none"/>
              </w:rPr>
              <w:t>④加强设备的维护，确保设备处于良好的运转状态，杜绝因设备不正常运转时产生的高噪声现象；同时，规范生产过程中设备操作，避免操作设备不当产生的高噪声</w:t>
            </w:r>
          </w:p>
          <w:p w14:paraId="14749319">
            <w:pPr>
              <w:spacing w:afterAutospacing="0"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eastAsiaTheme="minorEastAsia"/>
                <w:b/>
                <w:color w:val="auto"/>
                <w:sz w:val="24"/>
                <w:lang w:val="en-US" w:eastAsia="zh-CN"/>
              </w:rPr>
              <w:t>3.</w:t>
            </w:r>
            <w:r>
              <w:rPr>
                <w:rFonts w:hint="default" w:ascii="Times New Roman" w:hAnsi="Times New Roman" w:eastAsia="宋体" w:cs="Times New Roman"/>
                <w:b/>
                <w:bCs w:val="0"/>
                <w:color w:val="auto"/>
                <w:sz w:val="24"/>
                <w:highlight w:val="none"/>
                <w:lang w:val="en-US" w:eastAsia="zh-CN"/>
              </w:rPr>
              <w:t>噪声预测</w:t>
            </w:r>
          </w:p>
          <w:p w14:paraId="1829D6B4">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根据《环境影响评价技术导则 声环境》</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HJ2.4-2021</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中规定，声环境影响预测，在不能取得声源倍频带声功率级或倍频带声压级，只能获得A声功率级或某点的A声级时，可用A声功率级或某点的A声级计算。</w:t>
            </w:r>
          </w:p>
          <w:p w14:paraId="2B47D577">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1）预测条件假设</w:t>
            </w:r>
          </w:p>
          <w:p w14:paraId="4CF81F0E">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①所有产噪设备均在正常工况条件下运行；</w:t>
            </w:r>
          </w:p>
          <w:p w14:paraId="5CB75B84">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②墙的隔声量远大于门窗（围护结构）的隔声量；</w:t>
            </w:r>
          </w:p>
          <w:p w14:paraId="47F3A23E">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③考虑室内声源所在厂房围护结构的隔声、吸声作用；</w:t>
            </w:r>
          </w:p>
          <w:p w14:paraId="736B1396">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④噪声衰减仅考虑几何发散引起的衰减。</w:t>
            </w:r>
          </w:p>
          <w:p w14:paraId="7A4684E4">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eastAsia"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2）室内声源</w:t>
            </w:r>
          </w:p>
          <w:p w14:paraId="3AD7FF83">
            <w:pPr>
              <w:spacing w:afterAutospacing="0"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室内声源可采用等效室外声源声功率级法进行计算。室内声源等效室外声源声功率级的等效步骤如下：如图所示。</w:t>
            </w:r>
          </w:p>
          <w:p w14:paraId="2C613D88">
            <w:pPr>
              <w:snapToGrid/>
              <w:spacing w:line="360" w:lineRule="auto"/>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rPr>
              <w:drawing>
                <wp:inline distT="0" distB="0" distL="114300" distR="114300">
                  <wp:extent cx="3959860" cy="1717675"/>
                  <wp:effectExtent l="0" t="0" r="2540" b="1587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25"/>
                          <a:stretch>
                            <a:fillRect/>
                          </a:stretch>
                        </pic:blipFill>
                        <pic:spPr>
                          <a:xfrm>
                            <a:off x="0" y="0"/>
                            <a:ext cx="3959860" cy="1717675"/>
                          </a:xfrm>
                          <a:prstGeom prst="rect">
                            <a:avLst/>
                          </a:prstGeom>
                          <a:noFill/>
                          <a:ln>
                            <a:noFill/>
                          </a:ln>
                        </pic:spPr>
                      </pic:pic>
                    </a:graphicData>
                  </a:graphic>
                </wp:inline>
              </w:drawing>
            </w:r>
          </w:p>
          <w:p w14:paraId="2BC0E40C">
            <w:pPr>
              <w:snapToGrid/>
              <w:spacing w:line="36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图4</w:t>
            </w:r>
            <w:r>
              <w:rPr>
                <w:rFonts w:hint="eastAsia" w:eastAsia="宋体" w:cs="Times New Roman"/>
                <w:b/>
                <w:color w:val="auto"/>
                <w:sz w:val="21"/>
                <w:szCs w:val="21"/>
                <w:highlight w:val="none"/>
                <w:lang w:val="en-US" w:eastAsia="zh-CN"/>
              </w:rPr>
              <w:t xml:space="preserve">.1  </w:t>
            </w:r>
            <w:r>
              <w:rPr>
                <w:rFonts w:hint="default" w:ascii="Times New Roman" w:hAnsi="Times New Roman" w:eastAsia="宋体" w:cs="Times New Roman"/>
                <w:b/>
                <w:color w:val="auto"/>
                <w:sz w:val="21"/>
                <w:szCs w:val="21"/>
                <w:highlight w:val="none"/>
              </w:rPr>
              <w:t>室内声源等效为室外声源图例</w:t>
            </w:r>
          </w:p>
          <w:p w14:paraId="59E15DA7">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①计算某一室内声源靠近围护结构处产生的倍频带声压级或A声级Lp1；</w:t>
            </w:r>
          </w:p>
          <w:p w14:paraId="17A47873">
            <w:pPr>
              <w:snapToGrid/>
              <w:spacing w:line="360" w:lineRule="auto"/>
              <w:ind w:left="420" w:leftChars="200" w:firstLine="0" w:firstLineChars="0"/>
              <w:jc w:val="center"/>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position w:val="-28"/>
                <w:sz w:val="24"/>
                <w:highlight w:val="none"/>
                <w:lang w:eastAsia="zh-CN"/>
              </w:rPr>
              <w:object>
                <v:shape id="_x0000_i1030" o:spt="75" type="#_x0000_t75" style="height:34pt;width:132.95pt;" o:ole="t" filled="f" o:preferrelative="t" stroked="f" coordsize="21600,21600">
                  <v:path/>
                  <v:fill on="f" focussize="0,0"/>
                  <v:stroke on="f"/>
                  <v:imagedata r:id="rId27" o:title=""/>
                  <o:lock v:ext="edit" aspectratio="t"/>
                  <w10:wrap type="none"/>
                  <w10:anchorlock/>
                </v:shape>
                <o:OLEObject Type="Embed" ProgID="Equation.KSEE3" ShapeID="_x0000_i1030" DrawAspect="Content" ObjectID="_1468075730" r:id="rId26">
                  <o:LockedField>false</o:LockedField>
                </o:OLEObject>
              </w:object>
            </w:r>
          </w:p>
          <w:p w14:paraId="433932F2">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1678E895">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p1</w:t>
            </w:r>
            <w:r>
              <w:rPr>
                <w:rFonts w:hint="default" w:ascii="Times New Roman" w:hAnsi="Times New Roman" w:eastAsia="宋体" w:cs="Times New Roman"/>
                <w:b w:val="0"/>
                <w:bCs/>
                <w:color w:val="auto"/>
                <w:sz w:val="24"/>
                <w:highlight w:val="none"/>
                <w:lang w:eastAsia="zh-CN"/>
              </w:rPr>
              <w:t>——靠近开口处（或窗户）室内某倍频带的声压级或A声级，dB；</w:t>
            </w:r>
          </w:p>
          <w:p w14:paraId="377665F4">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w</w:t>
            </w:r>
            <w:r>
              <w:rPr>
                <w:rFonts w:hint="default" w:ascii="Times New Roman" w:hAnsi="Times New Roman" w:eastAsia="宋体" w:cs="Times New Roman"/>
                <w:b w:val="0"/>
                <w:bCs/>
                <w:color w:val="auto"/>
                <w:sz w:val="24"/>
                <w:highlight w:val="none"/>
                <w:lang w:eastAsia="zh-CN"/>
              </w:rPr>
              <w:t>——点声源声功率级（A计权或倍频带），dB；</w:t>
            </w:r>
          </w:p>
          <w:p w14:paraId="093E2ED6">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Q——指向性因数；通常对无指向性声源，当声源放在房间中心时，Q=1；当放在一面墙的中心时，Q=2；当放在两面墙夹角处时，Q=4；当放在三面墙夹角处时，Q=8；</w:t>
            </w:r>
          </w:p>
          <w:p w14:paraId="33EA947A">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R——房间常数；R=Sα/（1-α），S 为房间内表面面积，m</w:t>
            </w:r>
            <w:r>
              <w:rPr>
                <w:rFonts w:hint="default" w:ascii="Times New Roman" w:hAnsi="Times New Roman" w:eastAsia="宋体" w:cs="Times New Roman"/>
                <w:b w:val="0"/>
                <w:bCs/>
                <w:color w:val="auto"/>
                <w:sz w:val="24"/>
                <w:highlight w:val="none"/>
                <w:vertAlign w:val="superscript"/>
                <w:lang w:eastAsia="zh-CN"/>
              </w:rPr>
              <w:t>2</w:t>
            </w:r>
            <w:r>
              <w:rPr>
                <w:rFonts w:hint="default" w:ascii="Times New Roman" w:hAnsi="Times New Roman" w:eastAsia="宋体" w:cs="Times New Roman"/>
                <w:b w:val="0"/>
                <w:bCs/>
                <w:color w:val="auto"/>
                <w:sz w:val="24"/>
                <w:highlight w:val="none"/>
                <w:lang w:eastAsia="zh-CN"/>
              </w:rPr>
              <w:t>；α为平均吸声系数，本评价α取0.15；</w:t>
            </w:r>
          </w:p>
          <w:p w14:paraId="2743C191">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r——声源到靠近围护结构某点处的距离，m。</w:t>
            </w:r>
          </w:p>
          <w:p w14:paraId="52045918">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②计算出室内声源在室外产生的倍频带声压级或A声级L</w:t>
            </w:r>
            <w:r>
              <w:rPr>
                <w:rFonts w:hint="default" w:ascii="Times New Roman" w:hAnsi="Times New Roman" w:eastAsia="宋体" w:cs="Times New Roman"/>
                <w:b w:val="0"/>
                <w:bCs/>
                <w:color w:val="auto"/>
                <w:sz w:val="24"/>
                <w:highlight w:val="none"/>
                <w:vertAlign w:val="subscript"/>
                <w:lang w:eastAsia="zh-CN"/>
              </w:rPr>
              <w:t>p2</w:t>
            </w:r>
            <w:r>
              <w:rPr>
                <w:rFonts w:hint="default" w:ascii="Times New Roman" w:hAnsi="Times New Roman" w:eastAsia="宋体" w:cs="Times New Roman"/>
                <w:b w:val="0"/>
                <w:bCs/>
                <w:color w:val="auto"/>
                <w:sz w:val="24"/>
                <w:highlight w:val="none"/>
                <w:lang w:eastAsia="zh-CN"/>
              </w:rPr>
              <w:t>；</w:t>
            </w:r>
          </w:p>
          <w:p w14:paraId="2979797C">
            <w:pPr>
              <w:snapToGrid/>
              <w:spacing w:line="360" w:lineRule="auto"/>
              <w:jc w:val="center"/>
              <w:rPr>
                <w:rFonts w:hint="default" w:ascii="Times New Roman" w:hAnsi="Times New Roman" w:eastAsia="宋体" w:cs="Times New Roman"/>
                <w:b/>
                <w:bCs w:val="0"/>
                <w:color w:val="auto"/>
                <w:position w:val="-14"/>
                <w:sz w:val="24"/>
                <w:highlight w:val="none"/>
                <w:lang w:eastAsia="zh-CN"/>
              </w:rPr>
            </w:pPr>
            <w:r>
              <w:rPr>
                <w:rFonts w:hint="default" w:ascii="Times New Roman" w:hAnsi="Times New Roman" w:eastAsia="宋体" w:cs="Times New Roman"/>
                <w:b/>
                <w:bCs w:val="0"/>
                <w:color w:val="auto"/>
                <w:position w:val="-14"/>
                <w:sz w:val="24"/>
                <w:highlight w:val="none"/>
                <w:lang w:eastAsia="zh-CN"/>
              </w:rPr>
              <w:object>
                <v:shape id="_x0000_i1031" o:spt="75" type="#_x0000_t75" style="height:19pt;width:96pt;" o:ole="t" filled="f" o:preferrelative="t" stroked="f" coordsize="21600,21600">
                  <v:path/>
                  <v:fill on="f" focussize="0,0"/>
                  <v:stroke on="f"/>
                  <v:imagedata r:id="rId29" o:title=""/>
                  <o:lock v:ext="edit" aspectratio="t"/>
                  <w10:wrap type="none"/>
                  <w10:anchorlock/>
                </v:shape>
                <o:OLEObject Type="Embed" ProgID="Equation.KSEE3" ShapeID="_x0000_i1031" DrawAspect="Content" ObjectID="_1468075731" r:id="rId28">
                  <o:LockedField>false</o:LockedField>
                </o:OLEObject>
              </w:object>
            </w:r>
          </w:p>
          <w:p w14:paraId="4B0F6B80">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7AC36610">
            <w:pPr>
              <w:spacing w:afterAutospacing="0" w:line="360" w:lineRule="auto"/>
              <w:ind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p1</w:t>
            </w:r>
            <w:r>
              <w:rPr>
                <w:rFonts w:hint="default" w:ascii="Times New Roman" w:hAnsi="Times New Roman" w:eastAsia="宋体" w:cs="Times New Roman"/>
                <w:b w:val="0"/>
                <w:bCs/>
                <w:color w:val="auto"/>
                <w:sz w:val="24"/>
                <w:highlight w:val="none"/>
                <w:lang w:eastAsia="zh-CN"/>
              </w:rPr>
              <w:t>——靠近开口处（或窗户）室内某倍频带声压级或A声级，dB；</w:t>
            </w:r>
          </w:p>
          <w:p w14:paraId="371EF152">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p2</w:t>
            </w:r>
            <w:r>
              <w:rPr>
                <w:rFonts w:hint="default" w:ascii="Times New Roman" w:hAnsi="Times New Roman" w:eastAsia="宋体" w:cs="Times New Roman"/>
                <w:b w:val="0"/>
                <w:bCs/>
                <w:color w:val="auto"/>
                <w:sz w:val="24"/>
                <w:highlight w:val="none"/>
                <w:lang w:eastAsia="zh-CN"/>
              </w:rPr>
              <w:t>——靠近开口处（或窗户）室外某倍频带声压级或A声级，dB；</w:t>
            </w:r>
          </w:p>
          <w:p w14:paraId="055C83CC">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TL——隔墙（或窗户）倍频带或A声功率级的隔声量，dB。</w:t>
            </w:r>
          </w:p>
          <w:p w14:paraId="0EF33357">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③将室外声源的声压级和透过面积换算成等效的室外声源，计算出中心位置位于透声面积（S）处的等效声源的倍频带声功率级。</w:t>
            </w:r>
          </w:p>
          <w:p w14:paraId="74A3D5D8">
            <w:pPr>
              <w:snapToGrid/>
              <w:spacing w:line="360" w:lineRule="auto"/>
              <w:jc w:val="center"/>
              <w:rPr>
                <w:rFonts w:hint="default" w:ascii="Times New Roman" w:hAnsi="Times New Roman" w:eastAsia="宋体" w:cs="Times New Roman"/>
                <w:b/>
                <w:color w:val="auto"/>
                <w:position w:val="-32"/>
                <w:sz w:val="24"/>
                <w:highlight w:val="none"/>
                <w:lang w:eastAsia="zh-CN"/>
              </w:rPr>
            </w:pPr>
            <w:r>
              <w:rPr>
                <w:rFonts w:hint="default" w:ascii="Times New Roman" w:hAnsi="Times New Roman" w:eastAsia="宋体" w:cs="Times New Roman"/>
                <w:b/>
                <w:bCs w:val="0"/>
                <w:color w:val="auto"/>
                <w:position w:val="-14"/>
                <w:sz w:val="24"/>
                <w:highlight w:val="none"/>
                <w:lang w:eastAsia="zh-CN"/>
              </w:rPr>
              <w:object>
                <v:shape id="_x0000_i1032" o:spt="75" type="#_x0000_t75" style="height:19pt;width:95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2" r:id="rId30">
                  <o:LockedField>false</o:LockedField>
                </o:OLEObject>
              </w:object>
            </w:r>
          </w:p>
          <w:p w14:paraId="0EAB9A62">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316C1964">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Lw——中心位置位于透声面积（S）处的等效声源的倍频带声功率级，dB；</w:t>
            </w:r>
          </w:p>
          <w:p w14:paraId="5E977CC7">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p2</w:t>
            </w:r>
            <w:r>
              <w:rPr>
                <w:rFonts w:hint="default" w:ascii="Times New Roman" w:hAnsi="Times New Roman" w:eastAsia="宋体" w:cs="Times New Roman"/>
                <w:b w:val="0"/>
                <w:bCs/>
                <w:color w:val="auto"/>
                <w:sz w:val="24"/>
                <w:highlight w:val="none"/>
                <w:lang w:eastAsia="zh-CN"/>
              </w:rPr>
              <w:t>（T）——靠近围护结构处室外声源的声压级，dB；</w:t>
            </w:r>
          </w:p>
          <w:p w14:paraId="4CE66D14">
            <w:pPr>
              <w:pStyle w:val="19"/>
              <w:snapToGrid/>
              <w:spacing w:after="0"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S——透声面积，m</w:t>
            </w:r>
            <w:r>
              <w:rPr>
                <w:rFonts w:hint="default" w:ascii="Times New Roman" w:hAnsi="Times New Roman" w:eastAsia="宋体" w:cs="Times New Roman"/>
                <w:b w:val="0"/>
                <w:bCs/>
                <w:color w:val="auto"/>
                <w:sz w:val="24"/>
                <w:highlight w:val="none"/>
                <w:vertAlign w:val="superscript"/>
                <w:lang w:eastAsia="zh-CN"/>
              </w:rPr>
              <w:t>2</w:t>
            </w:r>
            <w:r>
              <w:rPr>
                <w:rFonts w:hint="default" w:ascii="Times New Roman" w:hAnsi="Times New Roman" w:eastAsia="宋体" w:cs="Times New Roman"/>
                <w:b w:val="0"/>
                <w:bCs/>
                <w:color w:val="auto"/>
                <w:sz w:val="24"/>
                <w:highlight w:val="none"/>
                <w:lang w:eastAsia="zh-CN"/>
              </w:rPr>
              <w:t>。</w:t>
            </w:r>
          </w:p>
          <w:p w14:paraId="576DCA05">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eastAsia"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3）室外声源</w:t>
            </w:r>
          </w:p>
          <w:p w14:paraId="3D0AEBBA">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计算某个声源在预测点的声压级：</w:t>
            </w:r>
          </w:p>
          <w:p w14:paraId="112D3660">
            <w:pPr>
              <w:pStyle w:val="18"/>
              <w:snapToGrid/>
              <w:spacing w:after="0" w:afterAutospacing="0" w:line="360" w:lineRule="auto"/>
              <w:ind w:left="0" w:leftChars="0" w:firstLine="0" w:firstLineChars="0"/>
              <w:jc w:val="center"/>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position w:val="-14"/>
                <w:sz w:val="24"/>
                <w:highlight w:val="none"/>
                <w:lang w:eastAsia="zh-CN"/>
              </w:rPr>
              <w:object>
                <v:shape id="_x0000_i1033" o:spt="75" type="#_x0000_t75" style="height:19pt;width:254pt;" o:ole="t" filled="f" o:preferrelative="t" stroked="f" coordsize="21600,21600">
                  <v:path/>
                  <v:fill on="f" focussize="0,0"/>
                  <v:stroke on="f"/>
                  <v:imagedata r:id="rId33" o:title=""/>
                  <o:lock v:ext="edit" aspectratio="t"/>
                  <w10:wrap type="none"/>
                  <w10:anchorlock/>
                </v:shape>
                <o:OLEObject Type="Embed" ProgID="Equation.KSEE3" ShapeID="_x0000_i1033" DrawAspect="Content" ObjectID="_1468075733" r:id="rId32">
                  <o:LockedField>false</o:LockedField>
                </o:OLEObject>
              </w:object>
            </w:r>
          </w:p>
          <w:p w14:paraId="0CD71B77">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70359988">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w:t>
            </w:r>
            <w:r>
              <w:rPr>
                <w:rFonts w:hint="eastAsia" w:ascii="Times New Roman" w:hAnsi="Times New Roman" w:eastAsia="宋体" w:cs="Times New Roman"/>
                <w:b w:val="0"/>
                <w:bCs/>
                <w:color w:val="auto"/>
                <w:sz w:val="24"/>
                <w:highlight w:val="none"/>
                <w:vertAlign w:val="baseline"/>
                <w:lang w:eastAsia="zh-CN"/>
              </w:rPr>
              <w:t>（</w:t>
            </w:r>
            <w:r>
              <w:rPr>
                <w:rFonts w:hint="default" w:ascii="Times New Roman" w:hAnsi="Times New Roman" w:eastAsia="宋体" w:cs="Times New Roman"/>
                <w:b w:val="0"/>
                <w:bCs/>
                <w:color w:val="auto"/>
                <w:sz w:val="24"/>
                <w:highlight w:val="none"/>
                <w:vertAlign w:val="baseline"/>
                <w:lang w:eastAsia="zh-CN"/>
              </w:rPr>
              <w:t>r</w:t>
            </w:r>
            <w:r>
              <w:rPr>
                <w:rFonts w:hint="eastAsia" w:ascii="Times New Roman" w:hAnsi="Times New Roman" w:eastAsia="宋体" w:cs="Times New Roman"/>
                <w:b w:val="0"/>
                <w:bCs/>
                <w:color w:val="auto"/>
                <w:sz w:val="24"/>
                <w:highlight w:val="none"/>
                <w:vertAlign w:val="baseline"/>
                <w:lang w:eastAsia="zh-CN"/>
              </w:rPr>
              <w:t>）</w:t>
            </w:r>
            <w:r>
              <w:rPr>
                <w:rFonts w:hint="default" w:ascii="Times New Roman" w:hAnsi="Times New Roman" w:eastAsia="宋体" w:cs="Times New Roman"/>
                <w:b w:val="0"/>
                <w:bCs/>
                <w:color w:val="auto"/>
                <w:sz w:val="24"/>
                <w:highlight w:val="none"/>
                <w:lang w:eastAsia="zh-CN"/>
              </w:rPr>
              <w:t>——预测点处声压级，dB；</w:t>
            </w:r>
          </w:p>
          <w:p w14:paraId="6EC9EFB3">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p</w:t>
            </w:r>
            <w:r>
              <w:rPr>
                <w:rFonts w:hint="eastAsia" w:ascii="Times New Roman" w:hAnsi="Times New Roman" w:eastAsia="宋体" w:cs="Times New Roman"/>
                <w:b w:val="0"/>
                <w:bCs/>
                <w:color w:val="auto"/>
                <w:sz w:val="24"/>
                <w:highlight w:val="none"/>
                <w:vertAlign w:val="subscript"/>
                <w:lang w:eastAsia="zh-CN"/>
              </w:rPr>
              <w:t>（</w:t>
            </w:r>
            <w:r>
              <w:rPr>
                <w:rFonts w:hint="default" w:ascii="Times New Roman" w:hAnsi="Times New Roman" w:eastAsia="宋体" w:cs="Times New Roman"/>
                <w:b w:val="0"/>
                <w:bCs/>
                <w:color w:val="auto"/>
                <w:sz w:val="24"/>
                <w:highlight w:val="none"/>
                <w:vertAlign w:val="subscript"/>
                <w:lang w:eastAsia="zh-CN"/>
              </w:rPr>
              <w:t>r0</w:t>
            </w:r>
            <w:r>
              <w:rPr>
                <w:rFonts w:hint="eastAsia" w:ascii="Times New Roman" w:hAnsi="Times New Roman" w:eastAsia="宋体" w:cs="Times New Roman"/>
                <w:b w:val="0"/>
                <w:bCs/>
                <w:color w:val="auto"/>
                <w:sz w:val="24"/>
                <w:highlight w:val="none"/>
                <w:vertAlign w:val="subscript"/>
                <w:lang w:eastAsia="zh-CN"/>
              </w:rPr>
              <w:t>）</w:t>
            </w:r>
            <w:r>
              <w:rPr>
                <w:rFonts w:hint="default" w:ascii="Times New Roman" w:hAnsi="Times New Roman" w:eastAsia="宋体" w:cs="Times New Roman"/>
                <w:b w:val="0"/>
                <w:bCs/>
                <w:color w:val="auto"/>
                <w:sz w:val="24"/>
                <w:highlight w:val="none"/>
                <w:lang w:eastAsia="zh-CN"/>
              </w:rPr>
              <w:t>——参考位置r</w:t>
            </w:r>
            <w:r>
              <w:rPr>
                <w:rFonts w:hint="default" w:ascii="Times New Roman" w:hAnsi="Times New Roman" w:eastAsia="宋体" w:cs="Times New Roman"/>
                <w:b w:val="0"/>
                <w:bCs/>
                <w:color w:val="auto"/>
                <w:sz w:val="24"/>
                <w:highlight w:val="none"/>
                <w:vertAlign w:val="subscript"/>
                <w:lang w:eastAsia="zh-CN"/>
              </w:rPr>
              <w:t>0</w:t>
            </w:r>
            <w:r>
              <w:rPr>
                <w:rFonts w:hint="default" w:ascii="Times New Roman" w:hAnsi="Times New Roman" w:eastAsia="宋体" w:cs="Times New Roman"/>
                <w:b w:val="0"/>
                <w:bCs/>
                <w:color w:val="auto"/>
                <w:sz w:val="24"/>
                <w:highlight w:val="none"/>
                <w:lang w:eastAsia="zh-CN"/>
              </w:rPr>
              <w:t>处的声压级，dB；</w:t>
            </w:r>
          </w:p>
          <w:p w14:paraId="50C3F75B">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D</w:t>
            </w:r>
            <w:r>
              <w:rPr>
                <w:rFonts w:hint="default" w:ascii="Times New Roman" w:hAnsi="Times New Roman" w:eastAsia="宋体" w:cs="Times New Roman"/>
                <w:b w:val="0"/>
                <w:bCs/>
                <w:color w:val="auto"/>
                <w:sz w:val="24"/>
                <w:highlight w:val="none"/>
                <w:vertAlign w:val="subscript"/>
                <w:lang w:eastAsia="zh-CN"/>
              </w:rPr>
              <w:t>C</w:t>
            </w:r>
            <w:r>
              <w:rPr>
                <w:rFonts w:hint="default" w:ascii="Times New Roman" w:hAnsi="Times New Roman" w:eastAsia="宋体" w:cs="Times New Roman"/>
                <w:b w:val="0"/>
                <w:bCs/>
                <w:color w:val="auto"/>
                <w:sz w:val="24"/>
                <w:highlight w:val="none"/>
                <w:lang w:eastAsia="zh-CN"/>
              </w:rPr>
              <w:t>——指向性校正，它描述点声源的等效连续声压级与产生声功率级Lw的全向点声源在规定方向的声级的偏差程度，dB；</w:t>
            </w:r>
          </w:p>
          <w:p w14:paraId="5569CFAE">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div</w:t>
            </w:r>
            <w:r>
              <w:rPr>
                <w:rFonts w:hint="default" w:ascii="Times New Roman" w:hAnsi="Times New Roman" w:eastAsia="宋体" w:cs="Times New Roman"/>
                <w:b w:val="0"/>
                <w:bCs/>
                <w:color w:val="auto"/>
                <w:sz w:val="24"/>
                <w:highlight w:val="none"/>
                <w:lang w:eastAsia="zh-CN"/>
              </w:rPr>
              <w:t>——几何发散引起的衰减，dB；</w:t>
            </w:r>
          </w:p>
          <w:p w14:paraId="605B6ABB">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atm</w:t>
            </w:r>
            <w:r>
              <w:rPr>
                <w:rFonts w:hint="default" w:ascii="Times New Roman" w:hAnsi="Times New Roman" w:eastAsia="宋体" w:cs="Times New Roman"/>
                <w:b w:val="0"/>
                <w:bCs/>
                <w:color w:val="auto"/>
                <w:sz w:val="24"/>
                <w:highlight w:val="none"/>
                <w:lang w:eastAsia="zh-CN"/>
              </w:rPr>
              <w:t>——大气吸收引起的衰减，dB；</w:t>
            </w:r>
          </w:p>
          <w:p w14:paraId="29B19983">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gr</w:t>
            </w:r>
            <w:r>
              <w:rPr>
                <w:rFonts w:hint="default" w:ascii="Times New Roman" w:hAnsi="Times New Roman" w:eastAsia="宋体" w:cs="Times New Roman"/>
                <w:b w:val="0"/>
                <w:bCs/>
                <w:color w:val="auto"/>
                <w:sz w:val="24"/>
                <w:highlight w:val="none"/>
                <w:lang w:eastAsia="zh-CN"/>
              </w:rPr>
              <w:t>——地面效应引起的衰减，dB；</w:t>
            </w:r>
          </w:p>
          <w:p w14:paraId="3872FEAA">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bar</w:t>
            </w:r>
            <w:r>
              <w:rPr>
                <w:rFonts w:hint="default" w:ascii="Times New Roman" w:hAnsi="Times New Roman" w:eastAsia="宋体" w:cs="Times New Roman"/>
                <w:b w:val="0"/>
                <w:bCs/>
                <w:color w:val="auto"/>
                <w:sz w:val="24"/>
                <w:highlight w:val="none"/>
                <w:lang w:eastAsia="zh-CN"/>
              </w:rPr>
              <w:t>——障碍物屏蔽引起的衰减，dB；</w:t>
            </w:r>
          </w:p>
          <w:p w14:paraId="45922FF4">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A</w:t>
            </w:r>
            <w:r>
              <w:rPr>
                <w:rFonts w:hint="default" w:ascii="Times New Roman" w:hAnsi="Times New Roman" w:eastAsia="宋体" w:cs="Times New Roman"/>
                <w:b w:val="0"/>
                <w:bCs/>
                <w:color w:val="auto"/>
                <w:sz w:val="24"/>
                <w:highlight w:val="none"/>
                <w:vertAlign w:val="subscript"/>
                <w:lang w:eastAsia="zh-CN"/>
              </w:rPr>
              <w:t>misc</w:t>
            </w:r>
            <w:r>
              <w:rPr>
                <w:rFonts w:hint="default" w:ascii="Times New Roman" w:hAnsi="Times New Roman" w:eastAsia="宋体" w:cs="Times New Roman"/>
                <w:b w:val="0"/>
                <w:bCs/>
                <w:color w:val="auto"/>
                <w:sz w:val="24"/>
                <w:highlight w:val="none"/>
                <w:lang w:eastAsia="zh-CN"/>
              </w:rPr>
              <w:t>——其他多方面效应引起的衰减，dB。</w:t>
            </w:r>
          </w:p>
          <w:p w14:paraId="622C7861">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点声源的几何发散衰减Adiv表征如下：</w:t>
            </w:r>
          </w:p>
          <w:p w14:paraId="5BF053ED">
            <w:pPr>
              <w:pStyle w:val="18"/>
              <w:snapToGrid/>
              <w:spacing w:after="0" w:afterAutospacing="0" w:line="360" w:lineRule="auto"/>
              <w:ind w:left="0" w:leftChars="0" w:firstLine="0" w:firstLineChars="0"/>
              <w:jc w:val="center"/>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bCs w:val="0"/>
                <w:color w:val="auto"/>
                <w:position w:val="-14"/>
                <w:sz w:val="24"/>
                <w:highlight w:val="none"/>
                <w:lang w:eastAsia="zh-CN"/>
              </w:rPr>
              <w:object>
                <v:shape id="_x0000_i1034" o:spt="75" type="#_x0000_t75" style="height:19pt;width:139.95pt;" o:ole="t" filled="f" o:preferrelative="t" stroked="f" coordsize="21600,21600">
                  <v:path/>
                  <v:fill on="f" focussize="0,0"/>
                  <v:stroke on="f"/>
                  <v:imagedata r:id="rId35" o:title=""/>
                  <o:lock v:ext="edit" aspectratio="t"/>
                  <w10:wrap type="none"/>
                  <w10:anchorlock/>
                </v:shape>
                <o:OLEObject Type="Embed" ProgID="Equation.KSEE3" ShapeID="_x0000_i1034" DrawAspect="Content" ObjectID="_1468075734" r:id="rId34">
                  <o:LockedField>false</o:LockedField>
                </o:OLEObject>
              </w:object>
            </w:r>
          </w:p>
          <w:p w14:paraId="0528DF9B">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6F4A2C10">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Lp</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r</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——预测点处的声压级，dB；</w:t>
            </w:r>
          </w:p>
          <w:p w14:paraId="3E8A9DB6">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Lp</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r</w:t>
            </w:r>
            <w:r>
              <w:rPr>
                <w:rFonts w:hint="default" w:ascii="Times New Roman" w:hAnsi="Times New Roman" w:eastAsia="宋体" w:cs="Times New Roman"/>
                <w:b w:val="0"/>
                <w:bCs/>
                <w:color w:val="auto"/>
                <w:sz w:val="24"/>
                <w:highlight w:val="none"/>
                <w:vertAlign w:val="subscript"/>
                <w:lang w:eastAsia="zh-CN"/>
              </w:rPr>
              <w:t>0</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——参考位置r</w:t>
            </w:r>
            <w:r>
              <w:rPr>
                <w:rFonts w:hint="default" w:ascii="Times New Roman" w:hAnsi="Times New Roman" w:eastAsia="宋体" w:cs="Times New Roman"/>
                <w:b w:val="0"/>
                <w:bCs/>
                <w:color w:val="auto"/>
                <w:sz w:val="24"/>
                <w:highlight w:val="none"/>
                <w:vertAlign w:val="subscript"/>
                <w:lang w:eastAsia="zh-CN"/>
              </w:rPr>
              <w:t>0</w:t>
            </w:r>
            <w:r>
              <w:rPr>
                <w:rFonts w:hint="default" w:ascii="Times New Roman" w:hAnsi="Times New Roman" w:eastAsia="宋体" w:cs="Times New Roman"/>
                <w:b w:val="0"/>
                <w:bCs/>
                <w:color w:val="auto"/>
                <w:sz w:val="24"/>
                <w:highlight w:val="none"/>
                <w:lang w:eastAsia="zh-CN"/>
              </w:rPr>
              <w:t>处的声压级，dB；</w:t>
            </w:r>
          </w:p>
          <w:p w14:paraId="6223B0F1">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w:t>
            </w:r>
            <w:r>
              <w:rPr>
                <w:rFonts w:hint="default" w:ascii="Times New Roman" w:hAnsi="Times New Roman" w:eastAsia="宋体" w:cs="Times New Roman"/>
                <w:b w:val="0"/>
                <w:bCs/>
                <w:color w:val="auto"/>
                <w:sz w:val="24"/>
                <w:highlight w:val="none"/>
                <w:vertAlign w:val="subscript"/>
                <w:lang w:eastAsia="zh-CN"/>
              </w:rPr>
              <w:t>0</w:t>
            </w:r>
            <w:r>
              <w:rPr>
                <w:rFonts w:hint="default" w:ascii="Times New Roman" w:hAnsi="Times New Roman" w:eastAsia="宋体" w:cs="Times New Roman"/>
                <w:b w:val="0"/>
                <w:bCs/>
                <w:color w:val="auto"/>
                <w:sz w:val="24"/>
                <w:highlight w:val="none"/>
                <w:lang w:eastAsia="zh-CN"/>
              </w:rPr>
              <w:t>——参考位置距声源的距离，m；</w:t>
            </w:r>
          </w:p>
          <w:p w14:paraId="2FC9E78F">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r——预测点距声源的距离，m；</w:t>
            </w:r>
          </w:p>
          <w:p w14:paraId="28723062">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若已知点声源的倍频带声功率级或A计权声功率级（L</w:t>
            </w:r>
            <w:r>
              <w:rPr>
                <w:rFonts w:hint="default" w:ascii="Times New Roman" w:hAnsi="Times New Roman" w:eastAsia="宋体" w:cs="Times New Roman"/>
                <w:b w:val="0"/>
                <w:bCs/>
                <w:color w:val="auto"/>
                <w:sz w:val="24"/>
                <w:highlight w:val="none"/>
                <w:vertAlign w:val="subscript"/>
                <w:lang w:eastAsia="zh-CN"/>
              </w:rPr>
              <w:t>Aw</w:t>
            </w:r>
            <w:r>
              <w:rPr>
                <w:rFonts w:hint="default" w:ascii="Times New Roman" w:hAnsi="Times New Roman" w:eastAsia="宋体" w:cs="Times New Roman"/>
                <w:b w:val="0"/>
                <w:bCs/>
                <w:color w:val="auto"/>
                <w:sz w:val="24"/>
                <w:highlight w:val="none"/>
                <w:lang w:eastAsia="zh-CN"/>
              </w:rPr>
              <w:t>），且声源位于刚性地面上（半自由声场），则：</w:t>
            </w:r>
          </w:p>
          <w:p w14:paraId="31C5F0E3">
            <w:pPr>
              <w:pStyle w:val="18"/>
              <w:spacing w:after="0" w:afterAutospacing="0"/>
              <w:jc w:val="center"/>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position w:val="-14"/>
                <w:sz w:val="24"/>
                <w:highlight w:val="none"/>
                <w:lang w:eastAsia="zh-CN"/>
              </w:rPr>
              <w:object>
                <v:shape id="_x0000_i1035" o:spt="75" type="#_x0000_t75" style="height:19pt;width:229.95pt;" o:ole="t" filled="f" o:preferrelative="t" stroked="f" coordsize="21600,21600">
                  <v:path/>
                  <v:fill on="f" focussize="0,0"/>
                  <v:stroke on="f"/>
                  <v:imagedata r:id="rId37" o:title=""/>
                  <o:lock v:ext="edit" aspectratio="t"/>
                  <w10:wrap type="none"/>
                  <w10:anchorlock/>
                </v:shape>
                <o:OLEObject Type="Embed" ProgID="Equation.KSEE3" ShapeID="_x0000_i1035" DrawAspect="Content" ObjectID="_1468075735" r:id="rId36">
                  <o:LockedField>false</o:LockedField>
                </o:OLEObject>
              </w:object>
            </w:r>
          </w:p>
          <w:p w14:paraId="50C954F6">
            <w:pPr>
              <w:spacing w:beforeAutospacing="0"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5A24EC12">
            <w:pPr>
              <w:spacing w:beforeAutospacing="0"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Lp</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r</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——预测点处的声压级，dB；</w:t>
            </w:r>
          </w:p>
          <w:p w14:paraId="104872EA">
            <w:pPr>
              <w:spacing w:beforeAutospacing="0"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w</w:t>
            </w:r>
            <w:r>
              <w:rPr>
                <w:rFonts w:hint="default" w:ascii="Times New Roman" w:hAnsi="Times New Roman" w:eastAsia="宋体" w:cs="Times New Roman"/>
                <w:b w:val="0"/>
                <w:bCs/>
                <w:color w:val="auto"/>
                <w:sz w:val="24"/>
                <w:highlight w:val="none"/>
                <w:lang w:eastAsia="zh-CN"/>
              </w:rPr>
              <w:t>——自由声源产生的倍频带声功率级，dB；</w:t>
            </w:r>
          </w:p>
          <w:p w14:paraId="0BC95E79">
            <w:pPr>
              <w:spacing w:beforeAutospacing="0"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A</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r</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——自由声源产生的倍频带声功率级，dB（A）；</w:t>
            </w:r>
          </w:p>
          <w:p w14:paraId="386AE76D">
            <w:pPr>
              <w:spacing w:beforeAutospacing="0"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w:t>
            </w:r>
            <w:r>
              <w:rPr>
                <w:rFonts w:hint="default" w:ascii="Times New Roman" w:hAnsi="Times New Roman" w:eastAsia="宋体" w:cs="Times New Roman"/>
                <w:b w:val="0"/>
                <w:bCs/>
                <w:color w:val="auto"/>
                <w:sz w:val="24"/>
                <w:highlight w:val="none"/>
                <w:vertAlign w:val="subscript"/>
                <w:lang w:eastAsia="zh-CN"/>
              </w:rPr>
              <w:t>A</w:t>
            </w:r>
            <w:r>
              <w:rPr>
                <w:rFonts w:hint="default" w:ascii="Times New Roman" w:hAnsi="Times New Roman" w:eastAsia="宋体" w:cs="Times New Roman"/>
                <w:b w:val="0"/>
                <w:bCs/>
                <w:color w:val="auto"/>
                <w:sz w:val="24"/>
                <w:highlight w:val="none"/>
                <w:vertAlign w:val="subscript"/>
                <w:lang w:val="en-US" w:eastAsia="zh-CN"/>
              </w:rPr>
              <w:t>W</w:t>
            </w:r>
            <w:r>
              <w:rPr>
                <w:rFonts w:hint="default" w:ascii="Times New Roman" w:hAnsi="Times New Roman" w:eastAsia="宋体" w:cs="Times New Roman"/>
                <w:b w:val="0"/>
                <w:bCs/>
                <w:color w:val="auto"/>
                <w:sz w:val="24"/>
                <w:highlight w:val="none"/>
                <w:lang w:eastAsia="zh-CN"/>
              </w:rPr>
              <w:t>——点声源A计权声功率级，dB；</w:t>
            </w:r>
          </w:p>
          <w:p w14:paraId="14320A84">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r——预测点距声源的距离，m；</w:t>
            </w:r>
          </w:p>
          <w:p w14:paraId="32EDE71D">
            <w:pPr>
              <w:numPr>
                <w:ilvl w:val="0"/>
                <w:numId w:val="0"/>
              </w:numPr>
              <w:spacing w:beforeAutospacing="0"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eastAsia"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lang w:val="en-US" w:eastAsia="zh-CN" w:bidi="ar-SA"/>
              </w:rPr>
              <w:t>4）</w:t>
            </w:r>
            <w:r>
              <w:rPr>
                <w:rFonts w:hint="default" w:ascii="Times New Roman" w:hAnsi="Times New Roman" w:eastAsia="宋体" w:cs="Times New Roman"/>
                <w:b w:val="0"/>
                <w:bCs/>
                <w:color w:val="auto"/>
                <w:sz w:val="24"/>
                <w:highlight w:val="none"/>
                <w:lang w:eastAsia="zh-CN"/>
              </w:rPr>
              <w:t>总声压级</w:t>
            </w:r>
          </w:p>
          <w:p w14:paraId="614916B7">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设第i个室外声源在预测点产生的A声级为L</w:t>
            </w:r>
            <w:r>
              <w:rPr>
                <w:rFonts w:hint="default" w:ascii="Times New Roman" w:hAnsi="Times New Roman" w:eastAsia="宋体" w:cs="Times New Roman"/>
                <w:b w:val="0"/>
                <w:bCs/>
                <w:color w:val="auto"/>
                <w:sz w:val="24"/>
                <w:highlight w:val="none"/>
                <w:vertAlign w:val="subscript"/>
                <w:lang w:eastAsia="zh-CN"/>
              </w:rPr>
              <w:t>Ai</w:t>
            </w:r>
            <w:r>
              <w:rPr>
                <w:rFonts w:hint="default" w:ascii="Times New Roman" w:hAnsi="Times New Roman" w:eastAsia="宋体" w:cs="Times New Roman"/>
                <w:b w:val="0"/>
                <w:bCs/>
                <w:color w:val="auto"/>
                <w:sz w:val="24"/>
                <w:highlight w:val="none"/>
                <w:lang w:eastAsia="zh-CN"/>
              </w:rPr>
              <w:t>，在T时间内该声源工作时间为t</w:t>
            </w:r>
            <w:r>
              <w:rPr>
                <w:rFonts w:hint="default" w:ascii="Times New Roman" w:hAnsi="Times New Roman" w:eastAsia="宋体" w:cs="Times New Roman"/>
                <w:b w:val="0"/>
                <w:bCs/>
                <w:color w:val="auto"/>
                <w:sz w:val="24"/>
                <w:highlight w:val="none"/>
                <w:vertAlign w:val="subscript"/>
                <w:lang w:eastAsia="zh-CN"/>
              </w:rPr>
              <w:t>i</w:t>
            </w:r>
            <w:r>
              <w:rPr>
                <w:rFonts w:hint="default" w:ascii="Times New Roman" w:hAnsi="Times New Roman" w:eastAsia="宋体" w:cs="Times New Roman"/>
                <w:b w:val="0"/>
                <w:bCs/>
                <w:color w:val="auto"/>
                <w:sz w:val="24"/>
                <w:highlight w:val="none"/>
                <w:lang w:eastAsia="zh-CN"/>
              </w:rPr>
              <w:t>；第j个等效室外声源在预测点产生的A声级为L</w:t>
            </w:r>
            <w:r>
              <w:rPr>
                <w:rFonts w:hint="default" w:ascii="Times New Roman" w:hAnsi="Times New Roman" w:eastAsia="宋体" w:cs="Times New Roman"/>
                <w:b w:val="0"/>
                <w:bCs/>
                <w:color w:val="auto"/>
                <w:sz w:val="24"/>
                <w:highlight w:val="none"/>
                <w:vertAlign w:val="subscript"/>
                <w:lang w:eastAsia="zh-CN"/>
              </w:rPr>
              <w:t>Aj</w:t>
            </w:r>
            <w:r>
              <w:rPr>
                <w:rFonts w:hint="default" w:ascii="Times New Roman" w:hAnsi="Times New Roman" w:eastAsia="宋体" w:cs="Times New Roman"/>
                <w:b w:val="0"/>
                <w:bCs/>
                <w:color w:val="auto"/>
                <w:sz w:val="24"/>
                <w:highlight w:val="none"/>
                <w:lang w:eastAsia="zh-CN"/>
              </w:rPr>
              <w:t>，在T时间内该声源工作时间为t</w:t>
            </w:r>
            <w:r>
              <w:rPr>
                <w:rFonts w:hint="default" w:ascii="Times New Roman" w:hAnsi="Times New Roman" w:eastAsia="宋体" w:cs="Times New Roman"/>
                <w:b w:val="0"/>
                <w:bCs/>
                <w:color w:val="auto"/>
                <w:sz w:val="24"/>
                <w:highlight w:val="none"/>
                <w:vertAlign w:val="subscript"/>
                <w:lang w:eastAsia="zh-CN"/>
              </w:rPr>
              <w:t>j</w:t>
            </w:r>
            <w:r>
              <w:rPr>
                <w:rFonts w:hint="default" w:ascii="Times New Roman" w:hAnsi="Times New Roman" w:eastAsia="宋体" w:cs="Times New Roman"/>
                <w:b w:val="0"/>
                <w:bCs/>
                <w:color w:val="auto"/>
                <w:sz w:val="24"/>
                <w:highlight w:val="none"/>
                <w:lang w:eastAsia="zh-CN"/>
              </w:rPr>
              <w:t>，则拟建工程声源在T时间内对预测点产生的贡献值Leq（T）为：</w:t>
            </w:r>
          </w:p>
          <w:p w14:paraId="6C209330">
            <w:pPr>
              <w:pStyle w:val="18"/>
              <w:snapToGrid/>
              <w:spacing w:after="0" w:afterAutospacing="0" w:line="360" w:lineRule="auto"/>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b/>
                <w:color w:val="auto"/>
                <w:position w:val="-34"/>
                <w:sz w:val="24"/>
                <w:highlight w:val="none"/>
                <w:lang w:eastAsia="zh-CN"/>
              </w:rPr>
              <w:object>
                <v:shape id="_x0000_i1036" o:spt="75" type="#_x0000_t75" style="height:40pt;width:222.95pt;" o:ole="t" filled="f" o:preferrelative="t" stroked="f" coordsize="21600,21600">
                  <v:path/>
                  <v:fill on="f" focussize="0,0"/>
                  <v:stroke on="f"/>
                  <v:imagedata r:id="rId39" o:title=""/>
                  <o:lock v:ext="edit" aspectratio="t"/>
                  <w10:wrap type="none"/>
                  <w10:anchorlock/>
                </v:shape>
                <o:OLEObject Type="Embed" ProgID="Equation.KSEE3" ShapeID="_x0000_i1036" DrawAspect="Content" ObjectID="_1468075736" r:id="rId38">
                  <o:LockedField>false</o:LockedField>
                </o:OLEObject>
              </w:object>
            </w:r>
          </w:p>
          <w:p w14:paraId="6FEE2E66">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式中：</w:t>
            </w:r>
          </w:p>
          <w:p w14:paraId="7556D7B2">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Leq——建设项目声源在预测点产生的噪声贡献值，dB；</w:t>
            </w:r>
          </w:p>
          <w:p w14:paraId="4092CA14">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T——用于计算等效声级的时间，s；</w:t>
            </w:r>
          </w:p>
          <w:p w14:paraId="627FB9CC">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N——室外声源个数；</w:t>
            </w:r>
          </w:p>
          <w:p w14:paraId="0B5DF1C3">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w:t>
            </w:r>
            <w:r>
              <w:rPr>
                <w:rFonts w:hint="default" w:ascii="Times New Roman" w:hAnsi="Times New Roman" w:eastAsia="宋体" w:cs="Times New Roman"/>
                <w:b w:val="0"/>
                <w:bCs/>
                <w:color w:val="auto"/>
                <w:sz w:val="24"/>
                <w:highlight w:val="none"/>
                <w:vertAlign w:val="subscript"/>
                <w:lang w:eastAsia="zh-CN"/>
              </w:rPr>
              <w:t>i</w:t>
            </w:r>
            <w:r>
              <w:rPr>
                <w:rFonts w:hint="default" w:ascii="Times New Roman" w:hAnsi="Times New Roman" w:eastAsia="宋体" w:cs="Times New Roman"/>
                <w:b w:val="0"/>
                <w:bCs/>
                <w:color w:val="auto"/>
                <w:sz w:val="24"/>
                <w:highlight w:val="none"/>
                <w:lang w:eastAsia="zh-CN"/>
              </w:rPr>
              <w:t>——在T时间内i声源工作时间，s；</w:t>
            </w:r>
          </w:p>
          <w:p w14:paraId="78590D40">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M—等效室外声源个数；</w:t>
            </w:r>
          </w:p>
          <w:p w14:paraId="617648E5">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t</w:t>
            </w:r>
            <w:r>
              <w:rPr>
                <w:rFonts w:hint="default" w:ascii="Times New Roman" w:hAnsi="Times New Roman" w:eastAsia="宋体" w:cs="Times New Roman"/>
                <w:b w:val="0"/>
                <w:bCs/>
                <w:color w:val="auto"/>
                <w:sz w:val="24"/>
                <w:highlight w:val="none"/>
                <w:vertAlign w:val="subscript"/>
                <w:lang w:eastAsia="zh-CN"/>
              </w:rPr>
              <w:t>j</w:t>
            </w:r>
            <w:r>
              <w:rPr>
                <w:rFonts w:hint="default" w:ascii="Times New Roman" w:hAnsi="Times New Roman" w:eastAsia="宋体" w:cs="Times New Roman"/>
                <w:b w:val="0"/>
                <w:bCs/>
                <w:color w:val="auto"/>
                <w:sz w:val="24"/>
                <w:highlight w:val="none"/>
                <w:lang w:eastAsia="zh-CN"/>
              </w:rPr>
              <w:t>——在T时间内j声源工作时间，s。</w:t>
            </w:r>
          </w:p>
          <w:p w14:paraId="4627871F">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val="en-US" w:eastAsia="zh-CN"/>
              </w:rPr>
              <w:t>4</w:t>
            </w:r>
            <w:r>
              <w:rPr>
                <w:rFonts w:hint="default" w:ascii="Times New Roman" w:hAnsi="Times New Roman" w:eastAsia="宋体" w:cs="Times New Roman"/>
                <w:b w:val="0"/>
                <w:bCs/>
                <w:color w:val="auto"/>
                <w:sz w:val="24"/>
                <w:highlight w:val="none"/>
                <w:lang w:eastAsia="zh-CN"/>
              </w:rPr>
              <w:t>）预测因子、预测时段、预测方案</w:t>
            </w:r>
          </w:p>
          <w:p w14:paraId="0F2FA2A5">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预测因子：等效连续A声级Leq（A）。</w:t>
            </w:r>
          </w:p>
          <w:p w14:paraId="41E261FE">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预测时段：固定声源投产运行期。</w:t>
            </w:r>
          </w:p>
          <w:p w14:paraId="31E05B7A">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预测方案：本次预测按照最不利情况考虑，即所有设备同时连续运行的情况进行预测，预测厂界噪声的达标情况。</w:t>
            </w:r>
          </w:p>
          <w:p w14:paraId="0D95E9C9">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val="en-US" w:eastAsia="zh-CN"/>
              </w:rPr>
              <w:t>5</w:t>
            </w:r>
            <w:r>
              <w:rPr>
                <w:rFonts w:hint="default" w:ascii="Times New Roman" w:hAnsi="Times New Roman" w:eastAsia="宋体" w:cs="Times New Roman"/>
                <w:b w:val="0"/>
                <w:bCs/>
                <w:color w:val="auto"/>
                <w:sz w:val="24"/>
                <w:highlight w:val="none"/>
                <w:lang w:eastAsia="zh-CN"/>
              </w:rPr>
              <w:t>）噪声预测结果</w:t>
            </w:r>
          </w:p>
          <w:p w14:paraId="61EBF3F9">
            <w:pPr>
              <w:spacing w:afterAutospacing="0" w:line="360" w:lineRule="auto"/>
              <w:ind w:firstLine="480" w:firstLineChars="200"/>
              <w:rPr>
                <w:rFonts w:hint="default" w:ascii="Times New Roman" w:hAnsi="Times New Roman" w:eastAsia="宋体" w:cs="Times New Roman"/>
                <w:b w:val="0"/>
                <w:bCs/>
                <w:color w:val="auto"/>
                <w:sz w:val="24"/>
                <w:highlight w:val="none"/>
                <w:vertAlign w:val="baseline"/>
                <w:lang w:eastAsia="zh-CN"/>
              </w:rPr>
            </w:pPr>
            <w:r>
              <w:rPr>
                <w:rFonts w:hint="default" w:ascii="Times New Roman" w:hAnsi="Times New Roman" w:eastAsia="宋体" w:cs="Times New Roman"/>
                <w:b w:val="0"/>
                <w:bCs/>
                <w:color w:val="auto"/>
                <w:sz w:val="24"/>
                <w:highlight w:val="none"/>
                <w:vertAlign w:val="baseline"/>
                <w:lang w:eastAsia="zh-CN"/>
              </w:rPr>
              <w:t>本次环评采用环安噪声环境影响评价系统进行预测，预测结果见</w:t>
            </w:r>
            <w:r>
              <w:rPr>
                <w:rFonts w:hint="default" w:ascii="Times New Roman" w:hAnsi="Times New Roman" w:eastAsia="宋体" w:cs="Times New Roman"/>
                <w:b w:val="0"/>
                <w:bCs/>
                <w:color w:val="auto"/>
                <w:sz w:val="24"/>
                <w:highlight w:val="none"/>
                <w:vertAlign w:val="baseline"/>
                <w:lang w:val="en-US" w:eastAsia="zh-CN"/>
              </w:rPr>
              <w:t>图</w:t>
            </w:r>
            <w:r>
              <w:rPr>
                <w:rFonts w:hint="eastAsia" w:cs="Times New Roman"/>
                <w:b w:val="0"/>
                <w:bCs/>
                <w:color w:val="auto"/>
                <w:sz w:val="24"/>
                <w:highlight w:val="none"/>
                <w:vertAlign w:val="baseline"/>
                <w:lang w:val="en-US" w:eastAsia="zh-CN"/>
              </w:rPr>
              <w:t>4-1</w:t>
            </w:r>
            <w:r>
              <w:rPr>
                <w:rFonts w:hint="default" w:ascii="Times New Roman" w:hAnsi="Times New Roman" w:eastAsia="宋体" w:cs="Times New Roman"/>
                <w:b w:val="0"/>
                <w:bCs/>
                <w:color w:val="auto"/>
                <w:sz w:val="24"/>
                <w:highlight w:val="none"/>
                <w:vertAlign w:val="baseline"/>
                <w:lang w:val="en-US" w:eastAsia="zh-CN"/>
              </w:rPr>
              <w:t>、表4-29</w:t>
            </w:r>
            <w:r>
              <w:rPr>
                <w:rFonts w:hint="default" w:ascii="Times New Roman" w:hAnsi="Times New Roman" w:eastAsia="宋体" w:cs="Times New Roman"/>
                <w:b w:val="0"/>
                <w:bCs/>
                <w:color w:val="auto"/>
                <w:sz w:val="24"/>
                <w:highlight w:val="none"/>
                <w:vertAlign w:val="baseline"/>
                <w:lang w:eastAsia="zh-CN"/>
              </w:rPr>
              <w:t>。</w:t>
            </w:r>
          </w:p>
          <w:p w14:paraId="75126817">
            <w:pPr>
              <w:snapToGrid/>
              <w:spacing w:line="360" w:lineRule="auto"/>
              <w:jc w:val="center"/>
              <w:rPr>
                <w:rFonts w:hint="default" w:ascii="Times New Roman" w:hAnsi="Times New Roman" w:eastAsia="宋体" w:cs="Times New Roman"/>
                <w:b/>
                <w:color w:val="auto"/>
                <w:sz w:val="21"/>
                <w:szCs w:val="21"/>
                <w:highlight w:val="yellow"/>
              </w:rPr>
            </w:pPr>
            <w:r>
              <w:drawing>
                <wp:inline distT="0" distB="0" distL="114300" distR="114300">
                  <wp:extent cx="3630295" cy="3364230"/>
                  <wp:effectExtent l="0" t="0" r="8255" b="762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40"/>
                          <a:stretch>
                            <a:fillRect/>
                          </a:stretch>
                        </pic:blipFill>
                        <pic:spPr>
                          <a:xfrm>
                            <a:off x="0" y="0"/>
                            <a:ext cx="3630295" cy="3364230"/>
                          </a:xfrm>
                          <a:prstGeom prst="rect">
                            <a:avLst/>
                          </a:prstGeom>
                          <a:noFill/>
                          <a:ln>
                            <a:noFill/>
                          </a:ln>
                        </pic:spPr>
                      </pic:pic>
                    </a:graphicData>
                  </a:graphic>
                </wp:inline>
              </w:drawing>
            </w:r>
          </w:p>
          <w:p w14:paraId="2C3656E1">
            <w:pPr>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图4.</w:t>
            </w:r>
            <w:r>
              <w:rPr>
                <w:rFonts w:hint="eastAsia" w:ascii="Times New Roman" w:hAnsi="Times New Roman" w:cs="Times New Roman" w:eastAsiaTheme="minorEastAsia"/>
                <w:b/>
                <w:bCs/>
                <w:color w:val="auto"/>
                <w:szCs w:val="21"/>
                <w:lang w:val="en-US" w:eastAsia="zh-CN"/>
              </w:rPr>
              <w:t>1</w:t>
            </w:r>
            <w:r>
              <w:rPr>
                <w:rFonts w:hint="default" w:ascii="Times New Roman" w:hAnsi="Times New Roman" w:cs="Times New Roman" w:eastAsiaTheme="minorEastAsia"/>
                <w:b/>
                <w:bCs/>
                <w:color w:val="auto"/>
                <w:szCs w:val="21"/>
                <w:lang w:val="en-US" w:eastAsia="zh-CN"/>
              </w:rPr>
              <w:t xml:space="preserve"> </w:t>
            </w:r>
            <w:r>
              <w:rPr>
                <w:rFonts w:hint="eastAsia" w:ascii="Times New Roman" w:hAnsi="Times New Roman" w:cs="Times New Roman" w:eastAsiaTheme="minorEastAsia"/>
                <w:b/>
                <w:bCs/>
                <w:color w:val="auto"/>
                <w:szCs w:val="21"/>
                <w:lang w:val="en-US" w:eastAsia="zh-CN"/>
              </w:rPr>
              <w:t xml:space="preserve"> </w:t>
            </w:r>
            <w:r>
              <w:rPr>
                <w:rFonts w:hint="default" w:ascii="Times New Roman" w:hAnsi="Times New Roman" w:cs="Times New Roman" w:eastAsiaTheme="minorEastAsia"/>
                <w:b/>
                <w:bCs/>
                <w:color w:val="auto"/>
                <w:szCs w:val="21"/>
                <w:lang w:val="en-US" w:eastAsia="zh-CN"/>
              </w:rPr>
              <w:t>噪声预测等值线图</w:t>
            </w:r>
          </w:p>
          <w:p w14:paraId="19BFA302">
            <w:pPr>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表4-</w:t>
            </w:r>
            <w:r>
              <w:rPr>
                <w:rFonts w:hint="eastAsia" w:ascii="Times New Roman" w:hAnsi="Times New Roman" w:cs="Times New Roman" w:eastAsiaTheme="minorEastAsia"/>
                <w:b/>
                <w:bCs/>
                <w:color w:val="auto"/>
                <w:szCs w:val="21"/>
                <w:lang w:val="en-US" w:eastAsia="zh-CN"/>
              </w:rPr>
              <w:t>7</w:t>
            </w:r>
            <w:r>
              <w:rPr>
                <w:rFonts w:hint="default" w:ascii="Times New Roman" w:hAnsi="Times New Roman" w:cs="Times New Roman" w:eastAsiaTheme="minorEastAsia"/>
                <w:b/>
                <w:bCs/>
                <w:color w:val="auto"/>
                <w:szCs w:val="21"/>
                <w:lang w:val="en-US" w:eastAsia="zh-CN"/>
              </w:rPr>
              <w:t xml:space="preserve"> </w:t>
            </w:r>
            <w:r>
              <w:rPr>
                <w:rFonts w:hint="eastAsia" w:ascii="Times New Roman" w:hAnsi="Times New Roman" w:cs="Times New Roman" w:eastAsiaTheme="minorEastAsia"/>
                <w:b/>
                <w:bCs/>
                <w:color w:val="auto"/>
                <w:szCs w:val="21"/>
                <w:lang w:val="en-US" w:eastAsia="zh-CN"/>
              </w:rPr>
              <w:t xml:space="preserve"> </w:t>
            </w:r>
            <w:r>
              <w:rPr>
                <w:rFonts w:hint="default" w:ascii="Times New Roman" w:hAnsi="Times New Roman" w:cs="Times New Roman" w:eastAsiaTheme="minorEastAsia"/>
                <w:b/>
                <w:bCs/>
                <w:color w:val="auto"/>
                <w:szCs w:val="21"/>
                <w:lang w:val="en-US" w:eastAsia="zh-CN"/>
              </w:rPr>
              <w:t>项目噪声预测结果一览表</w:t>
            </w:r>
          </w:p>
          <w:tbl>
            <w:tblPr>
              <w:tblStyle w:val="21"/>
              <w:tblW w:w="76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097"/>
              <w:gridCol w:w="1028"/>
              <w:gridCol w:w="918"/>
              <w:gridCol w:w="1364"/>
              <w:gridCol w:w="891"/>
              <w:gridCol w:w="656"/>
              <w:gridCol w:w="1100"/>
            </w:tblGrid>
            <w:tr w14:paraId="4699A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43" w:type="dxa"/>
                  <w:tcBorders>
                    <w:tl2br w:val="nil"/>
                    <w:tr2bl w:val="nil"/>
                  </w:tcBorders>
                  <w:vAlign w:val="center"/>
                </w:tcPr>
                <w:p w14:paraId="2F3DD5E9">
                  <w:pPr>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097" w:type="dxa"/>
                  <w:tcBorders>
                    <w:tl2br w:val="nil"/>
                    <w:tr2bl w:val="nil"/>
                  </w:tcBorders>
                  <w:vAlign w:val="center"/>
                </w:tcPr>
                <w:p w14:paraId="6ECFBAF8">
                  <w:pPr>
                    <w:snapToGrid/>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厂界</w:t>
                  </w:r>
                </w:p>
              </w:tc>
              <w:tc>
                <w:tcPr>
                  <w:tcW w:w="1028" w:type="dxa"/>
                  <w:tcBorders>
                    <w:tl2br w:val="nil"/>
                    <w:tr2bl w:val="nil"/>
                  </w:tcBorders>
                  <w:vAlign w:val="center"/>
                </w:tcPr>
                <w:p w14:paraId="5C3345DB">
                  <w:pPr>
                    <w:snapToGrid/>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背景值</w:t>
                  </w:r>
                  <w:r>
                    <w:rPr>
                      <w:rFonts w:hint="default" w:ascii="Times New Roman" w:hAnsi="Times New Roman" w:eastAsia="宋体" w:cs="Times New Roman"/>
                      <w:b/>
                      <w:bCs/>
                      <w:color w:val="auto"/>
                      <w:sz w:val="21"/>
                      <w:szCs w:val="21"/>
                      <w:highlight w:val="none"/>
                    </w:rPr>
                    <w:t>/dB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918" w:type="dxa"/>
                  <w:tcBorders>
                    <w:tl2br w:val="nil"/>
                    <w:tr2bl w:val="nil"/>
                  </w:tcBorders>
                  <w:vAlign w:val="center"/>
                </w:tcPr>
                <w:p w14:paraId="40C8AB9B">
                  <w:pPr>
                    <w:snapToGrid/>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贡献值/dB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1364" w:type="dxa"/>
                  <w:tcBorders>
                    <w:tl2br w:val="nil"/>
                    <w:tr2bl w:val="nil"/>
                  </w:tcBorders>
                  <w:vAlign w:val="center"/>
                </w:tcPr>
                <w:p w14:paraId="46EDE6DF">
                  <w:pPr>
                    <w:snapToGrid/>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预测值</w:t>
                  </w:r>
                  <w:r>
                    <w:rPr>
                      <w:rFonts w:hint="default" w:ascii="Times New Roman" w:hAnsi="Times New Roman" w:eastAsia="宋体" w:cs="Times New Roman"/>
                      <w:b/>
                      <w:bCs/>
                      <w:color w:val="auto"/>
                      <w:sz w:val="21"/>
                      <w:szCs w:val="21"/>
                      <w:highlight w:val="none"/>
                    </w:rPr>
                    <w:t>/dB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1547" w:type="dxa"/>
                  <w:gridSpan w:val="2"/>
                  <w:tcBorders>
                    <w:tl2br w:val="nil"/>
                    <w:tr2bl w:val="nil"/>
                  </w:tcBorders>
                  <w:vAlign w:val="center"/>
                </w:tcPr>
                <w:p w14:paraId="66766C0F">
                  <w:pPr>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标准限值</w:t>
                  </w:r>
                </w:p>
                <w:p w14:paraId="5C9507C7">
                  <w:pPr>
                    <w:snapToGrid/>
                    <w:spacing w:line="24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/dB</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A</w:t>
                  </w:r>
                  <w:r>
                    <w:rPr>
                      <w:rFonts w:hint="default" w:ascii="Times New Roman" w:hAnsi="Times New Roman" w:eastAsia="宋体" w:cs="Times New Roman"/>
                      <w:b/>
                      <w:bCs/>
                      <w:color w:val="auto"/>
                      <w:sz w:val="21"/>
                      <w:szCs w:val="21"/>
                      <w:highlight w:val="none"/>
                      <w:lang w:eastAsia="zh-CN"/>
                    </w:rPr>
                    <w:t>）</w:t>
                  </w:r>
                </w:p>
              </w:tc>
              <w:tc>
                <w:tcPr>
                  <w:tcW w:w="1100" w:type="dxa"/>
                  <w:tcBorders>
                    <w:tl2br w:val="nil"/>
                    <w:tr2bl w:val="nil"/>
                  </w:tcBorders>
                  <w:vAlign w:val="center"/>
                </w:tcPr>
                <w:p w14:paraId="046C23F7">
                  <w:pPr>
                    <w:snapToGrid/>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659486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43" w:type="dxa"/>
                  <w:tcBorders>
                    <w:tl2br w:val="nil"/>
                    <w:tr2bl w:val="nil"/>
                  </w:tcBorders>
                  <w:vAlign w:val="center"/>
                </w:tcPr>
                <w:p w14:paraId="1B207359">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097" w:type="dxa"/>
                  <w:tcBorders>
                    <w:tl2br w:val="nil"/>
                    <w:tr2bl w:val="nil"/>
                  </w:tcBorders>
                  <w:vAlign w:val="center"/>
                </w:tcPr>
                <w:p w14:paraId="073A28BA">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厂界东侧</w:t>
                  </w:r>
                </w:p>
              </w:tc>
              <w:tc>
                <w:tcPr>
                  <w:tcW w:w="1028" w:type="dxa"/>
                  <w:tcBorders>
                    <w:tl2br w:val="nil"/>
                    <w:tr2bl w:val="nil"/>
                  </w:tcBorders>
                  <w:vAlign w:val="center"/>
                </w:tcPr>
                <w:p w14:paraId="7760E9A6">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val="en-US" w:eastAsia="zh-CN"/>
                    </w:rPr>
                    <w:t>-</w:t>
                  </w:r>
                </w:p>
              </w:tc>
              <w:tc>
                <w:tcPr>
                  <w:tcW w:w="918" w:type="dxa"/>
                  <w:tcBorders>
                    <w:tl2br w:val="nil"/>
                    <w:tr2bl w:val="nil"/>
                  </w:tcBorders>
                  <w:vAlign w:val="center"/>
                </w:tcPr>
                <w:p w14:paraId="543F9624">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58</w:t>
                  </w:r>
                </w:p>
              </w:tc>
              <w:tc>
                <w:tcPr>
                  <w:tcW w:w="1364" w:type="dxa"/>
                  <w:tcBorders>
                    <w:tl2br w:val="nil"/>
                    <w:tr2bl w:val="nil"/>
                  </w:tcBorders>
                  <w:vAlign w:val="center"/>
                </w:tcPr>
                <w:p w14:paraId="068A155A">
                  <w:pPr>
                    <w:snapToGrid/>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58</w:t>
                  </w:r>
                </w:p>
              </w:tc>
              <w:tc>
                <w:tcPr>
                  <w:tcW w:w="891" w:type="dxa"/>
                  <w:tcBorders>
                    <w:tl2br w:val="nil"/>
                    <w:tr2bl w:val="nil"/>
                  </w:tcBorders>
                  <w:vAlign w:val="center"/>
                </w:tcPr>
                <w:p w14:paraId="674288A6">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656" w:type="dxa"/>
                  <w:tcBorders>
                    <w:tl2br w:val="nil"/>
                    <w:tr2bl w:val="nil"/>
                  </w:tcBorders>
                  <w:vAlign w:val="center"/>
                </w:tcPr>
                <w:p w14:paraId="11A09E54">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1100" w:type="dxa"/>
                  <w:tcBorders>
                    <w:tl2br w:val="nil"/>
                    <w:tr2bl w:val="nil"/>
                  </w:tcBorders>
                  <w:vAlign w:val="center"/>
                </w:tcPr>
                <w:p w14:paraId="1ACC49F3">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6991E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43" w:type="dxa"/>
                  <w:tcBorders>
                    <w:tl2br w:val="nil"/>
                    <w:tr2bl w:val="nil"/>
                  </w:tcBorders>
                  <w:vAlign w:val="center"/>
                </w:tcPr>
                <w:p w14:paraId="6161CC23">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097" w:type="dxa"/>
                  <w:tcBorders>
                    <w:tl2br w:val="nil"/>
                    <w:tr2bl w:val="nil"/>
                  </w:tcBorders>
                  <w:vAlign w:val="center"/>
                </w:tcPr>
                <w:p w14:paraId="16E4B19A">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厂界南侧</w:t>
                  </w:r>
                </w:p>
              </w:tc>
              <w:tc>
                <w:tcPr>
                  <w:tcW w:w="1028" w:type="dxa"/>
                  <w:tcBorders>
                    <w:tl2br w:val="nil"/>
                    <w:tr2bl w:val="nil"/>
                  </w:tcBorders>
                  <w:vAlign w:val="center"/>
                </w:tcPr>
                <w:p w14:paraId="6B18B97E">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val="en-US" w:eastAsia="zh-CN"/>
                    </w:rPr>
                    <w:t>-</w:t>
                  </w:r>
                </w:p>
              </w:tc>
              <w:tc>
                <w:tcPr>
                  <w:tcW w:w="918" w:type="dxa"/>
                  <w:tcBorders>
                    <w:tl2br w:val="nil"/>
                    <w:tr2bl w:val="nil"/>
                  </w:tcBorders>
                  <w:vAlign w:val="center"/>
                </w:tcPr>
                <w:p w14:paraId="7A10649D">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56</w:t>
                  </w:r>
                </w:p>
              </w:tc>
              <w:tc>
                <w:tcPr>
                  <w:tcW w:w="1364" w:type="dxa"/>
                  <w:tcBorders>
                    <w:tl2br w:val="nil"/>
                    <w:tr2bl w:val="nil"/>
                  </w:tcBorders>
                  <w:vAlign w:val="center"/>
                </w:tcPr>
                <w:p w14:paraId="310EEECF">
                  <w:pPr>
                    <w:snapToGrid/>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56</w:t>
                  </w:r>
                </w:p>
              </w:tc>
              <w:tc>
                <w:tcPr>
                  <w:tcW w:w="891" w:type="dxa"/>
                  <w:tcBorders>
                    <w:tl2br w:val="nil"/>
                    <w:tr2bl w:val="nil"/>
                  </w:tcBorders>
                  <w:vAlign w:val="center"/>
                </w:tcPr>
                <w:p w14:paraId="6FAD8928">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656" w:type="dxa"/>
                  <w:tcBorders>
                    <w:tl2br w:val="nil"/>
                    <w:tr2bl w:val="nil"/>
                  </w:tcBorders>
                  <w:vAlign w:val="center"/>
                </w:tcPr>
                <w:p w14:paraId="5A4550B5">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p>
              </w:tc>
              <w:tc>
                <w:tcPr>
                  <w:tcW w:w="1100" w:type="dxa"/>
                  <w:tcBorders>
                    <w:tl2br w:val="nil"/>
                    <w:tr2bl w:val="nil"/>
                  </w:tcBorders>
                  <w:vAlign w:val="center"/>
                </w:tcPr>
                <w:p w14:paraId="184DB9D2">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54D7E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43" w:type="dxa"/>
                  <w:tcBorders>
                    <w:tl2br w:val="nil"/>
                    <w:tr2bl w:val="nil"/>
                  </w:tcBorders>
                  <w:vAlign w:val="center"/>
                </w:tcPr>
                <w:p w14:paraId="386623A4">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097" w:type="dxa"/>
                  <w:tcBorders>
                    <w:tl2br w:val="nil"/>
                    <w:tr2bl w:val="nil"/>
                  </w:tcBorders>
                  <w:vAlign w:val="center"/>
                </w:tcPr>
                <w:p w14:paraId="48C2A427">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厂界西侧</w:t>
                  </w:r>
                </w:p>
              </w:tc>
              <w:tc>
                <w:tcPr>
                  <w:tcW w:w="1028" w:type="dxa"/>
                  <w:tcBorders>
                    <w:tl2br w:val="nil"/>
                    <w:tr2bl w:val="nil"/>
                  </w:tcBorders>
                  <w:vAlign w:val="center"/>
                </w:tcPr>
                <w:p w14:paraId="61566F63">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val="en-US" w:eastAsia="zh-CN"/>
                    </w:rPr>
                    <w:t>-</w:t>
                  </w:r>
                </w:p>
              </w:tc>
              <w:tc>
                <w:tcPr>
                  <w:tcW w:w="918" w:type="dxa"/>
                  <w:tcBorders>
                    <w:tl2br w:val="nil"/>
                    <w:tr2bl w:val="nil"/>
                  </w:tcBorders>
                  <w:vAlign w:val="center"/>
                </w:tcPr>
                <w:p w14:paraId="6BFF5FEC">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57</w:t>
                  </w:r>
                </w:p>
              </w:tc>
              <w:tc>
                <w:tcPr>
                  <w:tcW w:w="1364" w:type="dxa"/>
                  <w:tcBorders>
                    <w:tl2br w:val="nil"/>
                    <w:tr2bl w:val="nil"/>
                  </w:tcBorders>
                  <w:vAlign w:val="center"/>
                </w:tcPr>
                <w:p w14:paraId="53A5BE07">
                  <w:pPr>
                    <w:snapToGrid/>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57</w:t>
                  </w:r>
                </w:p>
              </w:tc>
              <w:tc>
                <w:tcPr>
                  <w:tcW w:w="891" w:type="dxa"/>
                  <w:tcBorders>
                    <w:tl2br w:val="nil"/>
                    <w:tr2bl w:val="nil"/>
                  </w:tcBorders>
                  <w:vAlign w:val="center"/>
                </w:tcPr>
                <w:p w14:paraId="27066850">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656" w:type="dxa"/>
                  <w:tcBorders>
                    <w:tl2br w:val="nil"/>
                    <w:tr2bl w:val="nil"/>
                  </w:tcBorders>
                  <w:vAlign w:val="center"/>
                </w:tcPr>
                <w:p w14:paraId="1043B55A">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p>
              </w:tc>
              <w:tc>
                <w:tcPr>
                  <w:tcW w:w="1100" w:type="dxa"/>
                  <w:tcBorders>
                    <w:tl2br w:val="nil"/>
                    <w:tr2bl w:val="nil"/>
                  </w:tcBorders>
                  <w:vAlign w:val="center"/>
                </w:tcPr>
                <w:p w14:paraId="424869F9">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r w14:paraId="6CA47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43" w:type="dxa"/>
                  <w:tcBorders>
                    <w:tl2br w:val="nil"/>
                    <w:tr2bl w:val="nil"/>
                  </w:tcBorders>
                  <w:vAlign w:val="center"/>
                </w:tcPr>
                <w:p w14:paraId="07F7F055">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097" w:type="dxa"/>
                  <w:tcBorders>
                    <w:tl2br w:val="nil"/>
                    <w:tr2bl w:val="nil"/>
                  </w:tcBorders>
                  <w:vAlign w:val="center"/>
                </w:tcPr>
                <w:p w14:paraId="642BE53C">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厂界北侧</w:t>
                  </w:r>
                </w:p>
              </w:tc>
              <w:tc>
                <w:tcPr>
                  <w:tcW w:w="1028" w:type="dxa"/>
                  <w:tcBorders>
                    <w:tl2br w:val="nil"/>
                    <w:tr2bl w:val="nil"/>
                  </w:tcBorders>
                  <w:vAlign w:val="center"/>
                </w:tcPr>
                <w:p w14:paraId="591418A5">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lang w:val="en-US" w:eastAsia="zh-CN"/>
                    </w:rPr>
                    <w:t>-</w:t>
                  </w:r>
                </w:p>
              </w:tc>
              <w:tc>
                <w:tcPr>
                  <w:tcW w:w="918" w:type="dxa"/>
                  <w:tcBorders>
                    <w:tl2br w:val="nil"/>
                    <w:tr2bl w:val="nil"/>
                  </w:tcBorders>
                  <w:vAlign w:val="center"/>
                </w:tcPr>
                <w:p w14:paraId="066781EC">
                  <w:pPr>
                    <w:snapToGrid/>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59</w:t>
                  </w:r>
                </w:p>
              </w:tc>
              <w:tc>
                <w:tcPr>
                  <w:tcW w:w="1364" w:type="dxa"/>
                  <w:tcBorders>
                    <w:tl2br w:val="nil"/>
                    <w:tr2bl w:val="nil"/>
                  </w:tcBorders>
                  <w:vAlign w:val="center"/>
                </w:tcPr>
                <w:p w14:paraId="79A5F762">
                  <w:pPr>
                    <w:snapToGrid/>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highlight w:val="none"/>
                      <w:lang w:val="en-US" w:eastAsia="zh-CN"/>
                    </w:rPr>
                    <w:t>59</w:t>
                  </w:r>
                </w:p>
              </w:tc>
              <w:tc>
                <w:tcPr>
                  <w:tcW w:w="891" w:type="dxa"/>
                  <w:tcBorders>
                    <w:tl2br w:val="nil"/>
                    <w:tr2bl w:val="nil"/>
                  </w:tcBorders>
                  <w:vAlign w:val="center"/>
                </w:tcPr>
                <w:p w14:paraId="4DE0BC16">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656" w:type="dxa"/>
                  <w:tcBorders>
                    <w:tl2br w:val="nil"/>
                    <w:tr2bl w:val="nil"/>
                  </w:tcBorders>
                  <w:vAlign w:val="center"/>
                </w:tcPr>
                <w:p w14:paraId="65E34481">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65</w:t>
                  </w:r>
                </w:p>
              </w:tc>
              <w:tc>
                <w:tcPr>
                  <w:tcW w:w="1100" w:type="dxa"/>
                  <w:tcBorders>
                    <w:tl2br w:val="nil"/>
                    <w:tr2bl w:val="nil"/>
                  </w:tcBorders>
                  <w:vAlign w:val="center"/>
                </w:tcPr>
                <w:p w14:paraId="7C61EB8E">
                  <w:pPr>
                    <w:snapToGrid/>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r>
          </w:tbl>
          <w:p w14:paraId="5DC8AB69">
            <w:pPr>
              <w:spacing w:afterAutospacing="0"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eastAsia" w:ascii="Times New Roman" w:hAnsi="Times New Roman" w:eastAsia="宋体" w:cs="Times New Roman"/>
                <w:b w:val="0"/>
                <w:bCs/>
                <w:color w:val="auto"/>
                <w:sz w:val="24"/>
                <w:highlight w:val="none"/>
                <w:lang w:eastAsia="zh-CN"/>
              </w:rPr>
              <w:t>（</w:t>
            </w:r>
            <w:r>
              <w:rPr>
                <w:rFonts w:hint="eastAsia" w:ascii="Times New Roman" w:hAnsi="Times New Roman" w:eastAsia="宋体" w:cs="Times New Roman"/>
                <w:b w:val="0"/>
                <w:bCs/>
                <w:color w:val="auto"/>
                <w:sz w:val="24"/>
                <w:highlight w:val="none"/>
                <w:lang w:val="en-US" w:eastAsia="zh-CN"/>
              </w:rPr>
              <w:t>6</w:t>
            </w:r>
            <w:r>
              <w:rPr>
                <w:rFonts w:hint="eastAsia" w:ascii="Times New Roman" w:hAnsi="Times New Roman" w:eastAsia="宋体" w:cs="Times New Roman"/>
                <w:b w:val="0"/>
                <w:bCs/>
                <w:color w:val="auto"/>
                <w:sz w:val="24"/>
                <w:highlight w:val="none"/>
                <w:lang w:eastAsia="zh-CN"/>
              </w:rPr>
              <w:t>）</w:t>
            </w:r>
            <w:r>
              <w:rPr>
                <w:rFonts w:hint="default" w:ascii="Times New Roman" w:hAnsi="Times New Roman" w:eastAsia="宋体" w:cs="Times New Roman"/>
                <w:b w:val="0"/>
                <w:bCs/>
                <w:color w:val="auto"/>
                <w:sz w:val="24"/>
                <w:highlight w:val="none"/>
                <w:lang w:eastAsia="zh-CN"/>
              </w:rPr>
              <w:t>噪声预测结果</w:t>
            </w:r>
          </w:p>
          <w:p w14:paraId="61568536">
            <w:pPr>
              <w:pStyle w:val="15"/>
              <w:spacing w:line="360" w:lineRule="auto"/>
              <w:ind w:left="0" w:lef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预测中重点考虑几何衰减、建筑物阻挡隔声，忽略大气衰减、地面效应等综合考虑项目噪声源分布、产生情况及降噪措施后，按上述模式计算各预测点的影响值预测，具体预测结果见表4</w:t>
            </w:r>
            <w:r>
              <w:rPr>
                <w:rFonts w:hint="eastAsia" w:ascii="Times New Roman" w:hAnsi="Times New Roman" w:cs="Times New Roman"/>
                <w:color w:val="auto"/>
                <w:sz w:val="24"/>
                <w:lang w:val="en-US" w:eastAsia="zh-CN"/>
              </w:rPr>
              <w:t>-8</w:t>
            </w:r>
            <w:r>
              <w:rPr>
                <w:rFonts w:hint="default" w:ascii="Times New Roman" w:hAnsi="Times New Roman" w:cs="Times New Roman"/>
                <w:color w:val="auto"/>
                <w:sz w:val="24"/>
              </w:rPr>
              <w:t>。</w:t>
            </w:r>
          </w:p>
          <w:p w14:paraId="39471485">
            <w:pPr>
              <w:jc w:val="center"/>
              <w:rPr>
                <w:rFonts w:hint="default" w:ascii="Times New Roman" w:hAnsi="Times New Roman" w:cs="Times New Roman" w:eastAsiaTheme="minorEastAsia"/>
                <w:b/>
                <w:bCs/>
                <w:color w:val="auto"/>
                <w:szCs w:val="21"/>
                <w:lang w:val="en-US" w:eastAsia="zh-CN"/>
              </w:rPr>
            </w:pPr>
            <w:r>
              <w:rPr>
                <w:rFonts w:hint="default" w:ascii="Times New Roman" w:hAnsi="Times New Roman" w:cs="Times New Roman" w:eastAsiaTheme="minorEastAsia"/>
                <w:b/>
                <w:bCs/>
                <w:color w:val="auto"/>
                <w:szCs w:val="21"/>
                <w:lang w:val="en-US" w:eastAsia="zh-CN"/>
              </w:rPr>
              <w:t>表4</w:t>
            </w:r>
            <w:r>
              <w:rPr>
                <w:rFonts w:hint="eastAsia" w:cs="Times New Roman" w:eastAsiaTheme="minorEastAsia"/>
                <w:b/>
                <w:bCs/>
                <w:color w:val="auto"/>
                <w:szCs w:val="21"/>
                <w:lang w:val="en-US" w:eastAsia="zh-CN"/>
              </w:rPr>
              <w:t>-8</w:t>
            </w:r>
            <w:r>
              <w:rPr>
                <w:rFonts w:hint="eastAsia" w:ascii="Times New Roman" w:hAnsi="Times New Roman" w:cs="Times New Roman" w:eastAsiaTheme="minorEastAsia"/>
                <w:b/>
                <w:bCs/>
                <w:color w:val="auto"/>
                <w:szCs w:val="21"/>
                <w:lang w:val="en-US" w:eastAsia="zh-CN"/>
              </w:rPr>
              <w:t xml:space="preserve"> </w:t>
            </w:r>
            <w:r>
              <w:rPr>
                <w:rFonts w:hint="default" w:ascii="Times New Roman" w:hAnsi="Times New Roman" w:cs="Times New Roman" w:eastAsiaTheme="minorEastAsia"/>
                <w:b/>
                <w:bCs/>
                <w:color w:val="auto"/>
                <w:szCs w:val="21"/>
                <w:lang w:val="en-US" w:eastAsia="zh-CN"/>
              </w:rPr>
              <w:t xml:space="preserve"> 项目噪声预测结果一览表</w:t>
            </w:r>
          </w:p>
          <w:tbl>
            <w:tblPr>
              <w:tblStyle w:val="21"/>
              <w:tblW w:w="77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7"/>
              <w:gridCol w:w="764"/>
              <w:gridCol w:w="851"/>
              <w:gridCol w:w="900"/>
              <w:gridCol w:w="965"/>
              <w:gridCol w:w="786"/>
              <w:gridCol w:w="967"/>
              <w:gridCol w:w="785"/>
              <w:gridCol w:w="933"/>
            </w:tblGrid>
            <w:tr w14:paraId="198B7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restart"/>
                  <w:tcBorders>
                    <w:tl2br w:val="nil"/>
                    <w:tr2bl w:val="nil"/>
                  </w:tcBorders>
                  <w:noWrap w:val="0"/>
                  <w:vAlign w:val="center"/>
                </w:tcPr>
                <w:p w14:paraId="00C48CF7">
                  <w:pPr>
                    <w:pStyle w:val="15"/>
                    <w:ind w:left="0" w:leftChars="0" w:firstLine="0" w:firstLineChars="0"/>
                    <w:jc w:val="center"/>
                    <w:rPr>
                      <w:rFonts w:hint="default" w:eastAsia="宋体"/>
                      <w:b/>
                      <w:bCs/>
                      <w:color w:val="auto"/>
                      <w:vertAlign w:val="baseline"/>
                      <w:lang w:val="en-US" w:eastAsia="zh-CN"/>
                    </w:rPr>
                  </w:pPr>
                  <w:r>
                    <w:rPr>
                      <w:rFonts w:hint="eastAsia" w:ascii="Times New Roman" w:hAnsi="Times New Roman" w:eastAsia="宋体" w:cs="Times New Roman"/>
                      <w:b/>
                      <w:bCs/>
                      <w:color w:val="auto"/>
                      <w:kern w:val="2"/>
                      <w:sz w:val="21"/>
                      <w:szCs w:val="21"/>
                      <w:lang w:val="en-US" w:eastAsia="zh-CN" w:bidi="ar-SA"/>
                    </w:rPr>
                    <w:t>排放源/dB</w:t>
                  </w:r>
                </w:p>
              </w:tc>
              <w:tc>
                <w:tcPr>
                  <w:tcW w:w="1615" w:type="dxa"/>
                  <w:gridSpan w:val="2"/>
                  <w:tcBorders>
                    <w:tl2br w:val="nil"/>
                    <w:tr2bl w:val="nil"/>
                  </w:tcBorders>
                  <w:noWrap w:val="0"/>
                  <w:vAlign w:val="center"/>
                </w:tcPr>
                <w:p w14:paraId="3BC3ED53">
                  <w:pPr>
                    <w:pStyle w:val="15"/>
                    <w:spacing w:line="240" w:lineRule="auto"/>
                    <w:ind w:left="0" w:leftChars="0"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建筑物外噪声</w:t>
                  </w:r>
                </w:p>
                <w:p w14:paraId="071042B4">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西厂界</w:t>
                  </w:r>
                  <w:r>
                    <w:rPr>
                      <w:rFonts w:hint="eastAsia" w:ascii="Times New Roman" w:hAnsi="Times New Roman" w:eastAsia="宋体" w:cs="Times New Roman"/>
                      <w:b/>
                      <w:bCs/>
                      <w:color w:val="auto"/>
                      <w:kern w:val="2"/>
                      <w:sz w:val="21"/>
                      <w:szCs w:val="21"/>
                      <w:lang w:val="en-US" w:eastAsia="zh-CN" w:bidi="ar-SA"/>
                    </w:rPr>
                    <w:t>）</w:t>
                  </w:r>
                </w:p>
              </w:tc>
              <w:tc>
                <w:tcPr>
                  <w:tcW w:w="1865" w:type="dxa"/>
                  <w:gridSpan w:val="2"/>
                  <w:tcBorders>
                    <w:tl2br w:val="nil"/>
                    <w:tr2bl w:val="nil"/>
                  </w:tcBorders>
                  <w:noWrap w:val="0"/>
                  <w:vAlign w:val="center"/>
                </w:tcPr>
                <w:p w14:paraId="54C77C62">
                  <w:pPr>
                    <w:pStyle w:val="15"/>
                    <w:spacing w:line="240" w:lineRule="auto"/>
                    <w:ind w:left="0" w:leftChars="0"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建筑物外噪声</w:t>
                  </w:r>
                </w:p>
                <w:p w14:paraId="1469563E">
                  <w:pPr>
                    <w:pStyle w:val="15"/>
                    <w:spacing w:line="240" w:lineRule="auto"/>
                    <w:ind w:left="0" w:leftChars="0" w:firstLine="0" w:firstLineChars="0"/>
                    <w:jc w:val="center"/>
                    <w:rPr>
                      <w:rFonts w:hint="default"/>
                      <w:b/>
                      <w:bCs/>
                      <w:color w:val="auto"/>
                      <w:vertAlign w:val="baseline"/>
                    </w:rPr>
                  </w:pP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南厂界</w:t>
                  </w:r>
                  <w:r>
                    <w:rPr>
                      <w:rFonts w:hint="eastAsia" w:ascii="Times New Roman" w:hAnsi="Times New Roman" w:eastAsia="宋体" w:cs="Times New Roman"/>
                      <w:b/>
                      <w:bCs/>
                      <w:color w:val="auto"/>
                      <w:kern w:val="2"/>
                      <w:sz w:val="21"/>
                      <w:szCs w:val="21"/>
                      <w:lang w:val="en-US" w:eastAsia="zh-CN" w:bidi="ar-SA"/>
                    </w:rPr>
                    <w:t>）</w:t>
                  </w:r>
                </w:p>
              </w:tc>
              <w:tc>
                <w:tcPr>
                  <w:tcW w:w="1753" w:type="dxa"/>
                  <w:gridSpan w:val="2"/>
                  <w:tcBorders>
                    <w:tl2br w:val="nil"/>
                    <w:tr2bl w:val="nil"/>
                  </w:tcBorders>
                  <w:noWrap w:val="0"/>
                  <w:vAlign w:val="center"/>
                </w:tcPr>
                <w:p w14:paraId="69E166E0">
                  <w:pPr>
                    <w:pStyle w:val="15"/>
                    <w:spacing w:line="240" w:lineRule="auto"/>
                    <w:ind w:left="0" w:leftChars="0"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建筑物外噪声</w:t>
                  </w:r>
                </w:p>
                <w:p w14:paraId="3871AE22">
                  <w:pPr>
                    <w:pStyle w:val="15"/>
                    <w:spacing w:line="240" w:lineRule="auto"/>
                    <w:ind w:left="0" w:leftChars="0" w:firstLine="0" w:firstLineChars="0"/>
                    <w:jc w:val="center"/>
                    <w:rPr>
                      <w:rFonts w:hint="default"/>
                      <w:b/>
                      <w:bCs/>
                      <w:color w:val="auto"/>
                      <w:vertAlign w:val="baseline"/>
                    </w:rPr>
                  </w:pP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东厂界</w:t>
                  </w:r>
                  <w:r>
                    <w:rPr>
                      <w:rFonts w:hint="eastAsia" w:ascii="Times New Roman" w:hAnsi="Times New Roman" w:eastAsia="宋体" w:cs="Times New Roman"/>
                      <w:b/>
                      <w:bCs/>
                      <w:color w:val="auto"/>
                      <w:kern w:val="2"/>
                      <w:sz w:val="21"/>
                      <w:szCs w:val="21"/>
                      <w:lang w:val="en-US" w:eastAsia="zh-CN" w:bidi="ar-SA"/>
                    </w:rPr>
                    <w:t>）</w:t>
                  </w:r>
                </w:p>
              </w:tc>
              <w:tc>
                <w:tcPr>
                  <w:tcW w:w="1718" w:type="dxa"/>
                  <w:gridSpan w:val="2"/>
                  <w:tcBorders>
                    <w:tl2br w:val="nil"/>
                    <w:tr2bl w:val="nil"/>
                  </w:tcBorders>
                  <w:noWrap w:val="0"/>
                  <w:vAlign w:val="center"/>
                </w:tcPr>
                <w:p w14:paraId="14C28480">
                  <w:pPr>
                    <w:pStyle w:val="15"/>
                    <w:spacing w:line="240" w:lineRule="auto"/>
                    <w:ind w:left="0" w:leftChars="0" w:firstLine="0" w:firstLineChars="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建筑物外噪声</w:t>
                  </w:r>
                </w:p>
                <w:p w14:paraId="3CBE45EF">
                  <w:pPr>
                    <w:pStyle w:val="15"/>
                    <w:spacing w:line="240" w:lineRule="auto"/>
                    <w:ind w:left="0" w:leftChars="0" w:firstLine="0" w:firstLineChars="0"/>
                    <w:jc w:val="center"/>
                    <w:rPr>
                      <w:rFonts w:hint="default"/>
                      <w:b/>
                      <w:bCs/>
                      <w:color w:val="auto"/>
                      <w:vertAlign w:val="baseline"/>
                    </w:rPr>
                  </w:pPr>
                  <w:r>
                    <w:rPr>
                      <w:rFonts w:hint="eastAsia" w:ascii="Times New Roman" w:hAnsi="Times New Roman" w:eastAsia="宋体" w:cs="Times New Roman"/>
                      <w:b/>
                      <w:bCs/>
                      <w:color w:val="auto"/>
                      <w:kern w:val="2"/>
                      <w:sz w:val="21"/>
                      <w:szCs w:val="21"/>
                      <w:lang w:val="en-US" w:eastAsia="zh-CN" w:bidi="ar-SA"/>
                    </w:rPr>
                    <w:t>（</w:t>
                  </w:r>
                  <w:r>
                    <w:rPr>
                      <w:rFonts w:hint="eastAsia" w:ascii="Times New Roman" w:hAnsi="Times New Roman" w:cs="Times New Roman"/>
                      <w:b/>
                      <w:bCs/>
                      <w:color w:val="auto"/>
                      <w:kern w:val="2"/>
                      <w:sz w:val="21"/>
                      <w:szCs w:val="21"/>
                      <w:lang w:val="en-US" w:eastAsia="zh-CN" w:bidi="ar-SA"/>
                    </w:rPr>
                    <w:t>北厂界</w:t>
                  </w:r>
                  <w:r>
                    <w:rPr>
                      <w:rFonts w:hint="eastAsia" w:ascii="Times New Roman" w:hAnsi="Times New Roman" w:eastAsia="宋体" w:cs="Times New Roman"/>
                      <w:b/>
                      <w:bCs/>
                      <w:color w:val="auto"/>
                      <w:kern w:val="2"/>
                      <w:sz w:val="21"/>
                      <w:szCs w:val="21"/>
                      <w:lang w:val="en-US" w:eastAsia="zh-CN" w:bidi="ar-SA"/>
                    </w:rPr>
                    <w:t>）</w:t>
                  </w:r>
                </w:p>
              </w:tc>
            </w:tr>
            <w:tr w14:paraId="4AC150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tcBorders>
                    <w:tl2br w:val="nil"/>
                    <w:tr2bl w:val="nil"/>
                  </w:tcBorders>
                  <w:noWrap w:val="0"/>
                  <w:vAlign w:val="center"/>
                </w:tcPr>
                <w:p w14:paraId="4FA6F0B3">
                  <w:pPr>
                    <w:pStyle w:val="15"/>
                    <w:jc w:val="center"/>
                    <w:rPr>
                      <w:rFonts w:hint="default"/>
                      <w:b/>
                      <w:bCs/>
                      <w:color w:val="auto"/>
                      <w:vertAlign w:val="baseline"/>
                    </w:rPr>
                  </w:pPr>
                </w:p>
              </w:tc>
              <w:tc>
                <w:tcPr>
                  <w:tcW w:w="764" w:type="dxa"/>
                  <w:tcBorders>
                    <w:tl2br w:val="nil"/>
                    <w:tr2bl w:val="nil"/>
                  </w:tcBorders>
                  <w:noWrap w:val="0"/>
                  <w:vAlign w:val="center"/>
                </w:tcPr>
                <w:p w14:paraId="476F49F6">
                  <w:pPr>
                    <w:pStyle w:val="15"/>
                    <w:spacing w:line="240" w:lineRule="auto"/>
                    <w:ind w:left="0" w:leftChars="0" w:firstLine="0" w:firstLineChars="0"/>
                    <w:jc w:val="center"/>
                    <w:rPr>
                      <w:rFonts w:hint="default"/>
                      <w:b/>
                      <w:bCs/>
                      <w:color w:val="auto"/>
                      <w:sz w:val="21"/>
                      <w:szCs w:val="21"/>
                      <w:lang w:val="en-US" w:eastAsia="zh-CN"/>
                    </w:rPr>
                  </w:pPr>
                  <w:r>
                    <w:rPr>
                      <w:rFonts w:hint="eastAsia"/>
                      <w:b/>
                      <w:bCs/>
                      <w:color w:val="auto"/>
                      <w:sz w:val="21"/>
                      <w:szCs w:val="21"/>
                      <w:lang w:val="en-US" w:eastAsia="zh-CN"/>
                    </w:rPr>
                    <w:t>声压级</w:t>
                  </w:r>
                  <w:r>
                    <w:rPr>
                      <w:rFonts w:hint="eastAsia" w:ascii="Times New Roman" w:hAnsi="Times New Roman" w:cs="Times New Roman"/>
                      <w:b/>
                      <w:bCs/>
                      <w:color w:val="auto"/>
                      <w:kern w:val="2"/>
                      <w:sz w:val="21"/>
                      <w:szCs w:val="21"/>
                      <w:lang w:val="en-US" w:eastAsia="zh-CN" w:bidi="ar-SA"/>
                    </w:rPr>
                    <w:t>dB</w:t>
                  </w:r>
                </w:p>
              </w:tc>
              <w:tc>
                <w:tcPr>
                  <w:tcW w:w="851" w:type="dxa"/>
                  <w:tcBorders>
                    <w:tl2br w:val="nil"/>
                    <w:tr2bl w:val="nil"/>
                  </w:tcBorders>
                  <w:noWrap w:val="0"/>
                  <w:vAlign w:val="center"/>
                </w:tcPr>
                <w:p w14:paraId="3244A94C">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建筑物外距离</w:t>
                  </w:r>
                  <w:r>
                    <w:rPr>
                      <w:rFonts w:hint="eastAsia" w:ascii="Times New Roman" w:hAnsi="Times New Roman" w:cs="Times New Roman"/>
                      <w:b/>
                      <w:bCs/>
                      <w:color w:val="auto"/>
                      <w:kern w:val="2"/>
                      <w:sz w:val="21"/>
                      <w:szCs w:val="21"/>
                      <w:lang w:val="en-US" w:eastAsia="zh-CN" w:bidi="ar-SA"/>
                    </w:rPr>
                    <w:t>m</w:t>
                  </w:r>
                </w:p>
              </w:tc>
              <w:tc>
                <w:tcPr>
                  <w:tcW w:w="900" w:type="dxa"/>
                  <w:tcBorders>
                    <w:tl2br w:val="nil"/>
                    <w:tr2bl w:val="nil"/>
                  </w:tcBorders>
                  <w:noWrap w:val="0"/>
                  <w:vAlign w:val="center"/>
                </w:tcPr>
                <w:p w14:paraId="643914FF">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声压级</w:t>
                  </w:r>
                  <w:r>
                    <w:rPr>
                      <w:rFonts w:hint="eastAsia" w:ascii="Times New Roman" w:hAnsi="Times New Roman" w:cs="Times New Roman"/>
                      <w:b/>
                      <w:bCs/>
                      <w:color w:val="auto"/>
                      <w:kern w:val="2"/>
                      <w:sz w:val="21"/>
                      <w:szCs w:val="21"/>
                      <w:lang w:val="en-US" w:eastAsia="zh-CN" w:bidi="ar-SA"/>
                    </w:rPr>
                    <w:t>dB</w:t>
                  </w:r>
                </w:p>
              </w:tc>
              <w:tc>
                <w:tcPr>
                  <w:tcW w:w="965" w:type="dxa"/>
                  <w:tcBorders>
                    <w:tl2br w:val="nil"/>
                    <w:tr2bl w:val="nil"/>
                  </w:tcBorders>
                  <w:noWrap w:val="0"/>
                  <w:vAlign w:val="center"/>
                </w:tcPr>
                <w:p w14:paraId="25F25EFB">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建筑物外距离</w:t>
                  </w:r>
                  <w:r>
                    <w:rPr>
                      <w:rFonts w:hint="eastAsia" w:ascii="Times New Roman" w:hAnsi="Times New Roman" w:cs="Times New Roman"/>
                      <w:b/>
                      <w:bCs/>
                      <w:color w:val="auto"/>
                      <w:kern w:val="2"/>
                      <w:sz w:val="21"/>
                      <w:szCs w:val="21"/>
                      <w:lang w:val="en-US" w:eastAsia="zh-CN" w:bidi="ar-SA"/>
                    </w:rPr>
                    <w:t>m</w:t>
                  </w:r>
                </w:p>
              </w:tc>
              <w:tc>
                <w:tcPr>
                  <w:tcW w:w="786" w:type="dxa"/>
                  <w:tcBorders>
                    <w:tl2br w:val="nil"/>
                    <w:tr2bl w:val="nil"/>
                  </w:tcBorders>
                  <w:noWrap w:val="0"/>
                  <w:vAlign w:val="center"/>
                </w:tcPr>
                <w:p w14:paraId="3970A6FB">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声压级</w:t>
                  </w:r>
                  <w:r>
                    <w:rPr>
                      <w:rFonts w:hint="eastAsia" w:ascii="Times New Roman" w:hAnsi="Times New Roman" w:cs="Times New Roman"/>
                      <w:b/>
                      <w:bCs/>
                      <w:color w:val="auto"/>
                      <w:kern w:val="2"/>
                      <w:sz w:val="21"/>
                      <w:szCs w:val="21"/>
                      <w:lang w:val="en-US" w:eastAsia="zh-CN" w:bidi="ar-SA"/>
                    </w:rPr>
                    <w:t>dB</w:t>
                  </w:r>
                </w:p>
              </w:tc>
              <w:tc>
                <w:tcPr>
                  <w:tcW w:w="967" w:type="dxa"/>
                  <w:tcBorders>
                    <w:tl2br w:val="nil"/>
                    <w:tr2bl w:val="nil"/>
                  </w:tcBorders>
                  <w:noWrap w:val="0"/>
                  <w:vAlign w:val="center"/>
                </w:tcPr>
                <w:p w14:paraId="48FE9ACB">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建筑物外距离</w:t>
                  </w:r>
                  <w:r>
                    <w:rPr>
                      <w:rFonts w:hint="eastAsia" w:ascii="Times New Roman" w:hAnsi="Times New Roman" w:cs="Times New Roman"/>
                      <w:b/>
                      <w:bCs/>
                      <w:color w:val="auto"/>
                      <w:kern w:val="2"/>
                      <w:sz w:val="21"/>
                      <w:szCs w:val="21"/>
                      <w:lang w:val="en-US" w:eastAsia="zh-CN" w:bidi="ar-SA"/>
                    </w:rPr>
                    <w:t>m</w:t>
                  </w:r>
                </w:p>
              </w:tc>
              <w:tc>
                <w:tcPr>
                  <w:tcW w:w="785" w:type="dxa"/>
                  <w:tcBorders>
                    <w:tl2br w:val="nil"/>
                    <w:tr2bl w:val="nil"/>
                  </w:tcBorders>
                  <w:noWrap w:val="0"/>
                  <w:vAlign w:val="center"/>
                </w:tcPr>
                <w:p w14:paraId="604B8710">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b/>
                      <w:bCs/>
                      <w:color w:val="auto"/>
                      <w:sz w:val="21"/>
                      <w:szCs w:val="21"/>
                      <w:lang w:val="en-US" w:eastAsia="zh-CN"/>
                    </w:rPr>
                    <w:t>声压级</w:t>
                  </w:r>
                  <w:r>
                    <w:rPr>
                      <w:rFonts w:hint="eastAsia" w:ascii="Times New Roman" w:hAnsi="Times New Roman" w:cs="Times New Roman"/>
                      <w:b/>
                      <w:bCs/>
                      <w:color w:val="auto"/>
                      <w:kern w:val="2"/>
                      <w:sz w:val="21"/>
                      <w:szCs w:val="21"/>
                      <w:lang w:val="en-US" w:eastAsia="zh-CN" w:bidi="ar-SA"/>
                    </w:rPr>
                    <w:t>dB</w:t>
                  </w:r>
                </w:p>
              </w:tc>
              <w:tc>
                <w:tcPr>
                  <w:tcW w:w="933" w:type="dxa"/>
                  <w:tcBorders>
                    <w:tl2br w:val="nil"/>
                    <w:tr2bl w:val="nil"/>
                  </w:tcBorders>
                  <w:noWrap w:val="0"/>
                  <w:vAlign w:val="center"/>
                </w:tcPr>
                <w:p w14:paraId="7E6F09FF">
                  <w:pPr>
                    <w:pStyle w:val="15"/>
                    <w:spacing w:line="240" w:lineRule="auto"/>
                    <w:ind w:left="0" w:leftChars="0"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建筑物外距</w:t>
                  </w:r>
                  <w:r>
                    <w:rPr>
                      <w:rFonts w:hint="eastAsia" w:ascii="Times New Roman" w:hAnsi="Times New Roman" w:cs="Times New Roman"/>
                      <w:b/>
                      <w:bCs/>
                      <w:color w:val="auto"/>
                      <w:kern w:val="2"/>
                      <w:sz w:val="21"/>
                      <w:szCs w:val="21"/>
                      <w:lang w:val="en-US" w:eastAsia="zh-CN" w:bidi="ar-SA"/>
                    </w:rPr>
                    <w:t>m</w:t>
                  </w:r>
                </w:p>
              </w:tc>
            </w:tr>
            <w:tr w14:paraId="4DE18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7" w:type="dxa"/>
                  <w:tcBorders>
                    <w:tl2br w:val="nil"/>
                    <w:tr2bl w:val="nil"/>
                  </w:tcBorders>
                  <w:noWrap w:val="0"/>
                  <w:vAlign w:val="center"/>
                </w:tcPr>
                <w:p w14:paraId="6EF5367F">
                  <w:pPr>
                    <w:pStyle w:val="15"/>
                    <w:ind w:left="0" w:leftChars="0" w:firstLine="0" w:firstLineChars="0"/>
                    <w:jc w:val="center"/>
                    <w:rPr>
                      <w:rFonts w:hint="default" w:eastAsia="宋体"/>
                      <w:color w:val="auto"/>
                      <w:vertAlign w:val="baseline"/>
                      <w:lang w:val="en-US" w:eastAsia="zh-CN"/>
                    </w:rPr>
                  </w:pPr>
                  <w:r>
                    <w:rPr>
                      <w:rFonts w:hint="eastAsia"/>
                      <w:color w:val="auto"/>
                      <w:sz w:val="21"/>
                      <w:szCs w:val="21"/>
                      <w:vertAlign w:val="baseline"/>
                      <w:lang w:val="en-US" w:eastAsia="zh-CN"/>
                    </w:rPr>
                    <w:t>60</w:t>
                  </w:r>
                </w:p>
              </w:tc>
              <w:tc>
                <w:tcPr>
                  <w:tcW w:w="764" w:type="dxa"/>
                  <w:tcBorders>
                    <w:tl2br w:val="nil"/>
                    <w:tr2bl w:val="nil"/>
                  </w:tcBorders>
                  <w:noWrap w:val="0"/>
                  <w:vAlign w:val="center"/>
                </w:tcPr>
                <w:p w14:paraId="3FDE0E30">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30</w:t>
                  </w:r>
                </w:p>
              </w:tc>
              <w:tc>
                <w:tcPr>
                  <w:tcW w:w="851" w:type="dxa"/>
                  <w:tcBorders>
                    <w:tl2br w:val="nil"/>
                    <w:tr2bl w:val="nil"/>
                  </w:tcBorders>
                  <w:noWrap w:val="0"/>
                  <w:vAlign w:val="center"/>
                </w:tcPr>
                <w:p w14:paraId="5F7B90C3">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olor w:val="auto"/>
                      <w:sz w:val="21"/>
                      <w:szCs w:val="21"/>
                      <w:vertAlign w:val="baseline"/>
                      <w:lang w:val="en-US" w:eastAsia="zh-CN"/>
                    </w:rPr>
                  </w:pPr>
                  <w:r>
                    <w:rPr>
                      <w:rFonts w:hint="eastAsia"/>
                      <w:color w:val="auto"/>
                      <w:sz w:val="21"/>
                      <w:szCs w:val="21"/>
                      <w:vertAlign w:val="baseline"/>
                      <w:lang w:val="en-US" w:eastAsia="zh-CN"/>
                    </w:rPr>
                    <w:t>34</w:t>
                  </w:r>
                </w:p>
              </w:tc>
              <w:tc>
                <w:tcPr>
                  <w:tcW w:w="900" w:type="dxa"/>
                  <w:tcBorders>
                    <w:tl2br w:val="nil"/>
                    <w:tr2bl w:val="nil"/>
                  </w:tcBorders>
                  <w:noWrap w:val="0"/>
                  <w:vAlign w:val="center"/>
                </w:tcPr>
                <w:p w14:paraId="62BAF6EE">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20</w:t>
                  </w:r>
                </w:p>
              </w:tc>
              <w:tc>
                <w:tcPr>
                  <w:tcW w:w="965" w:type="dxa"/>
                  <w:tcBorders>
                    <w:tl2br w:val="nil"/>
                    <w:tr2bl w:val="nil"/>
                  </w:tcBorders>
                  <w:noWrap w:val="0"/>
                  <w:vAlign w:val="center"/>
                </w:tcPr>
                <w:p w14:paraId="562328FC">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108</w:t>
                  </w:r>
                </w:p>
              </w:tc>
              <w:tc>
                <w:tcPr>
                  <w:tcW w:w="786" w:type="dxa"/>
                  <w:tcBorders>
                    <w:tl2br w:val="nil"/>
                    <w:tr2bl w:val="nil"/>
                  </w:tcBorders>
                  <w:noWrap w:val="0"/>
                  <w:vAlign w:val="center"/>
                </w:tcPr>
                <w:p w14:paraId="79A74494">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40</w:t>
                  </w:r>
                </w:p>
              </w:tc>
              <w:tc>
                <w:tcPr>
                  <w:tcW w:w="967" w:type="dxa"/>
                  <w:tcBorders>
                    <w:tl2br w:val="nil"/>
                    <w:tr2bl w:val="nil"/>
                  </w:tcBorders>
                  <w:noWrap w:val="0"/>
                  <w:vAlign w:val="center"/>
                </w:tcPr>
                <w:p w14:paraId="76C5F715">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10</w:t>
                  </w:r>
                </w:p>
              </w:tc>
              <w:tc>
                <w:tcPr>
                  <w:tcW w:w="785" w:type="dxa"/>
                  <w:tcBorders>
                    <w:tl2br w:val="nil"/>
                    <w:tr2bl w:val="nil"/>
                  </w:tcBorders>
                  <w:noWrap w:val="0"/>
                  <w:vAlign w:val="center"/>
                </w:tcPr>
                <w:p w14:paraId="5BBAB309">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25</w:t>
                  </w:r>
                </w:p>
              </w:tc>
              <w:tc>
                <w:tcPr>
                  <w:tcW w:w="933" w:type="dxa"/>
                  <w:tcBorders>
                    <w:tl2br w:val="nil"/>
                    <w:tr2bl w:val="nil"/>
                  </w:tcBorders>
                  <w:noWrap w:val="0"/>
                  <w:vAlign w:val="center"/>
                </w:tcPr>
                <w:p w14:paraId="0D177D76">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60</w:t>
                  </w:r>
                </w:p>
              </w:tc>
            </w:tr>
            <w:tr w14:paraId="7EC72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7" w:type="dxa"/>
                  <w:tcBorders>
                    <w:tl2br w:val="nil"/>
                    <w:tr2bl w:val="nil"/>
                  </w:tcBorders>
                  <w:noWrap w:val="0"/>
                  <w:vAlign w:val="center"/>
                </w:tcPr>
                <w:p w14:paraId="5D9EB63F">
                  <w:pPr>
                    <w:pStyle w:val="15"/>
                    <w:ind w:left="0" w:leftChars="0" w:firstLine="0" w:firstLineChars="0"/>
                    <w:jc w:val="center"/>
                    <w:rPr>
                      <w:rFonts w:hint="default"/>
                      <w:color w:val="auto"/>
                      <w:sz w:val="21"/>
                      <w:szCs w:val="21"/>
                      <w:vertAlign w:val="baseline"/>
                      <w:lang w:val="en-US" w:eastAsia="zh-CN"/>
                    </w:rPr>
                  </w:pPr>
                  <w:r>
                    <w:rPr>
                      <w:rFonts w:hint="eastAsia"/>
                      <w:color w:val="auto"/>
                      <w:sz w:val="21"/>
                      <w:szCs w:val="21"/>
                      <w:vertAlign w:val="baseline"/>
                      <w:lang w:val="en-US" w:eastAsia="zh-CN"/>
                    </w:rPr>
                    <w:t>70</w:t>
                  </w:r>
                </w:p>
              </w:tc>
              <w:tc>
                <w:tcPr>
                  <w:tcW w:w="764" w:type="dxa"/>
                  <w:tcBorders>
                    <w:tl2br w:val="nil"/>
                    <w:tr2bl w:val="nil"/>
                  </w:tcBorders>
                  <w:noWrap w:val="0"/>
                  <w:vAlign w:val="center"/>
                </w:tcPr>
                <w:p w14:paraId="4F175B0B">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44</w:t>
                  </w:r>
                </w:p>
              </w:tc>
              <w:tc>
                <w:tcPr>
                  <w:tcW w:w="851" w:type="dxa"/>
                  <w:tcBorders>
                    <w:tl2br w:val="nil"/>
                    <w:tr2bl w:val="nil"/>
                  </w:tcBorders>
                  <w:noWrap w:val="0"/>
                  <w:vAlign w:val="center"/>
                </w:tcPr>
                <w:p w14:paraId="1DA1EBFB">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21</w:t>
                  </w:r>
                </w:p>
              </w:tc>
              <w:tc>
                <w:tcPr>
                  <w:tcW w:w="900" w:type="dxa"/>
                  <w:tcBorders>
                    <w:tl2br w:val="nil"/>
                    <w:tr2bl w:val="nil"/>
                  </w:tcBorders>
                  <w:noWrap w:val="0"/>
                  <w:vAlign w:val="center"/>
                </w:tcPr>
                <w:p w14:paraId="47FFB5F4">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27</w:t>
                  </w:r>
                </w:p>
              </w:tc>
              <w:tc>
                <w:tcPr>
                  <w:tcW w:w="965" w:type="dxa"/>
                  <w:tcBorders>
                    <w:tl2br w:val="nil"/>
                    <w:tr2bl w:val="nil"/>
                  </w:tcBorders>
                  <w:noWrap w:val="0"/>
                  <w:vAlign w:val="center"/>
                </w:tcPr>
                <w:p w14:paraId="78534262">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147</w:t>
                  </w:r>
                </w:p>
              </w:tc>
              <w:tc>
                <w:tcPr>
                  <w:tcW w:w="786" w:type="dxa"/>
                  <w:tcBorders>
                    <w:tl2br w:val="nil"/>
                    <w:tr2bl w:val="nil"/>
                  </w:tcBorders>
                  <w:noWrap w:val="0"/>
                  <w:vAlign w:val="center"/>
                </w:tcPr>
                <w:p w14:paraId="592168B8">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41</w:t>
                  </w:r>
                </w:p>
              </w:tc>
              <w:tc>
                <w:tcPr>
                  <w:tcW w:w="967" w:type="dxa"/>
                  <w:tcBorders>
                    <w:tl2br w:val="nil"/>
                    <w:tr2bl w:val="nil"/>
                  </w:tcBorders>
                  <w:noWrap w:val="0"/>
                  <w:vAlign w:val="center"/>
                </w:tcPr>
                <w:p w14:paraId="76C8DF0D">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28</w:t>
                  </w:r>
                </w:p>
              </w:tc>
              <w:tc>
                <w:tcPr>
                  <w:tcW w:w="785" w:type="dxa"/>
                  <w:tcBorders>
                    <w:tl2br w:val="nil"/>
                    <w:tr2bl w:val="nil"/>
                  </w:tcBorders>
                  <w:noWrap w:val="0"/>
                  <w:vAlign w:val="center"/>
                </w:tcPr>
                <w:p w14:paraId="6B20C219">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44</w:t>
                  </w:r>
                </w:p>
              </w:tc>
              <w:tc>
                <w:tcPr>
                  <w:tcW w:w="933" w:type="dxa"/>
                  <w:tcBorders>
                    <w:tl2br w:val="nil"/>
                    <w:tr2bl w:val="nil"/>
                  </w:tcBorders>
                  <w:noWrap w:val="0"/>
                  <w:vAlign w:val="center"/>
                </w:tcPr>
                <w:p w14:paraId="62FAE88A">
                  <w:pPr>
                    <w:pStyle w:val="15"/>
                    <w:keepNext w:val="0"/>
                    <w:keepLines w:val="0"/>
                    <w:pageBreakBefore w:val="0"/>
                    <w:widowControl w:val="0"/>
                    <w:kinsoku/>
                    <w:wordWrap/>
                    <w:overflowPunct/>
                    <w:topLinePunct w:val="0"/>
                    <w:autoSpaceDE/>
                    <w:autoSpaceDN/>
                    <w:bidi w:val="0"/>
                    <w:adjustRightInd/>
                    <w:snapToGrid/>
                    <w:spacing w:line="240" w:lineRule="auto"/>
                    <w:ind w:leftChars="0" w:firstLine="0" w:firstLineChars="0"/>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20</w:t>
                  </w:r>
                </w:p>
              </w:tc>
            </w:tr>
            <w:tr w14:paraId="4B51A2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7" w:type="dxa"/>
                  <w:vMerge w:val="restart"/>
                  <w:tcBorders>
                    <w:tl2br w:val="nil"/>
                    <w:tr2bl w:val="nil"/>
                  </w:tcBorders>
                  <w:noWrap w:val="0"/>
                  <w:vAlign w:val="center"/>
                </w:tcPr>
                <w:p w14:paraId="4E904510">
                  <w:pPr>
                    <w:pStyle w:val="15"/>
                    <w:spacing w:line="240" w:lineRule="auto"/>
                    <w:ind w:left="0" w:leftChars="0" w:firstLine="0" w:firstLineChars="0"/>
                    <w:jc w:val="center"/>
                    <w:rPr>
                      <w:rFonts w:hint="default"/>
                      <w:color w:val="auto"/>
                      <w:vertAlign w:val="baseline"/>
                    </w:rPr>
                  </w:pPr>
                  <w:r>
                    <w:rPr>
                      <w:rFonts w:hint="default" w:ascii="Times New Roman" w:hAnsi="Times New Roman" w:cs="Times New Roman"/>
                      <w:snapToGrid w:val="0"/>
                      <w:color w:val="auto"/>
                      <w:kern w:val="0"/>
                      <w:sz w:val="21"/>
                      <w:szCs w:val="21"/>
                    </w:rPr>
                    <w:t>标准值</w:t>
                  </w:r>
                </w:p>
              </w:tc>
              <w:tc>
                <w:tcPr>
                  <w:tcW w:w="1615" w:type="dxa"/>
                  <w:gridSpan w:val="2"/>
                  <w:tcBorders>
                    <w:tl2br w:val="nil"/>
                    <w:tr2bl w:val="nil"/>
                  </w:tcBorders>
                  <w:noWrap w:val="0"/>
                  <w:vAlign w:val="center"/>
                </w:tcPr>
                <w:p w14:paraId="023B57EB">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vertAlign w:val="baseline"/>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65</w:t>
                  </w:r>
                </w:p>
              </w:tc>
              <w:tc>
                <w:tcPr>
                  <w:tcW w:w="1865" w:type="dxa"/>
                  <w:gridSpan w:val="2"/>
                  <w:tcBorders>
                    <w:tl2br w:val="nil"/>
                    <w:tr2bl w:val="nil"/>
                  </w:tcBorders>
                  <w:noWrap w:val="0"/>
                  <w:vAlign w:val="center"/>
                </w:tcPr>
                <w:p w14:paraId="27323CEE">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65</w:t>
                  </w:r>
                </w:p>
              </w:tc>
              <w:tc>
                <w:tcPr>
                  <w:tcW w:w="1753" w:type="dxa"/>
                  <w:gridSpan w:val="2"/>
                  <w:tcBorders>
                    <w:tl2br w:val="nil"/>
                    <w:tr2bl w:val="nil"/>
                  </w:tcBorders>
                  <w:noWrap w:val="0"/>
                  <w:vAlign w:val="center"/>
                </w:tcPr>
                <w:p w14:paraId="0B19F048">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65</w:t>
                  </w:r>
                </w:p>
              </w:tc>
              <w:tc>
                <w:tcPr>
                  <w:tcW w:w="1718" w:type="dxa"/>
                  <w:gridSpan w:val="2"/>
                  <w:tcBorders>
                    <w:tl2br w:val="nil"/>
                    <w:tr2bl w:val="nil"/>
                  </w:tcBorders>
                  <w:noWrap w:val="0"/>
                  <w:vAlign w:val="center"/>
                </w:tcPr>
                <w:p w14:paraId="501E709F">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65</w:t>
                  </w:r>
                </w:p>
              </w:tc>
            </w:tr>
            <w:tr w14:paraId="6DB39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7" w:type="dxa"/>
                  <w:vMerge w:val="continue"/>
                  <w:tcBorders>
                    <w:tl2br w:val="nil"/>
                    <w:tr2bl w:val="nil"/>
                  </w:tcBorders>
                  <w:noWrap w:val="0"/>
                  <w:vAlign w:val="center"/>
                </w:tcPr>
                <w:p w14:paraId="24BAC2B8">
                  <w:pPr>
                    <w:pStyle w:val="15"/>
                    <w:jc w:val="center"/>
                    <w:rPr>
                      <w:rFonts w:hint="default"/>
                      <w:color w:val="auto"/>
                      <w:vertAlign w:val="baseline"/>
                    </w:rPr>
                  </w:pPr>
                </w:p>
              </w:tc>
              <w:tc>
                <w:tcPr>
                  <w:tcW w:w="1615" w:type="dxa"/>
                  <w:gridSpan w:val="2"/>
                  <w:tcBorders>
                    <w:tl2br w:val="nil"/>
                    <w:tr2bl w:val="nil"/>
                  </w:tcBorders>
                  <w:noWrap w:val="0"/>
                  <w:vAlign w:val="center"/>
                </w:tcPr>
                <w:p w14:paraId="1E0A3498">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color w:val="auto"/>
                      <w:vertAlign w:val="baseline"/>
                    </w:rPr>
                  </w:pPr>
                  <w:r>
                    <w:rPr>
                      <w:rFonts w:hint="default" w:ascii="Times New Roman" w:hAnsi="Times New Roman" w:cs="Times New Roman"/>
                      <w:snapToGrid w:val="0"/>
                      <w:color w:val="auto"/>
                      <w:kern w:val="0"/>
                      <w:sz w:val="21"/>
                      <w:szCs w:val="21"/>
                    </w:rPr>
                    <w:t>夜间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55</w:t>
                  </w:r>
                </w:p>
              </w:tc>
              <w:tc>
                <w:tcPr>
                  <w:tcW w:w="1865" w:type="dxa"/>
                  <w:gridSpan w:val="2"/>
                  <w:tcBorders>
                    <w:tl2br w:val="nil"/>
                    <w:tr2bl w:val="nil"/>
                  </w:tcBorders>
                  <w:noWrap w:val="0"/>
                  <w:vAlign w:val="center"/>
                </w:tcPr>
                <w:p w14:paraId="3A3EB470">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夜间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55</w:t>
                  </w:r>
                </w:p>
              </w:tc>
              <w:tc>
                <w:tcPr>
                  <w:tcW w:w="1753" w:type="dxa"/>
                  <w:gridSpan w:val="2"/>
                  <w:tcBorders>
                    <w:tl2br w:val="nil"/>
                    <w:tr2bl w:val="nil"/>
                  </w:tcBorders>
                  <w:noWrap w:val="0"/>
                  <w:vAlign w:val="center"/>
                </w:tcPr>
                <w:p w14:paraId="2F8FDB9E">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夜间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55</w:t>
                  </w:r>
                </w:p>
              </w:tc>
              <w:tc>
                <w:tcPr>
                  <w:tcW w:w="1718" w:type="dxa"/>
                  <w:gridSpan w:val="2"/>
                  <w:tcBorders>
                    <w:tl2br w:val="nil"/>
                    <w:tr2bl w:val="nil"/>
                  </w:tcBorders>
                  <w:noWrap w:val="0"/>
                  <w:vAlign w:val="center"/>
                </w:tcPr>
                <w:p w14:paraId="2F8E80A7">
                  <w:pPr>
                    <w:pStyle w:val="1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夜间</w:t>
                  </w:r>
                  <w:r>
                    <w:rPr>
                      <w:rFonts w:hint="eastAsia" w:ascii="Times New Roman" w:hAnsi="Times New Roman" w:cs="Times New Roman"/>
                      <w:snapToGrid w:val="0"/>
                      <w:color w:val="auto"/>
                      <w:kern w:val="0"/>
                      <w:sz w:val="21"/>
                      <w:szCs w:val="21"/>
                      <w:lang w:eastAsia="zh-CN"/>
                    </w:rPr>
                    <w:t>：</w:t>
                  </w:r>
                  <w:r>
                    <w:rPr>
                      <w:rFonts w:hint="default" w:ascii="Times New Roman" w:hAnsi="Times New Roman" w:cs="Times New Roman"/>
                      <w:snapToGrid w:val="0"/>
                      <w:color w:val="auto"/>
                      <w:kern w:val="0"/>
                      <w:sz w:val="21"/>
                      <w:szCs w:val="21"/>
                      <w:lang w:val="en-US" w:eastAsia="zh-CN"/>
                    </w:rPr>
                    <w:t>55</w:t>
                  </w:r>
                </w:p>
              </w:tc>
            </w:tr>
            <w:tr w14:paraId="06DF87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tcBorders>
                    <w:tl2br w:val="nil"/>
                    <w:tr2bl w:val="nil"/>
                  </w:tcBorders>
                  <w:noWrap w:val="0"/>
                  <w:vAlign w:val="center"/>
                </w:tcPr>
                <w:p w14:paraId="27FA573C">
                  <w:pPr>
                    <w:pStyle w:val="15"/>
                    <w:spacing w:line="240" w:lineRule="auto"/>
                    <w:ind w:left="0" w:leftChars="0" w:firstLine="0" w:firstLineChars="0"/>
                    <w:jc w:val="center"/>
                    <w:rPr>
                      <w:rFonts w:hint="default"/>
                      <w:color w:val="auto"/>
                      <w:vertAlign w:val="baseline"/>
                    </w:rPr>
                  </w:pPr>
                  <w:r>
                    <w:rPr>
                      <w:rFonts w:hint="default" w:ascii="Times New Roman" w:hAnsi="Times New Roman" w:cs="Times New Roman"/>
                      <w:snapToGrid w:val="0"/>
                      <w:color w:val="auto"/>
                      <w:kern w:val="0"/>
                      <w:sz w:val="21"/>
                      <w:szCs w:val="21"/>
                    </w:rPr>
                    <w:t>预测结果</w:t>
                  </w:r>
                </w:p>
              </w:tc>
              <w:tc>
                <w:tcPr>
                  <w:tcW w:w="1615" w:type="dxa"/>
                  <w:gridSpan w:val="2"/>
                  <w:tcBorders>
                    <w:tl2br w:val="nil"/>
                    <w:tr2bl w:val="nil"/>
                  </w:tcBorders>
                  <w:noWrap w:val="0"/>
                  <w:vAlign w:val="center"/>
                </w:tcPr>
                <w:p w14:paraId="6A8CA2F0">
                  <w:pPr>
                    <w:pStyle w:val="15"/>
                    <w:ind w:left="0" w:leftChars="0" w:firstLine="0" w:firstLineChars="0"/>
                    <w:jc w:val="center"/>
                    <w:rPr>
                      <w:rFonts w:hint="default" w:ascii="Times New Roman" w:hAnsi="Times New Roman" w:eastAsia="宋体" w:cs="Times New Roman"/>
                      <w:color w:val="auto"/>
                      <w:kern w:val="2"/>
                      <w:sz w:val="24"/>
                      <w:szCs w:val="24"/>
                      <w:vertAlign w:val="baseline"/>
                      <w:lang w:val="en-US" w:eastAsia="zh-CN" w:bidi="ar-SA"/>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eastAsia" w:ascii="Times New Roman" w:hAnsi="Times New Roman" w:cs="Times New Roman"/>
                      <w:snapToGrid w:val="0"/>
                      <w:color w:val="auto"/>
                      <w:kern w:val="0"/>
                      <w:sz w:val="21"/>
                      <w:szCs w:val="21"/>
                      <w:lang w:val="en-US" w:eastAsia="zh-CN"/>
                    </w:rPr>
                    <w:t>达标</w:t>
                  </w:r>
                </w:p>
              </w:tc>
              <w:tc>
                <w:tcPr>
                  <w:tcW w:w="1865" w:type="dxa"/>
                  <w:gridSpan w:val="2"/>
                  <w:tcBorders>
                    <w:tl2br w:val="nil"/>
                    <w:tr2bl w:val="nil"/>
                  </w:tcBorders>
                  <w:noWrap w:val="0"/>
                  <w:vAlign w:val="center"/>
                </w:tcPr>
                <w:p w14:paraId="061D7ADF">
                  <w:pPr>
                    <w:pStyle w:val="15"/>
                    <w:ind w:left="0" w:leftChars="0" w:firstLine="0" w:firstLineChars="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eastAsia" w:ascii="Times New Roman" w:hAnsi="Times New Roman" w:cs="Times New Roman"/>
                      <w:snapToGrid w:val="0"/>
                      <w:color w:val="auto"/>
                      <w:kern w:val="0"/>
                      <w:sz w:val="21"/>
                      <w:szCs w:val="21"/>
                      <w:lang w:val="en-US" w:eastAsia="zh-CN"/>
                    </w:rPr>
                    <w:t>达标</w:t>
                  </w:r>
                </w:p>
              </w:tc>
              <w:tc>
                <w:tcPr>
                  <w:tcW w:w="1753" w:type="dxa"/>
                  <w:gridSpan w:val="2"/>
                  <w:tcBorders>
                    <w:tl2br w:val="nil"/>
                    <w:tr2bl w:val="nil"/>
                  </w:tcBorders>
                  <w:noWrap w:val="0"/>
                  <w:vAlign w:val="center"/>
                </w:tcPr>
                <w:p w14:paraId="26813ED1">
                  <w:pPr>
                    <w:pStyle w:val="15"/>
                    <w:ind w:left="0" w:leftChars="0" w:firstLine="0" w:firstLineChars="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eastAsia" w:ascii="Times New Roman" w:hAnsi="Times New Roman" w:cs="Times New Roman"/>
                      <w:snapToGrid w:val="0"/>
                      <w:color w:val="auto"/>
                      <w:kern w:val="0"/>
                      <w:sz w:val="21"/>
                      <w:szCs w:val="21"/>
                      <w:lang w:val="en-US" w:eastAsia="zh-CN"/>
                    </w:rPr>
                    <w:t>达标</w:t>
                  </w:r>
                </w:p>
              </w:tc>
              <w:tc>
                <w:tcPr>
                  <w:tcW w:w="1718" w:type="dxa"/>
                  <w:gridSpan w:val="2"/>
                  <w:tcBorders>
                    <w:tl2br w:val="nil"/>
                    <w:tr2bl w:val="nil"/>
                  </w:tcBorders>
                  <w:noWrap w:val="0"/>
                  <w:vAlign w:val="center"/>
                </w:tcPr>
                <w:p w14:paraId="27043801">
                  <w:pPr>
                    <w:pStyle w:val="15"/>
                    <w:ind w:left="0" w:leftChars="0" w:firstLine="0" w:firstLineChars="0"/>
                    <w:jc w:val="center"/>
                    <w:rPr>
                      <w:rFonts w:hint="default" w:ascii="Times New Roman" w:hAnsi="Times New Roman" w:cs="Times New Roman"/>
                      <w:snapToGrid w:val="0"/>
                      <w:color w:val="auto"/>
                      <w:kern w:val="0"/>
                      <w:sz w:val="21"/>
                      <w:szCs w:val="21"/>
                    </w:rPr>
                  </w:pPr>
                  <w:r>
                    <w:rPr>
                      <w:rFonts w:hint="default" w:ascii="Times New Roman" w:hAnsi="Times New Roman" w:cs="Times New Roman"/>
                      <w:snapToGrid w:val="0"/>
                      <w:color w:val="auto"/>
                      <w:kern w:val="0"/>
                      <w:sz w:val="21"/>
                      <w:szCs w:val="21"/>
                    </w:rPr>
                    <w:t>昼间</w:t>
                  </w:r>
                  <w:r>
                    <w:rPr>
                      <w:rFonts w:hint="eastAsia" w:ascii="Times New Roman" w:hAnsi="Times New Roman" w:cs="Times New Roman"/>
                      <w:snapToGrid w:val="0"/>
                      <w:color w:val="auto"/>
                      <w:kern w:val="0"/>
                      <w:sz w:val="21"/>
                      <w:szCs w:val="21"/>
                      <w:lang w:eastAsia="zh-CN"/>
                    </w:rPr>
                    <w:t>：</w:t>
                  </w:r>
                  <w:r>
                    <w:rPr>
                      <w:rFonts w:hint="eastAsia" w:ascii="Times New Roman" w:hAnsi="Times New Roman" w:cs="Times New Roman"/>
                      <w:snapToGrid w:val="0"/>
                      <w:color w:val="auto"/>
                      <w:kern w:val="0"/>
                      <w:sz w:val="21"/>
                      <w:szCs w:val="21"/>
                      <w:lang w:val="en-US" w:eastAsia="zh-CN"/>
                    </w:rPr>
                    <w:t>达标</w:t>
                  </w:r>
                </w:p>
              </w:tc>
            </w:tr>
          </w:tbl>
          <w:p w14:paraId="794EC9A3">
            <w:pPr>
              <w:numPr>
                <w:ilvl w:val="0"/>
                <w:numId w:val="0"/>
              </w:numPr>
              <w:spacing w:afterAutospacing="0" w:line="360" w:lineRule="auto"/>
              <w:ind w:firstLine="480" w:firstLineChars="200"/>
              <w:rPr>
                <w:rFonts w:hint="default" w:ascii="Times New Roman" w:hAnsi="Times New Roman" w:eastAsia="宋体" w:cs="Times New Roman"/>
                <w:b w:val="0"/>
                <w:bCs/>
                <w:color w:val="auto"/>
                <w:sz w:val="24"/>
                <w:highlight w:val="none"/>
                <w:vertAlign w:val="baseline"/>
                <w:lang w:eastAsia="zh-CN"/>
              </w:rPr>
            </w:pPr>
            <w:r>
              <w:rPr>
                <w:rFonts w:hint="default" w:ascii="Times New Roman" w:hAnsi="Times New Roman" w:eastAsia="宋体" w:cs="Times New Roman"/>
                <w:b w:val="0"/>
                <w:bCs/>
                <w:color w:val="auto"/>
                <w:sz w:val="24"/>
                <w:highlight w:val="none"/>
                <w:vertAlign w:val="baseline"/>
                <w:lang w:eastAsia="zh-CN"/>
              </w:rPr>
              <w:t>由表4-</w:t>
            </w:r>
            <w:r>
              <w:rPr>
                <w:rFonts w:hint="eastAsia" w:eastAsia="宋体" w:cs="Times New Roman"/>
                <w:b w:val="0"/>
                <w:bCs/>
                <w:color w:val="auto"/>
                <w:sz w:val="24"/>
                <w:highlight w:val="none"/>
                <w:vertAlign w:val="baseline"/>
                <w:lang w:val="en-US" w:eastAsia="zh-CN"/>
              </w:rPr>
              <w:t>9</w:t>
            </w:r>
            <w:r>
              <w:rPr>
                <w:rFonts w:hint="default" w:ascii="Times New Roman" w:hAnsi="Times New Roman" w:eastAsia="宋体" w:cs="Times New Roman"/>
                <w:b w:val="0"/>
                <w:bCs/>
                <w:color w:val="auto"/>
                <w:sz w:val="24"/>
                <w:highlight w:val="none"/>
                <w:vertAlign w:val="baseline"/>
                <w:lang w:eastAsia="zh-CN"/>
              </w:rPr>
              <w:t>可知，项目正常运行情况下，</w:t>
            </w:r>
            <w:r>
              <w:rPr>
                <w:rFonts w:hint="default" w:ascii="Times New Roman" w:hAnsi="Times New Roman" w:eastAsia="宋体" w:cs="Times New Roman"/>
                <w:b w:val="0"/>
                <w:bCs/>
                <w:color w:val="auto"/>
                <w:sz w:val="24"/>
                <w:highlight w:val="none"/>
                <w:vertAlign w:val="baseline"/>
                <w:lang w:val="en-US" w:eastAsia="zh-CN"/>
              </w:rPr>
              <w:t>东、南、西</w:t>
            </w:r>
            <w:r>
              <w:rPr>
                <w:rFonts w:hint="eastAsia" w:eastAsia="宋体" w:cs="Times New Roman"/>
                <w:b w:val="0"/>
                <w:bCs/>
                <w:color w:val="auto"/>
                <w:sz w:val="24"/>
                <w:highlight w:val="none"/>
                <w:vertAlign w:val="baseline"/>
                <w:lang w:val="en-US" w:eastAsia="zh-CN"/>
              </w:rPr>
              <w:t>、北</w:t>
            </w:r>
            <w:r>
              <w:rPr>
                <w:rFonts w:hint="default" w:ascii="Times New Roman" w:hAnsi="Times New Roman" w:eastAsia="宋体" w:cs="Times New Roman"/>
                <w:b w:val="0"/>
                <w:bCs/>
                <w:color w:val="auto"/>
                <w:sz w:val="24"/>
                <w:highlight w:val="none"/>
                <w:vertAlign w:val="baseline"/>
                <w:lang w:eastAsia="zh-CN"/>
              </w:rPr>
              <w:t>厂界昼间噪声贡献值满足《工业企业厂界环境噪声排放标准》（GB12348-2008）</w:t>
            </w:r>
            <w:r>
              <w:rPr>
                <w:rFonts w:hint="default" w:ascii="Times New Roman" w:hAnsi="Times New Roman" w:eastAsia="宋体" w:cs="Times New Roman"/>
                <w:b w:val="0"/>
                <w:bCs/>
                <w:color w:val="auto"/>
                <w:sz w:val="24"/>
                <w:highlight w:val="none"/>
                <w:vertAlign w:val="baseline"/>
                <w:lang w:val="en-US" w:eastAsia="zh-CN"/>
              </w:rPr>
              <w:t>3</w:t>
            </w:r>
            <w:r>
              <w:rPr>
                <w:rFonts w:hint="default" w:ascii="Times New Roman" w:hAnsi="Times New Roman" w:eastAsia="宋体" w:cs="Times New Roman"/>
                <w:b w:val="0"/>
                <w:bCs/>
                <w:color w:val="auto"/>
                <w:sz w:val="24"/>
                <w:highlight w:val="none"/>
                <w:vertAlign w:val="baseline"/>
                <w:lang w:eastAsia="zh-CN"/>
              </w:rPr>
              <w:t>类标准。</w:t>
            </w:r>
          </w:p>
          <w:p w14:paraId="53906FAA">
            <w:pPr>
              <w:snapToGrid/>
              <w:spacing w:line="360" w:lineRule="auto"/>
              <w:ind w:firstLine="482" w:firstLineChars="200"/>
              <w:rPr>
                <w:rFonts w:hint="default" w:ascii="Times New Roman" w:hAnsi="Times New Roman" w:eastAsia="宋体" w:cs="Times New Roman"/>
                <w:b/>
                <w:color w:val="auto"/>
                <w:sz w:val="24"/>
                <w:highlight w:val="none"/>
                <w:lang w:eastAsia="zh-CN"/>
              </w:rPr>
            </w:pPr>
            <w:r>
              <w:rPr>
                <w:rFonts w:hint="eastAsia"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lang w:eastAsia="zh-CN"/>
              </w:rPr>
              <w:t>监测要求</w:t>
            </w:r>
          </w:p>
          <w:p w14:paraId="6502A9D8">
            <w:pPr>
              <w:spacing w:line="360" w:lineRule="auto"/>
              <w:ind w:firstLine="480" w:firstLineChars="200"/>
              <w:rPr>
                <w:rFonts w:eastAsiaTheme="minorEastAsia"/>
                <w:color w:val="auto"/>
                <w:sz w:val="24"/>
              </w:rPr>
            </w:pPr>
            <w:r>
              <w:rPr>
                <w:rFonts w:eastAsiaTheme="minorEastAsia"/>
                <w:color w:val="auto"/>
                <w:sz w:val="24"/>
              </w:rPr>
              <w:t>根据《排污单位自行监测技术指南 总则》（HJ819-2017），本项目噪声监测计划见下表4-</w:t>
            </w:r>
            <w:r>
              <w:rPr>
                <w:rFonts w:hint="eastAsia" w:eastAsiaTheme="minorEastAsia"/>
                <w:color w:val="auto"/>
                <w:sz w:val="24"/>
                <w:lang w:val="en-US" w:eastAsia="zh-CN"/>
              </w:rPr>
              <w:t>9</w:t>
            </w:r>
            <w:r>
              <w:rPr>
                <w:rFonts w:eastAsiaTheme="minorEastAsia"/>
                <w:color w:val="auto"/>
                <w:sz w:val="24"/>
              </w:rPr>
              <w:t>。</w:t>
            </w:r>
          </w:p>
          <w:p w14:paraId="0DD32C04">
            <w:pPr>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lang w:val="en-US" w:eastAsia="zh-CN"/>
              </w:rPr>
              <w:t>9</w:t>
            </w:r>
            <w:r>
              <w:rPr>
                <w:rFonts w:eastAsiaTheme="minorEastAsia"/>
                <w:b/>
                <w:bCs/>
                <w:color w:val="auto"/>
                <w:szCs w:val="21"/>
              </w:rPr>
              <w:t xml:space="preserve">  项目噪声监测计划表</w:t>
            </w:r>
          </w:p>
          <w:tbl>
            <w:tblPr>
              <w:tblStyle w:val="21"/>
              <w:tblW w:w="77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047"/>
              <w:gridCol w:w="1048"/>
              <w:gridCol w:w="1047"/>
              <w:gridCol w:w="1071"/>
              <w:gridCol w:w="2699"/>
            </w:tblGrid>
            <w:tr w14:paraId="4EA5C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43" w:type="dxa"/>
                  <w:tcBorders>
                    <w:tl2br w:val="nil"/>
                    <w:tr2bl w:val="nil"/>
                  </w:tcBorders>
                  <w:noWrap/>
                  <w:vAlign w:val="center"/>
                </w:tcPr>
                <w:p w14:paraId="76EFE919">
                  <w:pPr>
                    <w:pStyle w:val="15"/>
                    <w:ind w:left="0" w:leftChars="0" w:firstLine="0" w:firstLineChars="0"/>
                    <w:jc w:val="center"/>
                    <w:rPr>
                      <w:rFonts w:eastAsiaTheme="minorEastAsia"/>
                      <w:b/>
                      <w:bCs/>
                      <w:color w:val="auto"/>
                      <w:szCs w:val="21"/>
                    </w:rPr>
                  </w:pPr>
                  <w:r>
                    <w:rPr>
                      <w:rFonts w:eastAsiaTheme="minorEastAsia"/>
                      <w:b/>
                      <w:bCs/>
                      <w:color w:val="auto"/>
                      <w:szCs w:val="21"/>
                    </w:rPr>
                    <w:t>类型</w:t>
                  </w:r>
                </w:p>
              </w:tc>
              <w:tc>
                <w:tcPr>
                  <w:tcW w:w="1047" w:type="dxa"/>
                  <w:tcBorders>
                    <w:tl2br w:val="nil"/>
                    <w:tr2bl w:val="nil"/>
                  </w:tcBorders>
                  <w:noWrap/>
                  <w:vAlign w:val="center"/>
                </w:tcPr>
                <w:p w14:paraId="4FFDCA69">
                  <w:pPr>
                    <w:pStyle w:val="15"/>
                    <w:ind w:left="0" w:leftChars="0" w:firstLine="0" w:firstLineChars="0"/>
                    <w:jc w:val="center"/>
                    <w:rPr>
                      <w:rFonts w:eastAsiaTheme="minorEastAsia"/>
                      <w:b/>
                      <w:bCs/>
                      <w:color w:val="auto"/>
                      <w:szCs w:val="21"/>
                    </w:rPr>
                  </w:pPr>
                  <w:r>
                    <w:rPr>
                      <w:rFonts w:eastAsiaTheme="minorEastAsia"/>
                      <w:b/>
                      <w:bCs/>
                      <w:color w:val="auto"/>
                      <w:szCs w:val="21"/>
                    </w:rPr>
                    <w:t>污染源</w:t>
                  </w:r>
                </w:p>
              </w:tc>
              <w:tc>
                <w:tcPr>
                  <w:tcW w:w="1048" w:type="dxa"/>
                  <w:tcBorders>
                    <w:tl2br w:val="nil"/>
                    <w:tr2bl w:val="nil"/>
                  </w:tcBorders>
                  <w:noWrap/>
                  <w:vAlign w:val="center"/>
                </w:tcPr>
                <w:p w14:paraId="7C748459">
                  <w:pPr>
                    <w:pStyle w:val="15"/>
                    <w:ind w:left="0" w:leftChars="0" w:firstLine="0" w:firstLineChars="0"/>
                    <w:jc w:val="center"/>
                    <w:rPr>
                      <w:rFonts w:eastAsiaTheme="minorEastAsia"/>
                      <w:b/>
                      <w:bCs/>
                      <w:color w:val="auto"/>
                      <w:szCs w:val="21"/>
                    </w:rPr>
                  </w:pPr>
                  <w:r>
                    <w:rPr>
                      <w:rFonts w:eastAsiaTheme="minorEastAsia"/>
                      <w:b/>
                      <w:bCs/>
                      <w:color w:val="auto"/>
                      <w:szCs w:val="21"/>
                    </w:rPr>
                    <w:t>监测</w:t>
                  </w:r>
                </w:p>
                <w:p w14:paraId="03736237">
                  <w:pPr>
                    <w:pStyle w:val="15"/>
                    <w:ind w:left="0" w:leftChars="0" w:firstLine="0" w:firstLineChars="0"/>
                    <w:jc w:val="center"/>
                    <w:rPr>
                      <w:rFonts w:eastAsiaTheme="minorEastAsia"/>
                      <w:b/>
                      <w:bCs/>
                      <w:color w:val="auto"/>
                      <w:szCs w:val="21"/>
                    </w:rPr>
                  </w:pPr>
                  <w:r>
                    <w:rPr>
                      <w:rFonts w:eastAsiaTheme="minorEastAsia"/>
                      <w:b/>
                      <w:bCs/>
                      <w:color w:val="auto"/>
                      <w:szCs w:val="21"/>
                    </w:rPr>
                    <w:t>项目</w:t>
                  </w:r>
                </w:p>
              </w:tc>
              <w:tc>
                <w:tcPr>
                  <w:tcW w:w="1047" w:type="dxa"/>
                  <w:tcBorders>
                    <w:tl2br w:val="nil"/>
                    <w:tr2bl w:val="nil"/>
                  </w:tcBorders>
                  <w:noWrap/>
                  <w:vAlign w:val="center"/>
                </w:tcPr>
                <w:p w14:paraId="0F178969">
                  <w:pPr>
                    <w:pStyle w:val="15"/>
                    <w:ind w:left="0" w:leftChars="0" w:firstLine="0" w:firstLineChars="0"/>
                    <w:jc w:val="center"/>
                    <w:rPr>
                      <w:rFonts w:eastAsiaTheme="minorEastAsia"/>
                      <w:b/>
                      <w:bCs/>
                      <w:color w:val="auto"/>
                      <w:szCs w:val="21"/>
                    </w:rPr>
                  </w:pPr>
                  <w:r>
                    <w:rPr>
                      <w:rFonts w:eastAsiaTheme="minorEastAsia"/>
                      <w:b/>
                      <w:bCs/>
                      <w:color w:val="auto"/>
                      <w:szCs w:val="21"/>
                    </w:rPr>
                    <w:t>监测</w:t>
                  </w:r>
                </w:p>
                <w:p w14:paraId="088AE350">
                  <w:pPr>
                    <w:pStyle w:val="15"/>
                    <w:ind w:left="0" w:leftChars="0" w:firstLine="0" w:firstLineChars="0"/>
                    <w:jc w:val="center"/>
                    <w:rPr>
                      <w:rFonts w:eastAsiaTheme="minorEastAsia"/>
                      <w:b/>
                      <w:bCs/>
                      <w:color w:val="auto"/>
                      <w:szCs w:val="21"/>
                    </w:rPr>
                  </w:pPr>
                  <w:r>
                    <w:rPr>
                      <w:rFonts w:eastAsiaTheme="minorEastAsia"/>
                      <w:b/>
                      <w:bCs/>
                      <w:color w:val="auto"/>
                      <w:szCs w:val="21"/>
                    </w:rPr>
                    <w:t>点位</w:t>
                  </w:r>
                </w:p>
              </w:tc>
              <w:tc>
                <w:tcPr>
                  <w:tcW w:w="1071" w:type="dxa"/>
                  <w:tcBorders>
                    <w:tl2br w:val="nil"/>
                    <w:tr2bl w:val="nil"/>
                  </w:tcBorders>
                  <w:noWrap/>
                  <w:vAlign w:val="center"/>
                </w:tcPr>
                <w:p w14:paraId="78A03E16">
                  <w:pPr>
                    <w:pStyle w:val="15"/>
                    <w:ind w:left="0" w:leftChars="0" w:firstLine="0" w:firstLineChars="0"/>
                    <w:jc w:val="center"/>
                    <w:rPr>
                      <w:rFonts w:eastAsiaTheme="minorEastAsia"/>
                      <w:b/>
                      <w:bCs/>
                      <w:color w:val="auto"/>
                      <w:szCs w:val="21"/>
                    </w:rPr>
                  </w:pPr>
                  <w:r>
                    <w:rPr>
                      <w:rFonts w:eastAsiaTheme="minorEastAsia"/>
                      <w:b/>
                      <w:bCs/>
                      <w:color w:val="auto"/>
                      <w:szCs w:val="21"/>
                    </w:rPr>
                    <w:t>监测频率</w:t>
                  </w:r>
                </w:p>
              </w:tc>
              <w:tc>
                <w:tcPr>
                  <w:tcW w:w="2699" w:type="dxa"/>
                  <w:tcBorders>
                    <w:tl2br w:val="nil"/>
                    <w:tr2bl w:val="nil"/>
                  </w:tcBorders>
                  <w:noWrap/>
                  <w:vAlign w:val="center"/>
                </w:tcPr>
                <w:p w14:paraId="492A1D8B">
                  <w:pPr>
                    <w:pStyle w:val="15"/>
                    <w:ind w:left="0" w:leftChars="0" w:firstLine="0" w:firstLineChars="0"/>
                    <w:jc w:val="center"/>
                    <w:rPr>
                      <w:rFonts w:eastAsiaTheme="minorEastAsia"/>
                      <w:b/>
                      <w:bCs/>
                      <w:color w:val="auto"/>
                      <w:szCs w:val="21"/>
                    </w:rPr>
                  </w:pPr>
                  <w:r>
                    <w:rPr>
                      <w:rFonts w:eastAsiaTheme="minorEastAsia"/>
                      <w:b/>
                      <w:bCs/>
                      <w:color w:val="auto"/>
                      <w:szCs w:val="21"/>
                    </w:rPr>
                    <w:t>执行标准</w:t>
                  </w:r>
                </w:p>
              </w:tc>
            </w:tr>
            <w:tr w14:paraId="3B3FA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843" w:type="dxa"/>
                  <w:tcBorders>
                    <w:tl2br w:val="nil"/>
                    <w:tr2bl w:val="nil"/>
                  </w:tcBorders>
                  <w:noWrap/>
                  <w:vAlign w:val="center"/>
                </w:tcPr>
                <w:p w14:paraId="2BC282BA">
                  <w:pPr>
                    <w:pStyle w:val="15"/>
                    <w:ind w:left="0" w:leftChars="0" w:firstLine="0" w:firstLineChars="0"/>
                    <w:jc w:val="center"/>
                    <w:rPr>
                      <w:rFonts w:eastAsiaTheme="minorEastAsia"/>
                      <w:color w:val="auto"/>
                      <w:szCs w:val="21"/>
                    </w:rPr>
                  </w:pPr>
                  <w:r>
                    <w:rPr>
                      <w:rFonts w:eastAsiaTheme="minorEastAsia"/>
                      <w:color w:val="auto"/>
                      <w:szCs w:val="21"/>
                    </w:rPr>
                    <w:t>声环境</w:t>
                  </w:r>
                </w:p>
              </w:tc>
              <w:tc>
                <w:tcPr>
                  <w:tcW w:w="1047" w:type="dxa"/>
                  <w:tcBorders>
                    <w:tl2br w:val="nil"/>
                    <w:tr2bl w:val="nil"/>
                  </w:tcBorders>
                  <w:noWrap/>
                  <w:vAlign w:val="center"/>
                </w:tcPr>
                <w:p w14:paraId="751AAD37">
                  <w:pPr>
                    <w:pStyle w:val="15"/>
                    <w:ind w:left="0" w:leftChars="0" w:firstLine="0" w:firstLineChars="0"/>
                    <w:jc w:val="center"/>
                    <w:rPr>
                      <w:rFonts w:eastAsiaTheme="minorEastAsia"/>
                      <w:color w:val="auto"/>
                      <w:szCs w:val="21"/>
                    </w:rPr>
                  </w:pPr>
                  <w:r>
                    <w:rPr>
                      <w:rFonts w:eastAsiaTheme="minorEastAsia"/>
                      <w:color w:val="auto"/>
                      <w:szCs w:val="21"/>
                    </w:rPr>
                    <w:t>生产设备</w:t>
                  </w:r>
                </w:p>
              </w:tc>
              <w:tc>
                <w:tcPr>
                  <w:tcW w:w="1048" w:type="dxa"/>
                  <w:tcBorders>
                    <w:tl2br w:val="nil"/>
                    <w:tr2bl w:val="nil"/>
                  </w:tcBorders>
                  <w:noWrap/>
                  <w:vAlign w:val="center"/>
                </w:tcPr>
                <w:p w14:paraId="349BEC84">
                  <w:pPr>
                    <w:pStyle w:val="15"/>
                    <w:ind w:left="0" w:leftChars="0" w:firstLine="0" w:firstLineChars="0"/>
                    <w:jc w:val="center"/>
                    <w:rPr>
                      <w:rFonts w:eastAsiaTheme="minorEastAsia"/>
                      <w:color w:val="auto"/>
                      <w:szCs w:val="21"/>
                    </w:rPr>
                  </w:pPr>
                  <w:r>
                    <w:rPr>
                      <w:rFonts w:eastAsiaTheme="minorEastAsia"/>
                      <w:color w:val="auto"/>
                      <w:szCs w:val="21"/>
                    </w:rPr>
                    <w:t>等效连续A声级</w:t>
                  </w:r>
                </w:p>
              </w:tc>
              <w:tc>
                <w:tcPr>
                  <w:tcW w:w="1047" w:type="dxa"/>
                  <w:tcBorders>
                    <w:tl2br w:val="nil"/>
                    <w:tr2bl w:val="nil"/>
                  </w:tcBorders>
                  <w:noWrap/>
                  <w:vAlign w:val="center"/>
                </w:tcPr>
                <w:p w14:paraId="06928F2E">
                  <w:pPr>
                    <w:pStyle w:val="15"/>
                    <w:ind w:left="0" w:leftChars="0" w:firstLine="0" w:firstLineChars="0"/>
                    <w:jc w:val="center"/>
                    <w:rPr>
                      <w:rFonts w:eastAsiaTheme="minorEastAsia"/>
                      <w:color w:val="auto"/>
                      <w:szCs w:val="21"/>
                    </w:rPr>
                  </w:pPr>
                  <w:r>
                    <w:rPr>
                      <w:rFonts w:eastAsiaTheme="minorEastAsia"/>
                      <w:color w:val="auto"/>
                      <w:szCs w:val="21"/>
                    </w:rPr>
                    <w:t>厂界四周</w:t>
                  </w:r>
                  <w:r>
                    <w:rPr>
                      <w:rFonts w:hint="eastAsia" w:eastAsiaTheme="minorEastAsia"/>
                      <w:color w:val="auto"/>
                      <w:szCs w:val="21"/>
                    </w:rPr>
                    <w:t>1m处</w:t>
                  </w:r>
                </w:p>
              </w:tc>
              <w:tc>
                <w:tcPr>
                  <w:tcW w:w="1071" w:type="dxa"/>
                  <w:tcBorders>
                    <w:tl2br w:val="nil"/>
                    <w:tr2bl w:val="nil"/>
                  </w:tcBorders>
                  <w:noWrap/>
                  <w:vAlign w:val="center"/>
                </w:tcPr>
                <w:p w14:paraId="7F68772A">
                  <w:pPr>
                    <w:pStyle w:val="15"/>
                    <w:ind w:left="0" w:leftChars="0" w:firstLine="0" w:firstLineChars="0"/>
                    <w:jc w:val="center"/>
                    <w:rPr>
                      <w:rFonts w:eastAsiaTheme="minorEastAsia"/>
                      <w:color w:val="auto"/>
                      <w:szCs w:val="21"/>
                    </w:rPr>
                  </w:pPr>
                  <w:r>
                    <w:rPr>
                      <w:rFonts w:eastAsiaTheme="minorEastAsia"/>
                      <w:color w:val="auto"/>
                      <w:szCs w:val="21"/>
                    </w:rPr>
                    <w:t>1次/季度</w:t>
                  </w:r>
                </w:p>
              </w:tc>
              <w:tc>
                <w:tcPr>
                  <w:tcW w:w="2699" w:type="dxa"/>
                  <w:tcBorders>
                    <w:tl2br w:val="nil"/>
                    <w:tr2bl w:val="nil"/>
                  </w:tcBorders>
                  <w:noWrap/>
                  <w:vAlign w:val="center"/>
                </w:tcPr>
                <w:p w14:paraId="38787280">
                  <w:pPr>
                    <w:pStyle w:val="15"/>
                    <w:ind w:left="0" w:leftChars="0" w:firstLine="0" w:firstLineChars="0"/>
                    <w:jc w:val="center"/>
                    <w:rPr>
                      <w:rFonts w:eastAsiaTheme="minorEastAsia"/>
                      <w:color w:val="auto"/>
                      <w:szCs w:val="21"/>
                    </w:rPr>
                  </w:pPr>
                  <w:r>
                    <w:rPr>
                      <w:rFonts w:eastAsiaTheme="minorEastAsia"/>
                      <w:color w:val="auto"/>
                      <w:szCs w:val="21"/>
                    </w:rPr>
                    <w:t>《工业企业厂界环境噪声排放标准》（GB12348-2008）中的</w:t>
                  </w:r>
                  <w:r>
                    <w:rPr>
                      <w:rFonts w:hint="eastAsia" w:eastAsiaTheme="minorEastAsia"/>
                      <w:color w:val="auto"/>
                      <w:szCs w:val="21"/>
                    </w:rPr>
                    <w:t>3</w:t>
                  </w:r>
                  <w:r>
                    <w:rPr>
                      <w:rFonts w:eastAsiaTheme="minorEastAsia"/>
                      <w:color w:val="auto"/>
                      <w:szCs w:val="21"/>
                    </w:rPr>
                    <w:t>类标准</w:t>
                  </w:r>
                </w:p>
              </w:tc>
            </w:tr>
          </w:tbl>
          <w:p w14:paraId="4E3BF7BC">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Times New Roman" w:hAnsi="Times New Roman" w:cs="Times New Roman" w:eastAsiaTheme="minorEastAsia"/>
                <w:b/>
                <w:color w:val="auto"/>
                <w:kern w:val="2"/>
                <w:sz w:val="24"/>
                <w:szCs w:val="24"/>
                <w:lang w:val="en-US" w:eastAsia="zh-CN" w:bidi="ar-SA"/>
              </w:rPr>
            </w:pPr>
            <w:r>
              <w:rPr>
                <w:rFonts w:ascii="Times New Roman" w:hAnsi="Times New Roman" w:cs="Times New Roman" w:eastAsiaTheme="minorEastAsia"/>
                <w:b/>
                <w:color w:val="auto"/>
                <w:kern w:val="2"/>
                <w:sz w:val="24"/>
                <w:szCs w:val="24"/>
                <w:lang w:val="en-US" w:eastAsia="zh-CN" w:bidi="ar-SA"/>
              </w:rPr>
              <w:t>四、固体废物</w:t>
            </w:r>
          </w:p>
          <w:p w14:paraId="63804979">
            <w:pPr>
              <w:pStyle w:val="2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cs="Times New Roman" w:eastAsiaTheme="minorEastAsia"/>
                <w:color w:val="auto"/>
                <w:kern w:val="2"/>
                <w:sz w:val="24"/>
                <w:szCs w:val="24"/>
                <w:lang w:val="en-US" w:eastAsia="zh-CN" w:bidi="ar-SA"/>
              </w:rPr>
            </w:pPr>
            <w:r>
              <w:rPr>
                <w:rFonts w:ascii="Times New Roman" w:hAnsi="Times New Roman" w:cs="Times New Roman" w:eastAsiaTheme="minorEastAsia"/>
                <w:color w:val="auto"/>
                <w:kern w:val="2"/>
                <w:sz w:val="24"/>
                <w:szCs w:val="24"/>
                <w:lang w:val="en-US" w:eastAsia="zh-CN" w:bidi="ar-SA"/>
              </w:rPr>
              <w:t>本项目产生的固体废物主要包括生活垃圾、一般工业固体废物和危险废物。</w:t>
            </w:r>
          </w:p>
          <w:p w14:paraId="1DAA6131">
            <w:pPr>
              <w:spacing w:line="360" w:lineRule="auto"/>
              <w:ind w:firstLine="482" w:firstLineChars="200"/>
              <w:rPr>
                <w:rFonts w:eastAsiaTheme="minorEastAsia"/>
                <w:b/>
                <w:color w:val="auto"/>
                <w:sz w:val="24"/>
              </w:rPr>
            </w:pPr>
            <w:r>
              <w:rPr>
                <w:rFonts w:eastAsiaTheme="minorEastAsia"/>
                <w:b/>
                <w:color w:val="auto"/>
                <w:sz w:val="24"/>
              </w:rPr>
              <w:t>1</w:t>
            </w:r>
            <w:r>
              <w:rPr>
                <w:rFonts w:hint="eastAsia" w:eastAsiaTheme="minorEastAsia"/>
                <w:b/>
                <w:color w:val="auto"/>
                <w:sz w:val="24"/>
                <w:lang w:val="en-US" w:eastAsia="zh-CN"/>
              </w:rPr>
              <w:t>.</w:t>
            </w:r>
            <w:r>
              <w:rPr>
                <w:rFonts w:eastAsiaTheme="minorEastAsia"/>
                <w:b/>
                <w:color w:val="auto"/>
                <w:sz w:val="24"/>
              </w:rPr>
              <w:t>固体废物产生量分析</w:t>
            </w:r>
          </w:p>
          <w:p w14:paraId="04974684">
            <w:pPr>
              <w:pStyle w:val="27"/>
              <w:numPr>
                <w:ilvl w:val="0"/>
                <w:numId w:val="6"/>
              </w:num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生活垃圾</w:t>
            </w:r>
          </w:p>
          <w:p w14:paraId="16CB08E2">
            <w:pPr>
              <w:pStyle w:val="27"/>
              <w:spacing w:line="360" w:lineRule="auto"/>
              <w:ind w:firstLine="480" w:firstLineChars="200"/>
              <w:rPr>
                <w:rFonts w:hint="default" w:ascii="Times New Roman" w:hAnsi="Times New Roman" w:cs="Times New Roman" w:eastAsiaTheme="minorEastAsia"/>
                <w:color w:val="auto"/>
                <w:sz w:val="24"/>
                <w:lang w:val="en-US"/>
              </w:rPr>
            </w:pPr>
            <w:r>
              <w:rPr>
                <w:rFonts w:hint="default" w:ascii="Times New Roman" w:hAnsi="Times New Roman" w:cs="Times New Roman" w:eastAsiaTheme="minorEastAsia"/>
                <w:color w:val="auto"/>
                <w:sz w:val="24"/>
                <w:lang w:val="en-US"/>
              </w:rPr>
              <w:t>项目劳动定员5人，年工作</w:t>
            </w:r>
            <w:r>
              <w:rPr>
                <w:rFonts w:hint="eastAsia" w:ascii="Times New Roman" w:hAnsi="Times New Roman" w:cs="Times New Roman" w:eastAsiaTheme="minorEastAsia"/>
                <w:color w:val="auto"/>
                <w:sz w:val="24"/>
                <w:lang w:val="en-US" w:eastAsia="zh-CN"/>
              </w:rPr>
              <w:t>300</w:t>
            </w:r>
            <w:r>
              <w:rPr>
                <w:rFonts w:hint="default" w:ascii="Times New Roman" w:hAnsi="Times New Roman" w:cs="Times New Roman" w:eastAsiaTheme="minorEastAsia"/>
                <w:color w:val="auto"/>
                <w:sz w:val="24"/>
                <w:lang w:val="en-US"/>
              </w:rPr>
              <w:t>天。经查阅《第二次全国污染源普查城镇生活源产排污系数手册》，生活垃圾产生量按0.44kg/d·人计，项目生活垃圾产生量为</w:t>
            </w:r>
            <w:r>
              <w:rPr>
                <w:rFonts w:hint="eastAsia" w:ascii="Times New Roman" w:hAnsi="Times New Roman" w:cs="Times New Roman" w:eastAsiaTheme="minorEastAsia"/>
                <w:color w:val="auto"/>
                <w:sz w:val="24"/>
                <w:lang w:val="en-US" w:eastAsia="zh-CN"/>
              </w:rPr>
              <w:t>0.66</w:t>
            </w:r>
            <w:r>
              <w:rPr>
                <w:rFonts w:hint="default" w:ascii="Times New Roman" w:hAnsi="Times New Roman" w:cs="Times New Roman" w:eastAsiaTheme="minorEastAsia"/>
                <w:color w:val="auto"/>
                <w:sz w:val="24"/>
                <w:lang w:val="en-US"/>
              </w:rPr>
              <w:t>t/a。</w:t>
            </w:r>
          </w:p>
          <w:p w14:paraId="3AB8F866">
            <w:pPr>
              <w:pStyle w:val="27"/>
              <w:numPr>
                <w:ilvl w:val="0"/>
                <w:numId w:val="6"/>
              </w:numPr>
              <w:spacing w:line="360" w:lineRule="auto"/>
              <w:ind w:firstLine="460" w:firstLineChars="200"/>
              <w:rPr>
                <w:rFonts w:hint="default"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t>一般工业固体废物</w:t>
            </w:r>
          </w:p>
          <w:p w14:paraId="2F346DC9">
            <w:pPr>
              <w:pStyle w:val="27"/>
              <w:numPr>
                <w:ilvl w:val="0"/>
                <w:numId w:val="0"/>
              </w:numPr>
              <w:spacing w:line="360" w:lineRule="auto"/>
              <w:ind w:firstLine="460" w:firstLineChars="200"/>
              <w:rPr>
                <w:rFonts w:hint="default"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fldChar w:fldCharType="begin"/>
            </w:r>
            <w:r>
              <w:rPr>
                <w:rFonts w:hint="default" w:ascii="Times New Roman" w:hAnsi="Times New Roman" w:eastAsia="宋体" w:cs="Times New Roman"/>
                <w:color w:val="auto"/>
                <w:spacing w:val="-5"/>
                <w:kern w:val="2"/>
                <w:sz w:val="24"/>
                <w:szCs w:val="24"/>
                <w:lang w:val="en-US" w:eastAsia="zh-CN" w:bidi="ar-SA"/>
              </w:rPr>
              <w:instrText xml:space="preserve"> = 1 \* GB3 </w:instrText>
            </w:r>
            <w:r>
              <w:rPr>
                <w:rFonts w:hint="default" w:ascii="Times New Roman" w:hAnsi="Times New Roman" w:eastAsia="宋体" w:cs="Times New Roman"/>
                <w:color w:val="auto"/>
                <w:spacing w:val="-5"/>
                <w:kern w:val="2"/>
                <w:sz w:val="24"/>
                <w:szCs w:val="24"/>
                <w:lang w:val="en-US" w:eastAsia="zh-CN" w:bidi="ar-SA"/>
              </w:rPr>
              <w:fldChar w:fldCharType="separate"/>
            </w:r>
            <w:r>
              <w:rPr>
                <w:rFonts w:hint="default" w:ascii="Times New Roman" w:hAnsi="Times New Roman" w:eastAsia="宋体" w:cs="Times New Roman"/>
                <w:color w:val="auto"/>
                <w:spacing w:val="-5"/>
                <w:kern w:val="2"/>
                <w:sz w:val="24"/>
                <w:szCs w:val="24"/>
                <w:lang w:val="en-US" w:eastAsia="zh-CN" w:bidi="ar-SA"/>
              </w:rPr>
              <w:t>①</w:t>
            </w:r>
            <w:r>
              <w:rPr>
                <w:rFonts w:hint="default" w:ascii="Times New Roman" w:hAnsi="Times New Roman" w:eastAsia="宋体" w:cs="Times New Roman"/>
                <w:color w:val="auto"/>
                <w:spacing w:val="-5"/>
                <w:kern w:val="2"/>
                <w:sz w:val="24"/>
                <w:szCs w:val="24"/>
                <w:lang w:val="en-US" w:eastAsia="zh-CN" w:bidi="ar-SA"/>
              </w:rPr>
              <w:fldChar w:fldCharType="end"/>
            </w:r>
            <w:r>
              <w:rPr>
                <w:rFonts w:hint="default" w:ascii="Times New Roman" w:hAnsi="Times New Roman" w:eastAsia="宋体" w:cs="Times New Roman"/>
                <w:color w:val="auto"/>
                <w:spacing w:val="-5"/>
                <w:kern w:val="2"/>
                <w:sz w:val="24"/>
                <w:szCs w:val="24"/>
                <w:lang w:val="en-US" w:eastAsia="zh-CN" w:bidi="ar-SA"/>
              </w:rPr>
              <w:t>废包装材料</w:t>
            </w:r>
          </w:p>
          <w:p w14:paraId="344E4A62">
            <w:pPr>
              <w:pStyle w:val="27"/>
              <w:numPr>
                <w:ilvl w:val="0"/>
                <w:numId w:val="0"/>
              </w:numPr>
              <w:spacing w:line="360" w:lineRule="auto"/>
              <w:ind w:firstLine="460" w:firstLineChars="200"/>
              <w:rPr>
                <w:rFonts w:hint="eastAsia"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t>原辅材料入厂时用的各种包装料，主要为废塑料袋等，预计其年产生量为0.3t/a</w:t>
            </w:r>
            <w:r>
              <w:rPr>
                <w:rFonts w:hint="eastAsia" w:ascii="Times New Roman" w:hAnsi="Times New Roman" w:eastAsia="宋体" w:cs="Times New Roman"/>
                <w:color w:val="auto"/>
                <w:spacing w:val="-5"/>
                <w:kern w:val="2"/>
                <w:sz w:val="24"/>
                <w:szCs w:val="24"/>
                <w:lang w:val="en-US" w:eastAsia="zh-CN" w:bidi="ar-SA"/>
              </w:rPr>
              <w:t>，</w:t>
            </w:r>
            <w:r>
              <w:rPr>
                <w:rFonts w:hint="default" w:ascii="Times New Roman" w:hAnsi="Times New Roman" w:eastAsia="宋体" w:cs="Times New Roman"/>
                <w:color w:val="auto"/>
                <w:spacing w:val="-5"/>
                <w:kern w:val="2"/>
                <w:sz w:val="24"/>
                <w:szCs w:val="24"/>
                <w:lang w:val="en-US" w:eastAsia="zh-CN" w:bidi="ar-SA"/>
              </w:rPr>
              <w:t>收集暂存于一般固废暂存区</w:t>
            </w:r>
            <w:r>
              <w:rPr>
                <w:rFonts w:hint="eastAsia" w:ascii="Times New Roman" w:hAnsi="Times New Roman" w:eastAsia="宋体" w:cs="Times New Roman"/>
                <w:color w:val="auto"/>
                <w:spacing w:val="-5"/>
                <w:kern w:val="2"/>
                <w:sz w:val="24"/>
                <w:szCs w:val="24"/>
                <w:lang w:val="en-US" w:eastAsia="zh-CN" w:bidi="ar-SA"/>
              </w:rPr>
              <w:t>，</w:t>
            </w:r>
            <w:r>
              <w:rPr>
                <w:rFonts w:hint="default" w:ascii="Times New Roman" w:hAnsi="Times New Roman" w:eastAsia="宋体" w:cs="Times New Roman"/>
                <w:color w:val="auto"/>
                <w:spacing w:val="-5"/>
                <w:kern w:val="2"/>
                <w:sz w:val="24"/>
                <w:szCs w:val="24"/>
                <w:lang w:val="en-US" w:eastAsia="zh-CN" w:bidi="ar-SA"/>
              </w:rPr>
              <w:t>定期外售于物资回收公司</w:t>
            </w:r>
            <w:r>
              <w:rPr>
                <w:rFonts w:hint="eastAsia" w:ascii="Times New Roman" w:hAnsi="Times New Roman" w:eastAsia="宋体" w:cs="Times New Roman"/>
                <w:color w:val="auto"/>
                <w:spacing w:val="-5"/>
                <w:kern w:val="2"/>
                <w:sz w:val="24"/>
                <w:szCs w:val="24"/>
                <w:lang w:val="en-US" w:eastAsia="zh-CN" w:bidi="ar-SA"/>
              </w:rPr>
              <w:t>。</w:t>
            </w:r>
          </w:p>
          <w:p w14:paraId="21153E66">
            <w:pPr>
              <w:pStyle w:val="27"/>
              <w:numPr>
                <w:ilvl w:val="0"/>
                <w:numId w:val="0"/>
              </w:numPr>
              <w:spacing w:line="360" w:lineRule="auto"/>
              <w:ind w:firstLine="460" w:firstLineChars="200"/>
              <w:rPr>
                <w:rFonts w:hint="default"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t>②收集粉尘</w:t>
            </w:r>
          </w:p>
          <w:p w14:paraId="365D03C0">
            <w:pPr>
              <w:pStyle w:val="27"/>
              <w:numPr>
                <w:ilvl w:val="0"/>
                <w:numId w:val="0"/>
              </w:numPr>
              <w:spacing w:line="360" w:lineRule="auto"/>
              <w:ind w:firstLine="460" w:firstLineChars="200"/>
              <w:rPr>
                <w:rFonts w:hint="eastAsia" w:ascii="Times New Roman" w:hAnsi="Times New Roman" w:eastAsia="宋体" w:cs="Times New Roman"/>
                <w:color w:val="auto"/>
                <w:spacing w:val="-5"/>
                <w:kern w:val="2"/>
                <w:sz w:val="24"/>
                <w:szCs w:val="24"/>
                <w:lang w:val="en-US" w:eastAsia="zh-CN" w:bidi="ar-SA"/>
              </w:rPr>
            </w:pPr>
            <w:r>
              <w:rPr>
                <w:rFonts w:hint="eastAsia" w:ascii="Times New Roman" w:hAnsi="Times New Roman" w:eastAsia="宋体" w:cs="Times New Roman"/>
                <w:color w:val="auto"/>
                <w:spacing w:val="-5"/>
                <w:kern w:val="2"/>
                <w:sz w:val="24"/>
                <w:szCs w:val="24"/>
                <w:lang w:val="en-US" w:eastAsia="zh-CN" w:bidi="ar-SA"/>
              </w:rPr>
              <w:t>项目</w:t>
            </w:r>
            <w:r>
              <w:rPr>
                <w:rFonts w:hint="default" w:ascii="Times New Roman" w:hAnsi="Times New Roman" w:eastAsia="宋体" w:cs="Times New Roman"/>
                <w:color w:val="auto"/>
                <w:spacing w:val="-5"/>
                <w:kern w:val="2"/>
                <w:sz w:val="24"/>
                <w:szCs w:val="24"/>
                <w:lang w:val="en-US" w:eastAsia="zh-CN" w:bidi="ar-SA"/>
              </w:rPr>
              <w:t>废气</w:t>
            </w:r>
            <w:r>
              <w:rPr>
                <w:rFonts w:hint="eastAsia" w:ascii="Times New Roman" w:hAnsi="Times New Roman" w:eastAsia="宋体" w:cs="Times New Roman"/>
                <w:color w:val="auto"/>
                <w:spacing w:val="-5"/>
                <w:kern w:val="2"/>
                <w:sz w:val="24"/>
                <w:szCs w:val="24"/>
                <w:lang w:val="en-US" w:eastAsia="zh-CN" w:bidi="ar-SA"/>
              </w:rPr>
              <w:t>经除尘器收集装置</w:t>
            </w:r>
            <w:r>
              <w:rPr>
                <w:rFonts w:hint="default" w:ascii="Times New Roman" w:hAnsi="Times New Roman" w:eastAsia="宋体" w:cs="Times New Roman"/>
                <w:color w:val="auto"/>
                <w:spacing w:val="-5"/>
                <w:kern w:val="2"/>
                <w:sz w:val="24"/>
                <w:szCs w:val="24"/>
                <w:lang w:val="en-US" w:eastAsia="zh-CN" w:bidi="ar-SA"/>
              </w:rPr>
              <w:t>处理后排放，</w:t>
            </w:r>
            <w:r>
              <w:rPr>
                <w:rFonts w:hint="eastAsia" w:ascii="Times New Roman" w:hAnsi="Times New Roman" w:eastAsia="宋体" w:cs="Times New Roman"/>
                <w:color w:val="auto"/>
                <w:spacing w:val="-5"/>
                <w:kern w:val="2"/>
                <w:sz w:val="24"/>
                <w:szCs w:val="24"/>
                <w:lang w:val="en-US" w:eastAsia="zh-CN" w:bidi="ar-SA"/>
              </w:rPr>
              <w:t>除尘器收集装置</w:t>
            </w:r>
            <w:r>
              <w:rPr>
                <w:rFonts w:hint="default" w:ascii="Times New Roman" w:hAnsi="Times New Roman" w:eastAsia="宋体" w:cs="Times New Roman"/>
                <w:color w:val="auto"/>
                <w:spacing w:val="-5"/>
                <w:kern w:val="2"/>
                <w:sz w:val="24"/>
                <w:szCs w:val="24"/>
                <w:lang w:val="en-US" w:eastAsia="zh-CN" w:bidi="ar-SA"/>
              </w:rPr>
              <w:t>定期清理会产生一定量的收尘灰，根据废气工程分析及物料守恒，项目收尘灰产生量为</w:t>
            </w:r>
            <w:r>
              <w:rPr>
                <w:rFonts w:hint="eastAsia" w:ascii="Times New Roman" w:hAnsi="Times New Roman" w:eastAsia="宋体" w:cs="Times New Roman"/>
                <w:color w:val="auto"/>
                <w:spacing w:val="-5"/>
                <w:kern w:val="2"/>
                <w:sz w:val="24"/>
                <w:szCs w:val="24"/>
                <w:lang w:val="en-US" w:eastAsia="zh-CN" w:bidi="ar-SA"/>
              </w:rPr>
              <w:t>9.2094</w:t>
            </w:r>
            <w:r>
              <w:rPr>
                <w:rFonts w:hint="default" w:ascii="Times New Roman" w:hAnsi="Times New Roman" w:eastAsia="宋体" w:cs="Times New Roman"/>
                <w:color w:val="auto"/>
                <w:spacing w:val="-5"/>
                <w:kern w:val="2"/>
                <w:sz w:val="24"/>
                <w:szCs w:val="24"/>
                <w:lang w:val="en-US" w:eastAsia="zh-CN" w:bidi="ar-SA"/>
              </w:rPr>
              <w:t>t/a，</w:t>
            </w:r>
            <w:r>
              <w:rPr>
                <w:rFonts w:hint="eastAsia" w:ascii="Times New Roman" w:hAnsi="Times New Roman" w:eastAsia="宋体" w:cs="Times New Roman"/>
                <w:color w:val="auto"/>
                <w:spacing w:val="-5"/>
                <w:kern w:val="2"/>
                <w:sz w:val="24"/>
                <w:szCs w:val="24"/>
                <w:lang w:val="en-US" w:eastAsia="zh-CN" w:bidi="ar-SA"/>
              </w:rPr>
              <w:t>收集后回用于</w:t>
            </w:r>
            <w:r>
              <w:rPr>
                <w:rFonts w:hint="default" w:ascii="Times New Roman" w:hAnsi="Times New Roman" w:eastAsia="宋体" w:cs="Times New Roman"/>
                <w:color w:val="auto"/>
                <w:spacing w:val="-5"/>
                <w:kern w:val="2"/>
                <w:sz w:val="24"/>
                <w:szCs w:val="24"/>
                <w:lang w:val="en-US" w:eastAsia="zh-CN" w:bidi="ar-SA"/>
              </w:rPr>
              <w:t>生产</w:t>
            </w:r>
            <w:r>
              <w:rPr>
                <w:rFonts w:hint="eastAsia" w:ascii="Times New Roman" w:hAnsi="Times New Roman" w:eastAsia="宋体" w:cs="Times New Roman"/>
                <w:color w:val="auto"/>
                <w:spacing w:val="-5"/>
                <w:kern w:val="2"/>
                <w:sz w:val="24"/>
                <w:szCs w:val="24"/>
                <w:lang w:val="en-US" w:eastAsia="zh-CN" w:bidi="ar-SA"/>
              </w:rPr>
              <w:t>工序。</w:t>
            </w:r>
          </w:p>
          <w:p w14:paraId="631B2D93">
            <w:pPr>
              <w:pStyle w:val="27"/>
              <w:numPr>
                <w:ilvl w:val="0"/>
                <w:numId w:val="0"/>
              </w:numPr>
              <w:spacing w:line="360" w:lineRule="auto"/>
              <w:ind w:firstLine="460" w:firstLineChars="200"/>
              <w:rPr>
                <w:rFonts w:hint="default"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t>③</w:t>
            </w:r>
            <w:r>
              <w:rPr>
                <w:rFonts w:hint="eastAsia" w:ascii="Times New Roman" w:hAnsi="Times New Roman" w:eastAsia="宋体" w:cs="Times New Roman"/>
                <w:color w:val="auto"/>
                <w:spacing w:val="-5"/>
                <w:kern w:val="2"/>
                <w:sz w:val="24"/>
                <w:szCs w:val="24"/>
                <w:lang w:val="en-US" w:eastAsia="zh-CN" w:bidi="ar-SA"/>
              </w:rPr>
              <w:t>粉末</w:t>
            </w:r>
            <w:r>
              <w:rPr>
                <w:rFonts w:hint="default" w:ascii="Times New Roman" w:hAnsi="Times New Roman" w:eastAsia="宋体" w:cs="Times New Roman"/>
                <w:color w:val="auto"/>
                <w:spacing w:val="-5"/>
                <w:kern w:val="2"/>
                <w:sz w:val="24"/>
                <w:szCs w:val="24"/>
                <w:lang w:val="en-US" w:eastAsia="zh-CN" w:bidi="ar-SA"/>
              </w:rPr>
              <w:t>不合格品</w:t>
            </w:r>
          </w:p>
          <w:p w14:paraId="3C80D4B1">
            <w:pPr>
              <w:pStyle w:val="27"/>
              <w:numPr>
                <w:ilvl w:val="0"/>
                <w:numId w:val="0"/>
              </w:numPr>
              <w:spacing w:line="360" w:lineRule="auto"/>
              <w:ind w:firstLine="460" w:firstLineChars="200"/>
              <w:rPr>
                <w:rFonts w:hint="eastAsia" w:ascii="Times New Roman" w:hAnsi="Times New Roman" w:eastAsia="宋体" w:cs="Times New Roman"/>
                <w:color w:val="auto"/>
                <w:spacing w:val="-5"/>
                <w:kern w:val="2"/>
                <w:sz w:val="24"/>
                <w:szCs w:val="24"/>
                <w:lang w:val="en-US" w:eastAsia="zh-CN" w:bidi="ar-SA"/>
              </w:rPr>
            </w:pPr>
            <w:r>
              <w:rPr>
                <w:rFonts w:hint="default" w:ascii="Times New Roman" w:hAnsi="Times New Roman" w:eastAsia="宋体" w:cs="Times New Roman"/>
                <w:color w:val="auto"/>
                <w:spacing w:val="-5"/>
                <w:kern w:val="2"/>
                <w:sz w:val="24"/>
                <w:szCs w:val="24"/>
                <w:lang w:val="en-US" w:eastAsia="zh-CN" w:bidi="ar-SA"/>
              </w:rPr>
              <w:t>项目产品检验过程中会产生不合格品，该部分固废产生量约0.18t/a</w:t>
            </w:r>
            <w:r>
              <w:rPr>
                <w:rFonts w:hint="eastAsia" w:ascii="Times New Roman" w:hAnsi="Times New Roman" w:eastAsia="宋体" w:cs="Times New Roman"/>
                <w:color w:val="auto"/>
                <w:spacing w:val="-5"/>
                <w:kern w:val="2"/>
                <w:sz w:val="24"/>
                <w:szCs w:val="24"/>
                <w:lang w:val="en-US" w:eastAsia="zh-CN" w:bidi="ar-SA"/>
              </w:rPr>
              <w:t>，收集后回用于</w:t>
            </w:r>
            <w:r>
              <w:rPr>
                <w:rFonts w:hint="default" w:ascii="Times New Roman" w:hAnsi="Times New Roman" w:eastAsia="宋体" w:cs="Times New Roman"/>
                <w:color w:val="auto"/>
                <w:spacing w:val="-5"/>
                <w:kern w:val="2"/>
                <w:sz w:val="24"/>
                <w:szCs w:val="24"/>
                <w:lang w:val="en-US" w:eastAsia="zh-CN" w:bidi="ar-SA"/>
              </w:rPr>
              <w:t>生产</w:t>
            </w:r>
            <w:r>
              <w:rPr>
                <w:rFonts w:hint="eastAsia" w:ascii="Times New Roman" w:hAnsi="Times New Roman" w:eastAsia="宋体" w:cs="Times New Roman"/>
                <w:color w:val="auto"/>
                <w:spacing w:val="-5"/>
                <w:kern w:val="2"/>
                <w:sz w:val="24"/>
                <w:szCs w:val="24"/>
                <w:lang w:val="en-US" w:eastAsia="zh-CN" w:bidi="ar-SA"/>
              </w:rPr>
              <w:t>工序。</w:t>
            </w:r>
          </w:p>
          <w:p w14:paraId="24210191">
            <w:pPr>
              <w:pStyle w:val="27"/>
              <w:numPr>
                <w:ilvl w:val="0"/>
                <w:numId w:val="0"/>
              </w:numPr>
              <w:spacing w:line="360" w:lineRule="auto"/>
              <w:ind w:firstLine="460" w:firstLineChars="200"/>
              <w:rPr>
                <w:rFonts w:hint="default" w:ascii="Times New Roman" w:hAnsi="Times New Roman" w:eastAsia="宋体" w:cs="Times New Roman"/>
                <w:color w:val="auto"/>
                <w:spacing w:val="-5"/>
                <w:kern w:val="2"/>
                <w:sz w:val="24"/>
                <w:szCs w:val="24"/>
                <w:lang w:val="en-US" w:eastAsia="zh-CN" w:bidi="ar-SA"/>
              </w:rPr>
            </w:pPr>
            <w:r>
              <w:rPr>
                <w:rFonts w:hint="eastAsia" w:ascii="Times New Roman" w:hAnsi="Times New Roman" w:eastAsia="宋体" w:cs="Times New Roman"/>
                <w:color w:val="auto"/>
                <w:spacing w:val="-5"/>
                <w:kern w:val="2"/>
                <w:sz w:val="24"/>
                <w:szCs w:val="24"/>
                <w:lang w:val="en-US" w:eastAsia="zh-CN" w:bidi="ar-SA"/>
              </w:rPr>
              <w:t>④</w:t>
            </w:r>
            <w:r>
              <w:rPr>
                <w:rFonts w:hint="default" w:ascii="Times New Roman" w:hAnsi="Times New Roman" w:eastAsia="宋体" w:cs="Times New Roman"/>
                <w:color w:val="auto"/>
                <w:spacing w:val="-5"/>
                <w:kern w:val="2"/>
                <w:sz w:val="24"/>
                <w:szCs w:val="24"/>
                <w:lang w:val="en-US" w:eastAsia="zh-CN" w:bidi="ar-SA"/>
              </w:rPr>
              <w:t>废漆渣</w:t>
            </w:r>
          </w:p>
          <w:p w14:paraId="3BB9DC9B">
            <w:pPr>
              <w:pStyle w:val="27"/>
              <w:numPr>
                <w:ilvl w:val="0"/>
                <w:numId w:val="0"/>
              </w:numPr>
              <w:spacing w:line="360" w:lineRule="auto"/>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电泳生产线</w:t>
            </w:r>
            <w:r>
              <w:rPr>
                <w:rFonts w:hint="eastAsia"/>
                <w:color w:val="auto"/>
                <w:sz w:val="24"/>
                <w:highlight w:val="none"/>
              </w:rPr>
              <w:t>挂具清理过程会产生废漆渣</w:t>
            </w:r>
            <w:r>
              <w:rPr>
                <w:rFonts w:hint="default" w:ascii="Times New Roman" w:hAnsi="Times New Roman" w:eastAsia="宋体" w:cs="Times New Roman"/>
                <w:color w:val="auto"/>
                <w:sz w:val="24"/>
                <w:highlight w:val="none"/>
                <w:lang w:val="en-US" w:eastAsia="zh-CN"/>
              </w:rPr>
              <w:t>，结合本项目工程分析，项目喷涂产生的废漆渣量为</w:t>
            </w:r>
            <w:r>
              <w:rPr>
                <w:rFonts w:hint="eastAsia" w:ascii="Times New Roman" w:hAnsi="Times New Roman" w:eastAsia="宋体" w:cs="Times New Roman"/>
                <w:color w:val="auto"/>
                <w:sz w:val="24"/>
                <w:highlight w:val="none"/>
                <w:lang w:val="en-US" w:eastAsia="zh-CN"/>
              </w:rPr>
              <w:t>0.2t</w:t>
            </w:r>
            <w:r>
              <w:rPr>
                <w:rFonts w:hint="default" w:ascii="Times New Roman" w:hAnsi="Times New Roman" w:eastAsia="宋体" w:cs="Times New Roman"/>
                <w:color w:val="auto"/>
                <w:sz w:val="24"/>
                <w:highlight w:val="none"/>
                <w:lang w:val="en-US" w:eastAsia="zh-CN"/>
              </w:rPr>
              <w:t>/a，废漆渣</w:t>
            </w:r>
            <w:r>
              <w:rPr>
                <w:rFonts w:hint="default" w:ascii="Times New Roman" w:hAnsi="Times New Roman" w:eastAsia="宋体" w:cs="Times New Roman"/>
                <w:color w:val="auto"/>
                <w:sz w:val="24"/>
                <w:szCs w:val="24"/>
                <w:lang w:val="en-US" w:eastAsia="zh-CN"/>
              </w:rPr>
              <w:t>属于《固体废物分类与代码目录》（公告2024年第4号）中的</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SW59其他工业固体废物-非特定行业-900-099-S59其他工业生产过程中产生的固体废物</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收集暂存于一般固废暂存区，</w:t>
            </w:r>
            <w:r>
              <w:rPr>
                <w:rFonts w:hint="default" w:ascii="Times New Roman" w:hAnsi="Times New Roman" w:eastAsia="宋体" w:cs="Times New Roman"/>
                <w:color w:val="auto"/>
                <w:sz w:val="24"/>
                <w:szCs w:val="24"/>
                <w:lang w:val="en-US" w:eastAsia="zh-CN"/>
              </w:rPr>
              <w:t>定期外售于物资回收公司</w:t>
            </w:r>
            <w:r>
              <w:rPr>
                <w:rFonts w:hint="default" w:ascii="Times New Roman" w:hAnsi="Times New Roman" w:eastAsia="宋体" w:cs="Times New Roman"/>
                <w:color w:val="auto"/>
                <w:sz w:val="24"/>
                <w:szCs w:val="24"/>
                <w:lang w:eastAsia="zh-CN"/>
              </w:rPr>
              <w:t>。</w:t>
            </w:r>
          </w:p>
          <w:p w14:paraId="41ECF51E">
            <w:pPr>
              <w:snapToGrid/>
              <w:spacing w:line="360" w:lineRule="auto"/>
              <w:ind w:firstLine="480" w:firstLineChars="200"/>
              <w:rPr>
                <w:rFonts w:hint="eastAsia"/>
                <w:color w:val="auto"/>
                <w:sz w:val="24"/>
                <w:highlight w:val="none"/>
              </w:rPr>
            </w:pPr>
            <w:r>
              <w:rPr>
                <w:rFonts w:hint="eastAsia"/>
                <w:color w:val="auto"/>
                <w:sz w:val="24"/>
                <w:highlight w:val="none"/>
                <w:lang w:val="en-US" w:eastAsia="zh-CN"/>
              </w:rPr>
              <w:t>⑤</w:t>
            </w:r>
            <w:r>
              <w:rPr>
                <w:rFonts w:hint="eastAsia"/>
                <w:color w:val="auto"/>
                <w:sz w:val="24"/>
                <w:highlight w:val="none"/>
              </w:rPr>
              <w:t>废</w:t>
            </w:r>
            <w:r>
              <w:rPr>
                <w:rFonts w:hint="eastAsia"/>
                <w:color w:val="auto"/>
                <w:sz w:val="24"/>
                <w:highlight w:val="none"/>
                <w:lang w:val="en-US" w:eastAsia="zh-CN"/>
              </w:rPr>
              <w:t>反渗透膜</w:t>
            </w:r>
          </w:p>
          <w:p w14:paraId="73E0A367">
            <w:pPr>
              <w:pStyle w:val="27"/>
              <w:spacing w:line="360" w:lineRule="auto"/>
              <w:ind w:right="86" w:firstLine="480" w:firstLineChars="200"/>
              <w:jc w:val="left"/>
              <w:rPr>
                <w:rFonts w:hint="default" w:ascii="Times New Roman" w:hAnsi="Times New Roman" w:cs="Times New Roman" w:eastAsiaTheme="minorEastAsia"/>
                <w:color w:val="auto"/>
                <w:sz w:val="24"/>
                <w:lang w:val="en-US" w:eastAsia="zh-CN"/>
              </w:rPr>
            </w:pPr>
            <w:r>
              <w:rPr>
                <w:rFonts w:hint="eastAsia"/>
                <w:color w:val="auto"/>
                <w:sz w:val="24"/>
                <w:highlight w:val="none"/>
                <w:lang w:val="en-US" w:eastAsia="zh-CN"/>
              </w:rPr>
              <w:t>纯水制备</w:t>
            </w:r>
            <w:r>
              <w:rPr>
                <w:rFonts w:hint="eastAsia"/>
                <w:color w:val="auto"/>
                <w:sz w:val="24"/>
                <w:highlight w:val="none"/>
              </w:rPr>
              <w:t>过程产生的耗材，废</w:t>
            </w:r>
            <w:r>
              <w:rPr>
                <w:rFonts w:hint="eastAsia"/>
                <w:color w:val="auto"/>
                <w:sz w:val="24"/>
                <w:highlight w:val="none"/>
                <w:lang w:val="en-US" w:eastAsia="zh-CN"/>
              </w:rPr>
              <w:t>反渗透膜</w:t>
            </w:r>
            <w:r>
              <w:rPr>
                <w:rFonts w:hint="eastAsia"/>
                <w:color w:val="auto"/>
                <w:sz w:val="24"/>
                <w:highlight w:val="none"/>
              </w:rPr>
              <w:t>，产生量约为0.</w:t>
            </w:r>
            <w:r>
              <w:rPr>
                <w:rFonts w:hint="eastAsia"/>
                <w:color w:val="auto"/>
                <w:sz w:val="24"/>
                <w:highlight w:val="none"/>
                <w:lang w:val="en-US" w:eastAsia="zh-CN"/>
              </w:rPr>
              <w:t>001</w:t>
            </w:r>
            <w:r>
              <w:rPr>
                <w:rFonts w:hint="eastAsia"/>
                <w:color w:val="auto"/>
                <w:sz w:val="24"/>
                <w:highlight w:val="none"/>
              </w:rPr>
              <w:t>t/a。</w:t>
            </w:r>
            <w:r>
              <w:rPr>
                <w:rFonts w:hint="eastAsia" w:ascii="Times New Roman" w:hAnsi="Times New Roman" w:cs="Times New Roman" w:eastAsiaTheme="minorEastAsia"/>
                <w:color w:val="auto"/>
                <w:sz w:val="24"/>
                <w:lang w:val="en-US" w:eastAsia="zh-CN"/>
              </w:rPr>
              <w:t>暂存于一般固废暂存区，由纯水机厂家检修时回收处置。</w:t>
            </w:r>
          </w:p>
          <w:p w14:paraId="5AF074CB">
            <w:pPr>
              <w:pStyle w:val="27"/>
              <w:numPr>
                <w:ilvl w:val="0"/>
                <w:numId w:val="0"/>
              </w:numPr>
              <w:spacing w:line="360" w:lineRule="auto"/>
              <w:ind w:firstLine="460" w:firstLineChars="200"/>
              <w:rPr>
                <w:rFonts w:hint="default" w:ascii="Times New Roman" w:hAnsi="Times New Roman" w:eastAsia="宋体" w:cs="Times New Roman"/>
                <w:color w:val="auto"/>
                <w:spacing w:val="-5"/>
                <w:kern w:val="2"/>
                <w:sz w:val="24"/>
                <w:szCs w:val="24"/>
                <w:lang w:val="en-US" w:eastAsia="zh-CN" w:bidi="ar-SA"/>
              </w:rPr>
            </w:pPr>
            <w:r>
              <w:rPr>
                <w:rFonts w:hint="eastAsia" w:ascii="Times New Roman" w:hAnsi="Times New Roman" w:eastAsia="宋体" w:cs="Times New Roman"/>
                <w:color w:val="auto"/>
                <w:spacing w:val="-5"/>
                <w:kern w:val="2"/>
                <w:sz w:val="24"/>
                <w:szCs w:val="24"/>
                <w:lang w:val="en-US" w:eastAsia="zh-CN" w:bidi="ar-SA"/>
              </w:rPr>
              <w:t>（3）</w:t>
            </w:r>
            <w:r>
              <w:rPr>
                <w:rFonts w:hint="default" w:ascii="Times New Roman" w:hAnsi="Times New Roman" w:eastAsia="宋体" w:cs="Times New Roman"/>
                <w:color w:val="auto"/>
                <w:spacing w:val="-5"/>
                <w:kern w:val="2"/>
                <w:sz w:val="24"/>
                <w:szCs w:val="24"/>
                <w:lang w:val="en-US" w:eastAsia="zh-CN" w:bidi="ar-SA"/>
              </w:rPr>
              <w:t>危险废物</w:t>
            </w:r>
          </w:p>
          <w:p w14:paraId="52FC96B2">
            <w:pPr>
              <w:keepNext w:val="0"/>
              <w:keepLines w:val="0"/>
              <w:pageBreakBefore w:val="0"/>
              <w:kinsoku/>
              <w:wordWrap/>
              <w:overflowPunct/>
              <w:topLinePunct w:val="0"/>
              <w:autoSpaceDE w:val="0"/>
              <w:autoSpaceDN w:val="0"/>
              <w:bidi w:val="0"/>
              <w:adjustRightInd w:val="0"/>
              <w:snapToGrid/>
              <w:spacing w:beforeAutospacing="0" w:afterAutospacing="0" w:line="360" w:lineRule="auto"/>
              <w:ind w:left="0" w:leftChars="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①</w:t>
            </w:r>
            <w:r>
              <w:rPr>
                <w:rFonts w:hint="default" w:ascii="Times New Roman" w:hAnsi="Times New Roman" w:eastAsia="宋体" w:cs="Times New Roman"/>
                <w:color w:val="auto"/>
                <w:sz w:val="24"/>
                <w:szCs w:val="24"/>
                <w:lang w:eastAsia="zh-CN"/>
              </w:rPr>
              <w:t>废机油</w:t>
            </w:r>
            <w:r>
              <w:rPr>
                <w:rFonts w:hint="default" w:ascii="Times New Roman" w:hAnsi="Times New Roman" w:eastAsia="宋体" w:cs="Times New Roman"/>
                <w:color w:val="auto"/>
                <w:sz w:val="24"/>
                <w:szCs w:val="24"/>
                <w:lang w:val="en-US" w:eastAsia="zh-CN"/>
              </w:rPr>
              <w:t>及废油桶</w:t>
            </w:r>
          </w:p>
          <w:p w14:paraId="451CCD59">
            <w:pPr>
              <w:keepNext w:val="0"/>
              <w:keepLines w:val="0"/>
              <w:pageBreakBefore w:val="0"/>
              <w:kinsoku/>
              <w:wordWrap/>
              <w:overflowPunct/>
              <w:topLinePunct w:val="0"/>
              <w:autoSpaceDE w:val="0"/>
              <w:autoSpaceDN w:val="0"/>
              <w:bidi w:val="0"/>
              <w:adjustRightInd w:val="0"/>
              <w:snapToGrid/>
              <w:spacing w:beforeAutospacing="0" w:afterAutospacing="0" w:line="360" w:lineRule="auto"/>
              <w:ind w:left="0" w:leftChars="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highlight w:val="none"/>
                <w:lang w:eastAsia="zh-CN"/>
              </w:rPr>
              <w:t>本次项目</w:t>
            </w:r>
            <w:r>
              <w:rPr>
                <w:rFonts w:hint="default" w:ascii="Times New Roman" w:hAnsi="Times New Roman" w:eastAsia="宋体" w:cs="Times New Roman"/>
                <w:color w:val="auto"/>
                <w:sz w:val="24"/>
                <w:highlight w:val="none"/>
              </w:rPr>
              <w:t>设备维护过程中会产生一定的废</w:t>
            </w:r>
            <w:r>
              <w:rPr>
                <w:rFonts w:hint="default" w:ascii="Times New Roman" w:hAnsi="Times New Roman" w:eastAsia="宋体" w:cs="Times New Roman"/>
                <w:color w:val="auto"/>
                <w:sz w:val="24"/>
                <w:highlight w:val="none"/>
                <w:lang w:eastAsia="zh-CN"/>
              </w:rPr>
              <w:t>机油</w:t>
            </w:r>
            <w:r>
              <w:rPr>
                <w:rFonts w:hint="default" w:ascii="Times New Roman" w:hAnsi="Times New Roman" w:eastAsia="宋体" w:cs="Times New Roman"/>
                <w:color w:val="auto"/>
                <w:sz w:val="24"/>
                <w:highlight w:val="none"/>
              </w:rPr>
              <w:t>，废</w:t>
            </w:r>
            <w:r>
              <w:rPr>
                <w:rFonts w:hint="default" w:ascii="Times New Roman" w:hAnsi="Times New Roman" w:eastAsia="宋体" w:cs="Times New Roman"/>
                <w:color w:val="auto"/>
                <w:sz w:val="24"/>
                <w:highlight w:val="none"/>
                <w:lang w:eastAsia="zh-CN"/>
              </w:rPr>
              <w:t>机油</w:t>
            </w:r>
            <w:r>
              <w:rPr>
                <w:rFonts w:hint="default" w:ascii="Times New Roman" w:hAnsi="Times New Roman" w:eastAsia="宋体" w:cs="Times New Roman"/>
                <w:color w:val="auto"/>
                <w:sz w:val="24"/>
                <w:highlight w:val="none"/>
              </w:rPr>
              <w:t>产生量约为</w:t>
            </w:r>
            <w:r>
              <w:rPr>
                <w:rFonts w:hint="eastAsia" w:eastAsia="宋体" w:cs="Times New Roman"/>
                <w:color w:val="auto"/>
                <w:sz w:val="24"/>
                <w:highlight w:val="none"/>
                <w:lang w:val="en-US" w:eastAsia="zh-CN"/>
              </w:rPr>
              <w:t>0.6</w:t>
            </w:r>
            <w:r>
              <w:rPr>
                <w:rFonts w:hint="default" w:ascii="Times New Roman" w:hAnsi="Times New Roman" w:eastAsia="宋体" w:cs="Times New Roman"/>
                <w:color w:val="auto"/>
                <w:sz w:val="24"/>
                <w:highlight w:val="none"/>
              </w:rPr>
              <w:t>t/a</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szCs w:val="24"/>
                <w:lang w:val="en-US" w:eastAsia="zh-CN"/>
              </w:rPr>
              <w:t>经查阅《国家危险废物名录》（2021版），废机油及废油桶属于</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HW08废矿物油与含矿物油废物中非特定行业900-249-08其他生产、销售、使用过程中产生的废矿物油及沾染矿物油的废弃包装物</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eastAsia="zh-CN"/>
              </w:rPr>
              <w:t>废机油</w:t>
            </w:r>
            <w:r>
              <w:rPr>
                <w:rFonts w:hint="default" w:ascii="Times New Roman" w:hAnsi="Times New Roman" w:eastAsia="宋体" w:cs="Times New Roman"/>
                <w:color w:val="auto"/>
                <w:sz w:val="24"/>
                <w:szCs w:val="24"/>
                <w:lang w:val="en-US" w:eastAsia="zh-CN"/>
              </w:rPr>
              <w:t>及废油桶收集后妥善暂存于危废贮存间，定期交由有资质单位安全处置。</w:t>
            </w:r>
          </w:p>
          <w:p w14:paraId="6F9B6595">
            <w:pPr>
              <w:snapToGrid/>
              <w:spacing w:line="360" w:lineRule="auto"/>
              <w:ind w:firstLine="480" w:firstLineChars="200"/>
              <w:rPr>
                <w:rFonts w:hint="default" w:ascii="Times New Roman" w:hAnsi="Times New Roman" w:eastAsia="宋体" w:cs="Times New Roman"/>
                <w:color w:val="auto"/>
                <w:sz w:val="24"/>
                <w:highlight w:val="none"/>
              </w:rPr>
            </w:pPr>
            <w:r>
              <w:rPr>
                <w:rFonts w:hint="eastAsia"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lang w:val="en-US" w:eastAsia="zh-CN"/>
              </w:rPr>
              <w:t>废活性炭</w:t>
            </w:r>
          </w:p>
          <w:p w14:paraId="4A79B076">
            <w:pPr>
              <w:snapToGrid/>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采用二级活性炭吸附装置处理有机废气，活性炭采用颗粒活性炭作为吸附剂，其碘值不宜低于800mg/g。根据《简明通风设计手册》（中国建筑工业出版社，孙一坚），活性炭消耗量：有机气体废气量的比值约为4:1（即吸收1t有机废气需要4t活性炭）。根据废气收集效率和二级活性炭</w:t>
            </w:r>
            <w:r>
              <w:rPr>
                <w:rFonts w:hint="eastAsia" w:cs="Times New Roman"/>
                <w:color w:val="auto"/>
                <w:sz w:val="24"/>
                <w:highlight w:val="none"/>
                <w:lang w:val="en-US" w:eastAsia="zh-CN"/>
              </w:rPr>
              <w:t>去</w:t>
            </w:r>
            <w:r>
              <w:rPr>
                <w:rFonts w:hint="default" w:ascii="Times New Roman" w:hAnsi="Times New Roman" w:eastAsia="宋体" w:cs="Times New Roman"/>
                <w:color w:val="auto"/>
                <w:sz w:val="24"/>
                <w:highlight w:val="none"/>
                <w:lang w:val="en-US" w:eastAsia="zh-CN"/>
              </w:rPr>
              <w:t>除效率，经计算，本项目活性炭吸附的有机废气量为</w:t>
            </w:r>
            <w:r>
              <w:rPr>
                <w:rFonts w:hint="eastAsia" w:ascii="Times New Roman" w:hAnsi="Times New Roman" w:eastAsia="宋体" w:cs="Times New Roman"/>
                <w:color w:val="auto"/>
                <w:sz w:val="24"/>
                <w:highlight w:val="none"/>
                <w:lang w:val="en-US" w:eastAsia="zh-CN"/>
              </w:rPr>
              <w:t>0.</w:t>
            </w:r>
            <w:r>
              <w:rPr>
                <w:rFonts w:hint="eastAsia" w:eastAsia="宋体" w:cs="Times New Roman"/>
                <w:color w:val="auto"/>
                <w:sz w:val="24"/>
                <w:highlight w:val="none"/>
                <w:lang w:val="en-US" w:eastAsia="zh-CN"/>
              </w:rPr>
              <w:t>5</w:t>
            </w:r>
            <w:r>
              <w:rPr>
                <w:rFonts w:hint="eastAsia" w:cs="Times New Roman"/>
                <w:color w:val="auto"/>
                <w:sz w:val="24"/>
                <w:highlight w:val="none"/>
                <w:lang w:val="en-US" w:eastAsia="zh-CN"/>
              </w:rPr>
              <w:t>772</w:t>
            </w:r>
            <w:r>
              <w:rPr>
                <w:rFonts w:hint="default" w:ascii="Times New Roman" w:hAnsi="Times New Roman" w:eastAsia="宋体" w:cs="Times New Roman"/>
                <w:color w:val="auto"/>
                <w:sz w:val="24"/>
                <w:highlight w:val="none"/>
                <w:lang w:val="en-US" w:eastAsia="zh-CN"/>
              </w:rPr>
              <w:t>t/a，则活性炭消耗量为</w:t>
            </w:r>
            <w:r>
              <w:rPr>
                <w:rFonts w:hint="eastAsia" w:eastAsia="宋体" w:cs="Times New Roman"/>
                <w:color w:val="auto"/>
                <w:sz w:val="24"/>
                <w:highlight w:val="none"/>
                <w:lang w:val="en-US" w:eastAsia="zh-CN"/>
              </w:rPr>
              <w:t>2.3</w:t>
            </w:r>
            <w:r>
              <w:rPr>
                <w:rFonts w:hint="eastAsia" w:cs="Times New Roman"/>
                <w:color w:val="auto"/>
                <w:sz w:val="24"/>
                <w:highlight w:val="none"/>
                <w:lang w:val="en-US" w:eastAsia="zh-CN"/>
              </w:rPr>
              <w:t>088</w:t>
            </w:r>
            <w:r>
              <w:rPr>
                <w:rFonts w:hint="default" w:ascii="Times New Roman" w:hAnsi="Times New Roman" w:eastAsia="宋体" w:cs="Times New Roman"/>
                <w:color w:val="auto"/>
                <w:sz w:val="24"/>
                <w:highlight w:val="none"/>
                <w:lang w:val="en-US" w:eastAsia="zh-CN"/>
              </w:rPr>
              <w:t>t/a，则项目产生的废活性炭量约为</w:t>
            </w:r>
            <w:r>
              <w:rPr>
                <w:rFonts w:hint="eastAsia" w:eastAsia="宋体" w:cs="Times New Roman"/>
                <w:color w:val="auto"/>
                <w:sz w:val="24"/>
                <w:highlight w:val="none"/>
                <w:lang w:val="en-US" w:eastAsia="zh-CN"/>
              </w:rPr>
              <w:t>2.</w:t>
            </w:r>
            <w:r>
              <w:rPr>
                <w:rFonts w:hint="eastAsia" w:cs="Times New Roman"/>
                <w:color w:val="auto"/>
                <w:sz w:val="24"/>
                <w:highlight w:val="none"/>
                <w:lang w:val="en-US" w:eastAsia="zh-CN"/>
              </w:rPr>
              <w:t>876</w:t>
            </w:r>
            <w:r>
              <w:rPr>
                <w:rFonts w:hint="default" w:ascii="Times New Roman" w:hAnsi="Times New Roman" w:eastAsia="宋体" w:cs="Times New Roman"/>
                <w:color w:val="auto"/>
                <w:sz w:val="24"/>
                <w:highlight w:val="none"/>
                <w:lang w:val="en-US" w:eastAsia="zh-CN"/>
              </w:rPr>
              <w:t>t/a。废活性炭属于《国家危险废物名录》（2021年版）中</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HW49其他废物</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中的</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900-039-49烟气、</w:t>
            </w:r>
            <w:r>
              <w:rPr>
                <w:rFonts w:hint="eastAsia" w:ascii="Times New Roman" w:hAnsi="Times New Roman" w:eastAsia="宋体" w:cs="Times New Roman"/>
                <w:color w:val="auto"/>
                <w:sz w:val="24"/>
                <w:highlight w:val="none"/>
                <w:lang w:val="en-US" w:eastAsia="zh-CN"/>
              </w:rPr>
              <w:t>VOCs</w:t>
            </w:r>
            <w:r>
              <w:rPr>
                <w:rFonts w:hint="default" w:ascii="Times New Roman" w:hAnsi="Times New Roman" w:eastAsia="宋体" w:cs="Times New Roman"/>
                <w:color w:val="auto"/>
                <w:sz w:val="24"/>
                <w:highlight w:val="none"/>
                <w:lang w:val="en-US" w:eastAsia="zh-CN"/>
              </w:rPr>
              <w:t>治理过程（不包括餐饮行业油烟治理过程）产生的废活性炭，化学原料和化学制品脱色（不包括有机合成食品添加剂脱色）、除杂、净化过程产生的废活性炭（不包括900-405-06、772-005-18、261-053-29、265-002-29、384-003-29、387-001-29类废物）</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，故废活性炭为危险废物，分类收集后妥善暂存于危险废物贮存间，交由陕西绿林环保科技有限公司进行处理。</w:t>
            </w:r>
          </w:p>
          <w:p w14:paraId="6BDFDA9B">
            <w:pPr>
              <w:spacing w:line="360" w:lineRule="auto"/>
              <w:ind w:left="420" w:leftChars="200" w:firstLine="0" w:firstLineChars="0"/>
              <w:rPr>
                <w:rFonts w:hint="eastAsia"/>
                <w:color w:val="auto"/>
                <w:sz w:val="24"/>
                <w:highlight w:val="none"/>
              </w:rPr>
            </w:pPr>
            <w:r>
              <w:rPr>
                <w:rFonts w:hint="eastAsia"/>
                <w:color w:val="auto"/>
                <w:sz w:val="24"/>
                <w:highlight w:val="none"/>
                <w:lang w:val="en-US" w:eastAsia="zh-CN"/>
              </w:rPr>
              <w:t>③</w:t>
            </w:r>
            <w:r>
              <w:rPr>
                <w:rFonts w:hint="eastAsia"/>
                <w:color w:val="auto"/>
                <w:sz w:val="24"/>
                <w:highlight w:val="none"/>
              </w:rPr>
              <w:t>废超滤滤芯</w:t>
            </w:r>
          </w:p>
          <w:p w14:paraId="7A0D17CD">
            <w:pPr>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rPr>
              <w:t>超滤过程产生的耗材，废超滤滤芯，产生量约为0.</w:t>
            </w:r>
            <w:r>
              <w:rPr>
                <w:rFonts w:hint="eastAsia"/>
                <w:color w:val="auto"/>
                <w:sz w:val="24"/>
                <w:highlight w:val="none"/>
                <w:lang w:val="en-US" w:eastAsia="zh-CN"/>
              </w:rPr>
              <w:t>1</w:t>
            </w:r>
            <w:r>
              <w:rPr>
                <w:rFonts w:hint="eastAsia"/>
                <w:color w:val="auto"/>
                <w:sz w:val="24"/>
                <w:highlight w:val="none"/>
              </w:rPr>
              <w:t>t/a。废物类别为HW49其他废物（900-041-49），危险特性为毒性、感染性危险废物（T/In），</w:t>
            </w:r>
            <w:r>
              <w:rPr>
                <w:rFonts w:hint="default" w:ascii="Times New Roman" w:hAnsi="Times New Roman" w:eastAsia="宋体" w:cs="Times New Roman"/>
                <w:color w:val="auto"/>
                <w:sz w:val="24"/>
                <w:highlight w:val="none"/>
                <w:lang w:val="en-US" w:eastAsia="zh-CN"/>
              </w:rPr>
              <w:t>分类收集后妥善暂存于危险废物贮存间，交由陕西绿林环保科技有限公司进行处理。</w:t>
            </w:r>
          </w:p>
          <w:p w14:paraId="3C8F5AD0">
            <w:pPr>
              <w:snapToGrid/>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④废油槽渣</w:t>
            </w:r>
          </w:p>
          <w:p w14:paraId="5EEC4CF9">
            <w:pPr>
              <w:snapToGrid/>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rPr>
              <w:t>本项目</w:t>
            </w:r>
            <w:r>
              <w:rPr>
                <w:rFonts w:hint="eastAsia"/>
                <w:color w:val="auto"/>
                <w:sz w:val="24"/>
                <w:highlight w:val="none"/>
                <w:lang w:val="en-US" w:eastAsia="zh-CN"/>
              </w:rPr>
              <w:t>除油</w:t>
            </w:r>
            <w:r>
              <w:rPr>
                <w:rFonts w:hint="eastAsia"/>
                <w:color w:val="auto"/>
                <w:sz w:val="24"/>
                <w:highlight w:val="none"/>
              </w:rPr>
              <w:t>过程会产生主</w:t>
            </w:r>
            <w:r>
              <w:rPr>
                <w:rFonts w:hint="eastAsia"/>
                <w:color w:val="auto"/>
                <w:sz w:val="24"/>
                <w:highlight w:val="none"/>
                <w:lang w:val="en-US" w:eastAsia="zh-CN"/>
              </w:rPr>
              <w:t>废</w:t>
            </w:r>
            <w:r>
              <w:rPr>
                <w:rFonts w:hint="eastAsia"/>
                <w:color w:val="auto"/>
                <w:sz w:val="24"/>
                <w:highlight w:val="none"/>
              </w:rPr>
              <w:t>电泳</w:t>
            </w:r>
            <w:r>
              <w:rPr>
                <w:rFonts w:hint="eastAsia"/>
                <w:color w:val="auto"/>
                <w:sz w:val="24"/>
                <w:highlight w:val="none"/>
                <w:lang w:val="en-US" w:eastAsia="zh-CN"/>
              </w:rPr>
              <w:t>漆渣</w:t>
            </w:r>
            <w:r>
              <w:rPr>
                <w:rFonts w:hint="eastAsia"/>
                <w:color w:val="auto"/>
                <w:sz w:val="24"/>
                <w:highlight w:val="none"/>
              </w:rPr>
              <w:t>，</w:t>
            </w:r>
            <w:r>
              <w:rPr>
                <w:rFonts w:hint="eastAsia"/>
                <w:color w:val="auto"/>
                <w:sz w:val="24"/>
                <w:highlight w:val="none"/>
                <w:lang w:val="en-US" w:eastAsia="zh-CN"/>
              </w:rPr>
              <w:t>除油</w:t>
            </w:r>
            <w:r>
              <w:rPr>
                <w:rFonts w:hint="eastAsia"/>
                <w:color w:val="auto"/>
                <w:sz w:val="24"/>
                <w:highlight w:val="none"/>
              </w:rPr>
              <w:t>槽每月清渣1次，每次约产生电泳废渣0.0</w:t>
            </w:r>
            <w:r>
              <w:rPr>
                <w:rFonts w:hint="eastAsia"/>
                <w:color w:val="auto"/>
                <w:sz w:val="24"/>
                <w:highlight w:val="none"/>
                <w:lang w:val="en-US" w:eastAsia="zh-CN"/>
              </w:rPr>
              <w:t>2</w:t>
            </w:r>
            <w:r>
              <w:rPr>
                <w:rFonts w:hint="eastAsia"/>
                <w:color w:val="auto"/>
                <w:sz w:val="24"/>
                <w:highlight w:val="none"/>
              </w:rPr>
              <w:t>t，年产生量为0.</w:t>
            </w:r>
            <w:r>
              <w:rPr>
                <w:rFonts w:hint="eastAsia"/>
                <w:color w:val="auto"/>
                <w:sz w:val="24"/>
                <w:highlight w:val="none"/>
                <w:lang w:val="en-US" w:eastAsia="zh-CN"/>
              </w:rPr>
              <w:t>24</w:t>
            </w:r>
            <w:r>
              <w:rPr>
                <w:rFonts w:hint="eastAsia"/>
                <w:color w:val="auto"/>
                <w:sz w:val="24"/>
                <w:highlight w:val="none"/>
              </w:rPr>
              <w:t>t/a，为危险废物，废物类别为HW17表面处理废物（336-064-17），危险特性为毒性、腐蚀性危险废物（T/C），</w:t>
            </w:r>
            <w:r>
              <w:rPr>
                <w:rFonts w:hint="default" w:ascii="Times New Roman" w:hAnsi="Times New Roman" w:eastAsia="宋体" w:cs="Times New Roman"/>
                <w:color w:val="auto"/>
                <w:sz w:val="24"/>
                <w:highlight w:val="none"/>
                <w:lang w:val="en-US" w:eastAsia="zh-CN"/>
              </w:rPr>
              <w:t>收集后妥善暂存于危险废物贮存间，交由陕西绿林环保科技有限公司进行处理。</w:t>
            </w:r>
          </w:p>
          <w:p w14:paraId="7F02B438">
            <w:pPr>
              <w:tabs>
                <w:tab w:val="left" w:pos="3000"/>
              </w:tabs>
              <w:adjustRightInd w:val="0"/>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⑤废陶化槽渣</w:t>
            </w:r>
          </w:p>
          <w:p w14:paraId="5B8C9A0D">
            <w:pPr>
              <w:tabs>
                <w:tab w:val="left" w:pos="3000"/>
              </w:tabs>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rPr>
              <w:t>本项目</w:t>
            </w:r>
            <w:r>
              <w:rPr>
                <w:rFonts w:hint="eastAsia"/>
                <w:color w:val="auto"/>
                <w:sz w:val="24"/>
                <w:highlight w:val="none"/>
                <w:lang w:val="en-US" w:eastAsia="zh-CN"/>
              </w:rPr>
              <w:t>陶化</w:t>
            </w:r>
            <w:r>
              <w:rPr>
                <w:rFonts w:hint="eastAsia"/>
                <w:color w:val="auto"/>
                <w:sz w:val="24"/>
                <w:highlight w:val="none"/>
              </w:rPr>
              <w:t>过程会产生主</w:t>
            </w:r>
            <w:r>
              <w:rPr>
                <w:rFonts w:hint="eastAsia"/>
                <w:color w:val="auto"/>
                <w:sz w:val="24"/>
                <w:highlight w:val="none"/>
                <w:lang w:val="en-US" w:eastAsia="zh-CN"/>
              </w:rPr>
              <w:t>废</w:t>
            </w:r>
            <w:r>
              <w:rPr>
                <w:rFonts w:hint="eastAsia" w:cs="Times New Roman"/>
                <w:color w:val="auto"/>
                <w:highlight w:val="none"/>
                <w:lang w:val="en-US" w:eastAsia="zh-CN"/>
              </w:rPr>
              <w:t>陶化槽渣</w:t>
            </w:r>
            <w:r>
              <w:rPr>
                <w:rFonts w:hint="eastAsia"/>
                <w:color w:val="auto"/>
                <w:sz w:val="24"/>
                <w:highlight w:val="none"/>
              </w:rPr>
              <w:t>，</w:t>
            </w:r>
            <w:r>
              <w:rPr>
                <w:rFonts w:hint="eastAsia"/>
                <w:color w:val="auto"/>
                <w:sz w:val="24"/>
                <w:highlight w:val="none"/>
                <w:lang w:val="en-US" w:eastAsia="zh-CN"/>
              </w:rPr>
              <w:t>陶化</w:t>
            </w:r>
            <w:r>
              <w:rPr>
                <w:rFonts w:hint="eastAsia"/>
                <w:color w:val="auto"/>
                <w:sz w:val="24"/>
                <w:highlight w:val="none"/>
              </w:rPr>
              <w:t>槽每月清渣1次，每次约产生电泳废渣0.0</w:t>
            </w:r>
            <w:r>
              <w:rPr>
                <w:rFonts w:hint="eastAsia"/>
                <w:color w:val="auto"/>
                <w:sz w:val="24"/>
                <w:highlight w:val="none"/>
                <w:lang w:val="en-US" w:eastAsia="zh-CN"/>
              </w:rPr>
              <w:t>2</w:t>
            </w:r>
            <w:r>
              <w:rPr>
                <w:rFonts w:hint="eastAsia"/>
                <w:color w:val="auto"/>
                <w:sz w:val="24"/>
                <w:highlight w:val="none"/>
              </w:rPr>
              <w:t>t，年产生量为0.</w:t>
            </w:r>
            <w:r>
              <w:rPr>
                <w:rFonts w:hint="eastAsia"/>
                <w:color w:val="auto"/>
                <w:sz w:val="24"/>
                <w:highlight w:val="none"/>
                <w:lang w:val="en-US" w:eastAsia="zh-CN"/>
              </w:rPr>
              <w:t>24</w:t>
            </w:r>
            <w:r>
              <w:rPr>
                <w:rFonts w:hint="eastAsia"/>
                <w:color w:val="auto"/>
                <w:sz w:val="24"/>
                <w:highlight w:val="none"/>
              </w:rPr>
              <w:t>t/a，为危险废物，废物类别为HW17表面处理废物（336-064-17），危险特性为毒性、腐蚀性危险废物（T/C），</w:t>
            </w:r>
            <w:r>
              <w:rPr>
                <w:rFonts w:hint="default" w:ascii="Times New Roman" w:hAnsi="Times New Roman" w:eastAsia="宋体" w:cs="Times New Roman"/>
                <w:color w:val="auto"/>
                <w:sz w:val="24"/>
                <w:highlight w:val="none"/>
                <w:lang w:val="en-US" w:eastAsia="zh-CN"/>
              </w:rPr>
              <w:t>收集后妥善暂存于危险废物贮存间，交由陕西绿林环保科技有限公司进行处理。</w:t>
            </w:r>
          </w:p>
          <w:p w14:paraId="21D76A47">
            <w:pPr>
              <w:snapToGrid/>
              <w:spacing w:line="360" w:lineRule="auto"/>
              <w:ind w:firstLine="480" w:firstLineChars="200"/>
              <w:rPr>
                <w:rFonts w:hint="eastAsia" w:eastAsia="宋体"/>
                <w:color w:val="auto"/>
                <w:lang w:eastAsia="zh-CN"/>
              </w:rPr>
            </w:pPr>
            <w:r>
              <w:rPr>
                <w:rFonts w:hint="eastAsia"/>
                <w:color w:val="auto"/>
                <w:sz w:val="24"/>
                <w:highlight w:val="none"/>
                <w:lang w:val="en-US" w:eastAsia="zh-CN"/>
              </w:rPr>
              <w:t>⑥废</w:t>
            </w:r>
            <w:r>
              <w:rPr>
                <w:rFonts w:hint="eastAsia"/>
                <w:color w:val="auto"/>
                <w:sz w:val="24"/>
                <w:highlight w:val="none"/>
              </w:rPr>
              <w:t>电泳</w:t>
            </w:r>
            <w:r>
              <w:rPr>
                <w:rFonts w:hint="eastAsia"/>
                <w:color w:val="auto"/>
                <w:sz w:val="24"/>
                <w:highlight w:val="none"/>
                <w:lang w:val="en-US" w:eastAsia="zh-CN"/>
              </w:rPr>
              <w:t>漆渣</w:t>
            </w:r>
          </w:p>
          <w:p w14:paraId="61240391">
            <w:pPr>
              <w:tabs>
                <w:tab w:val="left" w:pos="3000"/>
              </w:tabs>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olor w:val="auto"/>
                <w:sz w:val="24"/>
                <w:highlight w:val="none"/>
              </w:rPr>
              <w:t>本项目电泳过程会产生主</w:t>
            </w:r>
            <w:r>
              <w:rPr>
                <w:rFonts w:hint="eastAsia"/>
                <w:color w:val="auto"/>
                <w:sz w:val="24"/>
                <w:highlight w:val="none"/>
                <w:lang w:val="en-US" w:eastAsia="zh-CN"/>
              </w:rPr>
              <w:t>废</w:t>
            </w:r>
            <w:r>
              <w:rPr>
                <w:rFonts w:hint="eastAsia"/>
                <w:color w:val="auto"/>
                <w:sz w:val="24"/>
                <w:highlight w:val="none"/>
              </w:rPr>
              <w:t>电泳</w:t>
            </w:r>
            <w:r>
              <w:rPr>
                <w:rFonts w:hint="eastAsia"/>
                <w:color w:val="auto"/>
                <w:sz w:val="24"/>
                <w:highlight w:val="none"/>
                <w:lang w:val="en-US" w:eastAsia="zh-CN"/>
              </w:rPr>
              <w:t>漆渣</w:t>
            </w:r>
            <w:r>
              <w:rPr>
                <w:rFonts w:hint="eastAsia"/>
                <w:color w:val="auto"/>
                <w:sz w:val="24"/>
                <w:highlight w:val="none"/>
              </w:rPr>
              <w:t>，电泳槽每月清渣1次，每次约产生电泳废渣0.05t，年产生量为0.6t/a，为危险废物，废物类别为HW17表面处理废物（336-064-17），危险特性为毒性、腐蚀性危险废物（T/C），</w:t>
            </w:r>
            <w:r>
              <w:rPr>
                <w:rFonts w:hint="default" w:ascii="Times New Roman" w:hAnsi="Times New Roman" w:eastAsia="宋体" w:cs="Times New Roman"/>
                <w:color w:val="auto"/>
                <w:sz w:val="24"/>
                <w:highlight w:val="none"/>
                <w:lang w:val="en-US" w:eastAsia="zh-CN"/>
              </w:rPr>
              <w:t>收集后妥善暂存于危险废物贮存间，交由陕西绿林环保科技有限公司进行处理。</w:t>
            </w:r>
          </w:p>
          <w:p w14:paraId="1E413476">
            <w:pPr>
              <w:jc w:val="center"/>
              <w:rPr>
                <w:b/>
                <w:bCs/>
                <w:color w:val="auto"/>
              </w:rPr>
            </w:pPr>
            <w:r>
              <w:rPr>
                <w:b/>
                <w:bCs/>
                <w:color w:val="auto"/>
              </w:rPr>
              <w:t>表</w:t>
            </w:r>
            <w:r>
              <w:rPr>
                <w:rFonts w:hint="eastAsia"/>
                <w:b/>
                <w:bCs/>
                <w:color w:val="auto"/>
              </w:rPr>
              <w:t>4</w:t>
            </w:r>
            <w:r>
              <w:rPr>
                <w:b/>
                <w:bCs/>
                <w:color w:val="auto"/>
              </w:rPr>
              <w:t>-1</w:t>
            </w:r>
            <w:r>
              <w:rPr>
                <w:rFonts w:hint="eastAsia"/>
                <w:b/>
                <w:bCs/>
                <w:color w:val="auto"/>
                <w:lang w:val="en-US" w:eastAsia="zh-CN"/>
              </w:rPr>
              <w:t>0</w:t>
            </w:r>
            <w:r>
              <w:rPr>
                <w:b/>
                <w:bCs/>
                <w:color w:val="auto"/>
              </w:rPr>
              <w:t xml:space="preserve"> </w:t>
            </w:r>
            <w:r>
              <w:rPr>
                <w:rFonts w:hint="eastAsia"/>
                <w:b/>
                <w:bCs/>
                <w:color w:val="auto"/>
              </w:rPr>
              <w:t xml:space="preserve">  </w:t>
            </w:r>
            <w:r>
              <w:rPr>
                <w:b/>
                <w:bCs/>
                <w:color w:val="auto"/>
              </w:rPr>
              <w:t>固体废物产生及处置方式</w:t>
            </w:r>
            <w:r>
              <w:rPr>
                <w:rFonts w:hint="eastAsia"/>
                <w:b/>
                <w:bCs/>
                <w:color w:val="auto"/>
              </w:rPr>
              <w:t>一览表</w:t>
            </w:r>
          </w:p>
          <w:tbl>
            <w:tblPr>
              <w:tblStyle w:val="20"/>
              <w:tblW w:w="7717"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0"/>
              <w:gridCol w:w="1287"/>
              <w:gridCol w:w="750"/>
              <w:gridCol w:w="1200"/>
              <w:gridCol w:w="962"/>
              <w:gridCol w:w="1100"/>
              <w:gridCol w:w="1958"/>
            </w:tblGrid>
            <w:tr w14:paraId="5067E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60" w:type="dxa"/>
                  <w:tcBorders>
                    <w:tl2br w:val="nil"/>
                    <w:tr2bl w:val="nil"/>
                  </w:tcBorders>
                  <w:vAlign w:val="center"/>
                </w:tcPr>
                <w:p w14:paraId="68A40727">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287" w:type="dxa"/>
                  <w:tcBorders>
                    <w:tl2br w:val="nil"/>
                    <w:tr2bl w:val="nil"/>
                  </w:tcBorders>
                  <w:vAlign w:val="center"/>
                </w:tcPr>
                <w:p w14:paraId="0EAC6BFF">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名称</w:t>
                  </w:r>
                </w:p>
              </w:tc>
              <w:tc>
                <w:tcPr>
                  <w:tcW w:w="750" w:type="dxa"/>
                  <w:tcBorders>
                    <w:tl2br w:val="nil"/>
                    <w:tr2bl w:val="nil"/>
                  </w:tcBorders>
                  <w:vAlign w:val="center"/>
                </w:tcPr>
                <w:p w14:paraId="0B7FF063">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类别</w:t>
                  </w:r>
                </w:p>
              </w:tc>
              <w:tc>
                <w:tcPr>
                  <w:tcW w:w="1200" w:type="dxa"/>
                  <w:tcBorders>
                    <w:tl2br w:val="nil"/>
                    <w:tr2bl w:val="nil"/>
                  </w:tcBorders>
                  <w:vAlign w:val="center"/>
                </w:tcPr>
                <w:p w14:paraId="227CC6B2">
                  <w:pPr>
                    <w:jc w:val="center"/>
                    <w:rPr>
                      <w:rFonts w:hint="default" w:ascii="Times New Roman" w:hAnsi="Times New Roman" w:cs="Times New Roman" w:eastAsiaTheme="minorEastAsia"/>
                      <w:b/>
                      <w:bCs/>
                      <w:color w:val="auto"/>
                      <w:sz w:val="21"/>
                      <w:szCs w:val="21"/>
                      <w:lang w:val="en-GB" w:eastAsia="zh-CN"/>
                    </w:rPr>
                  </w:pPr>
                  <w:r>
                    <w:rPr>
                      <w:rFonts w:hint="default" w:ascii="Times New Roman" w:hAnsi="Times New Roman" w:cs="Times New Roman" w:eastAsiaTheme="minorEastAsia"/>
                      <w:b/>
                      <w:bCs/>
                      <w:color w:val="auto"/>
                      <w:sz w:val="21"/>
                      <w:szCs w:val="21"/>
                      <w:lang w:val="en-GB" w:eastAsia="zh-CN"/>
                    </w:rPr>
                    <w:t>废物</w:t>
                  </w:r>
                </w:p>
                <w:p w14:paraId="77C4089C">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GB" w:eastAsia="zh-CN"/>
                    </w:rPr>
                    <w:t>代码</w:t>
                  </w:r>
                </w:p>
              </w:tc>
              <w:tc>
                <w:tcPr>
                  <w:tcW w:w="962" w:type="dxa"/>
                  <w:tcBorders>
                    <w:tl2br w:val="nil"/>
                    <w:tr2bl w:val="nil"/>
                  </w:tcBorders>
                  <w:shd w:val="clear" w:color="auto" w:fill="auto"/>
                  <w:vAlign w:val="center"/>
                </w:tcPr>
                <w:p w14:paraId="614D5F48">
                  <w:pPr>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产生量（t/a）</w:t>
                  </w:r>
                </w:p>
              </w:tc>
              <w:tc>
                <w:tcPr>
                  <w:tcW w:w="1100" w:type="dxa"/>
                  <w:tcBorders>
                    <w:tl2br w:val="nil"/>
                    <w:tr2bl w:val="nil"/>
                  </w:tcBorders>
                  <w:vAlign w:val="center"/>
                </w:tcPr>
                <w:p w14:paraId="05F554E2">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lang w:val="en-GB" w:eastAsia="zh-CN"/>
                    </w:rPr>
                    <w:t>贮存方式</w:t>
                  </w:r>
                </w:p>
              </w:tc>
              <w:tc>
                <w:tcPr>
                  <w:tcW w:w="1958" w:type="dxa"/>
                  <w:tcBorders>
                    <w:tl2br w:val="nil"/>
                    <w:tr2bl w:val="nil"/>
                  </w:tcBorders>
                  <w:vAlign w:val="center"/>
                </w:tcPr>
                <w:p w14:paraId="2DF62437">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防治措施</w:t>
                  </w:r>
                </w:p>
              </w:tc>
            </w:tr>
            <w:tr w14:paraId="4290A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60" w:type="dxa"/>
                  <w:tcBorders>
                    <w:tl2br w:val="nil"/>
                    <w:tr2bl w:val="nil"/>
                  </w:tcBorders>
                  <w:vAlign w:val="center"/>
                </w:tcPr>
                <w:p w14:paraId="5A7A0B9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1287" w:type="dxa"/>
                  <w:tcBorders>
                    <w:tl2br w:val="nil"/>
                    <w:tr2bl w:val="nil"/>
                  </w:tcBorders>
                  <w:vAlign w:val="center"/>
                </w:tcPr>
                <w:p w14:paraId="27919996">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生活垃圾</w:t>
                  </w:r>
                </w:p>
              </w:tc>
              <w:tc>
                <w:tcPr>
                  <w:tcW w:w="750" w:type="dxa"/>
                  <w:tcBorders>
                    <w:tl2br w:val="nil"/>
                    <w:tr2bl w:val="nil"/>
                  </w:tcBorders>
                  <w:vAlign w:val="center"/>
                </w:tcPr>
                <w:p w14:paraId="597EF53D">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w:t>
                  </w:r>
                </w:p>
                <w:p w14:paraId="189E18CD">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垃圾</w:t>
                  </w:r>
                </w:p>
              </w:tc>
              <w:tc>
                <w:tcPr>
                  <w:tcW w:w="1200" w:type="dxa"/>
                  <w:tcBorders>
                    <w:tl2br w:val="nil"/>
                    <w:tr2bl w:val="nil"/>
                  </w:tcBorders>
                  <w:vAlign w:val="center"/>
                </w:tcPr>
                <w:p w14:paraId="1A3A59E8">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962" w:type="dxa"/>
                  <w:tcBorders>
                    <w:tl2br w:val="nil"/>
                    <w:tr2bl w:val="nil"/>
                  </w:tcBorders>
                  <w:shd w:val="clear" w:color="auto" w:fill="auto"/>
                  <w:vAlign w:val="center"/>
                </w:tcPr>
                <w:p w14:paraId="3A50DB1C">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0.66</w:t>
                  </w:r>
                </w:p>
              </w:tc>
              <w:tc>
                <w:tcPr>
                  <w:tcW w:w="1100" w:type="dxa"/>
                  <w:tcBorders>
                    <w:tl2br w:val="nil"/>
                    <w:tr2bl w:val="nil"/>
                  </w:tcBorders>
                  <w:vAlign w:val="center"/>
                </w:tcPr>
                <w:p w14:paraId="3F1A5338">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厂区</w:t>
                  </w:r>
                </w:p>
                <w:p w14:paraId="5741FA45">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垃圾桶</w:t>
                  </w:r>
                </w:p>
              </w:tc>
              <w:tc>
                <w:tcPr>
                  <w:tcW w:w="1958" w:type="dxa"/>
                  <w:tcBorders>
                    <w:tl2br w:val="nil"/>
                    <w:tr2bl w:val="nil"/>
                  </w:tcBorders>
                  <w:vAlign w:val="center"/>
                </w:tcPr>
                <w:p w14:paraId="0EFA1D59">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环卫部门统一收运处置</w:t>
                  </w:r>
                </w:p>
              </w:tc>
            </w:tr>
            <w:tr w14:paraId="018E8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60" w:type="dxa"/>
                  <w:tcBorders>
                    <w:tl2br w:val="nil"/>
                    <w:tr2bl w:val="nil"/>
                  </w:tcBorders>
                  <w:vAlign w:val="center"/>
                </w:tcPr>
                <w:p w14:paraId="16ECD128">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1287" w:type="dxa"/>
                  <w:tcBorders>
                    <w:tl2br w:val="nil"/>
                    <w:tr2bl w:val="nil"/>
                  </w:tcBorders>
                  <w:vAlign w:val="center"/>
                </w:tcPr>
                <w:p w14:paraId="49401D30">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废包装材料</w:t>
                  </w:r>
                </w:p>
              </w:tc>
              <w:tc>
                <w:tcPr>
                  <w:tcW w:w="750" w:type="dxa"/>
                  <w:vMerge w:val="restart"/>
                  <w:tcBorders>
                    <w:tl2br w:val="nil"/>
                    <w:tr2bl w:val="nil"/>
                  </w:tcBorders>
                  <w:vAlign w:val="center"/>
                </w:tcPr>
                <w:p w14:paraId="127DACE4">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一般工业固体废物</w:t>
                  </w:r>
                </w:p>
              </w:tc>
              <w:tc>
                <w:tcPr>
                  <w:tcW w:w="1200" w:type="dxa"/>
                  <w:tcBorders>
                    <w:tl2br w:val="nil"/>
                    <w:tr2bl w:val="nil"/>
                  </w:tcBorders>
                  <w:vAlign w:val="center"/>
                </w:tcPr>
                <w:p w14:paraId="7085AD2C">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962" w:type="dxa"/>
                  <w:tcBorders>
                    <w:tl2br w:val="nil"/>
                    <w:tr2bl w:val="nil"/>
                  </w:tcBorders>
                  <w:shd w:val="clear" w:color="auto" w:fill="auto"/>
                  <w:vAlign w:val="center"/>
                </w:tcPr>
                <w:p w14:paraId="1E4D9529">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0.3</w:t>
                  </w:r>
                </w:p>
              </w:tc>
              <w:tc>
                <w:tcPr>
                  <w:tcW w:w="1100" w:type="dxa"/>
                  <w:vMerge w:val="restart"/>
                  <w:tcBorders>
                    <w:tl2br w:val="nil"/>
                    <w:tr2bl w:val="nil"/>
                  </w:tcBorders>
                  <w:vAlign w:val="center"/>
                </w:tcPr>
                <w:p w14:paraId="5E0C84C2">
                  <w:pPr>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color w:val="auto"/>
                      <w:kern w:val="0"/>
                      <w:sz w:val="21"/>
                      <w:szCs w:val="21"/>
                      <w:highlight w:val="none"/>
                      <w:lang w:val="en-GB" w:eastAsia="zh-CN"/>
                    </w:rPr>
                    <w:t>一般固废暂存区</w:t>
                  </w:r>
                </w:p>
              </w:tc>
              <w:tc>
                <w:tcPr>
                  <w:tcW w:w="1958" w:type="dxa"/>
                  <w:tcBorders>
                    <w:tl2br w:val="nil"/>
                    <w:tr2bl w:val="nil"/>
                  </w:tcBorders>
                  <w:vAlign w:val="center"/>
                </w:tcPr>
                <w:p w14:paraId="134D99B3">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废品收购部门收购</w:t>
                  </w:r>
                </w:p>
              </w:tc>
            </w:tr>
            <w:tr w14:paraId="3CF05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60" w:type="dxa"/>
                  <w:tcBorders>
                    <w:tl2br w:val="nil"/>
                    <w:tr2bl w:val="nil"/>
                  </w:tcBorders>
                  <w:vAlign w:val="center"/>
                </w:tcPr>
                <w:p w14:paraId="5F431520">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1287" w:type="dxa"/>
                  <w:tcBorders>
                    <w:tl2br w:val="nil"/>
                    <w:tr2bl w:val="nil"/>
                  </w:tcBorders>
                  <w:vAlign w:val="center"/>
                </w:tcPr>
                <w:p w14:paraId="7EBFB30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不合格品</w:t>
                  </w:r>
                </w:p>
              </w:tc>
              <w:tc>
                <w:tcPr>
                  <w:tcW w:w="750" w:type="dxa"/>
                  <w:vMerge w:val="continue"/>
                  <w:tcBorders>
                    <w:tl2br w:val="nil"/>
                    <w:tr2bl w:val="nil"/>
                  </w:tcBorders>
                  <w:vAlign w:val="center"/>
                </w:tcPr>
                <w:p w14:paraId="138EA161">
                  <w:pPr>
                    <w:jc w:val="center"/>
                    <w:rPr>
                      <w:rFonts w:hint="default" w:ascii="Times New Roman" w:hAnsi="Times New Roman" w:cs="Times New Roman" w:eastAsiaTheme="minorEastAsia"/>
                      <w:color w:val="auto"/>
                      <w:sz w:val="21"/>
                      <w:szCs w:val="21"/>
                      <w:lang w:val="en-US" w:eastAsia="zh-CN"/>
                    </w:rPr>
                  </w:pPr>
                </w:p>
              </w:tc>
              <w:tc>
                <w:tcPr>
                  <w:tcW w:w="1200" w:type="dxa"/>
                  <w:tcBorders>
                    <w:tl2br w:val="nil"/>
                    <w:tr2bl w:val="nil"/>
                  </w:tcBorders>
                  <w:vAlign w:val="center"/>
                </w:tcPr>
                <w:p w14:paraId="3BFE3A7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962" w:type="dxa"/>
                  <w:tcBorders>
                    <w:tl2br w:val="nil"/>
                    <w:tr2bl w:val="nil"/>
                  </w:tcBorders>
                  <w:shd w:val="clear" w:color="auto" w:fill="auto"/>
                  <w:vAlign w:val="center"/>
                </w:tcPr>
                <w:p w14:paraId="247F6AD2">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0.18</w:t>
                  </w:r>
                </w:p>
              </w:tc>
              <w:tc>
                <w:tcPr>
                  <w:tcW w:w="1100" w:type="dxa"/>
                  <w:vMerge w:val="continue"/>
                  <w:tcBorders>
                    <w:tl2br w:val="nil"/>
                    <w:tr2bl w:val="nil"/>
                  </w:tcBorders>
                  <w:vAlign w:val="center"/>
                </w:tcPr>
                <w:p w14:paraId="03163958">
                  <w:pPr>
                    <w:jc w:val="center"/>
                    <w:rPr>
                      <w:rFonts w:hint="default" w:ascii="Times New Roman" w:hAnsi="Times New Roman" w:cs="Times New Roman" w:eastAsiaTheme="minorEastAsia"/>
                      <w:color w:val="auto"/>
                      <w:sz w:val="21"/>
                      <w:szCs w:val="21"/>
                    </w:rPr>
                  </w:pPr>
                </w:p>
              </w:tc>
              <w:tc>
                <w:tcPr>
                  <w:tcW w:w="1958" w:type="dxa"/>
                  <w:vMerge w:val="restart"/>
                  <w:tcBorders>
                    <w:tl2br w:val="nil"/>
                    <w:tr2bl w:val="nil"/>
                  </w:tcBorders>
                  <w:vAlign w:val="center"/>
                </w:tcPr>
                <w:p w14:paraId="644D1AFA">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回用于生产</w:t>
                  </w:r>
                </w:p>
              </w:tc>
            </w:tr>
            <w:tr w14:paraId="153E8E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60" w:type="dxa"/>
                  <w:tcBorders>
                    <w:tl2br w:val="nil"/>
                    <w:tr2bl w:val="nil"/>
                  </w:tcBorders>
                  <w:vAlign w:val="center"/>
                </w:tcPr>
                <w:p w14:paraId="19EB3565">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287" w:type="dxa"/>
                  <w:tcBorders>
                    <w:tl2br w:val="nil"/>
                    <w:tr2bl w:val="nil"/>
                  </w:tcBorders>
                  <w:shd w:val="clear" w:color="auto" w:fill="auto"/>
                  <w:vAlign w:val="center"/>
                </w:tcPr>
                <w:p w14:paraId="0C9AEE35">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收集粉尘</w:t>
                  </w:r>
                </w:p>
              </w:tc>
              <w:tc>
                <w:tcPr>
                  <w:tcW w:w="750" w:type="dxa"/>
                  <w:vMerge w:val="continue"/>
                  <w:tcBorders>
                    <w:tl2br w:val="nil"/>
                    <w:tr2bl w:val="nil"/>
                  </w:tcBorders>
                  <w:shd w:val="clear" w:color="auto" w:fill="auto"/>
                  <w:vAlign w:val="center"/>
                </w:tcPr>
                <w:p w14:paraId="400E2880">
                  <w:pPr>
                    <w:jc w:val="center"/>
                    <w:rPr>
                      <w:rFonts w:hint="default" w:ascii="Times New Roman" w:hAnsi="Times New Roman" w:cs="Times New Roman" w:eastAsiaTheme="minorEastAsia"/>
                      <w:color w:val="auto"/>
                      <w:sz w:val="21"/>
                      <w:szCs w:val="21"/>
                      <w:lang w:val="en-US" w:eastAsia="zh-CN"/>
                    </w:rPr>
                  </w:pPr>
                </w:p>
              </w:tc>
              <w:tc>
                <w:tcPr>
                  <w:tcW w:w="1200" w:type="dxa"/>
                  <w:tcBorders>
                    <w:tl2br w:val="nil"/>
                    <w:tr2bl w:val="nil"/>
                  </w:tcBorders>
                  <w:shd w:val="clear" w:color="auto" w:fill="auto"/>
                  <w:vAlign w:val="center"/>
                </w:tcPr>
                <w:p w14:paraId="6A571365">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962" w:type="dxa"/>
                  <w:tcBorders>
                    <w:tl2br w:val="nil"/>
                    <w:tr2bl w:val="nil"/>
                  </w:tcBorders>
                  <w:shd w:val="clear" w:color="auto" w:fill="auto"/>
                  <w:vAlign w:val="center"/>
                </w:tcPr>
                <w:p w14:paraId="68AD02C1">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9.2094</w:t>
                  </w:r>
                </w:p>
              </w:tc>
              <w:tc>
                <w:tcPr>
                  <w:tcW w:w="1100" w:type="dxa"/>
                  <w:vMerge w:val="continue"/>
                  <w:tcBorders>
                    <w:tl2br w:val="nil"/>
                    <w:tr2bl w:val="nil"/>
                  </w:tcBorders>
                  <w:vAlign w:val="center"/>
                </w:tcPr>
                <w:p w14:paraId="7CFB53A2">
                  <w:pPr>
                    <w:jc w:val="center"/>
                    <w:rPr>
                      <w:rFonts w:hint="default" w:ascii="Times New Roman" w:hAnsi="Times New Roman" w:cs="Times New Roman" w:eastAsiaTheme="minorEastAsia"/>
                      <w:color w:val="auto"/>
                      <w:sz w:val="21"/>
                      <w:szCs w:val="21"/>
                    </w:rPr>
                  </w:pPr>
                </w:p>
              </w:tc>
              <w:tc>
                <w:tcPr>
                  <w:tcW w:w="1958" w:type="dxa"/>
                  <w:vMerge w:val="continue"/>
                  <w:tcBorders>
                    <w:tl2br w:val="nil"/>
                    <w:tr2bl w:val="nil"/>
                  </w:tcBorders>
                  <w:vAlign w:val="center"/>
                </w:tcPr>
                <w:p w14:paraId="5EC4619F">
                  <w:pPr>
                    <w:jc w:val="center"/>
                    <w:rPr>
                      <w:rFonts w:hint="default" w:ascii="Times New Roman" w:hAnsi="Times New Roman" w:cs="Times New Roman" w:eastAsiaTheme="minorEastAsia"/>
                      <w:color w:val="auto"/>
                      <w:kern w:val="2"/>
                      <w:sz w:val="21"/>
                      <w:szCs w:val="21"/>
                      <w:lang w:val="en-US" w:eastAsia="zh-CN" w:bidi="ar-SA"/>
                    </w:rPr>
                  </w:pPr>
                </w:p>
              </w:tc>
            </w:tr>
            <w:tr w14:paraId="288B2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60" w:type="dxa"/>
                  <w:tcBorders>
                    <w:tl2br w:val="nil"/>
                    <w:tr2bl w:val="nil"/>
                  </w:tcBorders>
                  <w:shd w:val="clear" w:color="auto" w:fill="auto"/>
                  <w:vAlign w:val="center"/>
                </w:tcPr>
                <w:p w14:paraId="3564DDDB">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5</w:t>
                  </w:r>
                </w:p>
              </w:tc>
              <w:tc>
                <w:tcPr>
                  <w:tcW w:w="1287" w:type="dxa"/>
                  <w:tcBorders>
                    <w:tl2br w:val="nil"/>
                    <w:tr2bl w:val="nil"/>
                  </w:tcBorders>
                  <w:vAlign w:val="center"/>
                </w:tcPr>
                <w:p w14:paraId="1C286AF1">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废漆渣</w:t>
                  </w:r>
                </w:p>
              </w:tc>
              <w:tc>
                <w:tcPr>
                  <w:tcW w:w="750" w:type="dxa"/>
                  <w:vMerge w:val="continue"/>
                  <w:tcBorders>
                    <w:tl2br w:val="nil"/>
                    <w:tr2bl w:val="nil"/>
                  </w:tcBorders>
                  <w:vAlign w:val="center"/>
                </w:tcPr>
                <w:p w14:paraId="1F4F169B">
                  <w:pPr>
                    <w:jc w:val="center"/>
                    <w:rPr>
                      <w:rFonts w:hint="default" w:ascii="Times New Roman" w:hAnsi="Times New Roman" w:cs="Times New Roman" w:eastAsiaTheme="minorEastAsia"/>
                      <w:color w:val="auto"/>
                      <w:sz w:val="21"/>
                      <w:szCs w:val="21"/>
                      <w:lang w:val="en-US" w:eastAsia="zh-CN"/>
                    </w:rPr>
                  </w:pPr>
                </w:p>
              </w:tc>
              <w:tc>
                <w:tcPr>
                  <w:tcW w:w="1200" w:type="dxa"/>
                  <w:tcBorders>
                    <w:tl2br w:val="nil"/>
                    <w:tr2bl w:val="nil"/>
                  </w:tcBorders>
                  <w:vAlign w:val="center"/>
                </w:tcPr>
                <w:p w14:paraId="5ED64E3B">
                  <w:pPr>
                    <w:jc w:val="center"/>
                    <w:rPr>
                      <w:rFonts w:hint="default" w:ascii="Times New Roman" w:hAnsi="Times New Roman" w:cs="Times New Roman" w:eastAsiaTheme="minorEastAsia"/>
                      <w:color w:val="auto"/>
                      <w:sz w:val="21"/>
                      <w:szCs w:val="21"/>
                      <w:lang w:val="en-US" w:eastAsia="zh-CN"/>
                    </w:rPr>
                  </w:pPr>
                </w:p>
              </w:tc>
              <w:tc>
                <w:tcPr>
                  <w:tcW w:w="962" w:type="dxa"/>
                  <w:tcBorders>
                    <w:tl2br w:val="nil"/>
                    <w:tr2bl w:val="nil"/>
                  </w:tcBorders>
                  <w:shd w:val="clear" w:color="auto" w:fill="auto"/>
                  <w:vAlign w:val="center"/>
                </w:tcPr>
                <w:p w14:paraId="219F967E">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0.2</w:t>
                  </w:r>
                </w:p>
              </w:tc>
              <w:tc>
                <w:tcPr>
                  <w:tcW w:w="1100" w:type="dxa"/>
                  <w:vMerge w:val="continue"/>
                  <w:tcBorders>
                    <w:tl2br w:val="nil"/>
                    <w:tr2bl w:val="nil"/>
                  </w:tcBorders>
                  <w:vAlign w:val="center"/>
                </w:tcPr>
                <w:p w14:paraId="169D7359">
                  <w:pPr>
                    <w:jc w:val="center"/>
                    <w:rPr>
                      <w:rFonts w:hint="default" w:ascii="Times New Roman" w:hAnsi="Times New Roman" w:cs="Times New Roman" w:eastAsiaTheme="minorEastAsia"/>
                      <w:color w:val="auto"/>
                      <w:sz w:val="21"/>
                      <w:szCs w:val="21"/>
                      <w:lang w:val="en-US" w:eastAsia="zh-CN"/>
                    </w:rPr>
                  </w:pPr>
                </w:p>
              </w:tc>
              <w:tc>
                <w:tcPr>
                  <w:tcW w:w="1958" w:type="dxa"/>
                  <w:tcBorders>
                    <w:tl2br w:val="nil"/>
                    <w:tr2bl w:val="nil"/>
                  </w:tcBorders>
                  <w:vAlign w:val="center"/>
                </w:tcPr>
                <w:p w14:paraId="42AD4A91">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定期外售于物资回收公司</w:t>
                  </w:r>
                </w:p>
              </w:tc>
            </w:tr>
            <w:tr w14:paraId="0FBCE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60" w:type="dxa"/>
                  <w:tcBorders>
                    <w:tl2br w:val="nil"/>
                    <w:tr2bl w:val="nil"/>
                  </w:tcBorders>
                  <w:shd w:val="clear" w:color="auto" w:fill="auto"/>
                  <w:vAlign w:val="center"/>
                </w:tcPr>
                <w:p w14:paraId="13BDBFED">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6</w:t>
                  </w:r>
                </w:p>
              </w:tc>
              <w:tc>
                <w:tcPr>
                  <w:tcW w:w="1287" w:type="dxa"/>
                  <w:tcBorders>
                    <w:tl2br w:val="nil"/>
                    <w:tr2bl w:val="nil"/>
                  </w:tcBorders>
                  <w:vAlign w:val="center"/>
                </w:tcPr>
                <w:p w14:paraId="34D594B0">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废反渗透膜</w:t>
                  </w:r>
                </w:p>
              </w:tc>
              <w:tc>
                <w:tcPr>
                  <w:tcW w:w="750" w:type="dxa"/>
                  <w:vMerge w:val="continue"/>
                  <w:tcBorders>
                    <w:tl2br w:val="nil"/>
                    <w:tr2bl w:val="nil"/>
                  </w:tcBorders>
                  <w:vAlign w:val="center"/>
                </w:tcPr>
                <w:p w14:paraId="22809267">
                  <w:pPr>
                    <w:jc w:val="center"/>
                    <w:rPr>
                      <w:rFonts w:hint="default" w:ascii="Times New Roman" w:hAnsi="Times New Roman" w:cs="Times New Roman" w:eastAsiaTheme="minorEastAsia"/>
                      <w:color w:val="auto"/>
                      <w:sz w:val="21"/>
                      <w:szCs w:val="21"/>
                      <w:lang w:val="en-US" w:eastAsia="zh-CN"/>
                    </w:rPr>
                  </w:pPr>
                </w:p>
              </w:tc>
              <w:tc>
                <w:tcPr>
                  <w:tcW w:w="1200" w:type="dxa"/>
                  <w:tcBorders>
                    <w:tl2br w:val="nil"/>
                    <w:tr2bl w:val="nil"/>
                  </w:tcBorders>
                  <w:vAlign w:val="center"/>
                </w:tcPr>
                <w:p w14:paraId="085CFC9C">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962" w:type="dxa"/>
                  <w:tcBorders>
                    <w:tl2br w:val="nil"/>
                    <w:tr2bl w:val="nil"/>
                  </w:tcBorders>
                  <w:shd w:val="clear" w:color="auto" w:fill="auto"/>
                  <w:vAlign w:val="center"/>
                </w:tcPr>
                <w:p w14:paraId="63915633">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0.001</w:t>
                  </w:r>
                </w:p>
              </w:tc>
              <w:tc>
                <w:tcPr>
                  <w:tcW w:w="1100" w:type="dxa"/>
                  <w:vMerge w:val="continue"/>
                  <w:tcBorders>
                    <w:tl2br w:val="nil"/>
                    <w:tr2bl w:val="nil"/>
                  </w:tcBorders>
                  <w:vAlign w:val="center"/>
                </w:tcPr>
                <w:p w14:paraId="0A488023">
                  <w:pPr>
                    <w:jc w:val="center"/>
                    <w:rPr>
                      <w:rFonts w:hint="default" w:ascii="Times New Roman" w:hAnsi="Times New Roman" w:cs="Times New Roman" w:eastAsiaTheme="minorEastAsia"/>
                      <w:color w:val="auto"/>
                      <w:sz w:val="21"/>
                      <w:szCs w:val="21"/>
                      <w:lang w:val="en-US" w:eastAsia="zh-CN"/>
                    </w:rPr>
                  </w:pPr>
                </w:p>
              </w:tc>
              <w:tc>
                <w:tcPr>
                  <w:tcW w:w="1958" w:type="dxa"/>
                  <w:tcBorders>
                    <w:tl2br w:val="nil"/>
                    <w:tr2bl w:val="nil"/>
                  </w:tcBorders>
                  <w:vAlign w:val="center"/>
                </w:tcPr>
                <w:p w14:paraId="67E4F6B0">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由纯水机厂家检修时回收处置。</w:t>
                  </w:r>
                </w:p>
              </w:tc>
            </w:tr>
            <w:tr w14:paraId="3BBCC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60" w:type="dxa"/>
                  <w:tcBorders>
                    <w:tl2br w:val="nil"/>
                    <w:tr2bl w:val="nil"/>
                  </w:tcBorders>
                  <w:shd w:val="clear" w:color="auto" w:fill="auto"/>
                  <w:vAlign w:val="center"/>
                </w:tcPr>
                <w:p w14:paraId="66F85128">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7</w:t>
                  </w:r>
                </w:p>
              </w:tc>
              <w:tc>
                <w:tcPr>
                  <w:tcW w:w="1287" w:type="dxa"/>
                  <w:tcBorders>
                    <w:tl2br w:val="nil"/>
                    <w:tr2bl w:val="nil"/>
                  </w:tcBorders>
                  <w:vAlign w:val="center"/>
                </w:tcPr>
                <w:p w14:paraId="45316E94">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废机油及废油桶</w:t>
                  </w:r>
                </w:p>
              </w:tc>
              <w:tc>
                <w:tcPr>
                  <w:tcW w:w="750" w:type="dxa"/>
                  <w:vMerge w:val="restart"/>
                  <w:tcBorders>
                    <w:tl2br w:val="nil"/>
                    <w:tr2bl w:val="nil"/>
                  </w:tcBorders>
                  <w:vAlign w:val="center"/>
                </w:tcPr>
                <w:p w14:paraId="4FD0FEA3">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危险废物</w:t>
                  </w:r>
                </w:p>
              </w:tc>
              <w:tc>
                <w:tcPr>
                  <w:tcW w:w="1200" w:type="dxa"/>
                  <w:tcBorders>
                    <w:tl2br w:val="nil"/>
                    <w:tr2bl w:val="nil"/>
                  </w:tcBorders>
                  <w:vAlign w:val="center"/>
                </w:tcPr>
                <w:p w14:paraId="5D7350F1">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HW08</w:t>
                  </w:r>
                </w:p>
                <w:p w14:paraId="63B7EA88">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900-249-08</w:t>
                  </w:r>
                </w:p>
              </w:tc>
              <w:tc>
                <w:tcPr>
                  <w:tcW w:w="962" w:type="dxa"/>
                  <w:tcBorders>
                    <w:tl2br w:val="nil"/>
                    <w:tr2bl w:val="nil"/>
                  </w:tcBorders>
                  <w:shd w:val="clear" w:color="auto" w:fill="auto"/>
                  <w:vAlign w:val="center"/>
                </w:tcPr>
                <w:p w14:paraId="46601E0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w:t>
                  </w:r>
                </w:p>
              </w:tc>
              <w:tc>
                <w:tcPr>
                  <w:tcW w:w="1100" w:type="dxa"/>
                  <w:vMerge w:val="restart"/>
                  <w:tcBorders>
                    <w:tl2br w:val="nil"/>
                    <w:tr2bl w:val="nil"/>
                  </w:tcBorders>
                  <w:vAlign w:val="center"/>
                </w:tcPr>
                <w:p w14:paraId="3AFC6ECA">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危废贮存库</w:t>
                  </w:r>
                </w:p>
              </w:tc>
              <w:tc>
                <w:tcPr>
                  <w:tcW w:w="1958" w:type="dxa"/>
                  <w:vMerge w:val="restart"/>
                  <w:tcBorders>
                    <w:tl2br w:val="nil"/>
                    <w:tr2bl w:val="nil"/>
                  </w:tcBorders>
                  <w:vAlign w:val="center"/>
                </w:tcPr>
                <w:p w14:paraId="67B88BD1">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暂存于危废贮存库，交</w:t>
                  </w:r>
                  <w:r>
                    <w:rPr>
                      <w:rFonts w:hint="eastAsia" w:ascii="Times New Roman" w:hAnsi="Times New Roman" w:cs="Times New Roman" w:eastAsiaTheme="minorEastAsia"/>
                      <w:color w:val="auto"/>
                      <w:sz w:val="21"/>
                      <w:szCs w:val="21"/>
                      <w:lang w:val="en-US" w:eastAsia="zh-CN"/>
                    </w:rPr>
                    <w:t>由</w:t>
                  </w:r>
                  <w:r>
                    <w:rPr>
                      <w:rFonts w:hint="default" w:ascii="Times New Roman" w:hAnsi="Times New Roman" w:cs="Times New Roman" w:eastAsiaTheme="minorEastAsia"/>
                      <w:color w:val="auto"/>
                      <w:sz w:val="21"/>
                      <w:szCs w:val="21"/>
                      <w:lang w:val="en-US" w:eastAsia="zh-CN"/>
                    </w:rPr>
                    <w:t>陕西绿林环保科技有限公司处置</w:t>
                  </w:r>
                </w:p>
              </w:tc>
            </w:tr>
            <w:tr w14:paraId="51D66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60" w:type="dxa"/>
                  <w:tcBorders>
                    <w:tl2br w:val="nil"/>
                    <w:tr2bl w:val="nil"/>
                  </w:tcBorders>
                  <w:shd w:val="clear" w:color="auto" w:fill="auto"/>
                  <w:vAlign w:val="center"/>
                </w:tcPr>
                <w:p w14:paraId="014C2CFD">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8</w:t>
                  </w:r>
                </w:p>
              </w:tc>
              <w:tc>
                <w:tcPr>
                  <w:tcW w:w="1287" w:type="dxa"/>
                  <w:tcBorders>
                    <w:tl2br w:val="nil"/>
                    <w:tr2bl w:val="nil"/>
                  </w:tcBorders>
                  <w:vAlign w:val="center"/>
                </w:tcPr>
                <w:p w14:paraId="1EB71E0B">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废活性炭</w:t>
                  </w:r>
                </w:p>
              </w:tc>
              <w:tc>
                <w:tcPr>
                  <w:tcW w:w="750" w:type="dxa"/>
                  <w:vMerge w:val="continue"/>
                  <w:tcBorders>
                    <w:tl2br w:val="nil"/>
                    <w:tr2bl w:val="nil"/>
                  </w:tcBorders>
                  <w:vAlign w:val="center"/>
                </w:tcPr>
                <w:p w14:paraId="46A5E5DC">
                  <w:pPr>
                    <w:jc w:val="center"/>
                    <w:rPr>
                      <w:rFonts w:hint="default" w:ascii="Times New Roman" w:hAnsi="Times New Roman" w:cs="Times New Roman" w:eastAsiaTheme="minorEastAsia"/>
                      <w:color w:val="auto"/>
                      <w:sz w:val="21"/>
                      <w:szCs w:val="21"/>
                      <w:lang w:val="en-US" w:eastAsia="zh-CN"/>
                    </w:rPr>
                  </w:pPr>
                </w:p>
              </w:tc>
              <w:tc>
                <w:tcPr>
                  <w:tcW w:w="1200" w:type="dxa"/>
                  <w:tcBorders>
                    <w:tl2br w:val="nil"/>
                    <w:tr2bl w:val="nil"/>
                  </w:tcBorders>
                  <w:vAlign w:val="center"/>
                </w:tcPr>
                <w:p w14:paraId="4736E387">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HW49</w:t>
                  </w:r>
                </w:p>
                <w:p w14:paraId="119271E8">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900-039-49</w:t>
                  </w:r>
                </w:p>
              </w:tc>
              <w:tc>
                <w:tcPr>
                  <w:tcW w:w="962" w:type="dxa"/>
                  <w:tcBorders>
                    <w:tl2br w:val="nil"/>
                    <w:tr2bl w:val="nil"/>
                  </w:tcBorders>
                  <w:shd w:val="clear" w:color="auto" w:fill="auto"/>
                  <w:vAlign w:val="center"/>
                </w:tcPr>
                <w:p w14:paraId="5ABE8B1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2.876</w:t>
                  </w:r>
                </w:p>
              </w:tc>
              <w:tc>
                <w:tcPr>
                  <w:tcW w:w="1100" w:type="dxa"/>
                  <w:vMerge w:val="continue"/>
                  <w:tcBorders>
                    <w:tl2br w:val="nil"/>
                    <w:tr2bl w:val="nil"/>
                  </w:tcBorders>
                  <w:vAlign w:val="center"/>
                </w:tcPr>
                <w:p w14:paraId="298C5B61">
                  <w:pPr>
                    <w:jc w:val="center"/>
                    <w:rPr>
                      <w:rFonts w:hint="default" w:ascii="Times New Roman" w:hAnsi="Times New Roman" w:cs="Times New Roman" w:eastAsiaTheme="minorEastAsia"/>
                      <w:color w:val="auto"/>
                      <w:sz w:val="21"/>
                      <w:szCs w:val="21"/>
                      <w:lang w:val="en-US" w:eastAsia="zh-CN"/>
                    </w:rPr>
                  </w:pPr>
                </w:p>
              </w:tc>
              <w:tc>
                <w:tcPr>
                  <w:tcW w:w="1958" w:type="dxa"/>
                  <w:vMerge w:val="continue"/>
                  <w:tcBorders>
                    <w:tl2br w:val="nil"/>
                    <w:tr2bl w:val="nil"/>
                  </w:tcBorders>
                  <w:vAlign w:val="center"/>
                </w:tcPr>
                <w:p w14:paraId="0B48F803">
                  <w:pPr>
                    <w:jc w:val="center"/>
                    <w:rPr>
                      <w:rFonts w:hint="default" w:ascii="Times New Roman" w:hAnsi="Times New Roman" w:cs="Times New Roman" w:eastAsiaTheme="minorEastAsia"/>
                      <w:color w:val="auto"/>
                      <w:sz w:val="21"/>
                      <w:szCs w:val="21"/>
                      <w:lang w:val="en-US" w:eastAsia="zh-CN"/>
                    </w:rPr>
                  </w:pPr>
                </w:p>
              </w:tc>
            </w:tr>
            <w:tr w14:paraId="61C0D6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460" w:type="dxa"/>
                  <w:tcBorders>
                    <w:tl2br w:val="nil"/>
                    <w:tr2bl w:val="nil"/>
                  </w:tcBorders>
                  <w:shd w:val="clear" w:color="auto" w:fill="auto"/>
                  <w:vAlign w:val="center"/>
                </w:tcPr>
                <w:p w14:paraId="59C09E5D">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9</w:t>
                  </w:r>
                </w:p>
              </w:tc>
              <w:tc>
                <w:tcPr>
                  <w:tcW w:w="1287" w:type="dxa"/>
                  <w:tcBorders>
                    <w:tl2br w:val="nil"/>
                    <w:tr2bl w:val="nil"/>
                  </w:tcBorders>
                  <w:vAlign w:val="center"/>
                </w:tcPr>
                <w:p w14:paraId="693F5179">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废超滤滤芯</w:t>
                  </w:r>
                </w:p>
              </w:tc>
              <w:tc>
                <w:tcPr>
                  <w:tcW w:w="750" w:type="dxa"/>
                  <w:vMerge w:val="continue"/>
                  <w:tcBorders>
                    <w:tl2br w:val="nil"/>
                    <w:tr2bl w:val="nil"/>
                  </w:tcBorders>
                  <w:vAlign w:val="center"/>
                </w:tcPr>
                <w:p w14:paraId="1E04024C">
                  <w:pPr>
                    <w:jc w:val="center"/>
                    <w:rPr>
                      <w:rFonts w:hint="default" w:ascii="Times New Roman" w:hAnsi="Times New Roman" w:cs="Times New Roman" w:eastAsiaTheme="minorEastAsia"/>
                      <w:color w:val="auto"/>
                      <w:sz w:val="21"/>
                      <w:szCs w:val="21"/>
                      <w:lang w:val="en-US" w:eastAsia="zh-CN"/>
                    </w:rPr>
                  </w:pPr>
                </w:p>
              </w:tc>
              <w:tc>
                <w:tcPr>
                  <w:tcW w:w="1200" w:type="dxa"/>
                  <w:tcBorders>
                    <w:tl2br w:val="nil"/>
                    <w:tr2bl w:val="nil"/>
                  </w:tcBorders>
                  <w:vAlign w:val="center"/>
                </w:tcPr>
                <w:p w14:paraId="0A59BDB5">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HW49</w:t>
                  </w:r>
                </w:p>
                <w:p w14:paraId="4535318C">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900-041-49</w:t>
                  </w:r>
                </w:p>
              </w:tc>
              <w:tc>
                <w:tcPr>
                  <w:tcW w:w="962" w:type="dxa"/>
                  <w:tcBorders>
                    <w:tl2br w:val="nil"/>
                    <w:tr2bl w:val="nil"/>
                  </w:tcBorders>
                  <w:shd w:val="clear" w:color="auto" w:fill="auto"/>
                  <w:vAlign w:val="center"/>
                </w:tcPr>
                <w:p w14:paraId="710F407F">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0.1</w:t>
                  </w:r>
                </w:p>
              </w:tc>
              <w:tc>
                <w:tcPr>
                  <w:tcW w:w="1100" w:type="dxa"/>
                  <w:vMerge w:val="continue"/>
                  <w:tcBorders>
                    <w:tl2br w:val="nil"/>
                    <w:tr2bl w:val="nil"/>
                  </w:tcBorders>
                  <w:vAlign w:val="center"/>
                </w:tcPr>
                <w:p w14:paraId="43E4F744">
                  <w:pPr>
                    <w:jc w:val="center"/>
                    <w:rPr>
                      <w:rFonts w:hint="default" w:ascii="Times New Roman" w:hAnsi="Times New Roman" w:cs="Times New Roman" w:eastAsiaTheme="minorEastAsia"/>
                      <w:color w:val="auto"/>
                      <w:sz w:val="21"/>
                      <w:szCs w:val="21"/>
                      <w:lang w:val="en-US" w:eastAsia="zh-CN"/>
                    </w:rPr>
                  </w:pPr>
                </w:p>
              </w:tc>
              <w:tc>
                <w:tcPr>
                  <w:tcW w:w="1958" w:type="dxa"/>
                  <w:vMerge w:val="continue"/>
                  <w:tcBorders>
                    <w:tl2br w:val="nil"/>
                    <w:tr2bl w:val="nil"/>
                  </w:tcBorders>
                  <w:vAlign w:val="center"/>
                </w:tcPr>
                <w:p w14:paraId="0CC41B37">
                  <w:pPr>
                    <w:jc w:val="center"/>
                    <w:rPr>
                      <w:rFonts w:hint="default" w:ascii="Times New Roman" w:hAnsi="Times New Roman" w:cs="Times New Roman" w:eastAsiaTheme="minorEastAsia"/>
                      <w:color w:val="auto"/>
                      <w:sz w:val="21"/>
                      <w:szCs w:val="21"/>
                      <w:lang w:val="en-US" w:eastAsia="zh-CN"/>
                    </w:rPr>
                  </w:pPr>
                </w:p>
              </w:tc>
            </w:tr>
            <w:tr w14:paraId="26A86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0" w:type="dxa"/>
                  <w:tcBorders>
                    <w:tl2br w:val="nil"/>
                    <w:tr2bl w:val="nil"/>
                  </w:tcBorders>
                  <w:vAlign w:val="center"/>
                </w:tcPr>
                <w:p w14:paraId="12B2685D">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1287" w:type="dxa"/>
                  <w:tcBorders>
                    <w:tl2br w:val="nil"/>
                    <w:tr2bl w:val="nil"/>
                  </w:tcBorders>
                  <w:vAlign w:val="center"/>
                </w:tcPr>
                <w:p w14:paraId="46F8B274">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废油槽渣</w:t>
                  </w:r>
                </w:p>
              </w:tc>
              <w:tc>
                <w:tcPr>
                  <w:tcW w:w="750" w:type="dxa"/>
                  <w:vMerge w:val="continue"/>
                  <w:tcBorders>
                    <w:tl2br w:val="nil"/>
                    <w:tr2bl w:val="nil"/>
                  </w:tcBorders>
                  <w:vAlign w:val="center"/>
                </w:tcPr>
                <w:p w14:paraId="76D1FFC7">
                  <w:pPr>
                    <w:jc w:val="center"/>
                    <w:rPr>
                      <w:rFonts w:hint="default" w:ascii="Times New Roman" w:hAnsi="Times New Roman" w:cs="Times New Roman" w:eastAsiaTheme="minorEastAsia"/>
                      <w:color w:val="auto"/>
                      <w:sz w:val="21"/>
                      <w:szCs w:val="21"/>
                      <w:lang w:val="en-US" w:eastAsia="zh-CN"/>
                    </w:rPr>
                  </w:pPr>
                </w:p>
              </w:tc>
              <w:tc>
                <w:tcPr>
                  <w:tcW w:w="1200" w:type="dxa"/>
                  <w:vMerge w:val="restart"/>
                  <w:tcBorders>
                    <w:tl2br w:val="nil"/>
                    <w:tr2bl w:val="nil"/>
                  </w:tcBorders>
                  <w:vAlign w:val="center"/>
                </w:tcPr>
                <w:p w14:paraId="41561BEA">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HW17</w:t>
                  </w:r>
                </w:p>
                <w:p w14:paraId="4C40CB53">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336-064-17</w:t>
                  </w:r>
                </w:p>
              </w:tc>
              <w:tc>
                <w:tcPr>
                  <w:tcW w:w="962" w:type="dxa"/>
                  <w:tcBorders>
                    <w:tl2br w:val="nil"/>
                    <w:tr2bl w:val="nil"/>
                  </w:tcBorders>
                  <w:shd w:val="clear" w:color="auto" w:fill="auto"/>
                  <w:vAlign w:val="center"/>
                </w:tcPr>
                <w:p w14:paraId="651EA9E9">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0.24</w:t>
                  </w:r>
                </w:p>
              </w:tc>
              <w:tc>
                <w:tcPr>
                  <w:tcW w:w="1100" w:type="dxa"/>
                  <w:vMerge w:val="continue"/>
                  <w:tcBorders>
                    <w:tl2br w:val="nil"/>
                    <w:tr2bl w:val="nil"/>
                  </w:tcBorders>
                  <w:vAlign w:val="center"/>
                </w:tcPr>
                <w:p w14:paraId="03096E68">
                  <w:pPr>
                    <w:jc w:val="center"/>
                    <w:rPr>
                      <w:rFonts w:hint="default" w:ascii="Times New Roman" w:hAnsi="Times New Roman" w:cs="Times New Roman" w:eastAsiaTheme="minorEastAsia"/>
                      <w:color w:val="auto"/>
                      <w:sz w:val="21"/>
                      <w:szCs w:val="21"/>
                      <w:lang w:val="en-US" w:eastAsia="zh-CN"/>
                    </w:rPr>
                  </w:pPr>
                </w:p>
              </w:tc>
              <w:tc>
                <w:tcPr>
                  <w:tcW w:w="1958" w:type="dxa"/>
                  <w:vMerge w:val="continue"/>
                  <w:tcBorders>
                    <w:tl2br w:val="nil"/>
                    <w:tr2bl w:val="nil"/>
                  </w:tcBorders>
                  <w:vAlign w:val="center"/>
                </w:tcPr>
                <w:p w14:paraId="4785A623">
                  <w:pPr>
                    <w:jc w:val="center"/>
                    <w:rPr>
                      <w:rFonts w:hint="default" w:ascii="Times New Roman" w:hAnsi="Times New Roman" w:cs="Times New Roman" w:eastAsiaTheme="minorEastAsia"/>
                      <w:color w:val="auto"/>
                      <w:sz w:val="21"/>
                      <w:szCs w:val="21"/>
                      <w:lang w:val="en-US" w:eastAsia="zh-CN"/>
                    </w:rPr>
                  </w:pPr>
                </w:p>
              </w:tc>
            </w:tr>
            <w:tr w14:paraId="11034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0" w:type="dxa"/>
                  <w:tcBorders>
                    <w:tl2br w:val="nil"/>
                    <w:tr2bl w:val="nil"/>
                  </w:tcBorders>
                  <w:vAlign w:val="center"/>
                </w:tcPr>
                <w:p w14:paraId="1369C5CB">
                  <w:pPr>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11</w:t>
                  </w:r>
                </w:p>
              </w:tc>
              <w:tc>
                <w:tcPr>
                  <w:tcW w:w="1287" w:type="dxa"/>
                  <w:tcBorders>
                    <w:tl2br w:val="nil"/>
                    <w:tr2bl w:val="nil"/>
                  </w:tcBorders>
                  <w:vAlign w:val="center"/>
                </w:tcPr>
                <w:p w14:paraId="627531BF">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废陶化槽渣</w:t>
                  </w:r>
                </w:p>
              </w:tc>
              <w:tc>
                <w:tcPr>
                  <w:tcW w:w="750" w:type="dxa"/>
                  <w:vMerge w:val="continue"/>
                  <w:tcBorders>
                    <w:tl2br w:val="nil"/>
                    <w:tr2bl w:val="nil"/>
                  </w:tcBorders>
                  <w:vAlign w:val="center"/>
                </w:tcPr>
                <w:p w14:paraId="168E3719">
                  <w:pPr>
                    <w:jc w:val="center"/>
                    <w:rPr>
                      <w:rFonts w:hint="default" w:ascii="Times New Roman" w:hAnsi="Times New Roman" w:cs="Times New Roman" w:eastAsiaTheme="minorEastAsia"/>
                      <w:color w:val="auto"/>
                      <w:sz w:val="21"/>
                      <w:szCs w:val="21"/>
                      <w:lang w:val="en-US" w:eastAsia="zh-CN"/>
                    </w:rPr>
                  </w:pPr>
                </w:p>
              </w:tc>
              <w:tc>
                <w:tcPr>
                  <w:tcW w:w="1200" w:type="dxa"/>
                  <w:vMerge w:val="continue"/>
                  <w:tcBorders>
                    <w:tl2br w:val="nil"/>
                    <w:tr2bl w:val="nil"/>
                  </w:tcBorders>
                  <w:vAlign w:val="center"/>
                </w:tcPr>
                <w:p w14:paraId="1C1C2B31">
                  <w:pPr>
                    <w:jc w:val="center"/>
                    <w:rPr>
                      <w:rFonts w:hint="default" w:ascii="Times New Roman" w:hAnsi="Times New Roman" w:cs="Times New Roman" w:eastAsiaTheme="minorEastAsia"/>
                      <w:color w:val="auto"/>
                      <w:sz w:val="21"/>
                      <w:szCs w:val="21"/>
                      <w:lang w:val="en-US" w:eastAsia="zh-CN"/>
                    </w:rPr>
                  </w:pPr>
                </w:p>
              </w:tc>
              <w:tc>
                <w:tcPr>
                  <w:tcW w:w="962" w:type="dxa"/>
                  <w:tcBorders>
                    <w:tl2br w:val="nil"/>
                    <w:tr2bl w:val="nil"/>
                  </w:tcBorders>
                  <w:shd w:val="clear" w:color="auto" w:fill="auto"/>
                  <w:vAlign w:val="center"/>
                </w:tcPr>
                <w:p w14:paraId="0966B3B3">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0.24</w:t>
                  </w:r>
                </w:p>
              </w:tc>
              <w:tc>
                <w:tcPr>
                  <w:tcW w:w="1100" w:type="dxa"/>
                  <w:vMerge w:val="continue"/>
                  <w:tcBorders>
                    <w:tl2br w:val="nil"/>
                    <w:tr2bl w:val="nil"/>
                  </w:tcBorders>
                  <w:vAlign w:val="center"/>
                </w:tcPr>
                <w:p w14:paraId="60FD2837">
                  <w:pPr>
                    <w:jc w:val="center"/>
                    <w:rPr>
                      <w:rFonts w:hint="default" w:ascii="Times New Roman" w:hAnsi="Times New Roman" w:cs="Times New Roman" w:eastAsiaTheme="minorEastAsia"/>
                      <w:color w:val="auto"/>
                      <w:sz w:val="21"/>
                      <w:szCs w:val="21"/>
                      <w:lang w:val="en-US" w:eastAsia="zh-CN"/>
                    </w:rPr>
                  </w:pPr>
                </w:p>
              </w:tc>
              <w:tc>
                <w:tcPr>
                  <w:tcW w:w="1958" w:type="dxa"/>
                  <w:vMerge w:val="continue"/>
                  <w:tcBorders>
                    <w:tl2br w:val="nil"/>
                    <w:tr2bl w:val="nil"/>
                  </w:tcBorders>
                  <w:vAlign w:val="center"/>
                </w:tcPr>
                <w:p w14:paraId="7370EC42">
                  <w:pPr>
                    <w:jc w:val="center"/>
                    <w:rPr>
                      <w:rFonts w:hint="default" w:ascii="Times New Roman" w:hAnsi="Times New Roman" w:cs="Times New Roman" w:eastAsiaTheme="minorEastAsia"/>
                      <w:color w:val="auto"/>
                      <w:sz w:val="21"/>
                      <w:szCs w:val="21"/>
                      <w:lang w:val="en-US" w:eastAsia="zh-CN"/>
                    </w:rPr>
                  </w:pPr>
                </w:p>
              </w:tc>
            </w:tr>
            <w:tr w14:paraId="47F472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460" w:type="dxa"/>
                  <w:tcBorders>
                    <w:tl2br w:val="nil"/>
                    <w:tr2bl w:val="nil"/>
                  </w:tcBorders>
                  <w:vAlign w:val="center"/>
                </w:tcPr>
                <w:p w14:paraId="625B5A71">
                  <w:pPr>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w:t>
                  </w:r>
                </w:p>
              </w:tc>
              <w:tc>
                <w:tcPr>
                  <w:tcW w:w="1287" w:type="dxa"/>
                  <w:tcBorders>
                    <w:tl2br w:val="nil"/>
                    <w:tr2bl w:val="nil"/>
                  </w:tcBorders>
                  <w:vAlign w:val="center"/>
                </w:tcPr>
                <w:p w14:paraId="2F0E269A">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废</w:t>
                  </w:r>
                  <w:r>
                    <w:rPr>
                      <w:rFonts w:hint="default" w:ascii="Times New Roman" w:hAnsi="Times New Roman" w:cs="Times New Roman" w:eastAsiaTheme="minorEastAsia"/>
                      <w:color w:val="auto"/>
                      <w:sz w:val="21"/>
                      <w:szCs w:val="21"/>
                      <w:lang w:val="en-US" w:eastAsia="zh-CN"/>
                    </w:rPr>
                    <w:t>电泳</w:t>
                  </w:r>
                  <w:r>
                    <w:rPr>
                      <w:rFonts w:hint="eastAsia" w:ascii="Times New Roman" w:hAnsi="Times New Roman" w:cs="Times New Roman" w:eastAsiaTheme="minorEastAsia"/>
                      <w:color w:val="auto"/>
                      <w:sz w:val="21"/>
                      <w:szCs w:val="21"/>
                      <w:lang w:val="en-US" w:eastAsia="zh-CN"/>
                    </w:rPr>
                    <w:t>漆渣</w:t>
                  </w:r>
                </w:p>
              </w:tc>
              <w:tc>
                <w:tcPr>
                  <w:tcW w:w="750" w:type="dxa"/>
                  <w:vMerge w:val="continue"/>
                  <w:tcBorders>
                    <w:tl2br w:val="nil"/>
                    <w:tr2bl w:val="nil"/>
                  </w:tcBorders>
                  <w:vAlign w:val="center"/>
                </w:tcPr>
                <w:p w14:paraId="67A810C8">
                  <w:pPr>
                    <w:jc w:val="center"/>
                    <w:rPr>
                      <w:rFonts w:hint="default" w:ascii="Times New Roman" w:hAnsi="Times New Roman" w:cs="Times New Roman" w:eastAsiaTheme="minorEastAsia"/>
                      <w:color w:val="auto"/>
                      <w:sz w:val="21"/>
                      <w:szCs w:val="21"/>
                      <w:lang w:val="en-US" w:eastAsia="zh-CN"/>
                    </w:rPr>
                  </w:pPr>
                </w:p>
              </w:tc>
              <w:tc>
                <w:tcPr>
                  <w:tcW w:w="1200" w:type="dxa"/>
                  <w:vMerge w:val="continue"/>
                  <w:tcBorders>
                    <w:tl2br w:val="nil"/>
                    <w:tr2bl w:val="nil"/>
                  </w:tcBorders>
                  <w:vAlign w:val="center"/>
                </w:tcPr>
                <w:p w14:paraId="791FB1F6">
                  <w:pPr>
                    <w:jc w:val="center"/>
                    <w:rPr>
                      <w:rFonts w:hint="default" w:ascii="Times New Roman" w:hAnsi="Times New Roman" w:cs="Times New Roman" w:eastAsiaTheme="minorEastAsia"/>
                      <w:color w:val="auto"/>
                      <w:sz w:val="21"/>
                      <w:szCs w:val="21"/>
                      <w:lang w:val="en-US" w:eastAsia="zh-CN"/>
                    </w:rPr>
                  </w:pPr>
                </w:p>
              </w:tc>
              <w:tc>
                <w:tcPr>
                  <w:tcW w:w="962" w:type="dxa"/>
                  <w:tcBorders>
                    <w:tl2br w:val="nil"/>
                    <w:tr2bl w:val="nil"/>
                  </w:tcBorders>
                  <w:shd w:val="clear" w:color="auto" w:fill="auto"/>
                  <w:vAlign w:val="center"/>
                </w:tcPr>
                <w:p w14:paraId="19AFF674">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w:t>
                  </w:r>
                </w:p>
              </w:tc>
              <w:tc>
                <w:tcPr>
                  <w:tcW w:w="1100" w:type="dxa"/>
                  <w:vMerge w:val="continue"/>
                  <w:tcBorders>
                    <w:tl2br w:val="nil"/>
                    <w:tr2bl w:val="nil"/>
                  </w:tcBorders>
                  <w:vAlign w:val="center"/>
                </w:tcPr>
                <w:p w14:paraId="16B029FC">
                  <w:pPr>
                    <w:jc w:val="center"/>
                    <w:rPr>
                      <w:rFonts w:hint="default" w:ascii="Times New Roman" w:hAnsi="Times New Roman" w:cs="Times New Roman" w:eastAsiaTheme="minorEastAsia"/>
                      <w:color w:val="auto"/>
                      <w:sz w:val="21"/>
                      <w:szCs w:val="21"/>
                      <w:lang w:val="en-US" w:eastAsia="zh-CN"/>
                    </w:rPr>
                  </w:pPr>
                </w:p>
              </w:tc>
              <w:tc>
                <w:tcPr>
                  <w:tcW w:w="1958" w:type="dxa"/>
                  <w:vMerge w:val="continue"/>
                  <w:tcBorders>
                    <w:tl2br w:val="nil"/>
                    <w:tr2bl w:val="nil"/>
                  </w:tcBorders>
                  <w:vAlign w:val="center"/>
                </w:tcPr>
                <w:p w14:paraId="1AA6B823">
                  <w:pPr>
                    <w:jc w:val="center"/>
                    <w:rPr>
                      <w:rFonts w:hint="default" w:ascii="Times New Roman" w:hAnsi="Times New Roman" w:cs="Times New Roman" w:eastAsiaTheme="minorEastAsia"/>
                      <w:color w:val="auto"/>
                      <w:sz w:val="21"/>
                      <w:szCs w:val="21"/>
                      <w:lang w:val="en-US" w:eastAsia="zh-CN"/>
                    </w:rPr>
                  </w:pPr>
                </w:p>
              </w:tc>
            </w:tr>
          </w:tbl>
          <w:p w14:paraId="3E10AF40">
            <w:pPr>
              <w:spacing w:line="360" w:lineRule="auto"/>
              <w:ind w:firstLine="482" w:firstLineChars="200"/>
              <w:rPr>
                <w:rFonts w:eastAsiaTheme="minorEastAsia"/>
                <w:b/>
                <w:color w:val="auto"/>
                <w:sz w:val="24"/>
              </w:rPr>
            </w:pPr>
            <w:r>
              <w:rPr>
                <w:rFonts w:eastAsiaTheme="minorEastAsia"/>
                <w:b/>
                <w:color w:val="auto"/>
                <w:sz w:val="24"/>
              </w:rPr>
              <w:t>2</w:t>
            </w:r>
            <w:r>
              <w:rPr>
                <w:rFonts w:hint="eastAsia" w:eastAsiaTheme="minorEastAsia"/>
                <w:b/>
                <w:color w:val="auto"/>
                <w:sz w:val="24"/>
                <w:lang w:val="en-US" w:eastAsia="zh-CN"/>
              </w:rPr>
              <w:t>.</w:t>
            </w:r>
            <w:r>
              <w:rPr>
                <w:rFonts w:eastAsiaTheme="minorEastAsia"/>
                <w:b/>
                <w:color w:val="auto"/>
                <w:sz w:val="24"/>
              </w:rPr>
              <w:t>废物管理相关规定</w:t>
            </w:r>
          </w:p>
          <w:p w14:paraId="191AD150">
            <w:pPr>
              <w:pStyle w:val="27"/>
              <w:spacing w:line="360" w:lineRule="auto"/>
              <w:ind w:firstLine="480" w:firstLineChars="200"/>
              <w:rPr>
                <w:rFonts w:ascii="Times New Roman" w:hAnsi="Times New Roman" w:cs="Times New Roman" w:eastAsiaTheme="minorEastAsia"/>
                <w:b w:val="0"/>
                <w:bCs/>
                <w:color w:val="auto"/>
                <w:sz w:val="24"/>
              </w:rPr>
            </w:pPr>
            <w:r>
              <w:rPr>
                <w:rFonts w:ascii="Times New Roman" w:hAnsi="Times New Roman" w:cs="Times New Roman" w:eastAsiaTheme="minorEastAsia"/>
                <w:b w:val="0"/>
                <w:bCs/>
                <w:color w:val="auto"/>
                <w:sz w:val="24"/>
              </w:rPr>
              <w:t>（1）一般固体废物环境管理</w:t>
            </w:r>
          </w:p>
          <w:p w14:paraId="1EB4BD2B">
            <w:pPr>
              <w:pStyle w:val="27"/>
              <w:spacing w:line="360" w:lineRule="auto"/>
              <w:ind w:firstLine="480" w:firstLineChars="20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项目生活垃圾设置垃圾桶，定期交由环卫部门清运处置。一般工业固废设置一般工业固废暂存区进行储存，储存应定点、分类、</w:t>
            </w:r>
            <w:r>
              <w:rPr>
                <w:rFonts w:ascii="Times New Roman" w:hAnsi="Times New Roman" w:cs="Times New Roman" w:eastAsiaTheme="minorEastAsia"/>
                <w:color w:val="auto"/>
                <w:sz w:val="24"/>
                <w:lang w:val="en-US"/>
              </w:rPr>
              <w:t>妥善存放各固废，做好防雨</w:t>
            </w:r>
            <w:r>
              <w:rPr>
                <w:rFonts w:hint="eastAsia" w:ascii="Times New Roman" w:hAnsi="Times New Roman" w:cs="Times New Roman" w:eastAsiaTheme="minorEastAsia"/>
                <w:color w:val="auto"/>
                <w:sz w:val="24"/>
                <w:lang w:val="en-US"/>
              </w:rPr>
              <w:t>、</w:t>
            </w:r>
            <w:r>
              <w:rPr>
                <w:rFonts w:ascii="Times New Roman" w:hAnsi="Times New Roman" w:cs="Times New Roman" w:eastAsiaTheme="minorEastAsia"/>
                <w:color w:val="auto"/>
                <w:sz w:val="24"/>
                <w:lang w:val="en-US"/>
              </w:rPr>
              <w:t>防火</w:t>
            </w:r>
            <w:r>
              <w:rPr>
                <w:rFonts w:hint="eastAsia" w:ascii="Times New Roman" w:hAnsi="Times New Roman" w:cs="Times New Roman" w:eastAsiaTheme="minorEastAsia"/>
                <w:color w:val="auto"/>
                <w:sz w:val="24"/>
                <w:lang w:val="en-US"/>
              </w:rPr>
              <w:t>、防渗漏、防日晒</w:t>
            </w:r>
            <w:r>
              <w:rPr>
                <w:rFonts w:ascii="Times New Roman" w:hAnsi="Times New Roman" w:cs="Times New Roman" w:eastAsiaTheme="minorEastAsia"/>
                <w:color w:val="auto"/>
                <w:sz w:val="24"/>
                <w:lang w:val="en-US"/>
              </w:rPr>
              <w:t>措施，并加强管理，建立台账制度。</w:t>
            </w:r>
          </w:p>
          <w:p w14:paraId="25E1B7CC">
            <w:pPr>
              <w:pStyle w:val="27"/>
              <w:spacing w:line="360" w:lineRule="auto"/>
              <w:ind w:firstLine="480" w:firstLineChars="200"/>
              <w:rPr>
                <w:rFonts w:ascii="Times New Roman" w:hAnsi="Times New Roman" w:cs="Times New Roman" w:eastAsiaTheme="minorEastAsia"/>
                <w:b w:val="0"/>
                <w:bCs/>
                <w:color w:val="auto"/>
                <w:sz w:val="24"/>
                <w:lang w:val="en-US"/>
              </w:rPr>
            </w:pPr>
            <w:r>
              <w:rPr>
                <w:rFonts w:ascii="Times New Roman" w:hAnsi="Times New Roman" w:cs="Times New Roman" w:eastAsiaTheme="minorEastAsia"/>
                <w:b w:val="0"/>
                <w:bCs/>
                <w:color w:val="auto"/>
                <w:sz w:val="24"/>
                <w:lang w:val="en-US"/>
              </w:rPr>
              <w:t>（2）危险废物环境管理</w:t>
            </w:r>
          </w:p>
          <w:p w14:paraId="388CB657">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t>本环评要求建设单位在车间内建设危险废物暂存间1间，危险废物贮存严格按照《危险废物贮存污染控制标准》（GB18597-2023）及其修改单中相关规定执行，具体要求如下：</w:t>
            </w:r>
          </w:p>
          <w:p w14:paraId="40A60FAD">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t>危险废物统一收集在贮存容器中，贮存容器的选择</w:t>
            </w:r>
            <w:r>
              <w:rPr>
                <w:rFonts w:hint="eastAsia" w:ascii="Times New Roman" w:hAnsi="Times New Roman" w:cs="Times New Roman" w:eastAsiaTheme="minorEastAsia"/>
                <w:color w:val="auto"/>
                <w:sz w:val="24"/>
                <w:lang w:val="en-US" w:eastAsia="zh-CN"/>
              </w:rPr>
              <w:t>必须</w:t>
            </w:r>
            <w:r>
              <w:rPr>
                <w:rFonts w:ascii="Times New Roman" w:hAnsi="Times New Roman" w:cs="Times New Roman" w:eastAsiaTheme="minorEastAsia"/>
                <w:color w:val="auto"/>
                <w:sz w:val="24"/>
                <w:lang w:val="en-US"/>
              </w:rPr>
              <w:t>做到防渗、防雨、防晒的要求：</w:t>
            </w:r>
          </w:p>
          <w:p w14:paraId="32380C7A">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1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①</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应当使用符合标准的容器盛装危险废物。</w:t>
            </w:r>
          </w:p>
          <w:p w14:paraId="0E6E57E2">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2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②</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装载危险废物的容器及材质要满足相应的强度要求。</w:t>
            </w:r>
          </w:p>
          <w:p w14:paraId="3C25A1AF">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3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③</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装载危险废物的容器必须完好无损。</w:t>
            </w:r>
          </w:p>
          <w:p w14:paraId="3750B6D3">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4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④</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盛装危险废物的容器材质和衬里要与危险废物相容（不相互反应）。</w:t>
            </w:r>
          </w:p>
          <w:p w14:paraId="6FCED95B">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t>危险废物暂存间具体要求：</w:t>
            </w:r>
          </w:p>
          <w:p w14:paraId="79F87094">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5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⑤</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不兼容的危险废物分别单独收集贮存，危险废物容器和包装袋上设立危险废物明显标志。</w:t>
            </w:r>
          </w:p>
          <w:p w14:paraId="60D32EAC">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6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⑥</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存放危险废物暂存间的地面与裙脚要用坚固、防渗的材料，建筑材料必须与危险废物兼容。基础必须防渗，防渗层要求至少1m厚黏土层，渗透系数≤10</w:t>
            </w:r>
            <w:r>
              <w:rPr>
                <w:rFonts w:ascii="Times New Roman" w:hAnsi="Times New Roman" w:cs="Times New Roman" w:eastAsiaTheme="minorEastAsia"/>
                <w:color w:val="auto"/>
                <w:sz w:val="24"/>
                <w:vertAlign w:val="superscript"/>
                <w:lang w:val="en-US"/>
              </w:rPr>
              <w:t>-7</w:t>
            </w:r>
            <w:r>
              <w:rPr>
                <w:rFonts w:ascii="Times New Roman" w:hAnsi="Times New Roman" w:cs="Times New Roman" w:eastAsiaTheme="minorEastAsia"/>
                <w:color w:val="auto"/>
                <w:sz w:val="24"/>
                <w:lang w:val="en-US"/>
              </w:rPr>
              <w:t>cm/s，或2mm厚的高密度聚乙烯，或至少2mm厚的</w:t>
            </w:r>
            <w:r>
              <w:rPr>
                <w:rFonts w:hint="eastAsia" w:ascii="Times New Roman" w:hAnsi="Times New Roman" w:cs="Times New Roman" w:eastAsiaTheme="minorEastAsia"/>
                <w:color w:val="auto"/>
                <w:sz w:val="24"/>
                <w:lang w:val="en-US" w:eastAsia="zh-CN"/>
              </w:rPr>
              <w:t>其他人工</w:t>
            </w:r>
            <w:r>
              <w:rPr>
                <w:rFonts w:ascii="Times New Roman" w:hAnsi="Times New Roman" w:cs="Times New Roman" w:eastAsiaTheme="minorEastAsia"/>
                <w:color w:val="auto"/>
                <w:sz w:val="24"/>
                <w:lang w:val="en-US"/>
              </w:rPr>
              <w:t>材料，渗透系数≤10</w:t>
            </w:r>
            <w:r>
              <w:rPr>
                <w:rFonts w:ascii="Times New Roman" w:hAnsi="Times New Roman" w:cs="Times New Roman" w:eastAsiaTheme="minorEastAsia"/>
                <w:color w:val="auto"/>
                <w:sz w:val="24"/>
                <w:vertAlign w:val="superscript"/>
                <w:lang w:val="en-US"/>
              </w:rPr>
              <w:t xml:space="preserve">-10 </w:t>
            </w:r>
            <w:r>
              <w:rPr>
                <w:rFonts w:ascii="Times New Roman" w:hAnsi="Times New Roman" w:cs="Times New Roman" w:eastAsiaTheme="minorEastAsia"/>
                <w:color w:val="auto"/>
                <w:sz w:val="24"/>
                <w:lang w:val="en-US"/>
              </w:rPr>
              <w:t>cm/s。</w:t>
            </w:r>
          </w:p>
          <w:p w14:paraId="79AAC3DB">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7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⑦</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危险废物暂存间内必须有泄漏液体收集装置（比如托盘及防渗围堰等），存放位置必须有耐腐蚀的硬化地面，且表面无裂缝。</w:t>
            </w:r>
          </w:p>
          <w:p w14:paraId="2F3DF28D">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8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⑧</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危险废物暂存间必须封闭建设，设置于防风、防雨、防晒的位置，门口内侧设置一定高度的围堰，防雨水倒灌，并按要求张贴标识牌及相关危险废物警示标志。</w:t>
            </w:r>
          </w:p>
          <w:p w14:paraId="6EA1BCB1">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9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⑨</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建立危险废物管理台账。如实记录危险废物贮存、利用、处置相关情况，</w:t>
            </w:r>
            <w:r>
              <w:rPr>
                <w:rFonts w:hint="eastAsia" w:ascii="Times New Roman" w:hAnsi="Times New Roman" w:cs="Times New Roman" w:eastAsiaTheme="minorEastAsia"/>
                <w:color w:val="auto"/>
                <w:sz w:val="24"/>
                <w:lang w:val="en-US" w:eastAsia="zh-CN"/>
              </w:rPr>
              <w:t>制</w:t>
            </w:r>
            <w:r>
              <w:rPr>
                <w:rFonts w:ascii="Times New Roman" w:hAnsi="Times New Roman" w:cs="Times New Roman" w:eastAsiaTheme="minorEastAsia"/>
                <w:color w:val="auto"/>
                <w:sz w:val="24"/>
                <w:lang w:val="en-US"/>
              </w:rPr>
              <w:t>定危险废物管理计划并报区环保局备案，进行危险废物申报登记，如实申报危险废物种类、产生量、流向、贮存、处置等有关资料。</w:t>
            </w:r>
          </w:p>
          <w:p w14:paraId="57864E00">
            <w:pPr>
              <w:pStyle w:val="27"/>
              <w:spacing w:line="360" w:lineRule="auto"/>
              <w:ind w:firstLine="480" w:firstLineChars="200"/>
              <w:rPr>
                <w:rFonts w:ascii="Times New Roman" w:hAnsi="Times New Roman" w:cs="Times New Roman" w:eastAsiaTheme="minorEastAsia"/>
                <w:color w:val="auto"/>
                <w:sz w:val="24"/>
                <w:lang w:val="en-US"/>
              </w:rPr>
            </w:pPr>
            <w:r>
              <w:rPr>
                <w:rFonts w:ascii="Times New Roman" w:hAnsi="Times New Roman" w:cs="Times New Roman" w:eastAsiaTheme="minorEastAsia"/>
                <w:color w:val="auto"/>
                <w:sz w:val="24"/>
                <w:lang w:val="en-US"/>
              </w:rPr>
              <w:fldChar w:fldCharType="begin"/>
            </w:r>
            <w:r>
              <w:rPr>
                <w:rFonts w:ascii="Times New Roman" w:hAnsi="Times New Roman" w:cs="Times New Roman" w:eastAsiaTheme="minorEastAsia"/>
                <w:color w:val="auto"/>
                <w:sz w:val="24"/>
                <w:lang w:val="en-US"/>
              </w:rPr>
              <w:instrText xml:space="preserve"> = 10 \* GB3 </w:instrText>
            </w:r>
            <w:r>
              <w:rPr>
                <w:rFonts w:ascii="Times New Roman" w:hAnsi="Times New Roman" w:cs="Times New Roman" w:eastAsiaTheme="minorEastAsia"/>
                <w:color w:val="auto"/>
                <w:sz w:val="24"/>
                <w:lang w:val="en-US"/>
              </w:rPr>
              <w:fldChar w:fldCharType="separate"/>
            </w:r>
            <w:r>
              <w:rPr>
                <w:rFonts w:hint="eastAsia"/>
                <w:color w:val="auto"/>
                <w:sz w:val="24"/>
                <w:lang w:val="en-US"/>
              </w:rPr>
              <w:t>⑩</w:t>
            </w:r>
            <w:r>
              <w:rPr>
                <w:rFonts w:ascii="Times New Roman" w:hAnsi="Times New Roman" w:cs="Times New Roman" w:eastAsiaTheme="minorEastAsia"/>
                <w:color w:val="auto"/>
                <w:sz w:val="24"/>
                <w:lang w:val="en-US"/>
              </w:rPr>
              <w:fldChar w:fldCharType="end"/>
            </w:r>
            <w:r>
              <w:rPr>
                <w:rFonts w:ascii="Times New Roman" w:hAnsi="Times New Roman" w:cs="Times New Roman" w:eastAsiaTheme="minorEastAsia"/>
                <w:color w:val="auto"/>
                <w:sz w:val="24"/>
                <w:lang w:val="en-US"/>
              </w:rPr>
              <w:t>危险废物委托具有相应危险废物经营资质的单位进行处置，危险废物的转运应严格按照《危险废物转移管理办法》（部令第23号）的有关规定执行。保证危险废物得到安全合理处置。</w:t>
            </w:r>
          </w:p>
          <w:p w14:paraId="4E2E0B83">
            <w:pPr>
              <w:pStyle w:val="27"/>
              <w:spacing w:line="360" w:lineRule="auto"/>
              <w:ind w:firstLine="480" w:firstLineChars="20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本环评要求项目危险废物于危险废物暂存间内暂存，企业危险废物暂存间建设于车间预留位置，占地面积10m</w:t>
            </w:r>
            <w:r>
              <w:rPr>
                <w:rFonts w:ascii="Times New Roman" w:hAnsi="Times New Roman" w:cs="Times New Roman" w:eastAsiaTheme="minorEastAsia"/>
                <w:color w:val="auto"/>
                <w:sz w:val="24"/>
                <w:vertAlign w:val="superscript"/>
              </w:rPr>
              <w:t>2</w:t>
            </w:r>
            <w:r>
              <w:rPr>
                <w:rFonts w:ascii="Times New Roman" w:hAnsi="Times New Roman" w:cs="Times New Roman" w:eastAsiaTheme="minorEastAsia"/>
                <w:color w:val="auto"/>
                <w:sz w:val="24"/>
              </w:rPr>
              <w:t>。危废间采取重点防渗措施，渗透系数小于1.0×10</w:t>
            </w:r>
            <w:r>
              <w:rPr>
                <w:rFonts w:ascii="Times New Roman" w:hAnsi="Times New Roman" w:cs="Times New Roman" w:eastAsiaTheme="minorEastAsia"/>
                <w:color w:val="auto"/>
                <w:sz w:val="24"/>
                <w:vertAlign w:val="superscript"/>
              </w:rPr>
              <w:t>-10</w:t>
            </w:r>
            <w:r>
              <w:rPr>
                <w:rFonts w:ascii="Times New Roman" w:hAnsi="Times New Roman" w:cs="Times New Roman" w:eastAsiaTheme="minorEastAsia"/>
                <w:color w:val="auto"/>
                <w:sz w:val="24"/>
              </w:rPr>
              <w:t>cm/s；建设堵截</w:t>
            </w:r>
            <w:r>
              <w:rPr>
                <w:rFonts w:hint="eastAsia" w:ascii="Times New Roman" w:hAnsi="Times New Roman" w:cs="Times New Roman" w:eastAsiaTheme="minorEastAsia"/>
                <w:color w:val="auto"/>
                <w:sz w:val="24"/>
                <w:lang w:eastAsia="zh-CN"/>
              </w:rPr>
              <w:t>泄漏</w:t>
            </w:r>
            <w:r>
              <w:rPr>
                <w:rFonts w:ascii="Times New Roman" w:hAnsi="Times New Roman" w:cs="Times New Roman" w:eastAsiaTheme="minorEastAsia"/>
                <w:color w:val="auto"/>
                <w:sz w:val="24"/>
              </w:rPr>
              <w:t>的裙脚，地面与裙脚用坚固防渗的材料建造，应有隔离设施、报警装置和防风、防晒、防雨设施，同时其地面应为耐腐蚀的硬化地面，且地面无裂隙；项目废活性炭采用袋装包装形式，各类危险废物于危废库内分区存放，防止相互之间交叉污染；厂区危废间内设置危险废物台账，对进出厂的危险废物进行记录，危险废物定期委托有资质的单位进行转运，最大贮存周期不能超过一年。</w:t>
            </w:r>
          </w:p>
          <w:p w14:paraId="22FEEB02">
            <w:pPr>
              <w:pStyle w:val="27"/>
              <w:spacing w:line="360" w:lineRule="auto"/>
              <w:ind w:firstLine="480" w:firstLineChars="200"/>
              <w:rPr>
                <w:rFonts w:ascii="Times New Roman" w:hAnsi="Times New Roman" w:cs="Times New Roman" w:eastAsiaTheme="minorEastAsia"/>
                <w:color w:val="auto"/>
                <w:sz w:val="24"/>
              </w:rPr>
            </w:pPr>
            <w:r>
              <w:rPr>
                <w:rFonts w:ascii="Times New Roman" w:hAnsi="Times New Roman" w:cs="Times New Roman" w:eastAsiaTheme="minorEastAsia"/>
                <w:color w:val="auto"/>
                <w:sz w:val="24"/>
              </w:rPr>
              <w:t>通过采取上述措施后，一般固体废物处置达到《一般工业固体废物贮存、处置场污染控制标准》（GB18599-2020）及修改单标准要求，危险废物处置达到《危险废物贮存控制标准》（GB18597-2023）及修改单要求，对周围环境影响较小。</w:t>
            </w:r>
          </w:p>
          <w:p w14:paraId="62CF5CD3">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Times New Roman" w:hAnsi="Times New Roman" w:cs="Times New Roman" w:eastAsiaTheme="minorEastAsia"/>
                <w:b/>
                <w:bCs/>
                <w:color w:val="auto"/>
                <w:kern w:val="2"/>
                <w:sz w:val="24"/>
                <w:szCs w:val="24"/>
                <w:lang w:val="en-US" w:eastAsia="zh-CN" w:bidi="ar-SA"/>
              </w:rPr>
            </w:pPr>
            <w:r>
              <w:rPr>
                <w:rFonts w:ascii="Times New Roman" w:hAnsi="Times New Roman" w:cs="Times New Roman" w:eastAsiaTheme="minorEastAsia"/>
                <w:b/>
                <w:bCs/>
                <w:color w:val="auto"/>
                <w:kern w:val="2"/>
                <w:sz w:val="24"/>
                <w:szCs w:val="24"/>
                <w:lang w:val="en-US" w:eastAsia="zh-CN" w:bidi="ar-SA"/>
              </w:rPr>
              <w:t>五、地下水、土壤</w:t>
            </w:r>
          </w:p>
          <w:p w14:paraId="3B64DE1D">
            <w:pPr>
              <w:spacing w:line="360" w:lineRule="auto"/>
              <w:ind w:firstLine="480" w:firstLineChars="200"/>
              <w:rPr>
                <w:rFonts w:eastAsiaTheme="minorEastAsia"/>
                <w:color w:val="auto"/>
                <w:sz w:val="24"/>
              </w:rPr>
            </w:pPr>
            <w:r>
              <w:rPr>
                <w:rFonts w:eastAsiaTheme="minorEastAsia"/>
                <w:color w:val="auto"/>
                <w:sz w:val="24"/>
              </w:rPr>
              <w:t>根据《建设项目环境影响报告编制技术指南》（污染影响类）（2021年试行），</w:t>
            </w:r>
            <w:r>
              <w:rPr>
                <w:rFonts w:hint="eastAsia" w:eastAsiaTheme="minorEastAsia"/>
                <w:color w:val="auto"/>
                <w:sz w:val="24"/>
                <w:lang w:val="en-US" w:eastAsia="zh-CN"/>
              </w:rPr>
              <w:t>纯水制备系统废水与</w:t>
            </w:r>
            <w:r>
              <w:rPr>
                <w:rFonts w:eastAsiaTheme="minorEastAsia"/>
                <w:color w:val="auto"/>
                <w:sz w:val="24"/>
              </w:rPr>
              <w:t>生活污水</w:t>
            </w:r>
            <w:r>
              <w:rPr>
                <w:rFonts w:hint="eastAsia" w:eastAsiaTheme="minorEastAsia"/>
                <w:color w:val="auto"/>
                <w:sz w:val="24"/>
                <w:lang w:val="en-US" w:eastAsia="zh-CN"/>
              </w:rPr>
              <w:t>经过化粪预处理后</w:t>
            </w:r>
            <w:r>
              <w:rPr>
                <w:rFonts w:eastAsiaTheme="minorEastAsia"/>
                <w:color w:val="auto"/>
                <w:sz w:val="24"/>
              </w:rPr>
              <w:t>进入</w:t>
            </w:r>
            <w:r>
              <w:rPr>
                <w:rFonts w:hint="eastAsia" w:eastAsiaTheme="minorEastAsia"/>
                <w:color w:val="auto"/>
                <w:sz w:val="24"/>
              </w:rPr>
              <w:t>沣西新城大王</w:t>
            </w:r>
            <w:r>
              <w:rPr>
                <w:rFonts w:eastAsiaTheme="minorEastAsia"/>
                <w:color w:val="auto"/>
                <w:sz w:val="24"/>
              </w:rPr>
              <w:t>污水处理厂处理后达标排放，对周围环境影响较小。</w:t>
            </w:r>
          </w:p>
          <w:p w14:paraId="513D1249">
            <w:pPr>
              <w:spacing w:line="360" w:lineRule="auto"/>
              <w:ind w:firstLine="480" w:firstLineChars="200"/>
              <w:rPr>
                <w:rFonts w:eastAsiaTheme="minorEastAsia"/>
                <w:color w:val="auto"/>
                <w:sz w:val="24"/>
              </w:rPr>
            </w:pPr>
            <w:r>
              <w:rPr>
                <w:rFonts w:eastAsiaTheme="minorEastAsia"/>
                <w:color w:val="auto"/>
                <w:sz w:val="24"/>
              </w:rPr>
              <w:t>根据《建设项目环境影响报告编制技术指南》（污染影响类）（2021年试行），</w:t>
            </w:r>
            <w:r>
              <w:rPr>
                <w:rFonts w:hint="eastAsia" w:eastAsiaTheme="minorEastAsia"/>
                <w:color w:val="auto"/>
                <w:sz w:val="24"/>
              </w:rPr>
              <w:t>项目无地下水、土壤污染途径，对地下水、土壤环境影响轻微，且</w:t>
            </w:r>
            <w:r>
              <w:rPr>
                <w:rFonts w:eastAsiaTheme="minorEastAsia"/>
                <w:color w:val="auto"/>
                <w:sz w:val="24"/>
              </w:rPr>
              <w:t>厂界50m范围内无环境敏感点。因此，根据项目占地规模及周边土壤环境敏感程度，本项目不开展土壤环境影响评价工作。</w:t>
            </w:r>
          </w:p>
          <w:p w14:paraId="3EF53BE1">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Times New Roman" w:hAnsi="Times New Roman" w:cs="Times New Roman" w:eastAsiaTheme="minorEastAsia"/>
                <w:b/>
                <w:bCs/>
                <w:color w:val="auto"/>
                <w:kern w:val="2"/>
                <w:sz w:val="24"/>
                <w:szCs w:val="24"/>
                <w:lang w:val="en-US" w:eastAsia="zh-CN" w:bidi="ar-SA"/>
              </w:rPr>
            </w:pPr>
            <w:r>
              <w:rPr>
                <w:rFonts w:ascii="Times New Roman" w:hAnsi="Times New Roman" w:cs="Times New Roman" w:eastAsiaTheme="minorEastAsia"/>
                <w:b/>
                <w:bCs/>
                <w:color w:val="auto"/>
                <w:kern w:val="2"/>
                <w:sz w:val="24"/>
                <w:szCs w:val="24"/>
                <w:lang w:val="en-US" w:eastAsia="zh-CN" w:bidi="ar-SA"/>
              </w:rPr>
              <w:t xml:space="preserve">六、生态环境影响 </w:t>
            </w:r>
          </w:p>
          <w:p w14:paraId="63E2D154">
            <w:pPr>
              <w:spacing w:line="360" w:lineRule="auto"/>
              <w:ind w:firstLine="480" w:firstLineChars="200"/>
              <w:rPr>
                <w:rFonts w:eastAsiaTheme="minorEastAsia"/>
                <w:color w:val="auto"/>
                <w:sz w:val="24"/>
              </w:rPr>
            </w:pPr>
            <w:r>
              <w:rPr>
                <w:rFonts w:eastAsiaTheme="minorEastAsia"/>
                <w:color w:val="auto"/>
                <w:sz w:val="24"/>
              </w:rPr>
              <w:t>本项目占地范围内无生态环境保护目标。根据《建设项目环境影响报告表编制技术指南》（污染影响类）（试行）（环办环评〔2020〕33号）表1专项评价设置原则表判定，本项目</w:t>
            </w:r>
            <w:r>
              <w:rPr>
                <w:rFonts w:hint="eastAsia" w:eastAsiaTheme="minorEastAsia"/>
                <w:color w:val="auto"/>
                <w:sz w:val="24"/>
              </w:rPr>
              <w:t>租赁</w:t>
            </w:r>
            <w:r>
              <w:rPr>
                <w:rFonts w:eastAsiaTheme="minorEastAsia"/>
                <w:color w:val="auto"/>
                <w:sz w:val="24"/>
              </w:rPr>
              <w:t>现有厂房建设，厂内无生态环境保护目标，生态环境影响甚微。</w:t>
            </w:r>
          </w:p>
          <w:p w14:paraId="7CE78B32">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ascii="Times New Roman" w:hAnsi="Times New Roman" w:cs="Times New Roman" w:eastAsiaTheme="minorEastAsia"/>
                <w:b/>
                <w:bCs/>
                <w:color w:val="auto"/>
                <w:kern w:val="2"/>
                <w:sz w:val="24"/>
                <w:szCs w:val="24"/>
                <w:lang w:val="en-US" w:eastAsia="zh-CN" w:bidi="ar-SA"/>
              </w:rPr>
            </w:pPr>
            <w:r>
              <w:rPr>
                <w:rFonts w:ascii="Times New Roman" w:hAnsi="Times New Roman" w:cs="Times New Roman" w:eastAsiaTheme="minorEastAsia"/>
                <w:b/>
                <w:bCs/>
                <w:color w:val="auto"/>
                <w:kern w:val="2"/>
                <w:sz w:val="24"/>
                <w:szCs w:val="24"/>
                <w:lang w:val="en-US" w:eastAsia="zh-CN" w:bidi="ar-SA"/>
              </w:rPr>
              <w:t>七、环境风险</w:t>
            </w:r>
          </w:p>
          <w:p w14:paraId="4D76A374">
            <w:pPr>
              <w:spacing w:line="360" w:lineRule="auto"/>
              <w:ind w:firstLine="482" w:firstLineChars="200"/>
              <w:rPr>
                <w:rFonts w:eastAsiaTheme="minorEastAsia"/>
                <w:b/>
                <w:bCs/>
                <w:color w:val="auto"/>
                <w:sz w:val="24"/>
              </w:rPr>
            </w:pPr>
            <w:r>
              <w:rPr>
                <w:rFonts w:hint="eastAsia" w:eastAsiaTheme="minorEastAsia"/>
                <w:b/>
                <w:bCs/>
                <w:color w:val="auto"/>
                <w:sz w:val="24"/>
                <w:lang w:val="en-US" w:eastAsia="zh-CN"/>
              </w:rPr>
              <w:t>1.</w:t>
            </w:r>
            <w:r>
              <w:rPr>
                <w:rFonts w:eastAsiaTheme="minorEastAsia"/>
                <w:b/>
                <w:bCs/>
                <w:color w:val="auto"/>
                <w:sz w:val="24"/>
              </w:rPr>
              <w:t>风险物质识别</w:t>
            </w:r>
          </w:p>
          <w:p w14:paraId="165834E0">
            <w:pPr>
              <w:spacing w:line="360" w:lineRule="auto"/>
              <w:ind w:firstLine="480" w:firstLineChars="200"/>
              <w:rPr>
                <w:rFonts w:eastAsiaTheme="minorEastAsia"/>
                <w:color w:val="auto"/>
                <w:sz w:val="24"/>
                <w:szCs w:val="24"/>
              </w:rPr>
            </w:pPr>
            <w:r>
              <w:rPr>
                <w:rFonts w:eastAsiaTheme="minorEastAsia"/>
                <w:color w:val="auto"/>
                <w:sz w:val="24"/>
              </w:rPr>
              <w:t>根据《建设项目环境风险评价技术导则》（HJ 169-2018），计算所涉及的项目涉及的突然环境事件风险物质的最大存在总量与其在附录B中对应临界量的比值Q。在不同厂区的同一种物质，按其在厂界内的最大存在总量计算。当只涉及一种危险物质时，计算该物质的总量与其临界量比值，即为Q</w:t>
            </w:r>
            <w:r>
              <w:rPr>
                <w:rFonts w:hint="eastAsia" w:eastAsiaTheme="minorEastAsia"/>
                <w:color w:val="auto"/>
                <w:sz w:val="24"/>
              </w:rPr>
              <w:t>；</w:t>
            </w:r>
            <w:r>
              <w:rPr>
                <w:rFonts w:eastAsiaTheme="minorEastAsia"/>
                <w:color w:val="auto"/>
                <w:sz w:val="24"/>
              </w:rPr>
              <w:t>当存在多种危险物质时，则按下式计算物质总量与其临界量比值（Q）：</w:t>
            </w:r>
          </w:p>
          <w:p w14:paraId="26AA8530">
            <w:pPr>
              <w:pStyle w:val="9"/>
              <w:ind w:firstLine="480"/>
              <w:jc w:val="center"/>
              <w:rPr>
                <w:rFonts w:eastAsiaTheme="minorEastAsia"/>
                <w:color w:val="auto"/>
                <w:sz w:val="24"/>
                <w:szCs w:val="24"/>
              </w:rPr>
            </w:pPr>
            <w:r>
              <w:rPr>
                <w:rFonts w:eastAsiaTheme="minorEastAsia"/>
                <w:color w:val="auto"/>
                <w:sz w:val="24"/>
                <w:szCs w:val="24"/>
              </w:rPr>
              <w:drawing>
                <wp:inline distT="0" distB="0" distL="0" distR="0">
                  <wp:extent cx="2655570" cy="694690"/>
                  <wp:effectExtent l="0" t="0" r="11430" b="10160"/>
                  <wp:docPr id="990864907" name="图片 99086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64907" name="图片 9908649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55570" cy="694690"/>
                          </a:xfrm>
                          <a:prstGeom prst="rect">
                            <a:avLst/>
                          </a:prstGeom>
                          <a:noFill/>
                          <a:ln>
                            <a:noFill/>
                          </a:ln>
                        </pic:spPr>
                      </pic:pic>
                    </a:graphicData>
                  </a:graphic>
                </wp:inline>
              </w:drawing>
            </w:r>
          </w:p>
          <w:p w14:paraId="3662349F">
            <w:pPr>
              <w:adjustRightInd w:val="0"/>
              <w:snapToGrid w:val="0"/>
              <w:spacing w:line="360" w:lineRule="auto"/>
              <w:ind w:firstLine="480" w:firstLineChars="200"/>
              <w:jc w:val="left"/>
              <w:rPr>
                <w:rFonts w:eastAsiaTheme="minorEastAsia"/>
                <w:bCs/>
                <w:color w:val="auto"/>
                <w:sz w:val="24"/>
              </w:rPr>
            </w:pPr>
            <w:r>
              <w:rPr>
                <w:rFonts w:eastAsiaTheme="minorEastAsia"/>
                <w:bCs/>
                <w:color w:val="auto"/>
                <w:sz w:val="24"/>
              </w:rPr>
              <w:t>式中：q</w:t>
            </w:r>
            <w:r>
              <w:rPr>
                <w:rFonts w:eastAsiaTheme="minorEastAsia"/>
                <w:bCs/>
                <w:color w:val="auto"/>
                <w:sz w:val="24"/>
                <w:vertAlign w:val="subscript"/>
              </w:rPr>
              <w:t>1</w:t>
            </w:r>
            <w:r>
              <w:rPr>
                <w:rFonts w:eastAsiaTheme="minorEastAsia"/>
                <w:bCs/>
                <w:color w:val="auto"/>
                <w:sz w:val="24"/>
              </w:rPr>
              <w:t>，q</w:t>
            </w:r>
            <w:r>
              <w:rPr>
                <w:rFonts w:eastAsiaTheme="minorEastAsia"/>
                <w:bCs/>
                <w:color w:val="auto"/>
                <w:sz w:val="24"/>
                <w:vertAlign w:val="subscript"/>
              </w:rPr>
              <w:t>2</w:t>
            </w:r>
            <w:r>
              <w:rPr>
                <w:rFonts w:eastAsiaTheme="minorEastAsia"/>
                <w:bCs/>
                <w:color w:val="auto"/>
                <w:sz w:val="24"/>
              </w:rPr>
              <w:t>，…，q</w:t>
            </w:r>
            <w:r>
              <w:rPr>
                <w:rFonts w:eastAsiaTheme="minorEastAsia"/>
                <w:bCs/>
                <w:color w:val="auto"/>
                <w:sz w:val="24"/>
                <w:vertAlign w:val="subscript"/>
              </w:rPr>
              <w:t>n</w:t>
            </w:r>
            <w:r>
              <w:rPr>
                <w:rFonts w:eastAsiaTheme="minorEastAsia"/>
                <w:bCs/>
                <w:color w:val="auto"/>
                <w:sz w:val="24"/>
              </w:rPr>
              <w:t>——每种危险物质的最大存在总量，t；</w:t>
            </w:r>
          </w:p>
          <w:p w14:paraId="57F1A594">
            <w:pPr>
              <w:adjustRightInd w:val="0"/>
              <w:snapToGrid w:val="0"/>
              <w:spacing w:line="360" w:lineRule="auto"/>
              <w:ind w:firstLine="1200" w:firstLineChars="500"/>
              <w:jc w:val="left"/>
              <w:rPr>
                <w:rFonts w:eastAsiaTheme="minorEastAsia"/>
                <w:bCs/>
                <w:color w:val="auto"/>
                <w:sz w:val="24"/>
              </w:rPr>
            </w:pPr>
            <w:r>
              <w:rPr>
                <w:rFonts w:eastAsiaTheme="minorEastAsia"/>
                <w:bCs/>
                <w:color w:val="auto"/>
                <w:sz w:val="24"/>
              </w:rPr>
              <w:t>Q</w:t>
            </w:r>
            <w:r>
              <w:rPr>
                <w:rFonts w:eastAsiaTheme="minorEastAsia"/>
                <w:bCs/>
                <w:color w:val="auto"/>
                <w:sz w:val="24"/>
                <w:vertAlign w:val="subscript"/>
              </w:rPr>
              <w:t>1</w:t>
            </w:r>
            <w:r>
              <w:rPr>
                <w:rFonts w:eastAsiaTheme="minorEastAsia"/>
                <w:bCs/>
                <w:color w:val="auto"/>
                <w:sz w:val="24"/>
              </w:rPr>
              <w:t>，Q</w:t>
            </w:r>
            <w:r>
              <w:rPr>
                <w:rFonts w:eastAsiaTheme="minorEastAsia"/>
                <w:bCs/>
                <w:color w:val="auto"/>
                <w:sz w:val="24"/>
                <w:vertAlign w:val="subscript"/>
              </w:rPr>
              <w:t>2</w:t>
            </w:r>
            <w:r>
              <w:rPr>
                <w:rFonts w:eastAsiaTheme="minorEastAsia"/>
                <w:bCs/>
                <w:color w:val="auto"/>
                <w:sz w:val="24"/>
              </w:rPr>
              <w:t>，…，Q</w:t>
            </w:r>
            <w:r>
              <w:rPr>
                <w:rFonts w:eastAsiaTheme="minorEastAsia"/>
                <w:bCs/>
                <w:color w:val="auto"/>
                <w:sz w:val="24"/>
                <w:vertAlign w:val="subscript"/>
              </w:rPr>
              <w:t>n</w:t>
            </w:r>
            <w:r>
              <w:rPr>
                <w:rFonts w:eastAsiaTheme="minorEastAsia"/>
                <w:bCs/>
                <w:color w:val="auto"/>
                <w:sz w:val="24"/>
              </w:rPr>
              <w:t>——每种危险物质的临界量，t。</w:t>
            </w:r>
          </w:p>
          <w:p w14:paraId="3362C559">
            <w:pPr>
              <w:adjustRightInd w:val="0"/>
              <w:snapToGrid w:val="0"/>
              <w:spacing w:line="360" w:lineRule="auto"/>
              <w:ind w:firstLine="960" w:firstLineChars="400"/>
              <w:jc w:val="left"/>
              <w:rPr>
                <w:rFonts w:eastAsiaTheme="minorEastAsia"/>
                <w:bCs/>
                <w:color w:val="auto"/>
                <w:sz w:val="24"/>
              </w:rPr>
            </w:pPr>
            <w:r>
              <w:rPr>
                <w:rFonts w:eastAsiaTheme="minorEastAsia"/>
                <w:bCs/>
                <w:color w:val="auto"/>
                <w:sz w:val="24"/>
              </w:rPr>
              <w:t>当Q&lt;1时，该项目环境风险潜势为I。</w:t>
            </w:r>
          </w:p>
          <w:p w14:paraId="0C843D12">
            <w:pPr>
              <w:adjustRightInd w:val="0"/>
              <w:snapToGrid w:val="0"/>
              <w:spacing w:line="360" w:lineRule="auto"/>
              <w:ind w:firstLine="960" w:firstLineChars="400"/>
              <w:jc w:val="left"/>
              <w:rPr>
                <w:rFonts w:eastAsiaTheme="minorEastAsia"/>
                <w:bCs/>
                <w:color w:val="auto"/>
                <w:sz w:val="24"/>
              </w:rPr>
            </w:pPr>
            <w:r>
              <w:rPr>
                <w:rFonts w:eastAsiaTheme="minorEastAsia"/>
                <w:bCs/>
                <w:color w:val="auto"/>
                <w:sz w:val="24"/>
              </w:rPr>
              <w:t>当Q≥1时，将Q值划分为：（1）1≤Q&lt;10；（2）10≤Q&lt;100；（3）Q≥100。</w:t>
            </w:r>
          </w:p>
          <w:p w14:paraId="654D7336">
            <w:pPr>
              <w:pStyle w:val="9"/>
              <w:spacing w:line="360" w:lineRule="auto"/>
              <w:ind w:firstLine="480"/>
              <w:jc w:val="left"/>
              <w:rPr>
                <w:rFonts w:eastAsiaTheme="minorEastAsia"/>
                <w:color w:val="auto"/>
                <w:sz w:val="24"/>
                <w:szCs w:val="24"/>
              </w:rPr>
            </w:pPr>
            <w:r>
              <w:rPr>
                <w:rFonts w:eastAsiaTheme="minorEastAsia"/>
                <w:color w:val="auto"/>
                <w:sz w:val="24"/>
                <w:szCs w:val="24"/>
              </w:rPr>
              <w:t>根据《建设项目环境风险评价技术导则》（HJ169-2018）附录B</w:t>
            </w:r>
            <w:r>
              <w:rPr>
                <w:rFonts w:hint="eastAsia" w:eastAsiaTheme="minorEastAsia"/>
                <w:color w:val="auto"/>
                <w:sz w:val="24"/>
                <w:szCs w:val="24"/>
              </w:rPr>
              <w:t>，本</w:t>
            </w:r>
            <w:r>
              <w:rPr>
                <w:rFonts w:eastAsiaTheme="minorEastAsia"/>
                <w:color w:val="auto"/>
                <w:sz w:val="24"/>
                <w:szCs w:val="24"/>
              </w:rPr>
              <w:t>项目危险物质数量及临界量比值情况如下表所示</w:t>
            </w:r>
            <w:r>
              <w:rPr>
                <w:rFonts w:hint="eastAsia" w:eastAsiaTheme="minorEastAsia"/>
                <w:color w:val="auto"/>
                <w:sz w:val="24"/>
                <w:szCs w:val="24"/>
              </w:rPr>
              <w:t>。</w:t>
            </w:r>
          </w:p>
          <w:p w14:paraId="33C33BDA">
            <w:pPr>
              <w:jc w:val="center"/>
              <w:rPr>
                <w:rFonts w:eastAsiaTheme="minorEastAsia"/>
                <w:b/>
                <w:bCs/>
                <w:color w:val="auto"/>
                <w:szCs w:val="21"/>
              </w:rPr>
            </w:pPr>
            <w:r>
              <w:rPr>
                <w:rFonts w:eastAsiaTheme="minorEastAsia"/>
                <w:b/>
                <w:bCs/>
                <w:color w:val="auto"/>
                <w:szCs w:val="21"/>
              </w:rPr>
              <w:t>表4-1</w:t>
            </w:r>
            <w:r>
              <w:rPr>
                <w:rFonts w:hint="eastAsia" w:eastAsiaTheme="minorEastAsia"/>
                <w:b/>
                <w:bCs/>
                <w:color w:val="auto"/>
                <w:szCs w:val="21"/>
              </w:rPr>
              <w:t>2</w:t>
            </w:r>
            <w:r>
              <w:rPr>
                <w:rFonts w:eastAsiaTheme="minorEastAsia"/>
                <w:b/>
                <w:bCs/>
                <w:color w:val="auto"/>
                <w:szCs w:val="21"/>
              </w:rPr>
              <w:t xml:space="preserve"> </w:t>
            </w:r>
            <w:r>
              <w:rPr>
                <w:rFonts w:hint="eastAsia" w:eastAsiaTheme="minorEastAsia"/>
                <w:b/>
                <w:bCs/>
                <w:color w:val="auto"/>
                <w:szCs w:val="21"/>
              </w:rPr>
              <w:t xml:space="preserve"> </w:t>
            </w:r>
            <w:r>
              <w:rPr>
                <w:rFonts w:eastAsiaTheme="minorEastAsia"/>
                <w:b/>
                <w:bCs/>
                <w:color w:val="auto"/>
                <w:szCs w:val="21"/>
              </w:rPr>
              <w:t>危险物质数量及临界量比值情况一览表</w:t>
            </w:r>
          </w:p>
          <w:tbl>
            <w:tblPr>
              <w:tblStyle w:val="2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071"/>
              <w:gridCol w:w="2096"/>
              <w:gridCol w:w="1595"/>
              <w:gridCol w:w="1196"/>
            </w:tblGrid>
            <w:tr w14:paraId="66B1CF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40" w:type="pct"/>
                  <w:tcBorders>
                    <w:tl2br w:val="nil"/>
                    <w:tr2bl w:val="nil"/>
                  </w:tcBorders>
                  <w:shd w:val="clear" w:color="auto" w:fill="auto"/>
                  <w:vAlign w:val="center"/>
                </w:tcPr>
                <w:p w14:paraId="27953DA3">
                  <w:pPr>
                    <w:jc w:val="center"/>
                    <w:rPr>
                      <w:rFonts w:eastAsiaTheme="minorEastAsia"/>
                      <w:b/>
                      <w:color w:val="auto"/>
                      <w:szCs w:val="21"/>
                    </w:rPr>
                  </w:pPr>
                  <w:r>
                    <w:rPr>
                      <w:rFonts w:eastAsiaTheme="minorEastAsia"/>
                      <w:b/>
                      <w:color w:val="auto"/>
                      <w:szCs w:val="21"/>
                    </w:rPr>
                    <w:t>危险物质名称</w:t>
                  </w:r>
                </w:p>
              </w:tc>
              <w:tc>
                <w:tcPr>
                  <w:tcW w:w="694" w:type="pct"/>
                  <w:tcBorders>
                    <w:tl2br w:val="nil"/>
                    <w:tr2bl w:val="nil"/>
                  </w:tcBorders>
                  <w:vAlign w:val="center"/>
                </w:tcPr>
                <w:p w14:paraId="47DF8B8B">
                  <w:pPr>
                    <w:jc w:val="center"/>
                    <w:rPr>
                      <w:rFonts w:eastAsiaTheme="minorEastAsia"/>
                      <w:b/>
                      <w:color w:val="auto"/>
                      <w:szCs w:val="21"/>
                    </w:rPr>
                  </w:pPr>
                  <w:r>
                    <w:rPr>
                      <w:rFonts w:eastAsiaTheme="minorEastAsia"/>
                      <w:b/>
                      <w:color w:val="auto"/>
                      <w:szCs w:val="21"/>
                    </w:rPr>
                    <w:t>CAS号</w:t>
                  </w:r>
                </w:p>
              </w:tc>
              <w:tc>
                <w:tcPr>
                  <w:tcW w:w="1358" w:type="pct"/>
                  <w:tcBorders>
                    <w:tl2br w:val="nil"/>
                    <w:tr2bl w:val="nil"/>
                  </w:tcBorders>
                  <w:shd w:val="clear" w:color="auto" w:fill="auto"/>
                  <w:vAlign w:val="center"/>
                </w:tcPr>
                <w:p w14:paraId="434F5FA8">
                  <w:pPr>
                    <w:jc w:val="center"/>
                    <w:rPr>
                      <w:rFonts w:eastAsiaTheme="minorEastAsia"/>
                      <w:b/>
                      <w:color w:val="auto"/>
                      <w:szCs w:val="21"/>
                    </w:rPr>
                  </w:pPr>
                  <w:r>
                    <w:rPr>
                      <w:rFonts w:eastAsiaTheme="minorEastAsia"/>
                      <w:b/>
                      <w:color w:val="auto"/>
                      <w:szCs w:val="21"/>
                    </w:rPr>
                    <w:t>最大存在量（t）</w:t>
                  </w:r>
                </w:p>
              </w:tc>
              <w:tc>
                <w:tcPr>
                  <w:tcW w:w="1033" w:type="pct"/>
                  <w:tcBorders>
                    <w:tl2br w:val="nil"/>
                    <w:tr2bl w:val="nil"/>
                  </w:tcBorders>
                  <w:shd w:val="clear" w:color="auto" w:fill="auto"/>
                  <w:vAlign w:val="center"/>
                </w:tcPr>
                <w:p w14:paraId="0EF6FA57">
                  <w:pPr>
                    <w:jc w:val="center"/>
                    <w:rPr>
                      <w:rFonts w:eastAsiaTheme="minorEastAsia"/>
                      <w:b/>
                      <w:color w:val="auto"/>
                      <w:szCs w:val="21"/>
                    </w:rPr>
                  </w:pPr>
                  <w:r>
                    <w:rPr>
                      <w:rFonts w:eastAsiaTheme="minorEastAsia"/>
                      <w:b/>
                      <w:color w:val="auto"/>
                      <w:szCs w:val="21"/>
                    </w:rPr>
                    <w:t>临界量（t）</w:t>
                  </w:r>
                </w:p>
              </w:tc>
              <w:tc>
                <w:tcPr>
                  <w:tcW w:w="774" w:type="pct"/>
                  <w:tcBorders>
                    <w:tl2br w:val="nil"/>
                    <w:tr2bl w:val="nil"/>
                  </w:tcBorders>
                  <w:shd w:val="clear" w:color="auto" w:fill="auto"/>
                  <w:vAlign w:val="center"/>
                </w:tcPr>
                <w:p w14:paraId="57E53038">
                  <w:pPr>
                    <w:jc w:val="center"/>
                    <w:rPr>
                      <w:rFonts w:eastAsiaTheme="minorEastAsia"/>
                      <w:b/>
                      <w:color w:val="auto"/>
                      <w:szCs w:val="21"/>
                    </w:rPr>
                  </w:pPr>
                  <w:r>
                    <w:rPr>
                      <w:rFonts w:eastAsiaTheme="minorEastAsia"/>
                      <w:b/>
                      <w:color w:val="auto"/>
                      <w:szCs w:val="21"/>
                    </w:rPr>
                    <w:t>Q</w:t>
                  </w:r>
                  <w:r>
                    <w:rPr>
                      <w:rFonts w:hint="eastAsia" w:eastAsiaTheme="minorEastAsia"/>
                      <w:b/>
                      <w:color w:val="auto"/>
                      <w:szCs w:val="21"/>
                    </w:rPr>
                    <w:t>值</w:t>
                  </w:r>
                </w:p>
              </w:tc>
            </w:tr>
            <w:tr w14:paraId="37A01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0" w:type="pct"/>
                  <w:tcBorders>
                    <w:tl2br w:val="nil"/>
                    <w:tr2bl w:val="nil"/>
                  </w:tcBorders>
                  <w:shd w:val="clear" w:color="auto" w:fill="auto"/>
                  <w:vAlign w:val="center"/>
                </w:tcPr>
                <w:p w14:paraId="0AB3D308">
                  <w:pPr>
                    <w:jc w:val="center"/>
                    <w:rPr>
                      <w:rFonts w:eastAsiaTheme="minorEastAsia"/>
                      <w:color w:val="auto"/>
                      <w:szCs w:val="21"/>
                    </w:rPr>
                  </w:pPr>
                  <w:r>
                    <w:rPr>
                      <w:rFonts w:hint="eastAsia" w:eastAsiaTheme="minorEastAsia"/>
                      <w:color w:val="auto"/>
                      <w:szCs w:val="21"/>
                      <w:lang w:val="en-US" w:eastAsia="zh-CN"/>
                    </w:rPr>
                    <w:t>液化石油气</w:t>
                  </w:r>
                </w:p>
              </w:tc>
              <w:tc>
                <w:tcPr>
                  <w:tcW w:w="694" w:type="pct"/>
                  <w:tcBorders>
                    <w:tl2br w:val="nil"/>
                    <w:tr2bl w:val="nil"/>
                  </w:tcBorders>
                  <w:vAlign w:val="center"/>
                </w:tcPr>
                <w:p w14:paraId="4D2656E4">
                  <w:pPr>
                    <w:jc w:val="center"/>
                    <w:rPr>
                      <w:rFonts w:eastAsiaTheme="minorEastAsia"/>
                      <w:color w:val="auto"/>
                      <w:szCs w:val="21"/>
                    </w:rPr>
                  </w:pPr>
                  <w:r>
                    <w:rPr>
                      <w:rFonts w:hint="eastAsia" w:eastAsiaTheme="minorEastAsia"/>
                      <w:color w:val="auto"/>
                      <w:szCs w:val="21"/>
                    </w:rPr>
                    <w:t>/</w:t>
                  </w:r>
                </w:p>
              </w:tc>
              <w:tc>
                <w:tcPr>
                  <w:tcW w:w="2332" w:type="dxa"/>
                  <w:tcBorders>
                    <w:tl2br w:val="nil"/>
                    <w:tr2bl w:val="nil"/>
                  </w:tcBorders>
                  <w:shd w:val="clear" w:color="auto" w:fill="auto"/>
                  <w:vAlign w:val="center"/>
                </w:tcPr>
                <w:p w14:paraId="4B4FB72F">
                  <w:pPr>
                    <w:adjustRightInd w:val="0"/>
                    <w:snapToGrid w:val="0"/>
                    <w:jc w:val="center"/>
                    <w:rPr>
                      <w:rFonts w:hint="default" w:eastAsiaTheme="minorEastAsia"/>
                      <w:color w:val="auto"/>
                      <w:szCs w:val="21"/>
                      <w:lang w:val="en-US" w:eastAsia="zh-CN"/>
                    </w:rPr>
                  </w:pPr>
                  <w:r>
                    <w:rPr>
                      <w:rFonts w:hint="eastAsia" w:eastAsia="宋体"/>
                      <w:color w:val="auto"/>
                      <w:szCs w:val="21"/>
                    </w:rPr>
                    <w:t>0.495</w:t>
                  </w:r>
                </w:p>
              </w:tc>
              <w:tc>
                <w:tcPr>
                  <w:tcW w:w="1774" w:type="dxa"/>
                  <w:tcBorders>
                    <w:tl2br w:val="nil"/>
                    <w:tr2bl w:val="nil"/>
                  </w:tcBorders>
                  <w:shd w:val="clear" w:color="auto" w:fill="auto"/>
                  <w:vAlign w:val="center"/>
                </w:tcPr>
                <w:p w14:paraId="632F9AC6">
                  <w:pPr>
                    <w:adjustRightInd w:val="0"/>
                    <w:snapToGrid w:val="0"/>
                    <w:jc w:val="center"/>
                    <w:rPr>
                      <w:rFonts w:eastAsiaTheme="minorEastAsia"/>
                      <w:color w:val="auto"/>
                      <w:szCs w:val="21"/>
                    </w:rPr>
                  </w:pPr>
                  <w:r>
                    <w:rPr>
                      <w:rFonts w:hint="eastAsia" w:eastAsia="宋体"/>
                      <w:color w:val="auto"/>
                      <w:szCs w:val="21"/>
                    </w:rPr>
                    <w:t>10</w:t>
                  </w:r>
                </w:p>
              </w:tc>
              <w:tc>
                <w:tcPr>
                  <w:tcW w:w="774" w:type="pct"/>
                  <w:tcBorders>
                    <w:tl2br w:val="nil"/>
                    <w:tr2bl w:val="nil"/>
                  </w:tcBorders>
                  <w:shd w:val="clear" w:color="auto" w:fill="auto"/>
                  <w:vAlign w:val="center"/>
                </w:tcPr>
                <w:p w14:paraId="181B98A6">
                  <w:pPr>
                    <w:jc w:val="center"/>
                    <w:rPr>
                      <w:rFonts w:hint="eastAsia" w:eastAsiaTheme="minorEastAsia"/>
                      <w:color w:val="auto"/>
                      <w:szCs w:val="21"/>
                      <w:lang w:val="en-US" w:eastAsia="zh-CN"/>
                    </w:rPr>
                  </w:pPr>
                  <w:r>
                    <w:rPr>
                      <w:rFonts w:hint="eastAsia" w:eastAsiaTheme="minorEastAsia"/>
                      <w:color w:val="auto"/>
                      <w:szCs w:val="21"/>
                      <w:lang w:val="en-US" w:eastAsia="zh-CN"/>
                    </w:rPr>
                    <w:t>0.0495</w:t>
                  </w:r>
                </w:p>
              </w:tc>
            </w:tr>
            <w:tr w14:paraId="1873A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140" w:type="pct"/>
                  <w:tcBorders>
                    <w:tl2br w:val="nil"/>
                    <w:tr2bl w:val="nil"/>
                  </w:tcBorders>
                  <w:shd w:val="clear" w:color="auto" w:fill="auto"/>
                  <w:vAlign w:val="center"/>
                </w:tcPr>
                <w:p w14:paraId="630A7943">
                  <w:pPr>
                    <w:jc w:val="center"/>
                    <w:rPr>
                      <w:rFonts w:hint="eastAsia" w:eastAsiaTheme="minorEastAsia"/>
                      <w:color w:val="auto"/>
                      <w:szCs w:val="21"/>
                    </w:rPr>
                  </w:pPr>
                  <w:r>
                    <w:rPr>
                      <w:rFonts w:hint="eastAsia" w:eastAsiaTheme="minorEastAsia"/>
                      <w:color w:val="auto"/>
                      <w:szCs w:val="21"/>
                    </w:rPr>
                    <w:t>废</w:t>
                  </w:r>
                  <w:r>
                    <w:rPr>
                      <w:rFonts w:hint="eastAsia" w:eastAsiaTheme="minorEastAsia"/>
                      <w:color w:val="auto"/>
                      <w:szCs w:val="21"/>
                      <w:lang w:val="en-US" w:eastAsia="zh-CN"/>
                    </w:rPr>
                    <w:t>机油</w:t>
                  </w:r>
                </w:p>
              </w:tc>
              <w:tc>
                <w:tcPr>
                  <w:tcW w:w="694" w:type="pct"/>
                  <w:tcBorders>
                    <w:tl2br w:val="nil"/>
                    <w:tr2bl w:val="nil"/>
                  </w:tcBorders>
                  <w:vAlign w:val="center"/>
                </w:tcPr>
                <w:p w14:paraId="19665AD4">
                  <w:pPr>
                    <w:jc w:val="center"/>
                    <w:rPr>
                      <w:rFonts w:hint="eastAsia" w:eastAsiaTheme="minorEastAsia"/>
                      <w:color w:val="auto"/>
                      <w:szCs w:val="21"/>
                    </w:rPr>
                  </w:pPr>
                </w:p>
              </w:tc>
              <w:tc>
                <w:tcPr>
                  <w:tcW w:w="2332" w:type="dxa"/>
                  <w:tcBorders>
                    <w:tl2br w:val="nil"/>
                    <w:tr2bl w:val="nil"/>
                  </w:tcBorders>
                  <w:shd w:val="clear" w:color="auto" w:fill="auto"/>
                  <w:vAlign w:val="center"/>
                </w:tcPr>
                <w:p w14:paraId="3915AD1E">
                  <w:pPr>
                    <w:adjustRightInd w:val="0"/>
                    <w:snapToGrid w:val="0"/>
                    <w:jc w:val="center"/>
                    <w:rPr>
                      <w:rFonts w:hint="eastAsia" w:eastAsiaTheme="minorEastAsia"/>
                      <w:color w:val="auto"/>
                      <w:szCs w:val="21"/>
                    </w:rPr>
                  </w:pPr>
                  <w:r>
                    <w:rPr>
                      <w:rFonts w:eastAsia="Calibri"/>
                      <w:color w:val="auto"/>
                      <w:szCs w:val="21"/>
                    </w:rPr>
                    <w:t>0.</w:t>
                  </w:r>
                  <w:r>
                    <w:rPr>
                      <w:color w:val="auto"/>
                      <w:szCs w:val="21"/>
                    </w:rPr>
                    <w:t>0</w:t>
                  </w:r>
                  <w:r>
                    <w:rPr>
                      <w:rFonts w:hint="eastAsia"/>
                      <w:color w:val="auto"/>
                      <w:szCs w:val="21"/>
                      <w:lang w:val="en-US" w:eastAsia="zh-CN"/>
                    </w:rPr>
                    <w:t>05</w:t>
                  </w:r>
                </w:p>
              </w:tc>
              <w:tc>
                <w:tcPr>
                  <w:tcW w:w="1774" w:type="dxa"/>
                  <w:tcBorders>
                    <w:tl2br w:val="nil"/>
                    <w:tr2bl w:val="nil"/>
                  </w:tcBorders>
                  <w:shd w:val="clear" w:color="auto" w:fill="auto"/>
                  <w:vAlign w:val="center"/>
                </w:tcPr>
                <w:p w14:paraId="6D352BA3">
                  <w:pPr>
                    <w:adjustRightInd w:val="0"/>
                    <w:snapToGrid w:val="0"/>
                    <w:jc w:val="center"/>
                    <w:rPr>
                      <w:rFonts w:hint="eastAsia" w:eastAsiaTheme="minorEastAsia"/>
                      <w:color w:val="auto"/>
                      <w:szCs w:val="21"/>
                    </w:rPr>
                  </w:pPr>
                  <w:r>
                    <w:rPr>
                      <w:rFonts w:hint="eastAsia" w:eastAsia="宋体"/>
                      <w:color w:val="auto"/>
                      <w:szCs w:val="21"/>
                      <w:lang w:val="en-US" w:eastAsia="zh-CN"/>
                    </w:rPr>
                    <w:t>50</w:t>
                  </w:r>
                </w:p>
              </w:tc>
              <w:tc>
                <w:tcPr>
                  <w:tcW w:w="774" w:type="pct"/>
                  <w:tcBorders>
                    <w:tl2br w:val="nil"/>
                    <w:tr2bl w:val="nil"/>
                  </w:tcBorders>
                  <w:shd w:val="clear" w:color="auto" w:fill="auto"/>
                  <w:vAlign w:val="center"/>
                </w:tcPr>
                <w:p w14:paraId="6EF32A2C">
                  <w:pPr>
                    <w:jc w:val="center"/>
                    <w:rPr>
                      <w:rFonts w:hint="eastAsia" w:eastAsiaTheme="minorEastAsia"/>
                      <w:color w:val="auto"/>
                      <w:szCs w:val="21"/>
                      <w:lang w:val="en-US" w:eastAsia="zh-CN"/>
                    </w:rPr>
                  </w:pPr>
                  <w:r>
                    <w:rPr>
                      <w:rFonts w:hint="eastAsia" w:eastAsiaTheme="minorEastAsia"/>
                      <w:color w:val="auto"/>
                      <w:szCs w:val="21"/>
                      <w:lang w:val="en-US" w:eastAsia="zh-CN"/>
                    </w:rPr>
                    <w:t>0.0001</w:t>
                  </w:r>
                </w:p>
              </w:tc>
            </w:tr>
            <w:tr w14:paraId="2AF15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25" w:type="pct"/>
                  <w:gridSpan w:val="4"/>
                  <w:tcBorders>
                    <w:tl2br w:val="nil"/>
                    <w:tr2bl w:val="nil"/>
                  </w:tcBorders>
                  <w:shd w:val="clear" w:color="auto" w:fill="auto"/>
                  <w:vAlign w:val="center"/>
                </w:tcPr>
                <w:p w14:paraId="5BFF9F70">
                  <w:pPr>
                    <w:jc w:val="center"/>
                    <w:rPr>
                      <w:rFonts w:eastAsiaTheme="minorEastAsia"/>
                      <w:color w:val="auto"/>
                      <w:szCs w:val="21"/>
                    </w:rPr>
                  </w:pPr>
                  <w:r>
                    <w:rPr>
                      <w:rFonts w:hint="eastAsia" w:eastAsiaTheme="minorEastAsia"/>
                      <w:color w:val="auto"/>
                      <w:szCs w:val="21"/>
                    </w:rPr>
                    <w:t>总和</w:t>
                  </w:r>
                </w:p>
              </w:tc>
              <w:tc>
                <w:tcPr>
                  <w:tcW w:w="774" w:type="pct"/>
                  <w:tcBorders>
                    <w:tl2br w:val="nil"/>
                    <w:tr2bl w:val="nil"/>
                  </w:tcBorders>
                  <w:shd w:val="clear" w:color="auto" w:fill="auto"/>
                  <w:vAlign w:val="center"/>
                </w:tcPr>
                <w:p w14:paraId="2875B010">
                  <w:pPr>
                    <w:jc w:val="center"/>
                    <w:rPr>
                      <w:rFonts w:hint="default" w:eastAsiaTheme="minorEastAsia"/>
                      <w:color w:val="auto"/>
                      <w:szCs w:val="21"/>
                      <w:lang w:val="en-US" w:eastAsia="zh-CN"/>
                    </w:rPr>
                  </w:pPr>
                  <w:r>
                    <w:rPr>
                      <w:rFonts w:hint="eastAsia" w:eastAsiaTheme="minorEastAsia"/>
                      <w:color w:val="auto"/>
                      <w:szCs w:val="21"/>
                      <w:lang w:val="en-US" w:eastAsia="zh-CN"/>
                    </w:rPr>
                    <w:t>0.0496</w:t>
                  </w:r>
                </w:p>
              </w:tc>
            </w:tr>
          </w:tbl>
          <w:p w14:paraId="5DABD071">
            <w:pPr>
              <w:pStyle w:val="15"/>
              <w:spacing w:line="360" w:lineRule="auto"/>
              <w:ind w:left="0" w:leftChars="0" w:firstLine="480" w:firstLineChars="200"/>
              <w:rPr>
                <w:color w:val="auto"/>
                <w:sz w:val="24"/>
              </w:rPr>
            </w:pPr>
            <w:r>
              <w:rPr>
                <w:color w:val="auto"/>
                <w:sz w:val="24"/>
              </w:rPr>
              <w:t>依据附录C.1.1，从上表计算结果可知，本项目危险物质数量与临界量比值Q=&lt;1，则本项目环境风险潜势为Ⅰ。</w:t>
            </w:r>
          </w:p>
          <w:p w14:paraId="22775F80">
            <w:pPr>
              <w:pStyle w:val="15"/>
              <w:spacing w:line="360" w:lineRule="auto"/>
              <w:ind w:left="0" w:leftChars="0" w:firstLine="480" w:firstLineChars="200"/>
              <w:rPr>
                <w:color w:val="auto"/>
                <w:sz w:val="24"/>
              </w:rPr>
            </w:pPr>
            <w:r>
              <w:rPr>
                <w:color w:val="auto"/>
                <w:sz w:val="24"/>
              </w:rPr>
              <w:t>根据《建设项目环境影响报告表编制技术指南》（污染影响类）（试行）（环办环评〔2020〕33号）表1专项评价设置原则表判定，本项目环境风险物质存储量未超过临界量，因此，本项目无需进行环境风险专项评价。</w:t>
            </w:r>
          </w:p>
          <w:p w14:paraId="6013817E">
            <w:pPr>
              <w:pStyle w:val="15"/>
              <w:spacing w:line="360" w:lineRule="auto"/>
              <w:ind w:left="0" w:leftChars="0" w:firstLine="482" w:firstLineChars="200"/>
              <w:rPr>
                <w:rFonts w:ascii="Times New Roman" w:hAnsi="Times New Roman" w:eastAsia="宋体" w:cs="Times New Roman"/>
                <w:b/>
                <w:bCs/>
                <w:color w:val="auto"/>
                <w:sz w:val="24"/>
              </w:rPr>
            </w:pPr>
            <w:r>
              <w:rPr>
                <w:rFonts w:hint="eastAsia" w:ascii="Times New Roman" w:hAnsi="Times New Roman" w:cs="Times New Roman"/>
                <w:b/>
                <w:bCs/>
                <w:color w:val="auto"/>
                <w:sz w:val="24"/>
                <w:lang w:val="en-US" w:eastAsia="zh-CN"/>
              </w:rPr>
              <w:t>2.</w:t>
            </w:r>
            <w:r>
              <w:rPr>
                <w:rFonts w:ascii="Times New Roman" w:hAnsi="Times New Roman" w:eastAsia="宋体" w:cs="Times New Roman"/>
                <w:b/>
                <w:bCs/>
                <w:color w:val="auto"/>
                <w:sz w:val="24"/>
              </w:rPr>
              <w:t>环境风险识别</w:t>
            </w:r>
          </w:p>
          <w:p w14:paraId="3F0A9497">
            <w:pPr>
              <w:pStyle w:val="15"/>
              <w:spacing w:line="360" w:lineRule="auto"/>
              <w:ind w:left="0" w:leftChars="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主要危险物质及分布情况</w:t>
            </w:r>
          </w:p>
          <w:p w14:paraId="1C47927C">
            <w:pPr>
              <w:pStyle w:val="15"/>
              <w:spacing w:line="360" w:lineRule="auto"/>
              <w:ind w:left="0" w:leftChars="0"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项目涉及风险物质为</w:t>
            </w:r>
            <w:r>
              <w:rPr>
                <w:rFonts w:hint="eastAsia" w:ascii="Times New Roman" w:hAnsi="Times New Roman" w:eastAsia="宋体" w:cs="Times New Roman"/>
                <w:color w:val="auto"/>
                <w:sz w:val="24"/>
              </w:rPr>
              <w:t>液化石油气和</w:t>
            </w:r>
            <w:r>
              <w:rPr>
                <w:rFonts w:ascii="Times New Roman" w:hAnsi="Times New Roman" w:eastAsia="宋体" w:cs="Times New Roman"/>
                <w:color w:val="auto"/>
                <w:sz w:val="24"/>
              </w:rPr>
              <w:t>废机油，</w:t>
            </w:r>
            <w:r>
              <w:rPr>
                <w:rFonts w:hint="eastAsia" w:ascii="Times New Roman" w:hAnsi="Times New Roman" w:eastAsia="宋体" w:cs="Times New Roman"/>
                <w:color w:val="auto"/>
                <w:sz w:val="24"/>
              </w:rPr>
              <w:t>液化石油气储存于西北角储存区，废机油</w:t>
            </w:r>
            <w:r>
              <w:rPr>
                <w:rFonts w:ascii="Times New Roman" w:hAnsi="Times New Roman" w:eastAsia="宋体" w:cs="Times New Roman"/>
                <w:color w:val="auto"/>
                <w:sz w:val="24"/>
              </w:rPr>
              <w:t>主要分布在生产生车间机械设备壳体内，存放在危废暂存间内。</w:t>
            </w:r>
          </w:p>
          <w:p w14:paraId="58339630">
            <w:pPr>
              <w:pStyle w:val="15"/>
              <w:spacing w:line="360" w:lineRule="auto"/>
              <w:ind w:left="0" w:leftChars="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可能影响环境的途径</w:t>
            </w:r>
          </w:p>
          <w:p w14:paraId="5C492093">
            <w:pPr>
              <w:pStyle w:val="15"/>
              <w:spacing w:line="360" w:lineRule="auto"/>
              <w:ind w:left="0" w:leftChars="0" w:firstLine="480" w:firstLineChars="200"/>
              <w:rPr>
                <w:rFonts w:ascii="Times New Roman" w:hAnsi="Times New Roman" w:eastAsia="宋体" w:cs="Times New Roman"/>
                <w:color w:val="auto"/>
                <w:sz w:val="24"/>
              </w:rPr>
            </w:pPr>
            <w:r>
              <w:rPr>
                <w:rFonts w:hint="eastAsia" w:ascii="Times New Roman" w:hAnsi="Times New Roman" w:eastAsia="宋体" w:cs="Times New Roman"/>
                <w:color w:val="auto"/>
                <w:sz w:val="24"/>
              </w:rPr>
              <w:t>液化石油气发生泄漏事故，引发火灾、爆炸，</w:t>
            </w:r>
            <w:r>
              <w:rPr>
                <w:rFonts w:ascii="Times New Roman" w:hAnsi="Times New Roman" w:eastAsia="宋体" w:cs="Times New Roman"/>
                <w:color w:val="auto"/>
                <w:sz w:val="24"/>
              </w:rPr>
              <w:t>废机油发生泄漏事故，引发火灾，造成大气环境影响，另外消防污水如没有得到有效控制，可能会进入雨水系统，造成附近的水体污染。</w:t>
            </w:r>
          </w:p>
          <w:p w14:paraId="7D69174F">
            <w:pPr>
              <w:tabs>
                <w:tab w:val="left" w:pos="3135"/>
              </w:tabs>
              <w:adjustRightInd w:val="0"/>
              <w:snapToGrid w:val="0"/>
              <w:spacing w:line="360" w:lineRule="auto"/>
              <w:ind w:firstLine="482" w:firstLineChars="200"/>
              <w:rPr>
                <w:rFonts w:hint="default" w:ascii="Times New Roman" w:hAnsi="Times New Roman" w:cs="Times New Roman"/>
                <w:b/>
                <w:bCs w:val="0"/>
                <w:color w:val="auto"/>
              </w:rPr>
            </w:pPr>
            <w:bookmarkStart w:id="16" w:name="_Toc18498829"/>
            <w:r>
              <w:rPr>
                <w:rFonts w:hint="default" w:ascii="Times New Roman" w:hAnsi="Times New Roman" w:cs="Times New Roman"/>
                <w:b/>
                <w:bCs w:val="0"/>
                <w:color w:val="auto"/>
                <w:sz w:val="24"/>
                <w:szCs w:val="22"/>
              </w:rPr>
              <w:t>3</w:t>
            </w:r>
            <w:r>
              <w:rPr>
                <w:rFonts w:hint="eastAsia" w:ascii="Times New Roman" w:hAnsi="Times New Roman" w:cs="Times New Roman"/>
                <w:b/>
                <w:bCs w:val="0"/>
                <w:color w:val="auto"/>
                <w:sz w:val="24"/>
                <w:szCs w:val="22"/>
                <w:lang w:val="en-US" w:eastAsia="zh-CN"/>
              </w:rPr>
              <w:t>.</w:t>
            </w:r>
            <w:r>
              <w:rPr>
                <w:rFonts w:hint="default" w:ascii="Times New Roman" w:hAnsi="Times New Roman" w:cs="Times New Roman"/>
                <w:b/>
                <w:bCs w:val="0"/>
                <w:color w:val="auto"/>
                <w:sz w:val="24"/>
                <w:szCs w:val="22"/>
              </w:rPr>
              <w:t>环境风险分析</w:t>
            </w:r>
            <w:bookmarkEnd w:id="16"/>
          </w:p>
          <w:p w14:paraId="4A7FE021">
            <w:pPr>
              <w:adjustRightInd w:val="0"/>
              <w:snapToGrid w:val="0"/>
              <w:spacing w:line="360" w:lineRule="auto"/>
              <w:ind w:firstLine="480" w:firstLineChars="200"/>
              <w:rPr>
                <w:rFonts w:hint="default" w:ascii="Times New Roman" w:hAnsi="Times New Roman" w:cs="Times New Roman"/>
                <w:color w:val="auto"/>
              </w:rPr>
            </w:pPr>
            <w:r>
              <w:rPr>
                <w:rFonts w:hint="eastAsia" w:ascii="Times New Roman" w:hAnsi="Times New Roman" w:eastAsia="宋体" w:cs="Times New Roman"/>
                <w:color w:val="auto"/>
                <w:sz w:val="24"/>
              </w:rPr>
              <w:t>液化石油气</w:t>
            </w:r>
            <w:r>
              <w:rPr>
                <w:rFonts w:hint="eastAsia" w:cs="Times New Roman"/>
                <w:color w:val="auto"/>
                <w:sz w:val="24"/>
                <w:lang w:eastAsia="zh-CN"/>
              </w:rPr>
              <w:t>极易燃</w:t>
            </w:r>
            <w:r>
              <w:rPr>
                <w:rFonts w:hint="eastAsia" w:ascii="Times New Roman" w:hAnsi="Times New Roman" w:eastAsia="宋体" w:cs="Times New Roman"/>
                <w:color w:val="auto"/>
                <w:sz w:val="24"/>
              </w:rPr>
              <w:t>，</w:t>
            </w:r>
            <w:r>
              <w:rPr>
                <w:rFonts w:hint="eastAsia" w:cs="Times New Roman"/>
                <w:color w:val="auto"/>
                <w:sz w:val="24"/>
                <w:lang w:eastAsia="zh-CN"/>
              </w:rPr>
              <w:t>与空气混合形成爆炸性混合物。遇热源和明火有燃烧的危险。</w:t>
            </w:r>
            <w:r>
              <w:rPr>
                <w:rFonts w:hint="default" w:ascii="Times New Roman" w:hAnsi="Times New Roman" w:cs="Times New Roman"/>
                <w:color w:val="auto"/>
                <w:kern w:val="0"/>
                <w:sz w:val="24"/>
                <w:shd w:val="clear" w:color="auto" w:fill="FFFFFF"/>
              </w:rPr>
              <w:t>废机油属于易燃液体，若泄漏挥发气体与空气混合形成爆炸气体遇明火、热源可引发火、爆炸事故。火灾、爆炸首先产生有毒有害气体和窒息气体，周围环境空气造成较大的影响，其次火灾、爆炸消防废水外溢可能污染地表水、地下水和土壤。</w:t>
            </w:r>
          </w:p>
          <w:p w14:paraId="756BE7E9">
            <w:pPr>
              <w:adjustRightInd w:val="0"/>
              <w:snapToGrid w:val="0"/>
              <w:spacing w:line="360" w:lineRule="auto"/>
              <w:ind w:firstLine="482" w:firstLineChars="200"/>
              <w:rPr>
                <w:rFonts w:hint="default" w:ascii="Times New Roman" w:hAnsi="Times New Roman" w:cs="Times New Roman"/>
                <w:b/>
                <w:bCs/>
                <w:color w:val="auto"/>
                <w:sz w:val="24"/>
              </w:rPr>
            </w:pPr>
            <w:bookmarkStart w:id="17" w:name="_Toc18498831"/>
            <w:bookmarkStart w:id="18" w:name="_Toc7115601"/>
            <w:bookmarkStart w:id="19" w:name="_Toc515151189"/>
            <w:bookmarkStart w:id="20" w:name="_Toc12228251"/>
            <w:r>
              <w:rPr>
                <w:rFonts w:hint="eastAsia" w:ascii="Times New Roman" w:hAnsi="Times New Roman" w:cs="Times New Roman"/>
                <w:b/>
                <w:bCs/>
                <w:color w:val="auto"/>
                <w:sz w:val="24"/>
                <w:lang w:val="en-US" w:eastAsia="zh-CN"/>
              </w:rPr>
              <w:t>4.</w:t>
            </w:r>
            <w:r>
              <w:rPr>
                <w:rFonts w:hint="default" w:ascii="Times New Roman" w:hAnsi="Times New Roman" w:cs="Times New Roman"/>
                <w:b/>
                <w:bCs/>
                <w:color w:val="auto"/>
                <w:sz w:val="24"/>
              </w:rPr>
              <w:t>环境风险应急要求及防范措施</w:t>
            </w:r>
          </w:p>
          <w:bookmarkEnd w:id="17"/>
          <w:bookmarkEnd w:id="18"/>
          <w:bookmarkEnd w:id="19"/>
          <w:bookmarkEnd w:id="20"/>
          <w:p w14:paraId="28D28D4E">
            <w:pPr>
              <w:adjustRightInd w:val="0"/>
              <w:snapToGrid w:val="0"/>
              <w:spacing w:line="360" w:lineRule="auto"/>
              <w:ind w:firstLine="480" w:firstLineChars="200"/>
              <w:rPr>
                <w:rFonts w:hint="default" w:ascii="Times New Roman" w:hAnsi="Times New Roman" w:cs="Times New Roman"/>
                <w:bCs/>
                <w:color w:val="auto"/>
                <w:sz w:val="24"/>
                <w:szCs w:val="22"/>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default" w:ascii="Times New Roman" w:hAnsi="Times New Roman" w:cs="Times New Roman"/>
                <w:bCs/>
                <w:color w:val="auto"/>
                <w:sz w:val="24"/>
              </w:rPr>
              <w:t>泄漏应急处理</w:t>
            </w:r>
          </w:p>
          <w:p w14:paraId="7567B80D">
            <w:pPr>
              <w:adjustRightInd w:val="0"/>
              <w:snapToGrid w:val="0"/>
              <w:spacing w:line="360" w:lineRule="auto"/>
              <w:ind w:firstLine="480" w:firstLineChars="200"/>
              <w:rPr>
                <w:rFonts w:hint="eastAsia" w:ascii="Times New Roman" w:hAnsi="Times New Roman" w:eastAsia="宋体" w:cs="Times New Roman"/>
                <w:bCs/>
                <w:color w:val="auto"/>
                <w:sz w:val="24"/>
                <w:lang w:eastAsia="zh-CN"/>
              </w:rPr>
            </w:pPr>
            <w:r>
              <w:rPr>
                <w:rFonts w:hint="eastAsia" w:cs="Times New Roman"/>
                <w:bCs/>
                <w:color w:val="auto"/>
                <w:sz w:val="24"/>
                <w:lang w:eastAsia="zh-CN"/>
              </w:rPr>
              <w:t>当</w:t>
            </w:r>
            <w:r>
              <w:rPr>
                <w:rFonts w:hint="eastAsia" w:ascii="Times New Roman" w:hAnsi="Times New Roman" w:eastAsia="宋体" w:cs="Times New Roman"/>
                <w:color w:val="auto"/>
                <w:sz w:val="24"/>
              </w:rPr>
              <w:t>液化石油气发生</w:t>
            </w:r>
            <w:r>
              <w:rPr>
                <w:rFonts w:hint="default" w:ascii="Times New Roman" w:hAnsi="Times New Roman" w:cs="Times New Roman"/>
                <w:bCs/>
                <w:color w:val="auto"/>
                <w:sz w:val="24"/>
              </w:rPr>
              <w:t>泄漏</w:t>
            </w:r>
            <w:r>
              <w:rPr>
                <w:rFonts w:hint="eastAsia" w:cs="Times New Roman"/>
                <w:bCs/>
                <w:color w:val="auto"/>
                <w:sz w:val="24"/>
                <w:lang w:eastAsia="zh-CN"/>
              </w:rPr>
              <w:t>时</w:t>
            </w:r>
            <w:r>
              <w:rPr>
                <w:rFonts w:hint="eastAsia" w:cs="Times New Roman"/>
                <w:color w:val="auto"/>
                <w:sz w:val="24"/>
                <w:lang w:eastAsia="zh-CN"/>
              </w:rPr>
              <w:t>，迅速撤离泄漏污染区人员至上风处，严格限制出入。切断火源。建议应急处理人员戴自给正压式呼吸器，穿防静电工作服。合理通风，加速扩散。喷雾状水稀释。泄漏容器要妥善处理，修复、检验后再用。</w:t>
            </w:r>
          </w:p>
          <w:p w14:paraId="1E9E7238">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当废机油发生泄漏时，建议应急处理人员戴防毒面具，穿防护服。作业时使用的所有设备应接地，禁止无防护设施接触破裂的容器和泄漏物。</w:t>
            </w:r>
            <w:r>
              <w:rPr>
                <w:rFonts w:hint="eastAsia" w:cs="Times New Roman"/>
                <w:bCs/>
                <w:color w:val="auto"/>
                <w:sz w:val="24"/>
                <w:lang w:eastAsia="zh-CN"/>
              </w:rPr>
              <w:t>尽可能地</w:t>
            </w:r>
            <w:r>
              <w:rPr>
                <w:rFonts w:hint="default" w:ascii="Times New Roman" w:hAnsi="Times New Roman" w:cs="Times New Roman"/>
                <w:bCs/>
                <w:color w:val="auto"/>
                <w:sz w:val="24"/>
              </w:rPr>
              <w:t>切断电源，防止泄漏物进入水体、下</w:t>
            </w:r>
            <w:r>
              <w:rPr>
                <w:rFonts w:hint="default" w:ascii="Times New Roman" w:hAnsi="Times New Roman" w:cs="Times New Roman"/>
                <w:bCs/>
                <w:color w:val="auto"/>
                <w:sz w:val="24"/>
                <w:szCs w:val="22"/>
              </w:rPr>
              <w:t>水道</w:t>
            </w:r>
            <w:r>
              <w:rPr>
                <w:rFonts w:hint="eastAsia" w:cs="Times New Roman"/>
                <w:bCs/>
                <w:color w:val="auto"/>
                <w:sz w:val="24"/>
                <w:szCs w:val="22"/>
                <w:lang w:eastAsia="zh-CN"/>
              </w:rPr>
              <w:t>或</w:t>
            </w:r>
            <w:r>
              <w:rPr>
                <w:rFonts w:hint="default" w:ascii="Times New Roman" w:hAnsi="Times New Roman" w:cs="Times New Roman"/>
                <w:bCs/>
                <w:color w:val="auto"/>
                <w:sz w:val="24"/>
                <w:szCs w:val="22"/>
              </w:rPr>
              <w:t>密闭性空间。泄漏时用干燥的沙土或其他不燃材料覆盖泄漏物，随后转移至收集器中。</w:t>
            </w:r>
          </w:p>
          <w:p w14:paraId="0020098E">
            <w:pPr>
              <w:pStyle w:val="15"/>
              <w:spacing w:line="360" w:lineRule="auto"/>
              <w:ind w:left="0" w:leftChars="0"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2</w:t>
            </w:r>
            <w:r>
              <w:rPr>
                <w:rFonts w:hint="eastAsia" w:cs="Times New Roman"/>
                <w:bCs/>
                <w:color w:val="auto"/>
                <w:sz w:val="24"/>
                <w:lang w:eastAsia="zh-CN"/>
              </w:rPr>
              <w:t>）</w:t>
            </w:r>
            <w:r>
              <w:rPr>
                <w:rFonts w:hint="default" w:ascii="Times New Roman" w:hAnsi="Times New Roman" w:cs="Times New Roman"/>
                <w:bCs/>
                <w:color w:val="auto"/>
                <w:sz w:val="24"/>
              </w:rPr>
              <w:t>存储措施：</w:t>
            </w:r>
          </w:p>
          <w:p w14:paraId="5AF0B188">
            <w:pPr>
              <w:pStyle w:val="15"/>
              <w:spacing w:line="360" w:lineRule="auto"/>
              <w:ind w:left="0" w:leftChars="0"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rPr>
              <w:t>液化石油气</w:t>
            </w:r>
            <w:r>
              <w:rPr>
                <w:rFonts w:hint="eastAsia" w:cs="Times New Roman"/>
                <w:color w:val="auto"/>
                <w:sz w:val="24"/>
                <w:lang w:eastAsia="zh-CN"/>
              </w:rPr>
              <w:t>应储存于阴凉、通风的库房。远离火种、热源。库存不宜超过</w:t>
            </w:r>
            <w:r>
              <w:rPr>
                <w:rFonts w:hint="eastAsia" w:cs="Times New Roman"/>
                <w:color w:val="auto"/>
                <w:sz w:val="24"/>
                <w:lang w:val="en-US" w:eastAsia="zh-CN"/>
              </w:rPr>
              <w:t>30℃。应与氧化剂、卤素分开存放，切忌混储。采用防爆型照明、通风设施。禁止使用易产生火花的机械设备和工具。储区应具备泄漏应急处理设备。</w:t>
            </w:r>
          </w:p>
          <w:p w14:paraId="6694090B">
            <w:pPr>
              <w:pStyle w:val="15"/>
              <w:spacing w:line="360" w:lineRule="auto"/>
              <w:ind w:left="0" w:leftChars="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废机油暂存于危废暂存间，严格按照《危险废物贮存污染控制标准》</w:t>
            </w:r>
            <w:r>
              <w:rPr>
                <w:rFonts w:hint="eastAsia" w:cs="Times New Roman"/>
                <w:color w:val="auto"/>
                <w:sz w:val="24"/>
                <w:lang w:eastAsia="zh-CN"/>
              </w:rPr>
              <w:t>（</w:t>
            </w:r>
            <w:r>
              <w:rPr>
                <w:rFonts w:hint="default" w:ascii="Times New Roman" w:hAnsi="Times New Roman" w:cs="Times New Roman"/>
                <w:color w:val="auto"/>
                <w:sz w:val="24"/>
              </w:rPr>
              <w:t>GBl8597-2001</w:t>
            </w:r>
            <w:r>
              <w:rPr>
                <w:rFonts w:hint="eastAsia" w:cs="Times New Roman"/>
                <w:color w:val="auto"/>
                <w:sz w:val="24"/>
                <w:lang w:eastAsia="zh-CN"/>
              </w:rPr>
              <w:t>）</w:t>
            </w:r>
            <w:r>
              <w:rPr>
                <w:rFonts w:hint="default" w:ascii="Times New Roman" w:hAnsi="Times New Roman" w:cs="Times New Roman"/>
                <w:color w:val="auto"/>
                <w:sz w:val="24"/>
              </w:rPr>
              <w:t>及其修改单中的相关要求设置相关收集容器，用专用容器集中收集，同时由专人管理，定期交由有资质单位进行专业处理。危废暂存间应做到以下防范措施：存放地面墙裙达到防渗要求，对废机油设置防渗漏托盘、定期检查清运，配备灭火器等消防器材并定期检查更换。</w:t>
            </w:r>
          </w:p>
          <w:p w14:paraId="3B946B16">
            <w:pPr>
              <w:pStyle w:val="15"/>
              <w:spacing w:line="360" w:lineRule="auto"/>
              <w:ind w:left="0" w:leftChars="0" w:firstLine="482" w:firstLineChars="200"/>
              <w:rPr>
                <w:rFonts w:hint="default" w:cs="Times New Roman"/>
                <w:b/>
                <w:bCs w:val="0"/>
                <w:color w:val="auto"/>
                <w:sz w:val="24"/>
                <w:lang w:val="en-US" w:eastAsia="zh-CN"/>
              </w:rPr>
            </w:pPr>
            <w:r>
              <w:rPr>
                <w:rFonts w:hint="eastAsia" w:cs="Times New Roman"/>
                <w:b/>
                <w:bCs w:val="0"/>
                <w:color w:val="auto"/>
                <w:sz w:val="24"/>
                <w:lang w:val="en-US" w:eastAsia="zh-CN"/>
              </w:rPr>
              <w:t>5.</w:t>
            </w:r>
            <w:r>
              <w:rPr>
                <w:rFonts w:hint="default" w:cs="Times New Roman"/>
                <w:b/>
                <w:bCs w:val="0"/>
                <w:color w:val="auto"/>
                <w:sz w:val="24"/>
                <w:lang w:val="en-US" w:eastAsia="zh-CN"/>
              </w:rPr>
              <w:t>环境风险结论</w:t>
            </w:r>
          </w:p>
          <w:p w14:paraId="3250E91F">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cs="Times New Roman"/>
                <w:color w:val="auto"/>
                <w:sz w:val="24"/>
              </w:rPr>
            </w:pPr>
            <w:r>
              <w:rPr>
                <w:rFonts w:hint="eastAsia" w:ascii="Times New Roman" w:hAnsi="Times New Roman" w:cs="Times New Roman"/>
                <w:color w:val="auto"/>
                <w:sz w:val="24"/>
              </w:rPr>
              <w:t>项目主要环境风险为</w:t>
            </w:r>
            <w:r>
              <w:rPr>
                <w:rFonts w:hint="eastAsia" w:cs="Times New Roman"/>
                <w:color w:val="auto"/>
                <w:sz w:val="24"/>
                <w:lang w:eastAsia="zh-CN"/>
              </w:rPr>
              <w:t>液化石油气</w:t>
            </w:r>
            <w:r>
              <w:rPr>
                <w:rFonts w:hint="eastAsia" w:ascii="Times New Roman" w:hAnsi="Times New Roman" w:cs="Times New Roman"/>
                <w:color w:val="auto"/>
                <w:sz w:val="24"/>
              </w:rPr>
              <w:t>泄漏及火灾爆炸事故以及废矿物油使用过程存在的风险。项目风险事故防范措施齐全、气体泄漏风险事故率降到最低点。项目在发生风险事故后通过立即启动事故应急预案、可以确保事故不扩大、将不会对建设地区环境造成较大危害。项目建设从环境风险角度分析可行。</w:t>
            </w:r>
          </w:p>
          <w:p w14:paraId="265FBB64">
            <w:pPr>
              <w:spacing w:line="360" w:lineRule="auto"/>
              <w:rPr>
                <w:b/>
                <w:bCs/>
                <w:vertAlign w:val="baseline"/>
                <w:lang w:val="zh-CN"/>
              </w:rPr>
            </w:pPr>
          </w:p>
        </w:tc>
      </w:tr>
    </w:tbl>
    <w:p w14:paraId="28806A54">
      <w:pPr>
        <w:rPr>
          <w:b/>
          <w:bCs/>
          <w:lang w:val="zh-CN"/>
        </w:rPr>
        <w:sectPr>
          <w:pgSz w:w="11906" w:h="16838"/>
          <w:pgMar w:top="1440" w:right="1800" w:bottom="1440" w:left="1800" w:header="851" w:footer="992" w:gutter="0"/>
          <w:cols w:space="425" w:num="1"/>
          <w:docGrid w:type="lines" w:linePitch="312" w:charSpace="0"/>
        </w:sectPr>
      </w:pPr>
    </w:p>
    <w:p w14:paraId="76D69ED7">
      <w:pPr>
        <w:jc w:val="center"/>
        <w:rPr>
          <w:b/>
          <w:bCs/>
          <w:sz w:val="32"/>
          <w:szCs w:val="32"/>
        </w:rPr>
      </w:pPr>
      <w:r>
        <w:rPr>
          <w:rFonts w:hint="eastAsia"/>
          <w:b/>
          <w:bCs/>
          <w:sz w:val="32"/>
          <w:szCs w:val="32"/>
        </w:rPr>
        <w:t>环保绩效专篇</w:t>
      </w:r>
    </w:p>
    <w:p w14:paraId="6D1404DE">
      <w:pPr>
        <w:widowControl/>
        <w:adjustRightInd w:val="0"/>
        <w:snapToGrid w:val="0"/>
        <w:spacing w:line="348" w:lineRule="auto"/>
        <w:ind w:firstLine="480" w:firstLineChars="200"/>
        <w:jc w:val="left"/>
        <w:outlineLvl w:val="1"/>
        <w:rPr>
          <w:color w:val="000000"/>
          <w:kern w:val="0"/>
          <w:sz w:val="24"/>
        </w:rPr>
      </w:pPr>
      <w:r>
        <w:rPr>
          <w:color w:val="000000"/>
          <w:kern w:val="0"/>
          <w:sz w:val="24"/>
        </w:rPr>
        <w:t>根据陕环环评函</w:t>
      </w:r>
      <w:r>
        <w:rPr>
          <w:rFonts w:hint="eastAsia"/>
          <w:color w:val="000000"/>
          <w:kern w:val="0"/>
          <w:sz w:val="24"/>
        </w:rPr>
        <w:t>〔</w:t>
      </w:r>
      <w:r>
        <w:rPr>
          <w:color w:val="000000"/>
          <w:kern w:val="0"/>
          <w:sz w:val="24"/>
        </w:rPr>
        <w:t>2023</w:t>
      </w:r>
      <w:r>
        <w:rPr>
          <w:rFonts w:hint="eastAsia"/>
          <w:color w:val="000000"/>
          <w:kern w:val="0"/>
          <w:sz w:val="24"/>
        </w:rPr>
        <w:t>〕</w:t>
      </w:r>
      <w:r>
        <w:rPr>
          <w:color w:val="000000"/>
          <w:kern w:val="0"/>
          <w:sz w:val="24"/>
        </w:rPr>
        <w:t>76号，关中地区涉气重点行业新、改、扩建项目环境影响报告表（书）应编制环保绩效管理篇章。该项目生产工序</w:t>
      </w:r>
      <w:r>
        <w:rPr>
          <w:rFonts w:hint="eastAsia"/>
          <w:color w:val="000000"/>
          <w:kern w:val="0"/>
          <w:sz w:val="24"/>
        </w:rPr>
        <w:t>依据</w:t>
      </w:r>
      <w:r>
        <w:rPr>
          <w:color w:val="000000"/>
          <w:kern w:val="0"/>
          <w:sz w:val="24"/>
        </w:rPr>
        <w:t>《重污染天气重点行业应急减排措施制定技术指南(2020年修订版</w:t>
      </w:r>
      <w:r>
        <w:rPr>
          <w:rFonts w:hint="eastAsia"/>
          <w:color w:val="000000"/>
          <w:kern w:val="0"/>
          <w:sz w:val="24"/>
        </w:rPr>
        <w:t>）</w:t>
      </w:r>
      <w:r>
        <w:rPr>
          <w:color w:val="000000"/>
          <w:kern w:val="0"/>
          <w:sz w:val="24"/>
        </w:rPr>
        <w:t>》中要求，对照分析本项目情况见下表。</w:t>
      </w:r>
    </w:p>
    <w:tbl>
      <w:tblPr>
        <w:tblStyle w:val="21"/>
        <w:tblW w:w="515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1"/>
        <w:gridCol w:w="670"/>
        <w:gridCol w:w="7225"/>
        <w:gridCol w:w="5201"/>
      </w:tblGrid>
      <w:tr w14:paraId="66BAB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8" w:type="dxa"/>
            <w:gridSpan w:val="4"/>
            <w:tcBorders>
              <w:tl2br w:val="nil"/>
              <w:tr2bl w:val="nil"/>
            </w:tcBorders>
            <w:vAlign w:val="center"/>
          </w:tcPr>
          <w:p w14:paraId="48E1E636">
            <w:pPr>
              <w:widowControl/>
              <w:jc w:val="center"/>
              <w:rPr>
                <w:rFonts w:eastAsiaTheme="minorEastAsia"/>
                <w:b/>
                <w:bCs/>
                <w:color w:val="000000"/>
                <w:kern w:val="0"/>
                <w:szCs w:val="21"/>
              </w:rPr>
            </w:pPr>
            <w:r>
              <w:rPr>
                <w:rFonts w:eastAsiaTheme="minorEastAsia"/>
                <w:b/>
                <w:bCs/>
                <w:color w:val="000000"/>
                <w:kern w:val="0"/>
                <w:szCs w:val="21"/>
              </w:rPr>
              <w:t>涂料生产车间</w:t>
            </w:r>
          </w:p>
        </w:tc>
      </w:tr>
      <w:tr w14:paraId="1F32A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gridSpan w:val="2"/>
            <w:tcBorders>
              <w:tl2br w:val="nil"/>
              <w:tr2bl w:val="nil"/>
            </w:tcBorders>
            <w:vAlign w:val="center"/>
          </w:tcPr>
          <w:p w14:paraId="036FB494">
            <w:pPr>
              <w:widowControl/>
              <w:spacing w:before="2"/>
              <w:ind w:right="36"/>
              <w:jc w:val="center"/>
              <w:rPr>
                <w:rFonts w:eastAsiaTheme="minorEastAsia"/>
                <w:b/>
                <w:bCs/>
                <w:spacing w:val="2"/>
                <w:szCs w:val="21"/>
              </w:rPr>
            </w:pPr>
            <w:r>
              <w:rPr>
                <w:rFonts w:eastAsiaTheme="minorEastAsia"/>
                <w:b/>
                <w:bCs/>
                <w:spacing w:val="2"/>
                <w:szCs w:val="21"/>
              </w:rPr>
              <w:t>差异</w:t>
            </w:r>
          </w:p>
          <w:p w14:paraId="1ACFE362">
            <w:pPr>
              <w:widowControl/>
              <w:spacing w:before="2"/>
              <w:ind w:right="36"/>
              <w:jc w:val="center"/>
              <w:rPr>
                <w:rFonts w:eastAsiaTheme="minorEastAsia"/>
                <w:b/>
                <w:bCs/>
                <w:spacing w:val="2"/>
                <w:szCs w:val="21"/>
              </w:rPr>
            </w:pPr>
            <w:r>
              <w:rPr>
                <w:rFonts w:eastAsiaTheme="minorEastAsia"/>
                <w:b/>
                <w:bCs/>
                <w:spacing w:val="2"/>
                <w:szCs w:val="21"/>
              </w:rPr>
              <w:t>化指标</w:t>
            </w:r>
          </w:p>
        </w:tc>
        <w:tc>
          <w:tcPr>
            <w:tcW w:w="7226" w:type="dxa"/>
            <w:tcBorders>
              <w:tl2br w:val="nil"/>
              <w:tr2bl w:val="nil"/>
            </w:tcBorders>
            <w:vAlign w:val="center"/>
          </w:tcPr>
          <w:p w14:paraId="6A1CFACE">
            <w:pPr>
              <w:widowControl/>
              <w:spacing w:before="2"/>
              <w:ind w:right="36"/>
              <w:jc w:val="center"/>
              <w:rPr>
                <w:rFonts w:eastAsiaTheme="minorEastAsia"/>
                <w:b/>
                <w:bCs/>
                <w:spacing w:val="2"/>
                <w:szCs w:val="21"/>
              </w:rPr>
            </w:pPr>
            <w:r>
              <w:rPr>
                <w:rFonts w:eastAsiaTheme="minorEastAsia"/>
                <w:b/>
                <w:bCs/>
                <w:spacing w:val="2"/>
                <w:szCs w:val="21"/>
              </w:rPr>
              <w:t>A级企业</w:t>
            </w:r>
          </w:p>
        </w:tc>
        <w:tc>
          <w:tcPr>
            <w:tcW w:w="5201" w:type="dxa"/>
            <w:tcBorders>
              <w:tl2br w:val="nil"/>
              <w:tr2bl w:val="nil"/>
            </w:tcBorders>
            <w:vAlign w:val="center"/>
          </w:tcPr>
          <w:p w14:paraId="36F8189D">
            <w:pPr>
              <w:widowControl/>
              <w:spacing w:before="2"/>
              <w:ind w:right="36"/>
              <w:jc w:val="center"/>
              <w:rPr>
                <w:rFonts w:eastAsiaTheme="minorEastAsia"/>
                <w:b/>
                <w:bCs/>
                <w:spacing w:val="2"/>
                <w:szCs w:val="21"/>
              </w:rPr>
            </w:pPr>
            <w:r>
              <w:rPr>
                <w:rFonts w:eastAsiaTheme="minorEastAsia"/>
                <w:b/>
                <w:bCs/>
                <w:spacing w:val="2"/>
                <w:szCs w:val="21"/>
              </w:rPr>
              <w:t>本项目情况</w:t>
            </w:r>
          </w:p>
        </w:tc>
      </w:tr>
      <w:tr w14:paraId="5242DC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1221" w:type="dxa"/>
            <w:gridSpan w:val="2"/>
            <w:tcBorders>
              <w:tl2br w:val="nil"/>
              <w:tr2bl w:val="nil"/>
            </w:tcBorders>
            <w:vAlign w:val="center"/>
          </w:tcPr>
          <w:p w14:paraId="1E80D77B">
            <w:pPr>
              <w:widowControl/>
              <w:spacing w:before="2"/>
              <w:ind w:right="36"/>
              <w:rPr>
                <w:rFonts w:eastAsiaTheme="minorEastAsia"/>
                <w:spacing w:val="2"/>
                <w:szCs w:val="21"/>
              </w:rPr>
            </w:pPr>
            <w:r>
              <w:rPr>
                <w:rFonts w:eastAsiaTheme="minorEastAsia"/>
                <w:spacing w:val="2"/>
                <w:szCs w:val="21"/>
              </w:rPr>
              <w:t>产品种类</w:t>
            </w:r>
          </w:p>
        </w:tc>
        <w:tc>
          <w:tcPr>
            <w:tcW w:w="7226" w:type="dxa"/>
            <w:tcBorders>
              <w:tl2br w:val="nil"/>
              <w:tr2bl w:val="nil"/>
            </w:tcBorders>
            <w:vAlign w:val="center"/>
          </w:tcPr>
          <w:p w14:paraId="43B1A6BF">
            <w:pPr>
              <w:widowControl/>
              <w:spacing w:before="2"/>
              <w:ind w:right="36"/>
              <w:rPr>
                <w:rFonts w:eastAsiaTheme="minorEastAsia"/>
                <w:spacing w:val="2"/>
                <w:szCs w:val="21"/>
              </w:rPr>
            </w:pPr>
            <w:r>
              <w:rPr>
                <w:rFonts w:eastAsiaTheme="minorEastAsia"/>
                <w:spacing w:val="2"/>
                <w:szCs w:val="21"/>
              </w:rPr>
              <w:t>符合《低挥发性有机化合物含量涂料产品技术要求》（GB/T38597-2020）的产品比例不低于60%；或全部生产符合国家标准的水性（含水性UV）涂料产品</w:t>
            </w:r>
          </w:p>
        </w:tc>
        <w:tc>
          <w:tcPr>
            <w:tcW w:w="5201" w:type="dxa"/>
            <w:tcBorders>
              <w:tl2br w:val="nil"/>
              <w:tr2bl w:val="nil"/>
            </w:tcBorders>
            <w:vAlign w:val="center"/>
          </w:tcPr>
          <w:p w14:paraId="40A3F702">
            <w:pPr>
              <w:widowControl/>
              <w:spacing w:before="2"/>
              <w:ind w:right="36"/>
              <w:rPr>
                <w:rFonts w:hint="eastAsia" w:eastAsiaTheme="minorEastAsia"/>
                <w:spacing w:val="2"/>
                <w:szCs w:val="21"/>
                <w:lang w:eastAsia="zh-CN"/>
              </w:rPr>
            </w:pPr>
            <w:r>
              <w:rPr>
                <w:rFonts w:hint="eastAsia" w:eastAsiaTheme="minorEastAsia"/>
                <w:spacing w:val="2"/>
                <w:szCs w:val="21"/>
              </w:rPr>
              <w:t>本项目产品为热固性粉末涂料，据</w:t>
            </w:r>
            <w:r>
              <w:rPr>
                <w:rFonts w:eastAsiaTheme="minorEastAsia"/>
                <w:spacing w:val="2"/>
                <w:szCs w:val="21"/>
              </w:rPr>
              <w:t>《低挥发性有机化合物含量涂料产品技术要</w:t>
            </w:r>
            <w:r>
              <w:rPr>
                <w:rFonts w:hint="eastAsia" w:eastAsiaTheme="minorEastAsia"/>
                <w:spacing w:val="2"/>
                <w:szCs w:val="21"/>
              </w:rPr>
              <w:t>求</w:t>
            </w:r>
            <w:r>
              <w:rPr>
                <w:rFonts w:eastAsiaTheme="minorEastAsia"/>
                <w:spacing w:val="2"/>
                <w:szCs w:val="21"/>
              </w:rPr>
              <w:t>》（GB/T38597-2020）</w:t>
            </w:r>
            <w:r>
              <w:rPr>
                <w:rFonts w:hint="eastAsia" w:eastAsiaTheme="minorEastAsia"/>
                <w:spacing w:val="2"/>
                <w:szCs w:val="21"/>
              </w:rPr>
              <w:t>8.1.粉末涂料、无机建筑材料（含建筑无机粉体涂装材料）、建筑用有机粉体涂料产品中VOC含量通常很少，属于低挥发性有机化合物含量涂料产品，占比100%</w:t>
            </w:r>
            <w:r>
              <w:rPr>
                <w:rFonts w:hint="eastAsia" w:eastAsiaTheme="minorEastAsia"/>
                <w:spacing w:val="2"/>
                <w:szCs w:val="21"/>
                <w:lang w:eastAsia="zh-CN"/>
              </w:rPr>
              <w:t>。</w:t>
            </w:r>
          </w:p>
        </w:tc>
      </w:tr>
      <w:tr w14:paraId="505785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221" w:type="dxa"/>
            <w:gridSpan w:val="2"/>
            <w:tcBorders>
              <w:tl2br w:val="nil"/>
              <w:tr2bl w:val="nil"/>
            </w:tcBorders>
            <w:vAlign w:val="center"/>
          </w:tcPr>
          <w:p w14:paraId="03AA2254">
            <w:pPr>
              <w:widowControl/>
              <w:spacing w:before="2"/>
              <w:ind w:right="36"/>
              <w:rPr>
                <w:rFonts w:eastAsiaTheme="minorEastAsia"/>
                <w:spacing w:val="2"/>
                <w:szCs w:val="21"/>
              </w:rPr>
            </w:pPr>
            <w:r>
              <w:rPr>
                <w:rFonts w:eastAsiaTheme="minorEastAsia"/>
                <w:spacing w:val="2"/>
                <w:szCs w:val="21"/>
              </w:rPr>
              <w:t>工艺有机废气治理</w:t>
            </w:r>
          </w:p>
        </w:tc>
        <w:tc>
          <w:tcPr>
            <w:tcW w:w="7226" w:type="dxa"/>
            <w:tcBorders>
              <w:tl2br w:val="nil"/>
              <w:tr2bl w:val="nil"/>
            </w:tcBorders>
            <w:vAlign w:val="center"/>
          </w:tcPr>
          <w:p w14:paraId="3A86480E">
            <w:pPr>
              <w:widowControl/>
              <w:spacing w:before="2"/>
              <w:ind w:right="36"/>
              <w:rPr>
                <w:rFonts w:hint="eastAsia" w:eastAsiaTheme="minorEastAsia"/>
                <w:spacing w:val="2"/>
                <w:szCs w:val="21"/>
                <w:lang w:eastAsia="zh-CN"/>
              </w:rPr>
            </w:pPr>
            <w:r>
              <w:rPr>
                <w:rFonts w:eastAsiaTheme="minorEastAsia"/>
                <w:spacing w:val="2"/>
                <w:szCs w:val="21"/>
              </w:rPr>
              <w:t>车间或生产设施排气中NMHC初始排放速率≥2kg/h时，末端使用除尘+燃烧或者除尘+沸石转轮浓缩+燃烧，处理效率不应低于90%；车间或生产设施中NMHC初始排放速率＜2kg/h时，可使用除尘+固定床吸附技术，处理效率不低于80%；吸附材料吸附饱和需要进行跟换</w:t>
            </w:r>
            <w:r>
              <w:rPr>
                <w:rFonts w:hint="eastAsia" w:eastAsiaTheme="minorEastAsia"/>
                <w:spacing w:val="2"/>
                <w:szCs w:val="21"/>
                <w:lang w:eastAsia="zh-CN"/>
              </w:rPr>
              <w:t>。</w:t>
            </w:r>
          </w:p>
        </w:tc>
        <w:tc>
          <w:tcPr>
            <w:tcW w:w="5201" w:type="dxa"/>
            <w:tcBorders>
              <w:tl2br w:val="nil"/>
              <w:tr2bl w:val="nil"/>
            </w:tcBorders>
            <w:vAlign w:val="center"/>
          </w:tcPr>
          <w:p w14:paraId="7A65990C">
            <w:pPr>
              <w:widowControl/>
              <w:spacing w:before="2"/>
              <w:ind w:right="36"/>
              <w:jc w:val="center"/>
              <w:rPr>
                <w:rFonts w:hint="eastAsia" w:eastAsiaTheme="minorEastAsia"/>
                <w:spacing w:val="2"/>
                <w:szCs w:val="21"/>
                <w:lang w:eastAsia="zh-CN"/>
              </w:rPr>
            </w:pPr>
            <w:r>
              <w:rPr>
                <w:rFonts w:hint="eastAsia" w:eastAsiaTheme="minorEastAsia"/>
                <w:szCs w:val="21"/>
              </w:rPr>
              <w:t>本项目颗粒物处理设置滤筒除尘设施处理，处理效率可达到90%，处理后可达标排放；非甲烷总烃排放速率为0.0</w:t>
            </w:r>
            <w:r>
              <w:rPr>
                <w:rFonts w:hint="eastAsia" w:eastAsiaTheme="minorEastAsia"/>
                <w:szCs w:val="21"/>
                <w:lang w:val="en-US" w:eastAsia="zh-CN"/>
              </w:rPr>
              <w:t>37</w:t>
            </w:r>
            <w:r>
              <w:rPr>
                <w:rFonts w:hint="eastAsia" w:eastAsiaTheme="minorEastAsia"/>
                <w:szCs w:val="21"/>
              </w:rPr>
              <w:t>kg/h＜2kg/h，配备二级活性炭处理装置，处理效率为</w:t>
            </w:r>
            <w:r>
              <w:rPr>
                <w:rFonts w:hint="eastAsia" w:eastAsiaTheme="minorEastAsia"/>
                <w:szCs w:val="21"/>
                <w:lang w:val="en-US" w:eastAsia="zh-CN"/>
              </w:rPr>
              <w:t>80</w:t>
            </w:r>
            <w:r>
              <w:rPr>
                <w:rFonts w:hint="eastAsia" w:eastAsiaTheme="minorEastAsia"/>
                <w:szCs w:val="21"/>
              </w:rPr>
              <w:t>%</w:t>
            </w:r>
            <w:r>
              <w:rPr>
                <w:rFonts w:hint="eastAsia" w:eastAsiaTheme="minorEastAsia"/>
                <w:szCs w:val="21"/>
                <w:lang w:eastAsia="zh-CN"/>
              </w:rPr>
              <w:t>；</w:t>
            </w:r>
            <w:r>
              <w:rPr>
                <w:rFonts w:eastAsiaTheme="minorEastAsia"/>
                <w:spacing w:val="2"/>
                <w:szCs w:val="21"/>
              </w:rPr>
              <w:t>吸附材料吸附饱和</w:t>
            </w:r>
            <w:r>
              <w:rPr>
                <w:rFonts w:hint="eastAsia" w:eastAsiaTheme="minorEastAsia"/>
                <w:spacing w:val="2"/>
                <w:szCs w:val="21"/>
                <w:lang w:val="en-US" w:eastAsia="zh-CN"/>
              </w:rPr>
              <w:t>及时</w:t>
            </w:r>
            <w:r>
              <w:rPr>
                <w:rFonts w:eastAsiaTheme="minorEastAsia"/>
                <w:spacing w:val="2"/>
                <w:szCs w:val="21"/>
              </w:rPr>
              <w:t>进行跟换</w:t>
            </w:r>
          </w:p>
        </w:tc>
      </w:tr>
      <w:tr w14:paraId="0E3C5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1221" w:type="dxa"/>
            <w:gridSpan w:val="2"/>
            <w:tcBorders>
              <w:tl2br w:val="nil"/>
              <w:tr2bl w:val="nil"/>
            </w:tcBorders>
            <w:vAlign w:val="center"/>
          </w:tcPr>
          <w:p w14:paraId="3BFC40BE">
            <w:pPr>
              <w:widowControl/>
              <w:spacing w:before="2"/>
              <w:ind w:right="36"/>
              <w:rPr>
                <w:rFonts w:eastAsiaTheme="minorEastAsia"/>
                <w:spacing w:val="2"/>
                <w:szCs w:val="21"/>
              </w:rPr>
            </w:pPr>
            <w:r>
              <w:rPr>
                <w:rFonts w:eastAsiaTheme="minorEastAsia"/>
                <w:spacing w:val="2"/>
                <w:szCs w:val="21"/>
              </w:rPr>
              <w:t>排放限值</w:t>
            </w:r>
          </w:p>
        </w:tc>
        <w:tc>
          <w:tcPr>
            <w:tcW w:w="7226" w:type="dxa"/>
            <w:tcBorders>
              <w:tl2br w:val="nil"/>
              <w:tr2bl w:val="nil"/>
            </w:tcBorders>
            <w:vAlign w:val="center"/>
          </w:tcPr>
          <w:p w14:paraId="58174369">
            <w:pPr>
              <w:widowControl/>
              <w:numPr>
                <w:ilvl w:val="0"/>
                <w:numId w:val="7"/>
              </w:numPr>
              <w:spacing w:before="2"/>
              <w:ind w:right="36"/>
              <w:rPr>
                <w:rFonts w:eastAsiaTheme="minorEastAsia"/>
                <w:spacing w:val="2"/>
                <w:szCs w:val="21"/>
              </w:rPr>
            </w:pPr>
            <w:r>
              <w:rPr>
                <w:rFonts w:eastAsiaTheme="minorEastAsia"/>
                <w:spacing w:val="2"/>
                <w:szCs w:val="21"/>
              </w:rPr>
              <w:t>各项污染物稳定达到《涂料、油墨及胶粘剂工业大气污染物排放标准》（GB37824-2019）特别排放限值，并满足相关地方标准要求</w:t>
            </w:r>
          </w:p>
          <w:p w14:paraId="30B87EDF">
            <w:pPr>
              <w:widowControl/>
              <w:numPr>
                <w:ilvl w:val="0"/>
                <w:numId w:val="0"/>
              </w:numPr>
              <w:spacing w:before="2"/>
              <w:ind w:right="36" w:rightChars="0"/>
              <w:rPr>
                <w:rFonts w:eastAsiaTheme="minorEastAsia"/>
                <w:spacing w:val="2"/>
                <w:szCs w:val="21"/>
              </w:rPr>
            </w:pPr>
            <w:r>
              <w:rPr>
                <w:rFonts w:eastAsiaTheme="minorEastAsia"/>
                <w:sz w:val="21"/>
                <w:szCs w:val="21"/>
              </w:rPr>
              <w:t>2、PM、NMHC、TVOC的排放浓度分别不高于10mg/m</w:t>
            </w:r>
            <w:r>
              <w:rPr>
                <w:rFonts w:eastAsiaTheme="minorEastAsia"/>
                <w:sz w:val="21"/>
                <w:szCs w:val="21"/>
                <w:vertAlign w:val="superscript"/>
              </w:rPr>
              <w:t>3</w:t>
            </w:r>
            <w:r>
              <w:rPr>
                <w:rFonts w:eastAsiaTheme="minorEastAsia"/>
                <w:sz w:val="21"/>
                <w:szCs w:val="21"/>
              </w:rPr>
              <w:t>、20mg/m</w:t>
            </w:r>
            <w:r>
              <w:rPr>
                <w:rFonts w:eastAsiaTheme="minorEastAsia"/>
                <w:sz w:val="21"/>
                <w:szCs w:val="21"/>
                <w:vertAlign w:val="superscript"/>
              </w:rPr>
              <w:t>3</w:t>
            </w:r>
            <w:r>
              <w:rPr>
                <w:rFonts w:eastAsiaTheme="minorEastAsia"/>
                <w:sz w:val="21"/>
                <w:szCs w:val="21"/>
              </w:rPr>
              <w:t>、40mg/m</w:t>
            </w:r>
            <w:r>
              <w:rPr>
                <w:rFonts w:eastAsiaTheme="minorEastAsia"/>
                <w:sz w:val="21"/>
                <w:szCs w:val="21"/>
                <w:vertAlign w:val="superscript"/>
              </w:rPr>
              <w:t>3</w:t>
            </w:r>
          </w:p>
        </w:tc>
        <w:tc>
          <w:tcPr>
            <w:tcW w:w="5201" w:type="dxa"/>
            <w:tcBorders>
              <w:tl2br w:val="nil"/>
              <w:tr2bl w:val="nil"/>
            </w:tcBorders>
            <w:vAlign w:val="center"/>
          </w:tcPr>
          <w:p w14:paraId="16DB3DAF">
            <w:pPr>
              <w:widowControl/>
              <w:spacing w:before="2"/>
              <w:ind w:right="36"/>
              <w:rPr>
                <w:rFonts w:eastAsiaTheme="minorEastAsia"/>
                <w:color w:val="auto"/>
                <w:spacing w:val="2"/>
                <w:szCs w:val="21"/>
              </w:rPr>
            </w:pPr>
            <w:r>
              <w:rPr>
                <w:rFonts w:hint="eastAsia"/>
                <w:color w:val="auto"/>
                <w:szCs w:val="21"/>
              </w:rPr>
              <w:t>本项目</w:t>
            </w:r>
            <w:r>
              <w:rPr>
                <w:rFonts w:eastAsiaTheme="minorEastAsia"/>
                <w:color w:val="auto"/>
                <w:spacing w:val="2"/>
                <w:szCs w:val="21"/>
              </w:rPr>
              <w:t>各项污染物</w:t>
            </w:r>
            <w:r>
              <w:rPr>
                <w:rFonts w:hint="eastAsia" w:eastAsiaTheme="minorEastAsia"/>
                <w:color w:val="auto"/>
                <w:spacing w:val="2"/>
                <w:szCs w:val="21"/>
              </w:rPr>
              <w:t>可</w:t>
            </w:r>
            <w:r>
              <w:rPr>
                <w:rFonts w:eastAsiaTheme="minorEastAsia"/>
                <w:color w:val="auto"/>
                <w:spacing w:val="2"/>
                <w:szCs w:val="21"/>
              </w:rPr>
              <w:t>稳定达到《涂料、油墨及胶粘剂工业大气污染物排放标准》（GB37824-2019）特别排放限值，</w:t>
            </w:r>
            <w:r>
              <w:rPr>
                <w:rFonts w:hint="eastAsia" w:eastAsiaTheme="minorEastAsia"/>
                <w:color w:val="auto"/>
                <w:spacing w:val="2"/>
                <w:szCs w:val="21"/>
              </w:rPr>
              <w:t>其中，</w:t>
            </w:r>
            <w:r>
              <w:rPr>
                <w:rFonts w:hint="eastAsia"/>
                <w:color w:val="auto"/>
                <w:szCs w:val="21"/>
              </w:rPr>
              <w:t>颗粒物排放浓度为</w:t>
            </w:r>
            <w:r>
              <w:rPr>
                <w:rFonts w:hint="eastAsia"/>
                <w:color w:val="auto"/>
                <w:szCs w:val="21"/>
                <w:lang w:val="en-US" w:eastAsia="zh-CN"/>
              </w:rPr>
              <w:t>8.75</w:t>
            </w:r>
            <w:r>
              <w:rPr>
                <w:rFonts w:eastAsiaTheme="minorEastAsia"/>
                <w:color w:val="auto"/>
                <w:szCs w:val="21"/>
              </w:rPr>
              <w:t>mg/m</w:t>
            </w:r>
            <w:r>
              <w:rPr>
                <w:rFonts w:eastAsiaTheme="minorEastAsia"/>
                <w:color w:val="auto"/>
                <w:szCs w:val="21"/>
                <w:vertAlign w:val="superscript"/>
              </w:rPr>
              <w:t>3</w:t>
            </w:r>
            <w:r>
              <w:rPr>
                <w:rFonts w:hint="eastAsia"/>
                <w:color w:val="auto"/>
                <w:szCs w:val="21"/>
              </w:rPr>
              <w:t>＜20</w:t>
            </w:r>
            <w:r>
              <w:rPr>
                <w:rFonts w:eastAsiaTheme="minorEastAsia"/>
                <w:color w:val="auto"/>
                <w:szCs w:val="21"/>
              </w:rPr>
              <w:t>mg/m</w:t>
            </w:r>
            <w:r>
              <w:rPr>
                <w:rFonts w:eastAsiaTheme="minorEastAsia"/>
                <w:color w:val="auto"/>
                <w:szCs w:val="21"/>
                <w:vertAlign w:val="superscript"/>
              </w:rPr>
              <w:t>3</w:t>
            </w:r>
            <w:r>
              <w:rPr>
                <w:rFonts w:hint="eastAsia"/>
                <w:color w:val="auto"/>
                <w:szCs w:val="21"/>
              </w:rPr>
              <w:t>、非甲烷总烃排放浓度为</w:t>
            </w:r>
            <w:r>
              <w:rPr>
                <w:rFonts w:hint="eastAsia"/>
                <w:color w:val="auto"/>
                <w:szCs w:val="21"/>
                <w:lang w:val="en-US" w:eastAsia="zh-CN"/>
              </w:rPr>
              <w:t>0.37</w:t>
            </w:r>
            <w:r>
              <w:rPr>
                <w:rFonts w:eastAsiaTheme="minorEastAsia"/>
                <w:color w:val="auto"/>
                <w:szCs w:val="21"/>
              </w:rPr>
              <w:t>mg/m</w:t>
            </w:r>
            <w:r>
              <w:rPr>
                <w:rFonts w:eastAsiaTheme="minorEastAsia"/>
                <w:color w:val="auto"/>
                <w:szCs w:val="21"/>
                <w:vertAlign w:val="superscript"/>
              </w:rPr>
              <w:t>3</w:t>
            </w:r>
            <w:r>
              <w:rPr>
                <w:rFonts w:hint="eastAsia"/>
                <w:color w:val="auto"/>
                <w:szCs w:val="21"/>
              </w:rPr>
              <w:t>＜20</w:t>
            </w:r>
            <w:r>
              <w:rPr>
                <w:rFonts w:eastAsiaTheme="minorEastAsia"/>
                <w:color w:val="auto"/>
                <w:szCs w:val="21"/>
              </w:rPr>
              <w:t>mg/m</w:t>
            </w:r>
            <w:r>
              <w:rPr>
                <w:rFonts w:eastAsiaTheme="minorEastAsia"/>
                <w:color w:val="auto"/>
                <w:szCs w:val="21"/>
                <w:vertAlign w:val="superscript"/>
              </w:rPr>
              <w:t>3</w:t>
            </w:r>
          </w:p>
        </w:tc>
      </w:tr>
      <w:tr w14:paraId="63A12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dxa"/>
            <w:vMerge w:val="restart"/>
            <w:tcBorders>
              <w:tl2br w:val="nil"/>
              <w:tr2bl w:val="nil"/>
            </w:tcBorders>
            <w:vAlign w:val="center"/>
          </w:tcPr>
          <w:p w14:paraId="6C3D629E">
            <w:pPr>
              <w:keepNext w:val="0"/>
              <w:keepLines w:val="0"/>
              <w:pageBreakBefore w:val="0"/>
              <w:widowControl/>
              <w:kinsoku/>
              <w:wordWrap/>
              <w:overflowPunct/>
              <w:topLinePunct w:val="0"/>
              <w:autoSpaceDE/>
              <w:autoSpaceDN/>
              <w:bidi w:val="0"/>
              <w:adjustRightInd/>
              <w:snapToGrid/>
              <w:ind w:right="0"/>
              <w:textAlignment w:val="auto"/>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工艺过程</w:t>
            </w:r>
          </w:p>
        </w:tc>
        <w:tc>
          <w:tcPr>
            <w:tcW w:w="670" w:type="dxa"/>
            <w:tcBorders>
              <w:tl2br w:val="nil"/>
              <w:tr2bl w:val="nil"/>
            </w:tcBorders>
            <w:vAlign w:val="center"/>
          </w:tcPr>
          <w:p w14:paraId="4E8FE912">
            <w:pPr>
              <w:keepNext w:val="0"/>
              <w:keepLines w:val="0"/>
              <w:pageBreakBefore w:val="0"/>
              <w:widowControl/>
              <w:kinsoku/>
              <w:wordWrap/>
              <w:overflowPunct/>
              <w:topLinePunct w:val="0"/>
              <w:autoSpaceDE/>
              <w:autoSpaceDN/>
              <w:bidi w:val="0"/>
              <w:adjustRightInd/>
              <w:snapToGrid/>
              <w:ind w:right="0"/>
              <w:textAlignment w:val="auto"/>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投料</w:t>
            </w:r>
          </w:p>
        </w:tc>
        <w:tc>
          <w:tcPr>
            <w:tcW w:w="7226" w:type="dxa"/>
            <w:tcBorders>
              <w:tl2br w:val="nil"/>
              <w:tr2bl w:val="nil"/>
            </w:tcBorders>
            <w:vAlign w:val="center"/>
          </w:tcPr>
          <w:p w14:paraId="52CBB191">
            <w:pPr>
              <w:widowControl/>
              <w:spacing w:before="2"/>
              <w:ind w:right="36"/>
              <w:rPr>
                <w:rFonts w:eastAsiaTheme="minorEastAsia"/>
                <w:spacing w:val="2"/>
                <w:szCs w:val="21"/>
              </w:rPr>
            </w:pPr>
            <w:r>
              <w:rPr>
                <w:rFonts w:eastAsiaTheme="minorEastAsia"/>
                <w:spacing w:val="2"/>
                <w:szCs w:val="21"/>
              </w:rPr>
              <w:t>桶泵投料；或投料环节使用密闭式吸气罩+车间密闭微负压</w:t>
            </w:r>
          </w:p>
        </w:tc>
        <w:tc>
          <w:tcPr>
            <w:tcW w:w="5201" w:type="dxa"/>
            <w:tcBorders>
              <w:tl2br w:val="nil"/>
              <w:tr2bl w:val="nil"/>
            </w:tcBorders>
            <w:vAlign w:val="center"/>
          </w:tcPr>
          <w:p w14:paraId="5DC72A2B">
            <w:pPr>
              <w:widowControl/>
              <w:spacing w:before="2"/>
              <w:ind w:right="36"/>
              <w:rPr>
                <w:rFonts w:hint="default" w:eastAsiaTheme="minorEastAsia"/>
                <w:spacing w:val="2"/>
                <w:szCs w:val="21"/>
                <w:lang w:val="en-US" w:eastAsia="zh-CN"/>
              </w:rPr>
            </w:pPr>
            <w:r>
              <w:rPr>
                <w:rFonts w:hint="eastAsia" w:eastAsiaTheme="minorEastAsia"/>
                <w:spacing w:val="2"/>
                <w:szCs w:val="21"/>
                <w:lang w:val="en-US" w:eastAsia="zh-CN"/>
              </w:rPr>
              <w:t>本项目在投料口设置</w:t>
            </w:r>
            <w:r>
              <w:rPr>
                <w:rFonts w:eastAsiaTheme="minorEastAsia"/>
                <w:spacing w:val="2"/>
                <w:szCs w:val="21"/>
              </w:rPr>
              <w:t>密闭</w:t>
            </w:r>
            <w:r>
              <w:rPr>
                <w:rFonts w:hint="eastAsia" w:eastAsiaTheme="minorEastAsia"/>
                <w:spacing w:val="2"/>
                <w:szCs w:val="21"/>
                <w:lang w:val="en-US" w:eastAsia="zh-CN"/>
              </w:rPr>
              <w:t>集气罩</w:t>
            </w:r>
            <w:r>
              <w:rPr>
                <w:rFonts w:hint="eastAsia" w:cs="Times New Roman"/>
                <w:snapToGrid w:val="0"/>
                <w:color w:val="auto"/>
                <w:szCs w:val="21"/>
                <w:lang w:val="en-US" w:eastAsia="zh-CN"/>
              </w:rPr>
              <w:t>+</w:t>
            </w:r>
            <w:r>
              <w:rPr>
                <w:rFonts w:hint="eastAsia" w:ascii="Times New Roman" w:hAnsi="Times New Roman" w:eastAsia="宋体" w:cs="Times New Roman"/>
                <w:snapToGrid w:val="0"/>
                <w:color w:val="auto"/>
                <w:szCs w:val="21"/>
                <w:lang w:val="en-US" w:eastAsia="zh-CN"/>
              </w:rPr>
              <w:t>旋风分离器</w:t>
            </w:r>
            <w:r>
              <w:rPr>
                <w:rFonts w:hint="eastAsia" w:cs="Times New Roman"/>
                <w:snapToGrid w:val="0"/>
                <w:color w:val="auto"/>
                <w:szCs w:val="21"/>
                <w:lang w:val="en-US" w:eastAsia="zh-CN"/>
              </w:rPr>
              <w:t>+</w:t>
            </w:r>
            <w:r>
              <w:rPr>
                <w:rFonts w:hint="eastAsia" w:ascii="Times New Roman" w:hAnsi="Times New Roman" w:eastAsia="宋体" w:cs="Times New Roman"/>
                <w:snapToGrid w:val="0"/>
                <w:color w:val="auto"/>
                <w:szCs w:val="21"/>
                <w:lang w:val="en-US" w:eastAsia="zh-CN"/>
              </w:rPr>
              <w:t>滤筒</w:t>
            </w:r>
            <w:r>
              <w:rPr>
                <w:rFonts w:hint="default" w:ascii="Times New Roman" w:hAnsi="Times New Roman" w:eastAsia="宋体" w:cs="Times New Roman"/>
                <w:snapToGrid w:val="0"/>
                <w:color w:val="auto"/>
                <w:szCs w:val="21"/>
                <w:lang w:val="en-US" w:eastAsia="zh-CN"/>
              </w:rPr>
              <w:t>除尘系统</w:t>
            </w:r>
            <w:r>
              <w:rPr>
                <w:rFonts w:hint="eastAsia" w:ascii="Times New Roman" w:hAnsi="Times New Roman" w:eastAsia="宋体" w:cs="Times New Roman"/>
                <w:snapToGrid w:val="0"/>
                <w:color w:val="auto"/>
                <w:szCs w:val="21"/>
                <w:lang w:val="en-US" w:eastAsia="zh-CN"/>
              </w:rPr>
              <w:t>处理</w:t>
            </w:r>
            <w:r>
              <w:rPr>
                <w:rFonts w:hint="default" w:ascii="Times New Roman" w:hAnsi="Times New Roman" w:eastAsia="宋体" w:cs="Times New Roman"/>
                <w:snapToGrid w:val="0"/>
                <w:color w:val="auto"/>
                <w:szCs w:val="21"/>
                <w:lang w:val="en-US" w:eastAsia="zh-CN"/>
              </w:rPr>
              <w:t>后经15m高</w:t>
            </w:r>
            <w:r>
              <w:rPr>
                <w:rFonts w:hint="eastAsia" w:ascii="Times New Roman" w:hAnsi="Times New Roman" w:eastAsia="宋体" w:cs="Times New Roman"/>
                <w:snapToGrid w:val="0"/>
                <w:color w:val="auto"/>
                <w:szCs w:val="21"/>
                <w:lang w:val="en-US" w:eastAsia="zh-CN"/>
              </w:rPr>
              <w:t>排气筒</w:t>
            </w:r>
            <w:r>
              <w:rPr>
                <w:rFonts w:hint="default" w:ascii="Times New Roman" w:hAnsi="Times New Roman" w:eastAsia="宋体" w:cs="Times New Roman"/>
                <w:snapToGrid w:val="0"/>
                <w:color w:val="auto"/>
                <w:szCs w:val="21"/>
                <w:lang w:val="en-US" w:eastAsia="zh-CN"/>
              </w:rPr>
              <w:t>有组织达标排放</w:t>
            </w:r>
          </w:p>
        </w:tc>
      </w:tr>
      <w:tr w14:paraId="4E591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551" w:type="dxa"/>
            <w:vMerge w:val="continue"/>
            <w:tcBorders>
              <w:tl2br w:val="nil"/>
              <w:tr2bl w:val="nil"/>
            </w:tcBorders>
            <w:vAlign w:val="center"/>
          </w:tcPr>
          <w:p w14:paraId="22271D8B">
            <w:pPr>
              <w:keepNext w:val="0"/>
              <w:keepLines w:val="0"/>
              <w:pageBreakBefore w:val="0"/>
              <w:widowControl/>
              <w:kinsoku/>
              <w:wordWrap/>
              <w:overflowPunct/>
              <w:topLinePunct w:val="0"/>
              <w:autoSpaceDE/>
              <w:autoSpaceDN/>
              <w:bidi w:val="0"/>
              <w:adjustRightInd/>
              <w:snapToGrid/>
              <w:ind w:right="0"/>
              <w:textAlignment w:val="auto"/>
              <w:rPr>
                <w:rFonts w:hint="eastAsia" w:ascii="Times New Roman" w:hAnsi="Times New Roman" w:cs="Times New Roman" w:eastAsiaTheme="minorEastAsia"/>
                <w:spacing w:val="2"/>
                <w:szCs w:val="21"/>
                <w:lang w:val="en-US" w:eastAsia="zh-CN"/>
              </w:rPr>
            </w:pPr>
          </w:p>
        </w:tc>
        <w:tc>
          <w:tcPr>
            <w:tcW w:w="670" w:type="dxa"/>
            <w:tcBorders>
              <w:tl2br w:val="nil"/>
              <w:tr2bl w:val="nil"/>
            </w:tcBorders>
            <w:vAlign w:val="center"/>
          </w:tcPr>
          <w:p w14:paraId="52AE1755">
            <w:pPr>
              <w:keepNext w:val="0"/>
              <w:keepLines w:val="0"/>
              <w:pageBreakBefore w:val="0"/>
              <w:widowControl/>
              <w:kinsoku/>
              <w:wordWrap/>
              <w:overflowPunct/>
              <w:topLinePunct w:val="0"/>
              <w:autoSpaceDE/>
              <w:autoSpaceDN/>
              <w:bidi w:val="0"/>
              <w:adjustRightInd/>
              <w:snapToGrid/>
              <w:ind w:right="0"/>
              <w:textAlignment w:val="auto"/>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研磨</w:t>
            </w:r>
          </w:p>
        </w:tc>
        <w:tc>
          <w:tcPr>
            <w:tcW w:w="7226" w:type="dxa"/>
            <w:tcBorders>
              <w:tl2br w:val="nil"/>
              <w:tr2bl w:val="nil"/>
            </w:tcBorders>
            <w:vAlign w:val="center"/>
          </w:tcPr>
          <w:p w14:paraId="293AA19C">
            <w:pPr>
              <w:widowControl/>
              <w:spacing w:before="2"/>
              <w:ind w:right="36"/>
              <w:rPr>
                <w:rFonts w:eastAsiaTheme="minorEastAsia"/>
                <w:spacing w:val="2"/>
                <w:szCs w:val="21"/>
              </w:rPr>
            </w:pPr>
            <w:r>
              <w:rPr>
                <w:rFonts w:eastAsiaTheme="minorEastAsia"/>
                <w:spacing w:val="2"/>
                <w:szCs w:val="21"/>
              </w:rPr>
              <w:t>密闭式卧式研磨机比例不低于90%</w:t>
            </w:r>
          </w:p>
        </w:tc>
        <w:tc>
          <w:tcPr>
            <w:tcW w:w="5201" w:type="dxa"/>
            <w:tcBorders>
              <w:tl2br w:val="nil"/>
              <w:tr2bl w:val="nil"/>
            </w:tcBorders>
            <w:vAlign w:val="center"/>
          </w:tcPr>
          <w:p w14:paraId="62A12B76">
            <w:pPr>
              <w:widowControl/>
              <w:spacing w:before="2"/>
              <w:ind w:right="36"/>
              <w:rPr>
                <w:rFonts w:eastAsiaTheme="minorEastAsia"/>
                <w:spacing w:val="2"/>
                <w:szCs w:val="21"/>
              </w:rPr>
            </w:pPr>
            <w:r>
              <w:rPr>
                <w:rFonts w:hint="eastAsia"/>
                <w:kern w:val="0"/>
                <w:szCs w:val="21"/>
              </w:rPr>
              <w:t>项目</w:t>
            </w:r>
            <w:r>
              <w:rPr>
                <w:kern w:val="0"/>
                <w:szCs w:val="21"/>
              </w:rPr>
              <w:t>建设单位</w:t>
            </w:r>
            <w:r>
              <w:rPr>
                <w:rFonts w:hint="eastAsia"/>
                <w:kern w:val="0"/>
                <w:szCs w:val="21"/>
              </w:rPr>
              <w:t>全部使用</w:t>
            </w:r>
            <w:r>
              <w:rPr>
                <w:rFonts w:hint="eastAsia"/>
                <w:szCs w:val="21"/>
              </w:rPr>
              <w:t>ACM磨粉机进行研磨，研磨过程中可做到密闭</w:t>
            </w:r>
          </w:p>
        </w:tc>
      </w:tr>
      <w:tr w14:paraId="392BE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1" w:type="dxa"/>
            <w:vMerge w:val="continue"/>
            <w:tcBorders>
              <w:tl2br w:val="nil"/>
              <w:tr2bl w:val="nil"/>
            </w:tcBorders>
            <w:vAlign w:val="center"/>
          </w:tcPr>
          <w:p w14:paraId="3B223C21">
            <w:pPr>
              <w:widowControl/>
              <w:spacing w:before="2"/>
              <w:ind w:right="36"/>
              <w:rPr>
                <w:rFonts w:eastAsiaTheme="minorEastAsia"/>
                <w:spacing w:val="2"/>
                <w:szCs w:val="21"/>
              </w:rPr>
            </w:pPr>
          </w:p>
        </w:tc>
        <w:tc>
          <w:tcPr>
            <w:tcW w:w="670" w:type="dxa"/>
            <w:tcBorders>
              <w:tl2br w:val="nil"/>
              <w:tr2bl w:val="nil"/>
            </w:tcBorders>
            <w:vAlign w:val="center"/>
          </w:tcPr>
          <w:p w14:paraId="1F9738DF">
            <w:pPr>
              <w:keepNext w:val="0"/>
              <w:keepLines w:val="0"/>
              <w:pageBreakBefore w:val="0"/>
              <w:widowControl/>
              <w:kinsoku/>
              <w:wordWrap/>
              <w:overflowPunct/>
              <w:topLinePunct w:val="0"/>
              <w:autoSpaceDE/>
              <w:autoSpaceDN/>
              <w:bidi w:val="0"/>
              <w:adjustRightInd/>
              <w:snapToGrid/>
              <w:ind w:right="0"/>
              <w:textAlignment w:val="auto"/>
              <w:rPr>
                <w:rFonts w:eastAsiaTheme="minorEastAsia"/>
                <w:spacing w:val="2"/>
                <w:szCs w:val="21"/>
              </w:rPr>
            </w:pPr>
            <w:r>
              <w:rPr>
                <w:rFonts w:eastAsiaTheme="minorEastAsia"/>
                <w:spacing w:val="2"/>
                <w:szCs w:val="21"/>
              </w:rPr>
              <w:t>移动缸控制</w:t>
            </w:r>
          </w:p>
        </w:tc>
        <w:tc>
          <w:tcPr>
            <w:tcW w:w="7226" w:type="dxa"/>
            <w:tcBorders>
              <w:tl2br w:val="nil"/>
              <w:tr2bl w:val="nil"/>
            </w:tcBorders>
            <w:vAlign w:val="center"/>
          </w:tcPr>
          <w:p w14:paraId="0763F5B4">
            <w:pPr>
              <w:widowControl/>
              <w:spacing w:before="2"/>
              <w:ind w:right="36"/>
              <w:rPr>
                <w:rFonts w:eastAsiaTheme="minorEastAsia"/>
                <w:spacing w:val="2"/>
                <w:szCs w:val="21"/>
              </w:rPr>
            </w:pPr>
            <w:r>
              <w:rPr>
                <w:rFonts w:eastAsiaTheme="minorEastAsia"/>
                <w:spacing w:val="2"/>
                <w:szCs w:val="21"/>
              </w:rPr>
              <w:t>移动缸存放物料时加盖密闭；搅拌时有微负压或在有微负压的密闭空间进行生产，将废气收集至污染物控制设施</w:t>
            </w:r>
          </w:p>
        </w:tc>
        <w:tc>
          <w:tcPr>
            <w:tcW w:w="5201" w:type="dxa"/>
            <w:tcBorders>
              <w:tl2br w:val="nil"/>
              <w:tr2bl w:val="nil"/>
            </w:tcBorders>
            <w:vAlign w:val="center"/>
          </w:tcPr>
          <w:p w14:paraId="43911BE7">
            <w:pPr>
              <w:widowControl/>
              <w:spacing w:before="2"/>
              <w:ind w:right="36"/>
              <w:rPr>
                <w:rFonts w:hint="eastAsia" w:eastAsiaTheme="minorEastAsia"/>
                <w:spacing w:val="2"/>
                <w:szCs w:val="21"/>
                <w:lang w:eastAsia="zh-CN"/>
              </w:rPr>
            </w:pPr>
            <w:r>
              <w:rPr>
                <w:rFonts w:hint="eastAsia" w:eastAsiaTheme="minorEastAsia"/>
                <w:spacing w:val="2"/>
                <w:szCs w:val="21"/>
              </w:rPr>
              <w:t>项目拉缸</w:t>
            </w:r>
            <w:r>
              <w:rPr>
                <w:rFonts w:eastAsiaTheme="minorEastAsia"/>
                <w:spacing w:val="2"/>
                <w:szCs w:val="21"/>
              </w:rPr>
              <w:t>存放物料时加盖密闭；搅拌时在有微负压的密闭空间进行生产，</w:t>
            </w:r>
            <w:r>
              <w:rPr>
                <w:rFonts w:hint="eastAsia" w:eastAsiaTheme="minorEastAsia"/>
                <w:spacing w:val="2"/>
                <w:szCs w:val="21"/>
              </w:rPr>
              <w:t>粉尘颗粒收集至滤筒除尘装置；有机废气收集至二级活性炭吸附装置</w:t>
            </w:r>
            <w:r>
              <w:rPr>
                <w:rFonts w:hint="eastAsia" w:eastAsiaTheme="minorEastAsia"/>
                <w:spacing w:val="2"/>
                <w:szCs w:val="21"/>
                <w:lang w:eastAsia="zh-CN"/>
              </w:rPr>
              <w:t>。</w:t>
            </w:r>
          </w:p>
        </w:tc>
      </w:tr>
      <w:tr w14:paraId="1655A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vMerge w:val="continue"/>
            <w:tcBorders>
              <w:tl2br w:val="nil"/>
              <w:tr2bl w:val="nil"/>
            </w:tcBorders>
            <w:vAlign w:val="center"/>
          </w:tcPr>
          <w:p w14:paraId="2D5BA789">
            <w:pPr>
              <w:widowControl/>
              <w:spacing w:before="2"/>
              <w:ind w:right="36"/>
              <w:rPr>
                <w:rFonts w:eastAsiaTheme="minorEastAsia"/>
                <w:spacing w:val="2"/>
                <w:szCs w:val="21"/>
              </w:rPr>
            </w:pPr>
          </w:p>
        </w:tc>
        <w:tc>
          <w:tcPr>
            <w:tcW w:w="670" w:type="dxa"/>
            <w:tcBorders>
              <w:tl2br w:val="nil"/>
              <w:tr2bl w:val="nil"/>
            </w:tcBorders>
            <w:vAlign w:val="center"/>
          </w:tcPr>
          <w:p w14:paraId="7DF437D0">
            <w:pPr>
              <w:keepNext w:val="0"/>
              <w:keepLines w:val="0"/>
              <w:pageBreakBefore w:val="0"/>
              <w:widowControl/>
              <w:kinsoku/>
              <w:wordWrap/>
              <w:overflowPunct/>
              <w:topLinePunct w:val="0"/>
              <w:autoSpaceDE/>
              <w:autoSpaceDN/>
              <w:bidi w:val="0"/>
              <w:adjustRightInd/>
              <w:snapToGrid/>
              <w:ind w:right="0"/>
              <w:textAlignment w:val="auto"/>
              <w:rPr>
                <w:rFonts w:eastAsiaTheme="minorEastAsia"/>
                <w:spacing w:val="2"/>
                <w:szCs w:val="21"/>
              </w:rPr>
            </w:pPr>
            <w:r>
              <w:rPr>
                <w:rFonts w:eastAsiaTheme="minorEastAsia"/>
                <w:spacing w:val="2"/>
                <w:szCs w:val="21"/>
              </w:rPr>
              <w:t>产品包装</w:t>
            </w:r>
          </w:p>
        </w:tc>
        <w:tc>
          <w:tcPr>
            <w:tcW w:w="7226" w:type="dxa"/>
            <w:tcBorders>
              <w:tl2br w:val="nil"/>
              <w:tr2bl w:val="nil"/>
            </w:tcBorders>
            <w:vAlign w:val="center"/>
          </w:tcPr>
          <w:p w14:paraId="7CEFAF7A">
            <w:pPr>
              <w:widowControl/>
              <w:spacing w:before="2"/>
              <w:ind w:right="36"/>
              <w:rPr>
                <w:rFonts w:eastAsiaTheme="minorEastAsia"/>
                <w:spacing w:val="2"/>
                <w:szCs w:val="21"/>
              </w:rPr>
            </w:pPr>
            <w:r>
              <w:rPr>
                <w:rFonts w:eastAsiaTheme="minorEastAsia"/>
                <w:spacing w:val="2"/>
                <w:szCs w:val="21"/>
              </w:rPr>
              <w:t>在有微负压的密闭空间操作，废气排放至废气收集处理系统</w:t>
            </w:r>
          </w:p>
        </w:tc>
        <w:tc>
          <w:tcPr>
            <w:tcW w:w="5201" w:type="dxa"/>
            <w:tcBorders>
              <w:tl2br w:val="nil"/>
              <w:tr2bl w:val="nil"/>
            </w:tcBorders>
            <w:vAlign w:val="center"/>
          </w:tcPr>
          <w:p w14:paraId="6E75117A">
            <w:pPr>
              <w:widowControl/>
              <w:spacing w:before="2"/>
              <w:ind w:right="36"/>
              <w:rPr>
                <w:rFonts w:eastAsiaTheme="minorEastAsia"/>
                <w:spacing w:val="2"/>
                <w:szCs w:val="21"/>
              </w:rPr>
            </w:pPr>
            <w:r>
              <w:rPr>
                <w:rFonts w:hint="eastAsia" w:eastAsiaTheme="minorEastAsia"/>
                <w:spacing w:val="2"/>
                <w:szCs w:val="21"/>
              </w:rPr>
              <w:t>项目</w:t>
            </w:r>
            <w:r>
              <w:rPr>
                <w:rFonts w:eastAsiaTheme="minorEastAsia"/>
                <w:spacing w:val="2"/>
                <w:szCs w:val="21"/>
              </w:rPr>
              <w:t>在密闭空间操作，废气排放至废气收集处理系统</w:t>
            </w:r>
          </w:p>
        </w:tc>
      </w:tr>
      <w:tr w14:paraId="1DB40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gridSpan w:val="2"/>
            <w:tcBorders>
              <w:tl2br w:val="nil"/>
              <w:tr2bl w:val="nil"/>
            </w:tcBorders>
            <w:vAlign w:val="center"/>
          </w:tcPr>
          <w:p w14:paraId="08237199">
            <w:pPr>
              <w:widowControl/>
              <w:spacing w:before="2"/>
              <w:ind w:right="36"/>
              <w:rPr>
                <w:rFonts w:eastAsiaTheme="minorEastAsia"/>
                <w:spacing w:val="2"/>
                <w:szCs w:val="21"/>
              </w:rPr>
            </w:pPr>
            <w:r>
              <w:rPr>
                <w:rFonts w:eastAsiaTheme="minorEastAsia"/>
                <w:spacing w:val="2"/>
                <w:szCs w:val="21"/>
              </w:rPr>
              <w:t>检测泄露与修复</w:t>
            </w:r>
          </w:p>
        </w:tc>
        <w:tc>
          <w:tcPr>
            <w:tcW w:w="7226" w:type="dxa"/>
            <w:tcBorders>
              <w:tl2br w:val="nil"/>
              <w:tr2bl w:val="nil"/>
            </w:tcBorders>
            <w:vAlign w:val="center"/>
          </w:tcPr>
          <w:p w14:paraId="6C41DE7D">
            <w:pPr>
              <w:widowControl/>
              <w:spacing w:before="2"/>
              <w:ind w:right="36"/>
              <w:rPr>
                <w:rFonts w:eastAsiaTheme="minorEastAsia"/>
                <w:spacing w:val="2"/>
                <w:szCs w:val="21"/>
              </w:rPr>
            </w:pPr>
            <w:r>
              <w:rPr>
                <w:rFonts w:eastAsiaTheme="minorEastAsia"/>
                <w:spacing w:val="2"/>
                <w:szCs w:val="21"/>
              </w:rPr>
              <w:t>按照《挥发性有机物无组织排放控制标准》（GB37822-2019）相关要求，开展泄露检测与修复工作，建立LDAR软件平台</w:t>
            </w:r>
          </w:p>
        </w:tc>
        <w:tc>
          <w:tcPr>
            <w:tcW w:w="5201" w:type="dxa"/>
            <w:tcBorders>
              <w:tl2br w:val="nil"/>
              <w:tr2bl w:val="nil"/>
            </w:tcBorders>
            <w:vAlign w:val="center"/>
          </w:tcPr>
          <w:p w14:paraId="39335B64">
            <w:pPr>
              <w:widowControl/>
              <w:spacing w:before="2"/>
              <w:ind w:right="36"/>
              <w:rPr>
                <w:rFonts w:eastAsiaTheme="minorEastAsia"/>
                <w:spacing w:val="2"/>
                <w:szCs w:val="21"/>
              </w:rPr>
            </w:pPr>
            <w:r>
              <w:rPr>
                <w:rFonts w:hint="eastAsia" w:eastAsiaTheme="minorEastAsia"/>
                <w:spacing w:val="2"/>
                <w:szCs w:val="21"/>
                <w:lang w:val="en-US" w:eastAsia="zh-CN"/>
              </w:rPr>
              <w:t>环评单位建议企业</w:t>
            </w:r>
            <w:r>
              <w:rPr>
                <w:rFonts w:eastAsiaTheme="minorEastAsia"/>
                <w:spacing w:val="2"/>
                <w:szCs w:val="21"/>
              </w:rPr>
              <w:t>按照《挥发性有机物无组织排放控制标准》（GB37822-2019）相关要求，开展泄露检测与修复工作，建立LDAR软件平台</w:t>
            </w:r>
          </w:p>
        </w:tc>
      </w:tr>
      <w:tr w14:paraId="2AAE4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gridSpan w:val="2"/>
            <w:tcBorders>
              <w:tl2br w:val="nil"/>
              <w:tr2bl w:val="nil"/>
            </w:tcBorders>
            <w:vAlign w:val="center"/>
          </w:tcPr>
          <w:p w14:paraId="365667FD">
            <w:pPr>
              <w:widowControl/>
              <w:spacing w:before="2"/>
              <w:ind w:right="36"/>
              <w:rPr>
                <w:rFonts w:eastAsiaTheme="minorEastAsia"/>
                <w:spacing w:val="2"/>
                <w:szCs w:val="21"/>
              </w:rPr>
            </w:pPr>
            <w:r>
              <w:rPr>
                <w:rFonts w:eastAsiaTheme="minorEastAsia"/>
                <w:spacing w:val="2"/>
                <w:szCs w:val="21"/>
              </w:rPr>
              <w:t>废水和循环水系统</w:t>
            </w:r>
          </w:p>
        </w:tc>
        <w:tc>
          <w:tcPr>
            <w:tcW w:w="7226" w:type="dxa"/>
            <w:tcBorders>
              <w:tl2br w:val="nil"/>
              <w:tr2bl w:val="nil"/>
            </w:tcBorders>
            <w:vAlign w:val="center"/>
          </w:tcPr>
          <w:p w14:paraId="64FEA55F">
            <w:pPr>
              <w:widowControl/>
              <w:spacing w:before="2"/>
              <w:ind w:right="36"/>
              <w:rPr>
                <w:rFonts w:eastAsiaTheme="minorEastAsia"/>
                <w:szCs w:val="21"/>
              </w:rPr>
            </w:pPr>
            <w:r>
              <w:rPr>
                <w:rFonts w:eastAsiaTheme="minorEastAsia"/>
                <w:spacing w:val="2"/>
                <w:szCs w:val="21"/>
              </w:rPr>
              <w:t>1、废水集输系统:采用密闭管道输送，接入口和排出口采取与环境空气隔离的措施；2、废水储存、处理设施：含VOCs废水储存和处理设施敞开液面上方100mm处VOCs检测浓度≥100umol/mol，应符合下列规定之一：（1）采取浮动顶盖；（2）采用固定顶盖，收集废气至VOCs废气收集系统；（3）其他等效措施；3、循环冷却水系统要求：对开式循环冷却水系统，每6个月对流经换热器进口和出口的循环冷却水中的总有机碳（TOC）浓度进行检测，若出口浓度大于进口浓度10%，则认定发生了泄露，应按照规定进行泄露源修复与记录</w:t>
            </w:r>
          </w:p>
        </w:tc>
        <w:tc>
          <w:tcPr>
            <w:tcW w:w="5201" w:type="dxa"/>
            <w:tcBorders>
              <w:tl2br w:val="nil"/>
              <w:tr2bl w:val="nil"/>
            </w:tcBorders>
            <w:vAlign w:val="center"/>
          </w:tcPr>
          <w:p w14:paraId="2FC70331">
            <w:pPr>
              <w:widowControl/>
              <w:spacing w:before="2"/>
              <w:ind w:right="36"/>
              <w:rPr>
                <w:rFonts w:eastAsiaTheme="minorEastAsia"/>
                <w:spacing w:val="2"/>
                <w:szCs w:val="21"/>
              </w:rPr>
            </w:pPr>
            <w:r>
              <w:rPr>
                <w:rFonts w:hint="eastAsia" w:eastAsiaTheme="minorEastAsia"/>
                <w:spacing w:val="2"/>
                <w:szCs w:val="21"/>
                <w:lang w:val="en-US" w:eastAsia="zh-CN"/>
              </w:rPr>
              <w:t>涂料生产线无生产</w:t>
            </w:r>
            <w:r>
              <w:rPr>
                <w:rFonts w:hint="eastAsia" w:eastAsiaTheme="minorEastAsia"/>
                <w:spacing w:val="2"/>
                <w:szCs w:val="21"/>
              </w:rPr>
              <w:t>废水产生；本次环评要求企业</w:t>
            </w:r>
            <w:r>
              <w:rPr>
                <w:rFonts w:eastAsiaTheme="minorEastAsia"/>
                <w:spacing w:val="2"/>
                <w:szCs w:val="21"/>
              </w:rPr>
              <w:t>每6个月对流经换热器进口和出口的循环冷却水中的总有机碳（TOC）浓度进行检测，</w:t>
            </w:r>
            <w:r>
              <w:rPr>
                <w:rFonts w:hint="eastAsia" w:eastAsiaTheme="minorEastAsia"/>
                <w:spacing w:val="2"/>
                <w:szCs w:val="21"/>
              </w:rPr>
              <w:t>并按规定做相应记录</w:t>
            </w:r>
          </w:p>
        </w:tc>
      </w:tr>
      <w:tr w14:paraId="00792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221" w:type="dxa"/>
            <w:gridSpan w:val="2"/>
            <w:tcBorders>
              <w:tl2br w:val="nil"/>
              <w:tr2bl w:val="nil"/>
            </w:tcBorders>
            <w:vAlign w:val="center"/>
          </w:tcPr>
          <w:p w14:paraId="045F11CC">
            <w:pPr>
              <w:widowControl/>
              <w:spacing w:before="2"/>
              <w:ind w:right="36"/>
              <w:rPr>
                <w:rFonts w:eastAsiaTheme="minorEastAsia"/>
                <w:spacing w:val="2"/>
                <w:szCs w:val="21"/>
              </w:rPr>
            </w:pPr>
            <w:r>
              <w:rPr>
                <w:rFonts w:eastAsiaTheme="minorEastAsia"/>
                <w:spacing w:val="2"/>
                <w:szCs w:val="21"/>
              </w:rPr>
              <w:t>监测监控水平</w:t>
            </w:r>
          </w:p>
        </w:tc>
        <w:tc>
          <w:tcPr>
            <w:tcW w:w="7226" w:type="dxa"/>
            <w:tcBorders>
              <w:tl2br w:val="nil"/>
              <w:tr2bl w:val="nil"/>
            </w:tcBorders>
            <w:vAlign w:val="center"/>
          </w:tcPr>
          <w:p w14:paraId="3D0C56FD">
            <w:pPr>
              <w:widowControl/>
              <w:spacing w:before="2"/>
              <w:ind w:right="36"/>
              <w:rPr>
                <w:rFonts w:eastAsiaTheme="minorEastAsia"/>
                <w:spacing w:val="2"/>
                <w:szCs w:val="21"/>
              </w:rPr>
            </w:pPr>
            <w:r>
              <w:rPr>
                <w:rFonts w:eastAsiaTheme="minorEastAsia"/>
                <w:spacing w:val="2"/>
                <w:szCs w:val="21"/>
              </w:rPr>
              <w:t>重点排污企业风量大于10000m</w:t>
            </w:r>
            <w:r>
              <w:rPr>
                <w:rFonts w:eastAsiaTheme="minorEastAsia"/>
                <w:spacing w:val="2"/>
                <w:szCs w:val="21"/>
                <w:vertAlign w:val="superscript"/>
              </w:rPr>
              <w:t>3</w:t>
            </w:r>
            <w:r>
              <w:rPr>
                <w:rFonts w:eastAsiaTheme="minorEastAsia"/>
                <w:spacing w:val="2"/>
                <w:szCs w:val="21"/>
              </w:rPr>
              <w:t>/h的主要排放口</w:t>
            </w:r>
            <w:r>
              <w:rPr>
                <w:rFonts w:eastAsiaTheme="minorEastAsia"/>
                <w:spacing w:val="2"/>
                <w:szCs w:val="21"/>
                <w:vertAlign w:val="superscript"/>
              </w:rPr>
              <w:t>a</w:t>
            </w:r>
            <w:r>
              <w:rPr>
                <w:rFonts w:eastAsiaTheme="minorEastAsia"/>
                <w:spacing w:val="2"/>
                <w:szCs w:val="21"/>
              </w:rPr>
              <w:t>均安装NMHC在线监测设备（FID），生产装置安装DCS，记录企业环保设施运行及相关生产过程主要参数；CEMS、DCS监控等数据至少要保存一年以上</w:t>
            </w:r>
          </w:p>
        </w:tc>
        <w:tc>
          <w:tcPr>
            <w:tcW w:w="5201" w:type="dxa"/>
            <w:tcBorders>
              <w:tl2br w:val="nil"/>
              <w:tr2bl w:val="nil"/>
            </w:tcBorders>
            <w:vAlign w:val="center"/>
          </w:tcPr>
          <w:p w14:paraId="047A9C78">
            <w:pPr>
              <w:widowControl/>
              <w:spacing w:before="2"/>
              <w:ind w:right="36"/>
              <w:rPr>
                <w:rFonts w:eastAsiaTheme="minorEastAsia"/>
                <w:spacing w:val="2"/>
                <w:szCs w:val="21"/>
              </w:rPr>
            </w:pPr>
            <w:r>
              <w:rPr>
                <w:rFonts w:hint="eastAsia" w:eastAsiaTheme="minorEastAsia"/>
                <w:spacing w:val="2"/>
                <w:szCs w:val="21"/>
              </w:rPr>
              <w:t>本次环评要求建设单位做到：在</w:t>
            </w:r>
            <w:r>
              <w:rPr>
                <w:rFonts w:eastAsiaTheme="minorEastAsia"/>
                <w:spacing w:val="2"/>
                <w:szCs w:val="21"/>
              </w:rPr>
              <w:t>风量大于10000m</w:t>
            </w:r>
            <w:r>
              <w:rPr>
                <w:rFonts w:eastAsiaTheme="minorEastAsia"/>
                <w:spacing w:val="2"/>
                <w:szCs w:val="21"/>
                <w:vertAlign w:val="superscript"/>
              </w:rPr>
              <w:t>3</w:t>
            </w:r>
            <w:r>
              <w:rPr>
                <w:rFonts w:eastAsiaTheme="minorEastAsia"/>
                <w:spacing w:val="2"/>
                <w:szCs w:val="21"/>
              </w:rPr>
              <w:t>/h的主要排放口</w:t>
            </w:r>
            <w:r>
              <w:rPr>
                <w:rFonts w:eastAsiaTheme="minorEastAsia"/>
                <w:spacing w:val="2"/>
                <w:szCs w:val="21"/>
                <w:vertAlign w:val="superscript"/>
              </w:rPr>
              <w:t>a</w:t>
            </w:r>
            <w:r>
              <w:rPr>
                <w:rFonts w:eastAsiaTheme="minorEastAsia"/>
                <w:spacing w:val="2"/>
                <w:szCs w:val="21"/>
              </w:rPr>
              <w:t>均安装NMHC在线监测设备（FID），生产装置安装DCS，记录企业环保设施运行及相关生产过程主要参数；CEMS、DCS监控等数据至少要保存一年以上</w:t>
            </w:r>
          </w:p>
        </w:tc>
      </w:tr>
      <w:tr w14:paraId="06CF0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gridSpan w:val="2"/>
            <w:tcBorders>
              <w:tl2br w:val="nil"/>
              <w:tr2bl w:val="nil"/>
            </w:tcBorders>
            <w:vAlign w:val="center"/>
          </w:tcPr>
          <w:p w14:paraId="2F7D740D">
            <w:pPr>
              <w:widowControl/>
              <w:spacing w:before="2"/>
              <w:ind w:right="36"/>
              <w:rPr>
                <w:rFonts w:eastAsiaTheme="minorEastAsia"/>
                <w:spacing w:val="2"/>
                <w:szCs w:val="21"/>
              </w:rPr>
            </w:pPr>
            <w:r>
              <w:rPr>
                <w:rFonts w:eastAsiaTheme="minorEastAsia"/>
                <w:spacing w:val="2"/>
                <w:szCs w:val="21"/>
              </w:rPr>
              <w:t>运输方式</w:t>
            </w:r>
          </w:p>
        </w:tc>
        <w:tc>
          <w:tcPr>
            <w:tcW w:w="7226" w:type="dxa"/>
            <w:tcBorders>
              <w:tl2br w:val="nil"/>
              <w:tr2bl w:val="nil"/>
            </w:tcBorders>
            <w:vAlign w:val="center"/>
          </w:tcPr>
          <w:p w14:paraId="4341CFC9">
            <w:pPr>
              <w:widowControl/>
              <w:spacing w:before="2"/>
              <w:ind w:right="36"/>
              <w:rPr>
                <w:rFonts w:eastAsiaTheme="minorEastAsia"/>
                <w:spacing w:val="2"/>
                <w:szCs w:val="21"/>
              </w:rPr>
            </w:pPr>
            <w:r>
              <w:rPr>
                <w:rFonts w:eastAsiaTheme="minorEastAsia"/>
                <w:spacing w:val="2"/>
                <w:szCs w:val="21"/>
              </w:rPr>
              <w:t>1、涉及专用车辆运输危险化学品物料、产品的，使用达到国五及以上排放标准重型载货车厢（含燃气）或新能源汽车比例不低于80%；其他原辅料、燃料、产品公路运输全部使用达到国五及以上排放标准的重型载货车厢（含燃气）或新能源汽车；2、厂内运输车辆全部达到国五及以上排放标准（含燃气）或使用新能源汽车；3、厂内非道路移动机械全部达到国三及以上排放标准或使用新能源机械</w:t>
            </w:r>
          </w:p>
        </w:tc>
        <w:tc>
          <w:tcPr>
            <w:tcW w:w="5201" w:type="dxa"/>
            <w:tcBorders>
              <w:tl2br w:val="nil"/>
              <w:tr2bl w:val="nil"/>
            </w:tcBorders>
            <w:vAlign w:val="center"/>
          </w:tcPr>
          <w:p w14:paraId="23F9BC2F">
            <w:pPr>
              <w:widowControl/>
              <w:spacing w:before="2"/>
              <w:ind w:right="36"/>
              <w:rPr>
                <w:rFonts w:eastAsiaTheme="minorEastAsia"/>
                <w:spacing w:val="2"/>
                <w:szCs w:val="21"/>
              </w:rPr>
            </w:pPr>
            <w:r>
              <w:rPr>
                <w:rFonts w:hint="eastAsia" w:eastAsiaTheme="minorEastAsia"/>
                <w:spacing w:val="2"/>
                <w:szCs w:val="21"/>
              </w:rPr>
              <w:t>本次环评要求建设单位在实际建设时，严格按照A级车辆规定执行</w:t>
            </w:r>
          </w:p>
        </w:tc>
      </w:tr>
      <w:tr w14:paraId="7FBEB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21" w:type="dxa"/>
            <w:gridSpan w:val="2"/>
            <w:tcBorders>
              <w:tl2br w:val="nil"/>
              <w:tr2bl w:val="nil"/>
            </w:tcBorders>
            <w:vAlign w:val="center"/>
          </w:tcPr>
          <w:p w14:paraId="3AAC4753">
            <w:pPr>
              <w:widowControl/>
              <w:spacing w:before="2"/>
              <w:ind w:right="36"/>
              <w:jc w:val="center"/>
              <w:rPr>
                <w:rFonts w:eastAsiaTheme="minorEastAsia"/>
                <w:spacing w:val="2"/>
                <w:szCs w:val="21"/>
              </w:rPr>
            </w:pPr>
            <w:r>
              <w:rPr>
                <w:rFonts w:eastAsiaTheme="minorEastAsia"/>
                <w:spacing w:val="2"/>
                <w:szCs w:val="21"/>
              </w:rPr>
              <w:t>运输监管</w:t>
            </w:r>
          </w:p>
        </w:tc>
        <w:tc>
          <w:tcPr>
            <w:tcW w:w="7226" w:type="dxa"/>
            <w:tcBorders>
              <w:tl2br w:val="nil"/>
              <w:tr2bl w:val="nil"/>
            </w:tcBorders>
            <w:vAlign w:val="center"/>
          </w:tcPr>
          <w:p w14:paraId="72758FF8">
            <w:pPr>
              <w:widowControl/>
              <w:spacing w:before="2"/>
              <w:ind w:right="36"/>
              <w:jc w:val="center"/>
              <w:rPr>
                <w:rFonts w:eastAsiaTheme="minorEastAsia"/>
                <w:spacing w:val="2"/>
                <w:szCs w:val="21"/>
              </w:rPr>
            </w:pPr>
            <w:r>
              <w:rPr>
                <w:rFonts w:eastAsiaTheme="minorEastAsia"/>
                <w:spacing w:val="2"/>
                <w:szCs w:val="21"/>
              </w:rPr>
              <w:t>参照《重污染天气重点行业移动源应急管理技术指南》建立门禁系统和电子台账</w:t>
            </w:r>
          </w:p>
        </w:tc>
        <w:tc>
          <w:tcPr>
            <w:tcW w:w="5201" w:type="dxa"/>
            <w:tcBorders>
              <w:tl2br w:val="nil"/>
              <w:tr2bl w:val="nil"/>
            </w:tcBorders>
            <w:vAlign w:val="center"/>
          </w:tcPr>
          <w:p w14:paraId="26AF3A1C">
            <w:pPr>
              <w:widowControl/>
              <w:spacing w:before="2"/>
              <w:ind w:right="36"/>
              <w:jc w:val="center"/>
              <w:rPr>
                <w:rFonts w:eastAsiaTheme="minorEastAsia"/>
                <w:spacing w:val="2"/>
                <w:szCs w:val="21"/>
              </w:rPr>
            </w:pPr>
            <w:r>
              <w:rPr>
                <w:rFonts w:eastAsiaTheme="minorEastAsia"/>
                <w:spacing w:val="2"/>
                <w:szCs w:val="21"/>
              </w:rPr>
              <w:t>参照《重污染天气重点行业移动源应急管理技术指南》建立门禁系统和电子台账</w:t>
            </w:r>
          </w:p>
        </w:tc>
      </w:tr>
      <w:tr w14:paraId="2733F0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8" w:type="dxa"/>
            <w:gridSpan w:val="4"/>
            <w:tcBorders>
              <w:tl2br w:val="nil"/>
              <w:tr2bl w:val="nil"/>
            </w:tcBorders>
            <w:vAlign w:val="center"/>
          </w:tcPr>
          <w:p w14:paraId="7EB5D151">
            <w:pPr>
              <w:spacing w:before="2"/>
              <w:ind w:right="36"/>
              <w:rPr>
                <w:rFonts w:eastAsiaTheme="minorEastAsia"/>
                <w:spacing w:val="2"/>
                <w:szCs w:val="21"/>
              </w:rPr>
            </w:pPr>
            <w:r>
              <w:rPr>
                <w:rFonts w:eastAsiaTheme="minorEastAsia"/>
                <w:spacing w:val="2"/>
                <w:szCs w:val="21"/>
              </w:rPr>
              <w:t>注1:</w:t>
            </w:r>
            <w:r>
              <w:rPr>
                <w:rFonts w:eastAsiaTheme="minorEastAsia"/>
                <w:spacing w:val="2"/>
                <w:szCs w:val="21"/>
                <w:vertAlign w:val="superscript"/>
              </w:rPr>
              <w:t>a</w:t>
            </w:r>
            <w:r>
              <w:rPr>
                <w:rFonts w:eastAsiaTheme="minorEastAsia"/>
                <w:spacing w:val="2"/>
                <w:szCs w:val="21"/>
              </w:rPr>
              <w:t>主要排放口按照《排污许可证申请与核发技术规范-涂料、油墨、颜料及类似产品制造》（HJ1116-2020）确定；</w:t>
            </w:r>
          </w:p>
          <w:p w14:paraId="5118E7A4">
            <w:pPr>
              <w:spacing w:before="2"/>
              <w:ind w:right="36"/>
              <w:rPr>
                <w:rFonts w:eastAsiaTheme="minorEastAsia"/>
                <w:spacing w:val="2"/>
                <w:szCs w:val="21"/>
              </w:rPr>
            </w:pPr>
            <w:r>
              <w:rPr>
                <w:rFonts w:eastAsiaTheme="minorEastAsia"/>
                <w:spacing w:val="2"/>
                <w:szCs w:val="21"/>
              </w:rPr>
              <w:t>注2:粉末涂料制造企业在达到《涂料、油墨及胶粘剂工业大气污染物排放标准》（GB37824-2019）特别排放限值基础上，同时实现（1）密闭投料，（2）破碎、研磨环节配备高效可回收的除尘设施，（3）自动化或半自动包装产品比例＞90%，（4）PM＜10mg/m</w:t>
            </w:r>
            <w:r>
              <w:rPr>
                <w:rFonts w:eastAsiaTheme="minorEastAsia"/>
                <w:spacing w:val="2"/>
                <w:szCs w:val="21"/>
                <w:vertAlign w:val="superscript"/>
              </w:rPr>
              <w:t>3</w:t>
            </w:r>
            <w:r>
              <w:rPr>
                <w:rFonts w:eastAsiaTheme="minorEastAsia"/>
                <w:spacing w:val="2"/>
                <w:szCs w:val="21"/>
              </w:rPr>
              <w:t>，可评为引领性企业</w:t>
            </w:r>
          </w:p>
        </w:tc>
      </w:tr>
    </w:tbl>
    <w:p w14:paraId="22FD1E8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eastAsiaTheme="minorEastAsia"/>
          <w:color w:val="000000"/>
          <w:szCs w:val="24"/>
          <w:lang w:bidi="ar"/>
        </w:rPr>
        <w:sectPr>
          <w:pgSz w:w="16840" w:h="11907" w:orient="landscape"/>
          <w:pgMar w:top="1531" w:right="1701" w:bottom="1531" w:left="2126" w:header="851" w:footer="851" w:gutter="0"/>
          <w:pgBorders>
            <w:top w:val="none" w:sz="0" w:space="0"/>
            <w:left w:val="none" w:sz="0" w:space="0"/>
            <w:bottom w:val="none" w:sz="0" w:space="0"/>
            <w:right w:val="none" w:sz="0" w:space="0"/>
          </w:pgBorders>
          <w:pgNumType w:fmt="decimal"/>
          <w:cols w:space="720" w:num="1"/>
          <w:docGrid w:linePitch="312" w:charSpace="0"/>
        </w:sectPr>
      </w:pPr>
      <w:r>
        <w:rPr>
          <w:rFonts w:eastAsiaTheme="minorEastAsia"/>
          <w:color w:val="000000"/>
          <w:szCs w:val="24"/>
        </w:rPr>
        <w:t>根据企业提供资料，建设项目属于涂料制造行业，由上表分析，</w:t>
      </w:r>
      <w:r>
        <w:rPr>
          <w:rFonts w:eastAsiaTheme="minorEastAsia"/>
          <w:color w:val="000000"/>
          <w:szCs w:val="24"/>
          <w:lang w:bidi="ar"/>
        </w:rPr>
        <w:t>项目符合环保绩效A级水平要求。</w:t>
      </w:r>
    </w:p>
    <w:tbl>
      <w:tblPr>
        <w:tblStyle w:val="21"/>
        <w:tblW w:w="515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7332"/>
        <w:gridCol w:w="5976"/>
      </w:tblGrid>
      <w:tr w14:paraId="5AAAC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4618" w:type="dxa"/>
            <w:gridSpan w:val="3"/>
            <w:tcBorders>
              <w:tl2br w:val="nil"/>
              <w:tr2bl w:val="nil"/>
            </w:tcBorders>
            <w:vAlign w:val="center"/>
          </w:tcPr>
          <w:p w14:paraId="41391BC7">
            <w:pPr>
              <w:widowControl/>
              <w:jc w:val="center"/>
              <w:rPr>
                <w:rFonts w:hint="eastAsia" w:eastAsiaTheme="minorEastAsia"/>
                <w:b/>
                <w:bCs/>
                <w:color w:val="000000"/>
                <w:kern w:val="0"/>
                <w:szCs w:val="21"/>
                <w:lang w:eastAsia="zh-CN"/>
              </w:rPr>
            </w:pPr>
            <w:r>
              <w:rPr>
                <w:rFonts w:hint="eastAsia" w:eastAsiaTheme="minorEastAsia"/>
                <w:b/>
                <w:bCs/>
                <w:color w:val="000000"/>
                <w:kern w:val="0"/>
                <w:szCs w:val="21"/>
              </w:rPr>
              <w:t>工业涂装</w:t>
            </w:r>
            <w:r>
              <w:rPr>
                <w:rFonts w:hint="eastAsia" w:eastAsiaTheme="minorEastAsia"/>
                <w:b/>
                <w:bCs/>
                <w:color w:val="000000"/>
                <w:kern w:val="0"/>
                <w:szCs w:val="21"/>
                <w:lang w:val="en-US" w:eastAsia="zh-CN"/>
              </w:rPr>
              <w:t>车间</w:t>
            </w:r>
          </w:p>
        </w:tc>
      </w:tr>
      <w:tr w14:paraId="5D2F5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tcBorders>
              <w:tl2br w:val="nil"/>
              <w:tr2bl w:val="nil"/>
            </w:tcBorders>
            <w:vAlign w:val="center"/>
          </w:tcPr>
          <w:p w14:paraId="3A250DC8">
            <w:pPr>
              <w:widowControl/>
              <w:spacing w:before="2"/>
              <w:ind w:right="36"/>
              <w:jc w:val="center"/>
              <w:rPr>
                <w:rFonts w:eastAsiaTheme="minorEastAsia"/>
                <w:b/>
                <w:bCs/>
                <w:spacing w:val="2"/>
                <w:szCs w:val="21"/>
              </w:rPr>
            </w:pPr>
            <w:r>
              <w:rPr>
                <w:rFonts w:eastAsiaTheme="minorEastAsia"/>
                <w:b/>
                <w:bCs/>
                <w:spacing w:val="2"/>
                <w:szCs w:val="21"/>
              </w:rPr>
              <w:t>差异</w:t>
            </w:r>
          </w:p>
          <w:p w14:paraId="4E936357">
            <w:pPr>
              <w:widowControl/>
              <w:spacing w:before="2"/>
              <w:ind w:right="36"/>
              <w:jc w:val="center"/>
              <w:rPr>
                <w:rFonts w:eastAsiaTheme="minorEastAsia"/>
                <w:b/>
                <w:bCs/>
                <w:spacing w:val="2"/>
                <w:szCs w:val="21"/>
              </w:rPr>
            </w:pPr>
            <w:r>
              <w:rPr>
                <w:rFonts w:eastAsiaTheme="minorEastAsia"/>
                <w:b/>
                <w:bCs/>
                <w:spacing w:val="2"/>
                <w:szCs w:val="21"/>
              </w:rPr>
              <w:t>化指标</w:t>
            </w:r>
          </w:p>
        </w:tc>
        <w:tc>
          <w:tcPr>
            <w:tcW w:w="7333" w:type="dxa"/>
            <w:tcBorders>
              <w:tl2br w:val="nil"/>
              <w:tr2bl w:val="nil"/>
            </w:tcBorders>
            <w:vAlign w:val="center"/>
          </w:tcPr>
          <w:p w14:paraId="3D05A574">
            <w:pPr>
              <w:widowControl/>
              <w:spacing w:before="2"/>
              <w:ind w:right="36"/>
              <w:jc w:val="center"/>
              <w:rPr>
                <w:rFonts w:eastAsiaTheme="minorEastAsia"/>
                <w:b/>
                <w:bCs/>
                <w:spacing w:val="2"/>
                <w:szCs w:val="21"/>
              </w:rPr>
            </w:pPr>
            <w:r>
              <w:rPr>
                <w:rFonts w:eastAsiaTheme="minorEastAsia"/>
                <w:b/>
                <w:bCs/>
                <w:spacing w:val="2"/>
                <w:szCs w:val="21"/>
              </w:rPr>
              <w:t>A级企业</w:t>
            </w:r>
          </w:p>
        </w:tc>
        <w:tc>
          <w:tcPr>
            <w:tcW w:w="5977" w:type="dxa"/>
            <w:tcBorders>
              <w:tl2br w:val="nil"/>
              <w:tr2bl w:val="nil"/>
            </w:tcBorders>
            <w:vAlign w:val="center"/>
          </w:tcPr>
          <w:p w14:paraId="46BC5475">
            <w:pPr>
              <w:widowControl/>
              <w:spacing w:before="2"/>
              <w:ind w:right="36"/>
              <w:jc w:val="center"/>
              <w:rPr>
                <w:rFonts w:eastAsiaTheme="minorEastAsia"/>
                <w:b/>
                <w:bCs/>
                <w:spacing w:val="2"/>
                <w:szCs w:val="21"/>
              </w:rPr>
            </w:pPr>
            <w:r>
              <w:rPr>
                <w:rFonts w:eastAsiaTheme="minorEastAsia"/>
                <w:b/>
                <w:bCs/>
                <w:spacing w:val="2"/>
                <w:szCs w:val="21"/>
              </w:rPr>
              <w:t>本项目情况</w:t>
            </w:r>
          </w:p>
        </w:tc>
      </w:tr>
      <w:tr w14:paraId="410E54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tcBorders>
              <w:tl2br w:val="nil"/>
              <w:tr2bl w:val="nil"/>
            </w:tcBorders>
            <w:vAlign w:val="center"/>
          </w:tcPr>
          <w:p w14:paraId="1288688F">
            <w:pPr>
              <w:widowControl/>
              <w:spacing w:before="2"/>
              <w:ind w:right="36"/>
              <w:jc w:val="center"/>
              <w:rPr>
                <w:rFonts w:hint="eastAsia" w:eastAsiaTheme="minorEastAsia"/>
                <w:spacing w:val="2"/>
                <w:szCs w:val="21"/>
                <w:lang w:eastAsia="zh-CN"/>
              </w:rPr>
            </w:pPr>
            <w:r>
              <w:rPr>
                <w:rFonts w:hint="eastAsia" w:eastAsiaTheme="minorEastAsia"/>
                <w:spacing w:val="2"/>
                <w:szCs w:val="21"/>
                <w:lang w:val="en-US" w:eastAsia="zh-CN"/>
              </w:rPr>
              <w:t>原辅材料</w:t>
            </w:r>
          </w:p>
        </w:tc>
        <w:tc>
          <w:tcPr>
            <w:tcW w:w="7333" w:type="dxa"/>
            <w:tcBorders>
              <w:tl2br w:val="nil"/>
              <w:tr2bl w:val="nil"/>
            </w:tcBorders>
            <w:vAlign w:val="center"/>
          </w:tcPr>
          <w:p w14:paraId="325F50A6">
            <w:pPr>
              <w:widowControl/>
              <w:spacing w:before="2"/>
              <w:ind w:right="36"/>
              <w:rPr>
                <w:rFonts w:eastAsiaTheme="minorEastAsia"/>
                <w:spacing w:val="2"/>
                <w:szCs w:val="21"/>
              </w:rPr>
            </w:pPr>
            <w:r>
              <w:rPr>
                <w:rFonts w:hint="eastAsia" w:eastAsiaTheme="minorEastAsia"/>
                <w:spacing w:val="2"/>
                <w:szCs w:val="21"/>
                <w:lang w:val="en-US" w:eastAsia="zh-CN"/>
              </w:rPr>
              <w:t>1</w:t>
            </w:r>
            <w:r>
              <w:rPr>
                <w:rFonts w:hint="eastAsia" w:eastAsiaTheme="minorEastAsia"/>
                <w:spacing w:val="2"/>
                <w:szCs w:val="21"/>
              </w:rPr>
              <w:t>、使用粉末涂料</w:t>
            </w:r>
            <w:r>
              <w:rPr>
                <w:rFonts w:hint="eastAsia" w:eastAsiaTheme="minorEastAsia"/>
                <w:spacing w:val="2"/>
                <w:szCs w:val="21"/>
                <w:lang w:eastAsia="zh-CN"/>
              </w:rPr>
              <w:t>；</w:t>
            </w:r>
            <w:r>
              <w:rPr>
                <w:rFonts w:hint="eastAsia" w:eastAsiaTheme="minorEastAsia"/>
                <w:spacing w:val="2"/>
                <w:szCs w:val="21"/>
              </w:rPr>
              <w:t>2、使用符合《低挥发性有机化合物含量涂料产品技术要求》(GB/T38597-2020)规定的低VOCs含量涂料产品</w:t>
            </w:r>
          </w:p>
        </w:tc>
        <w:tc>
          <w:tcPr>
            <w:tcW w:w="5977" w:type="dxa"/>
            <w:tcBorders>
              <w:tl2br w:val="nil"/>
              <w:tr2bl w:val="nil"/>
            </w:tcBorders>
            <w:vAlign w:val="center"/>
          </w:tcPr>
          <w:p w14:paraId="581F2AE9">
            <w:pPr>
              <w:widowControl/>
              <w:spacing w:before="2"/>
              <w:ind w:right="36"/>
              <w:rPr>
                <w:rFonts w:hint="eastAsia" w:eastAsiaTheme="minorEastAsia"/>
                <w:spacing w:val="2"/>
                <w:szCs w:val="21"/>
                <w:lang w:eastAsia="zh-CN"/>
              </w:rPr>
            </w:pPr>
            <w:r>
              <w:rPr>
                <w:rFonts w:hint="eastAsia" w:eastAsiaTheme="minorEastAsia"/>
                <w:spacing w:val="2"/>
                <w:szCs w:val="21"/>
                <w:lang w:val="en-US" w:eastAsia="zh-CN"/>
              </w:rPr>
              <w:t>1、</w:t>
            </w:r>
            <w:r>
              <w:rPr>
                <w:rFonts w:hint="eastAsia" w:eastAsiaTheme="minorEastAsia"/>
                <w:spacing w:val="2"/>
                <w:szCs w:val="21"/>
              </w:rPr>
              <w:t>本项目</w:t>
            </w:r>
            <w:r>
              <w:rPr>
                <w:rFonts w:hint="eastAsia" w:eastAsiaTheme="minorEastAsia"/>
                <w:spacing w:val="2"/>
                <w:szCs w:val="21"/>
                <w:lang w:val="en-US" w:eastAsia="zh-CN"/>
              </w:rPr>
              <w:t>使用</w:t>
            </w:r>
            <w:r>
              <w:rPr>
                <w:rFonts w:hint="eastAsia" w:eastAsiaTheme="minorEastAsia"/>
                <w:spacing w:val="2"/>
                <w:szCs w:val="21"/>
              </w:rPr>
              <w:t>热固性粉末涂料</w:t>
            </w:r>
            <w:r>
              <w:rPr>
                <w:rFonts w:hint="eastAsia" w:eastAsiaTheme="minorEastAsia"/>
                <w:spacing w:val="2"/>
                <w:szCs w:val="21"/>
                <w:lang w:eastAsia="zh-CN"/>
              </w:rPr>
              <w:t>；</w:t>
            </w:r>
            <w:r>
              <w:rPr>
                <w:rFonts w:hint="eastAsia" w:eastAsiaTheme="minorEastAsia"/>
                <w:spacing w:val="2"/>
                <w:szCs w:val="21"/>
                <w:lang w:val="en-US" w:eastAsia="zh-CN"/>
              </w:rPr>
              <w:t>2根</w:t>
            </w:r>
            <w:r>
              <w:rPr>
                <w:rFonts w:hint="eastAsia" w:eastAsiaTheme="minorEastAsia"/>
                <w:spacing w:val="2"/>
                <w:szCs w:val="21"/>
              </w:rPr>
              <w:t>据</w:t>
            </w:r>
            <w:r>
              <w:rPr>
                <w:rFonts w:eastAsiaTheme="minorEastAsia"/>
                <w:spacing w:val="2"/>
                <w:szCs w:val="21"/>
              </w:rPr>
              <w:t>《低挥发性有机化合物含量涂料产品技术要</w:t>
            </w:r>
            <w:r>
              <w:rPr>
                <w:rFonts w:hint="eastAsia" w:eastAsiaTheme="minorEastAsia"/>
                <w:spacing w:val="2"/>
                <w:szCs w:val="21"/>
              </w:rPr>
              <w:t>求</w:t>
            </w:r>
            <w:r>
              <w:rPr>
                <w:rFonts w:eastAsiaTheme="minorEastAsia"/>
                <w:spacing w:val="2"/>
                <w:szCs w:val="21"/>
              </w:rPr>
              <w:t>》（GB/T38597-2020）</w:t>
            </w:r>
            <w:r>
              <w:rPr>
                <w:rFonts w:hint="eastAsia" w:eastAsiaTheme="minorEastAsia"/>
                <w:spacing w:val="2"/>
                <w:szCs w:val="21"/>
              </w:rPr>
              <w:t>8.1.粉末涂料、无机建筑材料（含建筑无机粉体涂装材料）、建筑用有机粉体涂料产品中VOC含量通常很少，属于低挥发性有机化合物含量涂料产品</w:t>
            </w:r>
            <w:r>
              <w:rPr>
                <w:rFonts w:hint="eastAsia" w:eastAsiaTheme="minorEastAsia"/>
                <w:spacing w:val="2"/>
                <w:szCs w:val="21"/>
                <w:lang w:eastAsia="zh-CN"/>
              </w:rPr>
              <w:t>。</w:t>
            </w:r>
          </w:p>
        </w:tc>
      </w:tr>
      <w:tr w14:paraId="20D6E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tcBorders>
              <w:tl2br w:val="nil"/>
              <w:tr2bl w:val="nil"/>
            </w:tcBorders>
            <w:vAlign w:val="center"/>
          </w:tcPr>
          <w:p w14:paraId="1D7E15E4">
            <w:pPr>
              <w:widowControl/>
              <w:spacing w:before="2"/>
              <w:ind w:right="36"/>
              <w:jc w:val="center"/>
              <w:rPr>
                <w:rFonts w:hint="eastAsia" w:eastAsiaTheme="minorEastAsia"/>
                <w:spacing w:val="2"/>
                <w:szCs w:val="21"/>
                <w:lang w:val="en-US" w:eastAsia="zh-CN"/>
              </w:rPr>
            </w:pPr>
            <w:r>
              <w:rPr>
                <w:rFonts w:hint="eastAsia" w:eastAsiaTheme="minorEastAsia"/>
                <w:spacing w:val="2"/>
                <w:szCs w:val="21"/>
                <w:lang w:val="en-US" w:eastAsia="zh-CN"/>
              </w:rPr>
              <w:t>无组织</w:t>
            </w:r>
          </w:p>
          <w:p w14:paraId="2667A19D">
            <w:pPr>
              <w:widowControl/>
              <w:spacing w:before="2"/>
              <w:ind w:right="36"/>
              <w:jc w:val="center"/>
              <w:rPr>
                <w:rFonts w:hint="default" w:eastAsiaTheme="minorEastAsia"/>
                <w:spacing w:val="2"/>
                <w:szCs w:val="21"/>
                <w:lang w:val="en-US" w:eastAsia="zh-CN"/>
              </w:rPr>
            </w:pPr>
            <w:r>
              <w:rPr>
                <w:rFonts w:hint="eastAsia" w:eastAsiaTheme="minorEastAsia"/>
                <w:spacing w:val="2"/>
                <w:szCs w:val="21"/>
                <w:lang w:val="en-US" w:eastAsia="zh-CN"/>
              </w:rPr>
              <w:t>排放</w:t>
            </w:r>
          </w:p>
        </w:tc>
        <w:tc>
          <w:tcPr>
            <w:tcW w:w="7333" w:type="dxa"/>
            <w:tcBorders>
              <w:tl2br w:val="nil"/>
              <w:tr2bl w:val="nil"/>
            </w:tcBorders>
            <w:vAlign w:val="center"/>
          </w:tcPr>
          <w:p w14:paraId="6CAE8199">
            <w:pPr>
              <w:widowControl/>
              <w:spacing w:before="2"/>
              <w:ind w:right="36"/>
              <w:rPr>
                <w:rFonts w:hint="eastAsia"/>
              </w:rPr>
            </w:pPr>
            <w:r>
              <w:rPr>
                <w:rFonts w:hint="eastAsia"/>
              </w:rPr>
              <w:t>1、满足《挥发性有机物无组织排放控制标准》(GB 37822-2019)特别控制要求</w:t>
            </w:r>
            <w:r>
              <w:rPr>
                <w:rFonts w:hint="eastAsia" w:eastAsiaTheme="minorEastAsia"/>
                <w:spacing w:val="2"/>
                <w:szCs w:val="21"/>
                <w:lang w:eastAsia="zh-CN"/>
              </w:rPr>
              <w:t>；</w:t>
            </w:r>
            <w:r>
              <w:rPr>
                <w:rFonts w:hint="eastAsia"/>
              </w:rPr>
              <w:t>2、VOCs物料存储于密闭容器或包装袋中，盛装VOCs物料的容器或包装袋存放于密闭负压的储库、料仓内</w:t>
            </w:r>
            <w:r>
              <w:rPr>
                <w:rFonts w:hint="eastAsia" w:eastAsiaTheme="minorEastAsia"/>
                <w:spacing w:val="2"/>
                <w:szCs w:val="21"/>
                <w:lang w:eastAsia="zh-CN"/>
              </w:rPr>
              <w:t>；</w:t>
            </w:r>
            <w:r>
              <w:rPr>
                <w:rFonts w:hint="eastAsia"/>
              </w:rPr>
              <w:t>3、除大型工件特殊作业(例如，船舶制造行业的分段总组、船台、船坞、造船码头等涂装工序)外，调漆、喷漆、流平、烘干、清洗等工序在密闭设备或密闭负压空间内操作</w:t>
            </w:r>
            <w:r>
              <w:rPr>
                <w:rFonts w:hint="eastAsia" w:eastAsiaTheme="minorEastAsia"/>
                <w:spacing w:val="2"/>
                <w:szCs w:val="21"/>
                <w:lang w:eastAsia="zh-CN"/>
              </w:rPr>
              <w:t>；</w:t>
            </w:r>
            <w:r>
              <w:rPr>
                <w:rFonts w:hint="eastAsia"/>
              </w:rPr>
              <w:t>4、密闭回收废清洗剂</w:t>
            </w:r>
            <w:r>
              <w:rPr>
                <w:rFonts w:hint="eastAsia" w:eastAsiaTheme="minorEastAsia"/>
                <w:spacing w:val="2"/>
                <w:szCs w:val="21"/>
                <w:lang w:eastAsia="zh-CN"/>
              </w:rPr>
              <w:t>；</w:t>
            </w:r>
          </w:p>
          <w:p w14:paraId="130D12B6">
            <w:pPr>
              <w:widowControl/>
              <w:spacing w:before="2"/>
              <w:ind w:right="36"/>
              <w:rPr>
                <w:rFonts w:hint="eastAsia" w:eastAsia="宋体"/>
                <w:spacing w:val="2"/>
                <w:szCs w:val="21"/>
                <w:lang w:eastAsia="zh-CN"/>
              </w:rPr>
            </w:pPr>
            <w:r>
              <w:rPr>
                <w:rFonts w:hint="eastAsia"/>
              </w:rPr>
              <w:t>5、建设</w:t>
            </w:r>
            <w:r>
              <w:rPr>
                <w:rFonts w:hint="eastAsia"/>
                <w:lang w:eastAsia="zh-CN"/>
              </w:rPr>
              <w:t>干式</w:t>
            </w:r>
            <w:r>
              <w:rPr>
                <w:rFonts w:hint="eastAsia"/>
              </w:rPr>
              <w:t>喷漆房</w:t>
            </w:r>
            <w:r>
              <w:rPr>
                <w:rFonts w:hint="eastAsia"/>
                <w:lang w:eastAsia="zh-CN"/>
              </w:rPr>
              <w:t>：</w:t>
            </w:r>
            <w:r>
              <w:rPr>
                <w:rFonts w:hint="eastAsia"/>
              </w:rPr>
              <w:t>使用湿式喷漆房时，循环水泵间和刮渣间应密闭，安装废气收集设施</w:t>
            </w:r>
            <w:r>
              <w:rPr>
                <w:rFonts w:hint="eastAsia" w:eastAsiaTheme="minorEastAsia"/>
                <w:spacing w:val="2"/>
                <w:szCs w:val="21"/>
                <w:lang w:eastAsia="zh-CN"/>
              </w:rPr>
              <w:t>；</w:t>
            </w:r>
            <w:r>
              <w:rPr>
                <w:rFonts w:hint="eastAsia"/>
              </w:rPr>
              <w:t>6、采用静电喷涂、自动喷涂、高压无气喷涂或高流低压(HVLP)喷枪等高效涂装技术，不可使用手动空气喷涂技术</w:t>
            </w:r>
            <w:r>
              <w:rPr>
                <w:rFonts w:hint="eastAsia"/>
                <w:lang w:eastAsia="zh-CN"/>
              </w:rPr>
              <w:t>。</w:t>
            </w:r>
          </w:p>
        </w:tc>
        <w:tc>
          <w:tcPr>
            <w:tcW w:w="5977" w:type="dxa"/>
            <w:tcBorders>
              <w:tl2br w:val="nil"/>
              <w:tr2bl w:val="nil"/>
            </w:tcBorders>
            <w:vAlign w:val="center"/>
          </w:tcPr>
          <w:p w14:paraId="12013EF9">
            <w:pPr>
              <w:widowControl/>
              <w:spacing w:before="2"/>
              <w:ind w:right="36"/>
              <w:rPr>
                <w:rFonts w:hint="eastAsia" w:eastAsia="宋体"/>
                <w:spacing w:val="2"/>
                <w:szCs w:val="21"/>
                <w:lang w:val="en-US" w:eastAsia="zh-CN"/>
              </w:rPr>
            </w:pPr>
            <w:r>
              <w:rPr>
                <w:rFonts w:hint="eastAsia"/>
              </w:rPr>
              <w:t>1、</w:t>
            </w:r>
            <w:r>
              <w:rPr>
                <w:rFonts w:hint="eastAsia" w:eastAsiaTheme="minorEastAsia"/>
                <w:spacing w:val="2"/>
                <w:szCs w:val="21"/>
              </w:rPr>
              <w:t>本项目</w:t>
            </w:r>
            <w:r>
              <w:rPr>
                <w:rFonts w:hint="eastAsia"/>
              </w:rPr>
              <w:t>满足《挥发性有机物无组织排放控制标准》(GB 37822-2019)特别控制要求</w:t>
            </w:r>
            <w:r>
              <w:rPr>
                <w:rFonts w:hint="eastAsia" w:eastAsiaTheme="minorEastAsia"/>
                <w:spacing w:val="2"/>
                <w:szCs w:val="21"/>
                <w:lang w:eastAsia="zh-CN"/>
              </w:rPr>
              <w:t>；</w:t>
            </w:r>
            <w:r>
              <w:rPr>
                <w:rFonts w:hint="eastAsia"/>
              </w:rPr>
              <w:t>2、VOCs物料存储于密闭包装袋中，盛装VOCs物料的容器或包装袋存放于密闭负压的储库</w:t>
            </w:r>
            <w:r>
              <w:rPr>
                <w:rFonts w:hint="eastAsia" w:eastAsiaTheme="minorEastAsia"/>
                <w:spacing w:val="2"/>
                <w:szCs w:val="21"/>
                <w:lang w:eastAsia="zh-CN"/>
              </w:rPr>
              <w:t>；</w:t>
            </w:r>
            <w:r>
              <w:rPr>
                <w:rFonts w:hint="eastAsia"/>
              </w:rPr>
              <w:t>3、</w:t>
            </w:r>
            <w:r>
              <w:rPr>
                <w:rFonts w:hint="eastAsia"/>
                <w:lang w:val="en-US" w:eastAsia="zh-CN"/>
              </w:rPr>
              <w:t>不涉及</w:t>
            </w:r>
            <w:r>
              <w:rPr>
                <w:rFonts w:hint="eastAsia" w:eastAsiaTheme="minorEastAsia"/>
                <w:spacing w:val="2"/>
                <w:szCs w:val="21"/>
                <w:lang w:eastAsia="zh-CN"/>
              </w:rPr>
              <w:t>；</w:t>
            </w:r>
            <w:r>
              <w:rPr>
                <w:rFonts w:hint="eastAsia"/>
              </w:rPr>
              <w:t>4、</w:t>
            </w:r>
            <w:r>
              <w:rPr>
                <w:rFonts w:hint="eastAsia"/>
                <w:lang w:val="en-US" w:eastAsia="zh-CN"/>
              </w:rPr>
              <w:t>不涉及</w:t>
            </w:r>
            <w:r>
              <w:rPr>
                <w:rFonts w:hint="eastAsia" w:eastAsiaTheme="minorEastAsia"/>
                <w:spacing w:val="2"/>
                <w:szCs w:val="21"/>
                <w:lang w:eastAsia="zh-CN"/>
              </w:rPr>
              <w:t>；</w:t>
            </w:r>
            <w:r>
              <w:rPr>
                <w:rFonts w:hint="eastAsia"/>
              </w:rPr>
              <w:t>5、</w:t>
            </w:r>
            <w:r>
              <w:rPr>
                <w:rFonts w:hint="eastAsia"/>
                <w:lang w:val="en-US" w:eastAsia="zh-CN"/>
              </w:rPr>
              <w:t>不涉及</w:t>
            </w:r>
            <w:r>
              <w:rPr>
                <w:rFonts w:hint="eastAsia" w:eastAsiaTheme="minorEastAsia"/>
                <w:spacing w:val="2"/>
                <w:szCs w:val="21"/>
                <w:lang w:eastAsia="zh-CN"/>
              </w:rPr>
              <w:t>；</w:t>
            </w:r>
            <w:r>
              <w:rPr>
                <w:rFonts w:hint="eastAsia"/>
              </w:rPr>
              <w:t>6、采用静电喷涂</w:t>
            </w:r>
            <w:r>
              <w:rPr>
                <w:rFonts w:hint="eastAsia"/>
                <w:lang w:val="en-US" w:eastAsia="zh-CN"/>
              </w:rPr>
              <w:t>技术</w:t>
            </w:r>
          </w:p>
        </w:tc>
      </w:tr>
      <w:tr w14:paraId="620EB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tcBorders>
              <w:tl2br w:val="nil"/>
              <w:tr2bl w:val="nil"/>
            </w:tcBorders>
            <w:vAlign w:val="center"/>
          </w:tcPr>
          <w:p w14:paraId="1BBBF52B">
            <w:pPr>
              <w:widowControl/>
              <w:spacing w:before="2"/>
              <w:ind w:right="36"/>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VOCs</w:t>
            </w:r>
          </w:p>
          <w:p w14:paraId="6748F9E0">
            <w:pPr>
              <w:widowControl/>
              <w:spacing w:before="2"/>
              <w:ind w:right="36"/>
              <w:rPr>
                <w:rFonts w:eastAsiaTheme="minorEastAsia"/>
                <w:spacing w:val="2"/>
                <w:szCs w:val="21"/>
              </w:rPr>
            </w:pPr>
            <w:r>
              <w:rPr>
                <w:rFonts w:hint="eastAsia" w:ascii="Times New Roman" w:hAnsi="Times New Roman" w:cs="Times New Roman" w:eastAsiaTheme="minorEastAsia"/>
                <w:spacing w:val="2"/>
                <w:szCs w:val="21"/>
                <w:lang w:val="en-US" w:eastAsia="zh-CN"/>
              </w:rPr>
              <w:t>治污设施</w:t>
            </w:r>
          </w:p>
        </w:tc>
        <w:tc>
          <w:tcPr>
            <w:tcW w:w="7333" w:type="dxa"/>
            <w:tcBorders>
              <w:tl2br w:val="nil"/>
              <w:tr2bl w:val="nil"/>
            </w:tcBorders>
            <w:vAlign w:val="center"/>
          </w:tcPr>
          <w:p w14:paraId="4B54C848">
            <w:pPr>
              <w:widowControl/>
              <w:numPr>
                <w:ilvl w:val="0"/>
                <w:numId w:val="0"/>
              </w:numPr>
              <w:spacing w:before="2"/>
              <w:ind w:right="36" w:rightChars="0"/>
              <w:rPr>
                <w:rFonts w:hint="eastAsia" w:eastAsiaTheme="minorEastAsia"/>
                <w:spacing w:val="2"/>
                <w:szCs w:val="21"/>
                <w:lang w:eastAsia="zh-CN"/>
              </w:rPr>
            </w:pPr>
            <w:r>
              <w:rPr>
                <w:rFonts w:hint="eastAsia" w:eastAsiaTheme="minorEastAsia"/>
                <w:spacing w:val="2"/>
                <w:szCs w:val="21"/>
                <w:lang w:val="en-US" w:eastAsia="zh-CN"/>
              </w:rPr>
              <w:t>1</w:t>
            </w:r>
            <w:r>
              <w:rPr>
                <w:rFonts w:hint="eastAsia" w:eastAsiaTheme="minorEastAsia"/>
                <w:spacing w:val="2"/>
                <w:szCs w:val="21"/>
              </w:rPr>
              <w:t>、喷涂废气设置干式的石灰石、纸盒等高效漆雾处理装置</w:t>
            </w:r>
            <w:r>
              <w:rPr>
                <w:rFonts w:hint="eastAsia" w:eastAsiaTheme="minorEastAsia"/>
                <w:spacing w:val="2"/>
                <w:szCs w:val="21"/>
                <w:lang w:eastAsia="zh-CN"/>
              </w:rPr>
              <w:t>；</w:t>
            </w:r>
            <w:r>
              <w:rPr>
                <w:rFonts w:hint="eastAsia" w:eastAsiaTheme="minorEastAsia"/>
                <w:spacing w:val="2"/>
                <w:szCs w:val="21"/>
              </w:rPr>
              <w:t>2、使用溶剂型涂料时，调漆、喷漆、流平、烘干、清洗等工序含VOCs废气采用吸附浓缩+燃烧、燃烧等治理技术，处理效率&gt;95%</w:t>
            </w:r>
            <w:r>
              <w:rPr>
                <w:rFonts w:hint="eastAsia" w:eastAsiaTheme="minorEastAsia"/>
                <w:spacing w:val="2"/>
                <w:szCs w:val="21"/>
                <w:lang w:eastAsia="zh-CN"/>
              </w:rPr>
              <w:t>；</w:t>
            </w:r>
            <w:r>
              <w:rPr>
                <w:rFonts w:hint="eastAsia" w:eastAsiaTheme="minorEastAsia"/>
                <w:spacing w:val="2"/>
                <w:szCs w:val="21"/>
              </w:rPr>
              <w:t>3、使用水性涂料时，当车间或生产设施排气中非甲烷总烃(NMHC)初始排放速率&gt;2kg/h时，建设末端治污设施</w:t>
            </w:r>
            <w:r>
              <w:rPr>
                <w:rFonts w:hint="eastAsia" w:eastAsiaTheme="minorEastAsia"/>
                <w:spacing w:val="2"/>
                <w:szCs w:val="21"/>
                <w:lang w:eastAsia="zh-CN"/>
              </w:rPr>
              <w:t>。</w:t>
            </w:r>
          </w:p>
        </w:tc>
        <w:tc>
          <w:tcPr>
            <w:tcW w:w="5977" w:type="dxa"/>
            <w:tcBorders>
              <w:tl2br w:val="nil"/>
              <w:tr2bl w:val="nil"/>
            </w:tcBorders>
            <w:vAlign w:val="center"/>
          </w:tcPr>
          <w:p w14:paraId="0EFD83F9">
            <w:pPr>
              <w:widowControl/>
              <w:spacing w:before="2"/>
              <w:ind w:right="36"/>
              <w:rPr>
                <w:rFonts w:eastAsiaTheme="minorEastAsia"/>
                <w:spacing w:val="2"/>
                <w:szCs w:val="21"/>
              </w:rPr>
            </w:pPr>
            <w:r>
              <w:rPr>
                <w:rFonts w:hint="eastAsia" w:eastAsiaTheme="minorEastAsia"/>
                <w:spacing w:val="2"/>
                <w:szCs w:val="21"/>
                <w:lang w:val="en-US" w:eastAsia="zh-CN"/>
              </w:rPr>
              <w:t>1</w:t>
            </w:r>
            <w:r>
              <w:rPr>
                <w:rFonts w:hint="eastAsia" w:eastAsiaTheme="minorEastAsia"/>
                <w:spacing w:val="2"/>
                <w:szCs w:val="21"/>
              </w:rPr>
              <w:t>、喷涂废气设置</w:t>
            </w:r>
            <w:r>
              <w:rPr>
                <w:rFonts w:hint="eastAsia" w:ascii="Times New Roman" w:hAnsi="Times New Roman" w:eastAsia="宋体" w:cs="Times New Roman"/>
                <w:bCs/>
                <w:color w:val="auto"/>
                <w:kern w:val="0"/>
                <w:szCs w:val="21"/>
                <w:highlight w:val="none"/>
                <w:lang w:val="en-US" w:eastAsia="zh-CN"/>
              </w:rPr>
              <w:t>旋风+布袋除尘</w:t>
            </w:r>
            <w:r>
              <w:rPr>
                <w:rFonts w:hint="default" w:ascii="Times New Roman" w:hAnsi="Times New Roman" w:eastAsia="宋体" w:cs="Times New Roman"/>
                <w:bCs/>
                <w:color w:val="auto"/>
                <w:kern w:val="0"/>
                <w:szCs w:val="21"/>
                <w:highlight w:val="none"/>
                <w:lang w:val="en-US" w:eastAsia="zh-CN"/>
              </w:rPr>
              <w:t>装置</w:t>
            </w:r>
            <w:r>
              <w:rPr>
                <w:rFonts w:hint="eastAsia" w:ascii="Times New Roman" w:hAnsi="Times New Roman" w:eastAsia="宋体" w:cs="Times New Roman"/>
                <w:bCs/>
                <w:color w:val="auto"/>
                <w:kern w:val="0"/>
                <w:szCs w:val="21"/>
                <w:highlight w:val="none"/>
                <w:lang w:val="en-US" w:eastAsia="zh-CN"/>
              </w:rPr>
              <w:t>+二级</w:t>
            </w:r>
            <w:r>
              <w:rPr>
                <w:rFonts w:hint="default" w:ascii="Times New Roman" w:hAnsi="Times New Roman" w:eastAsia="宋体" w:cs="Times New Roman"/>
                <w:bCs/>
                <w:color w:val="auto"/>
                <w:kern w:val="0"/>
                <w:szCs w:val="21"/>
                <w:highlight w:val="none"/>
                <w:lang w:val="en-US" w:eastAsia="zh-CN"/>
              </w:rPr>
              <w:t>活性炭吸附</w:t>
            </w:r>
            <w:r>
              <w:rPr>
                <w:rFonts w:hint="eastAsia" w:eastAsiaTheme="minorEastAsia"/>
                <w:spacing w:val="2"/>
                <w:szCs w:val="21"/>
              </w:rPr>
              <w:t>处理装置</w:t>
            </w:r>
            <w:r>
              <w:rPr>
                <w:rFonts w:hint="eastAsia" w:eastAsiaTheme="minorEastAsia"/>
                <w:spacing w:val="2"/>
                <w:szCs w:val="21"/>
                <w:lang w:eastAsia="zh-CN"/>
              </w:rPr>
              <w:t>；</w:t>
            </w:r>
            <w:r>
              <w:rPr>
                <w:rFonts w:hint="eastAsia" w:eastAsiaTheme="minorEastAsia"/>
                <w:spacing w:val="2"/>
                <w:szCs w:val="21"/>
              </w:rPr>
              <w:t>2、</w:t>
            </w:r>
            <w:r>
              <w:rPr>
                <w:rFonts w:hint="eastAsia" w:eastAsiaTheme="minorEastAsia"/>
                <w:spacing w:val="2"/>
                <w:szCs w:val="21"/>
                <w:lang w:val="en-US" w:eastAsia="zh-CN"/>
              </w:rPr>
              <w:t>不涉及</w:t>
            </w:r>
            <w:r>
              <w:rPr>
                <w:rFonts w:hint="eastAsia" w:eastAsiaTheme="minorEastAsia"/>
                <w:spacing w:val="2"/>
                <w:szCs w:val="21"/>
                <w:lang w:eastAsia="zh-CN"/>
              </w:rPr>
              <w:t>；</w:t>
            </w:r>
            <w:r>
              <w:rPr>
                <w:rFonts w:hint="eastAsia" w:eastAsiaTheme="minorEastAsia"/>
                <w:spacing w:val="2"/>
                <w:szCs w:val="21"/>
              </w:rPr>
              <w:t>3、使用水性涂料时，设置</w:t>
            </w:r>
            <w:r>
              <w:rPr>
                <w:rFonts w:hint="eastAsia" w:ascii="Times New Roman" w:hAnsi="Times New Roman" w:eastAsia="宋体" w:cs="Times New Roman"/>
                <w:bCs/>
                <w:color w:val="auto"/>
                <w:kern w:val="0"/>
                <w:szCs w:val="21"/>
                <w:highlight w:val="none"/>
                <w:lang w:val="en-US" w:eastAsia="zh-CN"/>
              </w:rPr>
              <w:t>集气罩+二级活性炭吸附装置。</w:t>
            </w:r>
          </w:p>
        </w:tc>
      </w:tr>
      <w:tr w14:paraId="1B92B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8" w:type="dxa"/>
            <w:tcBorders>
              <w:tl2br w:val="nil"/>
              <w:tr2bl w:val="nil"/>
            </w:tcBorders>
            <w:vAlign w:val="center"/>
          </w:tcPr>
          <w:p w14:paraId="07B3842A">
            <w:pPr>
              <w:widowControl/>
              <w:spacing w:before="2"/>
              <w:ind w:right="36"/>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排放限值</w:t>
            </w:r>
          </w:p>
        </w:tc>
        <w:tc>
          <w:tcPr>
            <w:tcW w:w="7333" w:type="dxa"/>
            <w:tcBorders>
              <w:tl2br w:val="nil"/>
              <w:tr2bl w:val="nil"/>
            </w:tcBorders>
            <w:vAlign w:val="center"/>
          </w:tcPr>
          <w:p w14:paraId="1BEB00B0">
            <w:pPr>
              <w:widowControl/>
              <w:spacing w:before="2"/>
              <w:ind w:right="36"/>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1、在连续一年的监测数据中，车间或生产设施</w:t>
            </w:r>
            <w:r>
              <w:rPr>
                <w:rFonts w:hint="eastAsia" w:cs="Times New Roman" w:eastAsiaTheme="minorEastAsia"/>
                <w:spacing w:val="2"/>
                <w:szCs w:val="21"/>
                <w:lang w:val="en-US" w:eastAsia="zh-CN"/>
              </w:rPr>
              <w:t>排气筒</w:t>
            </w:r>
            <w:r>
              <w:rPr>
                <w:rFonts w:hint="eastAsia" w:ascii="Times New Roman" w:hAnsi="Times New Roman" w:cs="Times New Roman" w:eastAsiaTheme="minorEastAsia"/>
                <w:spacing w:val="2"/>
                <w:szCs w:val="21"/>
                <w:lang w:val="en-US" w:eastAsia="zh-CN"/>
              </w:rPr>
              <w:t>排放的NMHC为20-30mg/m3、TVOC为40-50mg/m3；2、厂区内无组织排放监控点NMHC的小时平均浓度值不超过6mg/m3、任意一次浓度值不超过20mg/m3;3、其他各项污染物稳定达到现行排放控制要求，并从严地方要求</w:t>
            </w:r>
          </w:p>
        </w:tc>
        <w:tc>
          <w:tcPr>
            <w:tcW w:w="5977" w:type="dxa"/>
            <w:tcBorders>
              <w:tl2br w:val="nil"/>
              <w:tr2bl w:val="nil"/>
            </w:tcBorders>
            <w:vAlign w:val="center"/>
          </w:tcPr>
          <w:p w14:paraId="5A79BD88">
            <w:pPr>
              <w:widowControl/>
              <w:spacing w:before="2"/>
              <w:ind w:right="36"/>
              <w:rPr>
                <w:rFonts w:hint="default"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根据表4-1废气污染物排放源一览表，本项目NMHC</w:t>
            </w:r>
            <w:r>
              <w:rPr>
                <w:rFonts w:hint="eastAsia" w:cs="Times New Roman" w:eastAsiaTheme="minorEastAsia"/>
                <w:spacing w:val="2"/>
                <w:szCs w:val="21"/>
                <w:lang w:val="en-US" w:eastAsia="zh-CN"/>
              </w:rPr>
              <w:t>排气筒</w:t>
            </w:r>
            <w:r>
              <w:rPr>
                <w:rFonts w:hint="eastAsia" w:ascii="Times New Roman" w:hAnsi="Times New Roman" w:cs="Times New Roman" w:eastAsiaTheme="minorEastAsia"/>
                <w:spacing w:val="2"/>
                <w:szCs w:val="21"/>
                <w:lang w:val="en-US" w:eastAsia="zh-CN"/>
              </w:rPr>
              <w:t>排放浓度为3.65-8.35mg/m3，无组织排放浓度为3.54-14mg/m3符合要求。</w:t>
            </w:r>
          </w:p>
        </w:tc>
      </w:tr>
      <w:tr w14:paraId="6EC34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1308" w:type="dxa"/>
            <w:tcBorders>
              <w:tl2br w:val="nil"/>
              <w:tr2bl w:val="nil"/>
            </w:tcBorders>
            <w:vAlign w:val="center"/>
          </w:tcPr>
          <w:p w14:paraId="0443E14A">
            <w:pPr>
              <w:widowControl/>
              <w:spacing w:before="2"/>
              <w:ind w:right="36"/>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监测监控水平</w:t>
            </w:r>
          </w:p>
        </w:tc>
        <w:tc>
          <w:tcPr>
            <w:tcW w:w="7333" w:type="dxa"/>
            <w:tcBorders>
              <w:tl2br w:val="nil"/>
              <w:tr2bl w:val="nil"/>
            </w:tcBorders>
            <w:vAlign w:val="center"/>
          </w:tcPr>
          <w:p w14:paraId="7E5AA1FA">
            <w:pPr>
              <w:widowControl/>
              <w:numPr>
                <w:ilvl w:val="0"/>
                <w:numId w:val="0"/>
              </w:numPr>
              <w:spacing w:before="2"/>
              <w:ind w:right="36" w:rightChars="0"/>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1、严格执行《排污许可证申请与核发技术规范 总则》(HJ942-2018)以及相关行业排污许可证申请与核发技术规范规定的自行监测管理要求；2、重点排污企业风量大于10000m3/h的主要排放口，有机废气排放口安装NMHC在线监测设施(FID检测器)，自动监控数据保存一年以上；3、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c>
          <w:tcPr>
            <w:tcW w:w="5977" w:type="dxa"/>
            <w:tcBorders>
              <w:tl2br w:val="nil"/>
              <w:tr2bl w:val="nil"/>
            </w:tcBorders>
            <w:vAlign w:val="center"/>
          </w:tcPr>
          <w:p w14:paraId="2A777517">
            <w:pPr>
              <w:widowControl/>
              <w:spacing w:before="2"/>
              <w:ind w:right="36"/>
              <w:rPr>
                <w:rFonts w:hint="eastAsia" w:eastAsiaTheme="minorEastAsia"/>
                <w:spacing w:val="2"/>
                <w:szCs w:val="21"/>
                <w:lang w:val="en-US" w:eastAsia="zh-CN"/>
              </w:rPr>
            </w:pPr>
            <w:r>
              <w:rPr>
                <w:rFonts w:hint="eastAsia" w:ascii="Times New Roman" w:hAnsi="Times New Roman" w:eastAsia="宋体" w:cs="Times New Roman"/>
                <w:color w:val="auto"/>
                <w:spacing w:val="0"/>
                <w:kern w:val="0"/>
                <w:sz w:val="21"/>
                <w:szCs w:val="21"/>
                <w:lang w:val="en-US" w:eastAsia="zh-CN"/>
              </w:rPr>
              <w:t>本次环评建议企业做到：</w:t>
            </w:r>
            <w:r>
              <w:rPr>
                <w:rFonts w:hint="eastAsia" w:ascii="Times New Roman" w:hAnsi="Times New Roman" w:cs="Times New Roman" w:eastAsiaTheme="minorEastAsia"/>
                <w:spacing w:val="2"/>
                <w:szCs w:val="21"/>
                <w:lang w:val="en-US" w:eastAsia="zh-CN"/>
              </w:rPr>
              <w:t>1、严格执行《排污许可证申请与核发技术规范 总则》(HJ942-2018)以及相关行业排污许可证申请与核发技术规范规定的自行监测管理要求；2、重点排污企业风量大于10000m</w:t>
            </w:r>
            <w:r>
              <w:rPr>
                <w:rFonts w:hint="eastAsia" w:ascii="Times New Roman" w:hAnsi="Times New Roman" w:cs="Times New Roman" w:eastAsiaTheme="minorEastAsia"/>
                <w:spacing w:val="2"/>
                <w:szCs w:val="21"/>
                <w:vertAlign w:val="superscript"/>
                <w:lang w:val="en-US" w:eastAsia="zh-CN"/>
              </w:rPr>
              <w:t>3</w:t>
            </w:r>
            <w:r>
              <w:rPr>
                <w:rFonts w:hint="eastAsia" w:ascii="Times New Roman" w:hAnsi="Times New Roman" w:cs="Times New Roman" w:eastAsiaTheme="minorEastAsia"/>
                <w:spacing w:val="2"/>
                <w:szCs w:val="21"/>
                <w:lang w:val="en-US" w:eastAsia="zh-CN"/>
              </w:rPr>
              <w:t>/h的主要排放口，有机废气排放口安装NMHC在线监测设施(FID检测器)，自动监控数据保存一年以上；3、安装DCS系统、仪器仪表等装置，连续测量并记录治理设施控制指标温度、压力(压差)、时间和频率值。再生式活性炭连续自动测量并记录温度、再生时间和更换周期；更换式活性炭记录温度、更换周期及更换量；数据保存一年以上。</w:t>
            </w:r>
          </w:p>
        </w:tc>
      </w:tr>
      <w:tr w14:paraId="47270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vMerge w:val="restart"/>
            <w:tcBorders>
              <w:tl2br w:val="nil"/>
              <w:tr2bl w:val="nil"/>
            </w:tcBorders>
            <w:vAlign w:val="center"/>
          </w:tcPr>
          <w:p w14:paraId="6678B350">
            <w:pPr>
              <w:widowControl/>
              <w:spacing w:before="2"/>
              <w:ind w:right="36"/>
              <w:jc w:val="center"/>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环境</w:t>
            </w:r>
          </w:p>
          <w:p w14:paraId="653D7071">
            <w:pPr>
              <w:widowControl/>
              <w:spacing w:before="2"/>
              <w:ind w:right="36"/>
              <w:jc w:val="center"/>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管理</w:t>
            </w:r>
          </w:p>
          <w:p w14:paraId="75AF710F">
            <w:pPr>
              <w:widowControl/>
              <w:spacing w:before="2"/>
              <w:ind w:right="36"/>
              <w:jc w:val="center"/>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水平</w:t>
            </w:r>
          </w:p>
        </w:tc>
        <w:tc>
          <w:tcPr>
            <w:tcW w:w="7333" w:type="dxa"/>
            <w:tcBorders>
              <w:tl2br w:val="nil"/>
              <w:tr2bl w:val="nil"/>
            </w:tcBorders>
            <w:vAlign w:val="center"/>
          </w:tcPr>
          <w:p w14:paraId="56795F83">
            <w:pPr>
              <w:widowControl/>
              <w:numPr>
                <w:ilvl w:val="0"/>
                <w:numId w:val="0"/>
              </w:numPr>
              <w:spacing w:before="2"/>
              <w:ind w:right="36" w:rightChars="0"/>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环保档案齐全</w:t>
            </w:r>
            <w:r>
              <w:rPr>
                <w:rFonts w:hint="eastAsia" w:cs="Times New Roman" w:eastAsiaTheme="minorEastAsia"/>
                <w:spacing w:val="2"/>
                <w:szCs w:val="21"/>
                <w:lang w:val="en-US" w:eastAsia="zh-CN"/>
              </w:rPr>
              <w:t>：</w:t>
            </w:r>
            <w:r>
              <w:rPr>
                <w:rFonts w:hint="eastAsia" w:ascii="Times New Roman" w:hAnsi="Times New Roman" w:cs="Times New Roman" w:eastAsiaTheme="minorEastAsia"/>
                <w:spacing w:val="2"/>
                <w:szCs w:val="21"/>
                <w:lang w:val="en-US" w:eastAsia="zh-CN"/>
              </w:rPr>
              <w:t>1、环评批复文件</w:t>
            </w:r>
            <w:r>
              <w:rPr>
                <w:rFonts w:hint="eastAsia" w:cs="Times New Roman" w:eastAsiaTheme="minorEastAsia"/>
                <w:spacing w:val="2"/>
                <w:szCs w:val="21"/>
                <w:lang w:val="en-US" w:eastAsia="zh-CN"/>
              </w:rPr>
              <w:t>；</w:t>
            </w:r>
            <w:r>
              <w:rPr>
                <w:rFonts w:hint="eastAsia" w:ascii="Times New Roman" w:hAnsi="Times New Roman" w:cs="Times New Roman" w:eastAsiaTheme="minorEastAsia"/>
                <w:spacing w:val="2"/>
                <w:szCs w:val="21"/>
                <w:lang w:val="en-US" w:eastAsia="zh-CN"/>
              </w:rPr>
              <w:t>2、排污许可证及季度、年度执行报告</w:t>
            </w:r>
            <w:r>
              <w:rPr>
                <w:rFonts w:hint="eastAsia" w:cs="Times New Roman" w:eastAsiaTheme="minorEastAsia"/>
                <w:spacing w:val="2"/>
                <w:szCs w:val="21"/>
                <w:lang w:val="en-US" w:eastAsia="zh-CN"/>
              </w:rPr>
              <w:t>：</w:t>
            </w:r>
            <w:r>
              <w:rPr>
                <w:rFonts w:hint="eastAsia" w:ascii="Times New Roman" w:hAnsi="Times New Roman" w:cs="Times New Roman" w:eastAsiaTheme="minorEastAsia"/>
                <w:spacing w:val="2"/>
                <w:szCs w:val="21"/>
                <w:lang w:val="en-US" w:eastAsia="zh-CN"/>
              </w:rPr>
              <w:t>3、竣工验收文件</w:t>
            </w:r>
            <w:r>
              <w:rPr>
                <w:rFonts w:hint="eastAsia" w:cs="Times New Roman" w:eastAsiaTheme="minorEastAsia"/>
                <w:spacing w:val="2"/>
                <w:szCs w:val="21"/>
                <w:lang w:val="en-US" w:eastAsia="zh-CN"/>
              </w:rPr>
              <w:t>；</w:t>
            </w:r>
            <w:r>
              <w:rPr>
                <w:rFonts w:hint="eastAsia" w:ascii="Times New Roman" w:hAnsi="Times New Roman" w:cs="Times New Roman" w:eastAsiaTheme="minorEastAsia"/>
                <w:spacing w:val="2"/>
                <w:szCs w:val="21"/>
                <w:lang w:val="en-US" w:eastAsia="zh-CN"/>
              </w:rPr>
              <w:t>4、废气治理设施运行管理规程；5、一年内废气监测报告</w:t>
            </w:r>
          </w:p>
        </w:tc>
        <w:tc>
          <w:tcPr>
            <w:tcW w:w="5977" w:type="dxa"/>
            <w:vMerge w:val="restart"/>
            <w:tcBorders>
              <w:tl2br w:val="nil"/>
              <w:tr2bl w:val="nil"/>
            </w:tcBorders>
            <w:vAlign w:val="center"/>
          </w:tcPr>
          <w:p w14:paraId="32415C6B">
            <w:pPr>
              <w:widowControl/>
              <w:spacing w:before="2"/>
              <w:ind w:right="36"/>
              <w:rPr>
                <w:rFonts w:hint="eastAsia" w:eastAsiaTheme="minorEastAsia"/>
                <w:spacing w:val="2"/>
                <w:szCs w:val="21"/>
                <w:lang w:val="en-US" w:eastAsia="zh-CN"/>
              </w:rPr>
            </w:pPr>
            <w:r>
              <w:rPr>
                <w:rFonts w:hint="eastAsia" w:ascii="Times New Roman" w:hAnsi="Times New Roman" w:eastAsia="宋体" w:cs="Times New Roman"/>
                <w:b w:val="0"/>
                <w:bCs w:val="0"/>
                <w:color w:val="auto"/>
                <w:spacing w:val="2"/>
                <w:kern w:val="2"/>
                <w:sz w:val="21"/>
                <w:szCs w:val="21"/>
                <w:vertAlign w:val="baseline"/>
                <w:lang w:val="en-US" w:eastAsia="zh-CN" w:bidi="ar-SA"/>
              </w:rPr>
              <w:t>本项目将按要求办理上述环保手续并保存要求的齐全档案，几乎可以按照这些要求。</w:t>
            </w:r>
          </w:p>
        </w:tc>
      </w:tr>
      <w:tr w14:paraId="499A46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vMerge w:val="continue"/>
            <w:tcBorders>
              <w:tl2br w:val="nil"/>
              <w:tr2bl w:val="nil"/>
            </w:tcBorders>
            <w:vAlign w:val="center"/>
          </w:tcPr>
          <w:p w14:paraId="08B5EB20">
            <w:pPr>
              <w:widowControl/>
              <w:spacing w:before="2"/>
              <w:ind w:right="36"/>
              <w:rPr>
                <w:rFonts w:hint="eastAsia" w:ascii="Times New Roman" w:hAnsi="Times New Roman" w:cs="Times New Roman" w:eastAsiaTheme="minorEastAsia"/>
                <w:spacing w:val="2"/>
                <w:szCs w:val="21"/>
                <w:lang w:val="en-US" w:eastAsia="zh-CN"/>
              </w:rPr>
            </w:pPr>
          </w:p>
        </w:tc>
        <w:tc>
          <w:tcPr>
            <w:tcW w:w="7333" w:type="dxa"/>
            <w:tcBorders>
              <w:tl2br w:val="nil"/>
              <w:tr2bl w:val="nil"/>
            </w:tcBorders>
            <w:vAlign w:val="center"/>
          </w:tcPr>
          <w:p w14:paraId="6B49733F">
            <w:pPr>
              <w:widowControl/>
              <w:numPr>
                <w:ilvl w:val="0"/>
                <w:numId w:val="0"/>
              </w:numPr>
              <w:spacing w:before="2"/>
              <w:ind w:right="36" w:rightChars="0"/>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台账记录：1、生产设施运行管理信息(生产时间、运行负荷、产品产量等，必须具备近一年及以上所用涂料的密度、扣水后VOCs含量、含水率(水性涂料)等信息的检测报告)；2、废气污染治理设施运行管理信息(燃烧室温度、冷凝温度、过滤材料更换频次、吸附剂更换频次、催化剂更换频次)；3、监测记录信息(主要污染排放口废气排放记录(手工监测或在线监测)等):4、主要原辅材料消耗记录</w:t>
            </w:r>
            <w:r>
              <w:rPr>
                <w:rFonts w:hint="eastAsia" w:cs="Times New Roman" w:eastAsiaTheme="minorEastAsia"/>
                <w:spacing w:val="2"/>
                <w:szCs w:val="21"/>
                <w:lang w:val="en-US" w:eastAsia="zh-CN"/>
              </w:rPr>
              <w:t>：</w:t>
            </w:r>
            <w:r>
              <w:rPr>
                <w:rFonts w:hint="eastAsia" w:ascii="Times New Roman" w:hAnsi="Times New Roman" w:cs="Times New Roman" w:eastAsiaTheme="minorEastAsia"/>
                <w:spacing w:val="2"/>
                <w:szCs w:val="21"/>
                <w:lang w:val="en-US" w:eastAsia="zh-CN"/>
              </w:rPr>
              <w:t>5、燃料(天然气)消耗记录</w:t>
            </w:r>
          </w:p>
        </w:tc>
        <w:tc>
          <w:tcPr>
            <w:tcW w:w="5977" w:type="dxa"/>
            <w:vMerge w:val="continue"/>
            <w:tcBorders>
              <w:tl2br w:val="nil"/>
              <w:tr2bl w:val="nil"/>
            </w:tcBorders>
            <w:vAlign w:val="center"/>
          </w:tcPr>
          <w:p w14:paraId="7AEF306D">
            <w:pPr>
              <w:widowControl/>
              <w:spacing w:before="2"/>
              <w:ind w:right="36"/>
              <w:rPr>
                <w:rFonts w:hint="eastAsia" w:eastAsiaTheme="minorEastAsia"/>
                <w:spacing w:val="2"/>
                <w:szCs w:val="21"/>
                <w:lang w:val="en-US" w:eastAsia="zh-CN"/>
              </w:rPr>
            </w:pPr>
          </w:p>
        </w:tc>
      </w:tr>
      <w:tr w14:paraId="432E0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1308" w:type="dxa"/>
            <w:vMerge w:val="continue"/>
            <w:tcBorders>
              <w:tl2br w:val="nil"/>
              <w:tr2bl w:val="nil"/>
            </w:tcBorders>
            <w:vAlign w:val="center"/>
          </w:tcPr>
          <w:p w14:paraId="14BEF6BD">
            <w:pPr>
              <w:widowControl/>
              <w:spacing w:before="2"/>
              <w:ind w:right="36"/>
              <w:rPr>
                <w:rFonts w:hint="eastAsia" w:ascii="Times New Roman" w:hAnsi="Times New Roman" w:cs="Times New Roman" w:eastAsiaTheme="minorEastAsia"/>
                <w:spacing w:val="2"/>
                <w:szCs w:val="21"/>
                <w:lang w:val="en-US" w:eastAsia="zh-CN"/>
              </w:rPr>
            </w:pPr>
          </w:p>
        </w:tc>
        <w:tc>
          <w:tcPr>
            <w:tcW w:w="7333" w:type="dxa"/>
            <w:tcBorders>
              <w:tl2br w:val="nil"/>
              <w:tr2bl w:val="nil"/>
            </w:tcBorders>
            <w:vAlign w:val="center"/>
          </w:tcPr>
          <w:p w14:paraId="01126E4D">
            <w:pPr>
              <w:widowControl/>
              <w:numPr>
                <w:ilvl w:val="0"/>
                <w:numId w:val="0"/>
              </w:numPr>
              <w:spacing w:before="2"/>
              <w:ind w:right="36" w:rightChars="0"/>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人员配置：设置环保部门，配备专职环保人员，并具备相应的环境管理能力</w:t>
            </w:r>
          </w:p>
        </w:tc>
        <w:tc>
          <w:tcPr>
            <w:tcW w:w="5977" w:type="dxa"/>
            <w:vMerge w:val="continue"/>
            <w:tcBorders>
              <w:tl2br w:val="nil"/>
              <w:tr2bl w:val="nil"/>
            </w:tcBorders>
            <w:vAlign w:val="center"/>
          </w:tcPr>
          <w:p w14:paraId="081F118A">
            <w:pPr>
              <w:widowControl/>
              <w:spacing w:before="2"/>
              <w:ind w:right="36"/>
              <w:rPr>
                <w:rFonts w:hint="eastAsia" w:eastAsiaTheme="minorEastAsia"/>
                <w:spacing w:val="2"/>
                <w:szCs w:val="21"/>
                <w:lang w:val="en-US" w:eastAsia="zh-CN"/>
              </w:rPr>
            </w:pPr>
          </w:p>
        </w:tc>
      </w:tr>
      <w:tr w14:paraId="5C6C6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tcBorders>
              <w:tl2br w:val="nil"/>
              <w:tr2bl w:val="nil"/>
            </w:tcBorders>
            <w:vAlign w:val="center"/>
          </w:tcPr>
          <w:p w14:paraId="710BB582">
            <w:pPr>
              <w:widowControl/>
              <w:spacing w:before="2"/>
              <w:ind w:right="36"/>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运输方式</w:t>
            </w:r>
          </w:p>
        </w:tc>
        <w:tc>
          <w:tcPr>
            <w:tcW w:w="7333" w:type="dxa"/>
            <w:tcBorders>
              <w:tl2br w:val="nil"/>
              <w:tr2bl w:val="nil"/>
            </w:tcBorders>
            <w:vAlign w:val="center"/>
          </w:tcPr>
          <w:p w14:paraId="18CC834F">
            <w:pPr>
              <w:widowControl/>
              <w:numPr>
                <w:ilvl w:val="0"/>
                <w:numId w:val="0"/>
              </w:numPr>
              <w:spacing w:before="2"/>
              <w:ind w:right="36" w:rightChars="0"/>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1、物料公路运输全部使用达到国五及以上排放标</w:t>
            </w:r>
            <w:r>
              <w:rPr>
                <w:rFonts w:hint="eastAsia" w:cs="Times New Roman" w:eastAsiaTheme="minorEastAsia"/>
                <w:spacing w:val="2"/>
                <w:szCs w:val="21"/>
                <w:lang w:val="en-US" w:eastAsia="zh-CN"/>
              </w:rPr>
              <w:t>准的</w:t>
            </w:r>
            <w:r>
              <w:rPr>
                <w:rFonts w:hint="eastAsia" w:ascii="Times New Roman" w:hAnsi="Times New Roman" w:cs="Times New Roman" w:eastAsiaTheme="minorEastAsia"/>
                <w:spacing w:val="2"/>
                <w:szCs w:val="21"/>
                <w:lang w:val="en-US" w:eastAsia="zh-CN"/>
              </w:rPr>
              <w:t>重型载货车辆（含燃气）或新能源车辆；2、厂内运输车辆全部达到国五及以上排放标准(含燃气)或使用新能源车辆；3、厂内非道路移动机械全部达到国三及以上排放标准或使用新能源机械。</w:t>
            </w:r>
          </w:p>
        </w:tc>
        <w:tc>
          <w:tcPr>
            <w:tcW w:w="5977" w:type="dxa"/>
            <w:tcBorders>
              <w:tl2br w:val="nil"/>
              <w:tr2bl w:val="nil"/>
            </w:tcBorders>
            <w:shd w:val="clear" w:color="auto" w:fill="auto"/>
            <w:vAlign w:val="center"/>
          </w:tcPr>
          <w:p w14:paraId="4E5DA27D">
            <w:pPr>
              <w:widowControl/>
              <w:spacing w:before="2"/>
              <w:ind w:right="36" w:rightChars="0"/>
              <w:rPr>
                <w:rFonts w:hint="eastAsia" w:ascii="Times New Roman" w:hAnsi="Times New Roman" w:cs="Times New Roman" w:eastAsiaTheme="minorEastAsia"/>
                <w:spacing w:val="2"/>
                <w:kern w:val="2"/>
                <w:sz w:val="21"/>
                <w:szCs w:val="21"/>
                <w:lang w:val="en-US" w:eastAsia="zh-CN" w:bidi="ar-SA"/>
              </w:rPr>
            </w:pPr>
            <w:r>
              <w:rPr>
                <w:rFonts w:hint="eastAsia" w:eastAsiaTheme="minorEastAsia"/>
                <w:spacing w:val="2"/>
                <w:szCs w:val="21"/>
              </w:rPr>
              <w:t>本次环评要求建设单位在实际建设时，严格按照A级车辆规定执行</w:t>
            </w:r>
          </w:p>
        </w:tc>
      </w:tr>
      <w:tr w14:paraId="53C16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308" w:type="dxa"/>
            <w:tcBorders>
              <w:tl2br w:val="nil"/>
              <w:tr2bl w:val="nil"/>
            </w:tcBorders>
            <w:vAlign w:val="center"/>
          </w:tcPr>
          <w:p w14:paraId="36D9CE50">
            <w:pPr>
              <w:widowControl/>
              <w:spacing w:before="2"/>
              <w:ind w:right="36"/>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运输监管</w:t>
            </w:r>
          </w:p>
        </w:tc>
        <w:tc>
          <w:tcPr>
            <w:tcW w:w="7333" w:type="dxa"/>
            <w:tcBorders>
              <w:tl2br w:val="nil"/>
              <w:tr2bl w:val="nil"/>
            </w:tcBorders>
            <w:vAlign w:val="center"/>
          </w:tcPr>
          <w:p w14:paraId="2F856B94">
            <w:pPr>
              <w:widowControl/>
              <w:numPr>
                <w:ilvl w:val="0"/>
                <w:numId w:val="0"/>
              </w:numPr>
              <w:spacing w:before="2"/>
              <w:ind w:right="36" w:rightChars="0"/>
              <w:rPr>
                <w:rFonts w:hint="eastAsia" w:ascii="Times New Roman" w:hAnsi="Times New Roman" w:cs="Times New Roman" w:eastAsiaTheme="minorEastAsia"/>
                <w:spacing w:val="2"/>
                <w:szCs w:val="21"/>
                <w:lang w:val="en-US" w:eastAsia="zh-CN"/>
              </w:rPr>
            </w:pPr>
            <w:r>
              <w:rPr>
                <w:rFonts w:hint="eastAsia" w:ascii="Times New Roman" w:hAnsi="Times New Roman" w:cs="Times New Roman" w:eastAsiaTheme="minorEastAsia"/>
                <w:spacing w:val="2"/>
                <w:szCs w:val="21"/>
                <w:lang w:val="en-US" w:eastAsia="zh-CN"/>
              </w:rPr>
              <w:t>参照《重污染天气重点行业移动源应急管理技术指南》建立门禁系统和电子台账</w:t>
            </w:r>
          </w:p>
        </w:tc>
        <w:tc>
          <w:tcPr>
            <w:tcW w:w="5977" w:type="dxa"/>
            <w:tcBorders>
              <w:tl2br w:val="nil"/>
              <w:tr2bl w:val="nil"/>
            </w:tcBorders>
            <w:shd w:val="clear" w:color="auto" w:fill="auto"/>
            <w:vAlign w:val="center"/>
          </w:tcPr>
          <w:p w14:paraId="064F43E1">
            <w:pPr>
              <w:widowControl/>
              <w:spacing w:before="2"/>
              <w:ind w:right="36" w:rightChars="0"/>
              <w:jc w:val="center"/>
              <w:rPr>
                <w:rFonts w:hint="eastAsia" w:ascii="Times New Roman" w:hAnsi="Times New Roman" w:cs="Times New Roman" w:eastAsiaTheme="minorEastAsia"/>
                <w:spacing w:val="2"/>
                <w:kern w:val="2"/>
                <w:sz w:val="21"/>
                <w:szCs w:val="21"/>
                <w:lang w:val="en-US" w:eastAsia="zh-CN" w:bidi="ar-SA"/>
              </w:rPr>
            </w:pPr>
            <w:r>
              <w:rPr>
                <w:rFonts w:eastAsiaTheme="minorEastAsia"/>
                <w:spacing w:val="2"/>
                <w:szCs w:val="21"/>
              </w:rPr>
              <w:t>参照《重污染天气重点行业移动源应急管理技术指南》建立门禁系统和电子台账</w:t>
            </w:r>
          </w:p>
        </w:tc>
      </w:tr>
    </w:tbl>
    <w:p w14:paraId="7936BD38">
      <w:pPr>
        <w:rPr>
          <w:b/>
          <w:bCs/>
          <w:lang w:val="zh-CN"/>
        </w:rPr>
        <w:sectPr>
          <w:pgSz w:w="16838" w:h="11906" w:orient="landscape"/>
          <w:pgMar w:top="1800" w:right="1440" w:bottom="1800" w:left="1440" w:header="851" w:footer="992" w:gutter="0"/>
          <w:cols w:space="425" w:num="1"/>
          <w:docGrid w:type="lines" w:linePitch="312" w:charSpace="0"/>
        </w:sectPr>
      </w:pPr>
    </w:p>
    <w:p w14:paraId="7DC42403">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hint="eastAsia" w:ascii="Times New Roman" w:hAnsi="Times New Roman" w:cs="Times New Roman" w:eastAsiaTheme="minorEastAsia"/>
          <w:b/>
          <w:bCs/>
          <w:snapToGrid w:val="0"/>
          <w:sz w:val="30"/>
          <w:szCs w:val="30"/>
          <w:lang w:val="en-US" w:eastAsia="zh-CN"/>
        </w:rPr>
      </w:pPr>
      <w:bookmarkStart w:id="21" w:name="_Toc14236"/>
      <w:bookmarkStart w:id="22" w:name="_Hlk54167917"/>
      <w:bookmarkStart w:id="23" w:name="_Toc19301"/>
      <w:r>
        <w:rPr>
          <w:rFonts w:hint="eastAsia" w:ascii="Times New Roman" w:hAnsi="Times New Roman" w:cs="Times New Roman" w:eastAsiaTheme="minorEastAsia"/>
          <w:b/>
          <w:bCs/>
          <w:snapToGrid w:val="0"/>
          <w:sz w:val="30"/>
          <w:szCs w:val="30"/>
          <w:lang w:val="en-US" w:eastAsia="zh-CN"/>
        </w:rPr>
        <w:t>五、</w:t>
      </w:r>
      <w:r>
        <w:rPr>
          <w:rFonts w:ascii="Times New Roman" w:hAnsi="Times New Roman" w:cs="Times New Roman" w:eastAsiaTheme="minorEastAsia"/>
          <w:b/>
          <w:bCs/>
          <w:snapToGrid w:val="0"/>
          <w:sz w:val="30"/>
          <w:szCs w:val="30"/>
        </w:rPr>
        <w:t>环境保护措施监督检查清单</w:t>
      </w:r>
      <w:bookmarkEnd w:id="21"/>
      <w:bookmarkEnd w:id="22"/>
      <w:bookmarkEnd w:id="23"/>
    </w:p>
    <w:tbl>
      <w:tblPr>
        <w:tblStyle w:val="20"/>
        <w:tblW w:w="560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1699"/>
        <w:gridCol w:w="1350"/>
        <w:gridCol w:w="2213"/>
        <w:gridCol w:w="2956"/>
      </w:tblGrid>
      <w:tr w14:paraId="3C880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tcPr>
          <w:p w14:paraId="68DCA6A5">
            <w:pPr>
              <w:keepNext w:val="0"/>
              <w:keepLines w:val="0"/>
              <w:pageBreakBefore w:val="0"/>
              <w:widowControl w:val="0"/>
              <w:kinsoku/>
              <w:wordWrap w:val="0"/>
              <w:overflowPunct/>
              <w:topLinePunct/>
              <w:autoSpaceDE/>
              <w:autoSpaceDN/>
              <w:bidi w:val="0"/>
              <w:adjustRightInd w:val="0"/>
              <w:snapToGrid w:val="0"/>
              <w:ind w:firstLine="632" w:firstLineChars="30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内容</w:t>
            </w:r>
          </w:p>
          <w:p w14:paraId="09971C49">
            <w:pPr>
              <w:keepNext w:val="0"/>
              <w:keepLines w:val="0"/>
              <w:pageBreakBefore w:val="0"/>
              <w:widowControl w:val="0"/>
              <w:kinsoku/>
              <w:wordWrap w:val="0"/>
              <w:overflowPunct/>
              <w:topLinePunct/>
              <w:autoSpaceDE/>
              <w:autoSpaceDN/>
              <w:bidi w:val="0"/>
              <w:adjustRightInd w:val="0"/>
              <w:snapToGrid w:val="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要素</w:t>
            </w:r>
          </w:p>
        </w:tc>
        <w:tc>
          <w:tcPr>
            <w:tcW w:w="888" w:type="pct"/>
            <w:tcBorders>
              <w:tl2br w:val="nil"/>
              <w:tr2bl w:val="nil"/>
            </w:tcBorders>
            <w:shd w:val="clear" w:color="auto" w:fill="auto"/>
            <w:vAlign w:val="center"/>
          </w:tcPr>
          <w:p w14:paraId="19595447">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排放口（编号、</w:t>
            </w:r>
          </w:p>
          <w:p w14:paraId="3D8EFB94">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名称）/污染源</w:t>
            </w:r>
          </w:p>
        </w:tc>
        <w:tc>
          <w:tcPr>
            <w:tcW w:w="706" w:type="pct"/>
            <w:tcBorders>
              <w:tl2br w:val="nil"/>
              <w:tr2bl w:val="nil"/>
            </w:tcBorders>
            <w:shd w:val="clear" w:color="auto" w:fill="auto"/>
            <w:vAlign w:val="center"/>
          </w:tcPr>
          <w:p w14:paraId="7A8FABE5">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污染物项目</w:t>
            </w:r>
          </w:p>
        </w:tc>
        <w:tc>
          <w:tcPr>
            <w:tcW w:w="1157" w:type="pct"/>
            <w:tcBorders>
              <w:tl2br w:val="nil"/>
              <w:tr2bl w:val="nil"/>
            </w:tcBorders>
            <w:shd w:val="clear" w:color="auto" w:fill="auto"/>
            <w:vAlign w:val="center"/>
          </w:tcPr>
          <w:p w14:paraId="7873F5CD">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环境保护措施</w:t>
            </w:r>
          </w:p>
        </w:tc>
        <w:tc>
          <w:tcPr>
            <w:tcW w:w="1545" w:type="pct"/>
            <w:tcBorders>
              <w:tl2br w:val="nil"/>
              <w:tr2bl w:val="nil"/>
            </w:tcBorders>
            <w:shd w:val="clear" w:color="auto" w:fill="auto"/>
            <w:vAlign w:val="center"/>
          </w:tcPr>
          <w:p w14:paraId="12BA8B9E">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执行标准</w:t>
            </w:r>
          </w:p>
        </w:tc>
      </w:tr>
      <w:tr w14:paraId="72A1A9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01" w:type="pct"/>
            <w:vMerge w:val="restart"/>
            <w:tcBorders>
              <w:tl2br w:val="nil"/>
              <w:tr2bl w:val="nil"/>
            </w:tcBorders>
            <w:shd w:val="clear" w:color="auto" w:fill="auto"/>
            <w:vAlign w:val="center"/>
          </w:tcPr>
          <w:p w14:paraId="4EB4FE3D">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大气环境</w:t>
            </w:r>
          </w:p>
        </w:tc>
        <w:tc>
          <w:tcPr>
            <w:tcW w:w="888" w:type="pct"/>
            <w:tcBorders>
              <w:tl2br w:val="nil"/>
              <w:tr2bl w:val="nil"/>
            </w:tcBorders>
            <w:shd w:val="clear" w:color="auto" w:fill="auto"/>
            <w:vAlign w:val="center"/>
          </w:tcPr>
          <w:p w14:paraId="254DEF81">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706" w:type="pct"/>
            <w:tcBorders>
              <w:tl2br w:val="nil"/>
              <w:tr2bl w:val="nil"/>
            </w:tcBorders>
            <w:shd w:val="clear" w:color="auto" w:fill="auto"/>
            <w:vAlign w:val="center"/>
          </w:tcPr>
          <w:p w14:paraId="384FE3FD">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颗粒物</w:t>
            </w:r>
          </w:p>
        </w:tc>
        <w:tc>
          <w:tcPr>
            <w:tcW w:w="1157" w:type="pct"/>
            <w:tcBorders>
              <w:tl2br w:val="nil"/>
              <w:tr2bl w:val="nil"/>
            </w:tcBorders>
            <w:shd w:val="clear" w:color="auto" w:fill="auto"/>
            <w:vAlign w:val="center"/>
          </w:tcPr>
          <w:p w14:paraId="2BAD0FBE">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kern w:val="0"/>
                <w:sz w:val="21"/>
                <w:szCs w:val="21"/>
                <w:highlight w:val="none"/>
                <w:lang w:val="en-US" w:eastAsia="zh-CN"/>
              </w:rPr>
              <w:t>集气罩、旋风分离器+滤筒除尘装置</w:t>
            </w:r>
          </w:p>
        </w:tc>
        <w:tc>
          <w:tcPr>
            <w:tcW w:w="1545" w:type="pct"/>
            <w:tcBorders>
              <w:tl2br w:val="nil"/>
              <w:tr2bl w:val="nil"/>
            </w:tcBorders>
            <w:shd w:val="clear" w:color="auto" w:fill="auto"/>
            <w:vAlign w:val="center"/>
          </w:tcPr>
          <w:p w14:paraId="3A3AD0B6">
            <w:pPr>
              <w:keepNext w:val="0"/>
              <w:keepLines w:val="0"/>
              <w:pageBreakBefore w:val="0"/>
              <w:widowControl w:val="0"/>
              <w:kinsoku/>
              <w:wordWrap w:val="0"/>
              <w:overflowPunct/>
              <w:topLinePunct/>
              <w:autoSpaceDE/>
              <w:autoSpaceDN/>
              <w:bidi w:val="0"/>
              <w:spacing w:line="320" w:lineRule="exact"/>
              <w:jc w:val="both"/>
              <w:textAlignment w:val="auto"/>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《涂料、油墨及胶粘剂工业大气污染物排放标准》（GB37824-2019）</w:t>
            </w:r>
          </w:p>
        </w:tc>
      </w:tr>
      <w:tr w14:paraId="554F3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701" w:type="pct"/>
            <w:vMerge w:val="continue"/>
            <w:tcBorders>
              <w:tl2br w:val="nil"/>
              <w:tr2bl w:val="nil"/>
            </w:tcBorders>
            <w:shd w:val="clear" w:color="auto" w:fill="auto"/>
            <w:vAlign w:val="center"/>
          </w:tcPr>
          <w:p w14:paraId="472EF68A">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bidi="ar"/>
              </w:rPr>
            </w:pPr>
          </w:p>
        </w:tc>
        <w:tc>
          <w:tcPr>
            <w:tcW w:w="888" w:type="pct"/>
            <w:tcBorders>
              <w:tl2br w:val="nil"/>
              <w:tr2bl w:val="nil"/>
            </w:tcBorders>
            <w:shd w:val="clear" w:color="auto" w:fill="auto"/>
            <w:vAlign w:val="center"/>
          </w:tcPr>
          <w:p w14:paraId="2DD3E3AD">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2</w:t>
            </w:r>
          </w:p>
        </w:tc>
        <w:tc>
          <w:tcPr>
            <w:tcW w:w="706" w:type="pct"/>
            <w:tcBorders>
              <w:tl2br w:val="nil"/>
              <w:tr2bl w:val="nil"/>
            </w:tcBorders>
            <w:shd w:val="clear" w:color="auto" w:fill="auto"/>
            <w:vAlign w:val="center"/>
          </w:tcPr>
          <w:p w14:paraId="53FC3166">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zh-CN" w:eastAsia="zh-CN"/>
              </w:rPr>
            </w:pPr>
            <w:r>
              <w:rPr>
                <w:rFonts w:hint="eastAsia" w:ascii="Times New Roman" w:hAnsi="Times New Roman" w:cs="Times New Roman"/>
                <w:color w:val="auto"/>
                <w:sz w:val="21"/>
                <w:szCs w:val="21"/>
                <w:lang w:val="en-US" w:eastAsia="zh-CN"/>
              </w:rPr>
              <w:t>非甲烷总烃</w:t>
            </w:r>
          </w:p>
        </w:tc>
        <w:tc>
          <w:tcPr>
            <w:tcW w:w="1157" w:type="pct"/>
            <w:tcBorders>
              <w:tl2br w:val="nil"/>
              <w:tr2bl w:val="nil"/>
            </w:tcBorders>
            <w:shd w:val="clear" w:color="auto" w:fill="auto"/>
            <w:vAlign w:val="center"/>
          </w:tcPr>
          <w:p w14:paraId="6C63471E">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集气罩+二级活性炭吸附装置</w:t>
            </w:r>
          </w:p>
        </w:tc>
        <w:tc>
          <w:tcPr>
            <w:tcW w:w="1545" w:type="pct"/>
            <w:tcBorders>
              <w:tl2br w:val="nil"/>
              <w:tr2bl w:val="nil"/>
            </w:tcBorders>
            <w:shd w:val="clear" w:color="auto" w:fill="auto"/>
            <w:vAlign w:val="center"/>
          </w:tcPr>
          <w:p w14:paraId="2D423095">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《重污染天气重点行业应急减排措施制定技术指南》（环办大气函〔2020〕340号）</w:t>
            </w:r>
            <w:r>
              <w:rPr>
                <w:rFonts w:hint="eastAsia" w:ascii="Times New Roman" w:hAnsi="Times New Roman" w:eastAsia="宋体" w:cs="Times New Roman"/>
                <w:color w:val="auto"/>
                <w:kern w:val="2"/>
                <w:sz w:val="21"/>
                <w:szCs w:val="21"/>
                <w:highlight w:val="none"/>
                <w:lang w:val="en-US" w:eastAsia="zh-CN" w:bidi="ar-SA"/>
              </w:rPr>
              <w:t>及《涂料、油墨及胶粘剂工业大气污染物排放标准》</w:t>
            </w:r>
            <w:r>
              <w:rPr>
                <w:rFonts w:hint="default" w:ascii="Times New Roman" w:hAnsi="Times New Roman" w:eastAsia="宋体" w:cs="Times New Roman"/>
                <w:color w:val="auto"/>
                <w:kern w:val="2"/>
                <w:sz w:val="21"/>
                <w:szCs w:val="21"/>
                <w:highlight w:val="none"/>
                <w:lang w:val="en-US" w:eastAsia="zh-CN" w:bidi="ar-SA"/>
              </w:rPr>
              <w:t>（GB</w:t>
            </w:r>
            <w:r>
              <w:rPr>
                <w:rFonts w:hint="eastAsia" w:ascii="Times New Roman" w:hAnsi="Times New Roman" w:eastAsia="宋体" w:cs="Times New Roman"/>
                <w:color w:val="auto"/>
                <w:kern w:val="2"/>
                <w:sz w:val="21"/>
                <w:szCs w:val="21"/>
                <w:highlight w:val="none"/>
                <w:lang w:val="en-US" w:eastAsia="zh-CN" w:bidi="ar-SA"/>
              </w:rPr>
              <w:t>37824-2019</w:t>
            </w:r>
            <w:r>
              <w:rPr>
                <w:rFonts w:hint="default" w:ascii="Times New Roman" w:hAnsi="Times New Roman" w:eastAsia="宋体" w:cs="Times New Roman"/>
                <w:color w:val="auto"/>
                <w:kern w:val="2"/>
                <w:sz w:val="21"/>
                <w:szCs w:val="21"/>
                <w:highlight w:val="none"/>
                <w:lang w:val="en-US" w:eastAsia="zh-CN" w:bidi="ar-SA"/>
              </w:rPr>
              <w:t>）表2</w:t>
            </w:r>
          </w:p>
        </w:tc>
      </w:tr>
      <w:tr w14:paraId="79AB2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vMerge w:val="continue"/>
            <w:tcBorders>
              <w:tl2br w:val="nil"/>
              <w:tr2bl w:val="nil"/>
            </w:tcBorders>
            <w:shd w:val="clear" w:color="auto" w:fill="auto"/>
            <w:vAlign w:val="center"/>
          </w:tcPr>
          <w:p w14:paraId="262A7B7E">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bidi="ar"/>
              </w:rPr>
            </w:pPr>
          </w:p>
        </w:tc>
        <w:tc>
          <w:tcPr>
            <w:tcW w:w="888" w:type="pct"/>
            <w:vMerge w:val="restart"/>
            <w:tcBorders>
              <w:tl2br w:val="nil"/>
              <w:tr2bl w:val="nil"/>
            </w:tcBorders>
            <w:shd w:val="clear" w:color="auto" w:fill="auto"/>
            <w:vAlign w:val="center"/>
          </w:tcPr>
          <w:p w14:paraId="0D08B24B">
            <w:pPr>
              <w:keepNext w:val="0"/>
              <w:keepLines w:val="0"/>
              <w:pageBreakBefore w:val="0"/>
              <w:widowControl w:val="0"/>
              <w:kinsoku/>
              <w:wordWrap w:val="0"/>
              <w:overflowPunct/>
              <w:topLinePunct/>
              <w:autoSpaceDE/>
              <w:autoSpaceDN/>
              <w:bidi w:val="0"/>
              <w:adjustRightInd w:val="0"/>
              <w:snapToGrid w:val="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w:t>
            </w:r>
            <w:r>
              <w:rPr>
                <w:rFonts w:hint="eastAsia" w:ascii="Times New Roman" w:hAnsi="Times New Roman" w:eastAsia="宋体" w:cs="Times New Roman"/>
                <w:color w:val="auto"/>
                <w:sz w:val="21"/>
                <w:szCs w:val="21"/>
                <w:highlight w:val="none"/>
                <w:lang w:val="en-US" w:eastAsia="zh-CN"/>
              </w:rPr>
              <w:t>3</w:t>
            </w:r>
          </w:p>
        </w:tc>
        <w:tc>
          <w:tcPr>
            <w:tcW w:w="706" w:type="pct"/>
            <w:tcBorders>
              <w:tl2br w:val="nil"/>
              <w:tr2bl w:val="nil"/>
            </w:tcBorders>
            <w:shd w:val="clear" w:color="auto" w:fill="auto"/>
            <w:vAlign w:val="center"/>
          </w:tcPr>
          <w:p w14:paraId="16CD5162">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lang w:val="en-US" w:eastAsia="zh-CN"/>
              </w:rPr>
              <w:t>非甲烷总烃</w:t>
            </w:r>
          </w:p>
        </w:tc>
        <w:tc>
          <w:tcPr>
            <w:tcW w:w="1157" w:type="pct"/>
            <w:vMerge w:val="restart"/>
            <w:tcBorders>
              <w:tl2br w:val="nil"/>
              <w:tr2bl w:val="nil"/>
            </w:tcBorders>
            <w:shd w:val="clear" w:color="auto" w:fill="auto"/>
            <w:vAlign w:val="center"/>
          </w:tcPr>
          <w:p w14:paraId="4B750BB0">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Cs/>
                <w:color w:val="auto"/>
                <w:kern w:val="0"/>
                <w:szCs w:val="21"/>
                <w:highlight w:val="none"/>
                <w:lang w:val="en-US" w:eastAsia="zh-CN"/>
              </w:rPr>
              <w:t>旋风+布袋除尘</w:t>
            </w:r>
            <w:r>
              <w:rPr>
                <w:rFonts w:hint="default" w:ascii="Times New Roman" w:hAnsi="Times New Roman" w:eastAsia="宋体" w:cs="Times New Roman"/>
                <w:bCs/>
                <w:color w:val="auto"/>
                <w:kern w:val="0"/>
                <w:szCs w:val="21"/>
                <w:highlight w:val="none"/>
                <w:lang w:val="en-US" w:eastAsia="zh-CN"/>
              </w:rPr>
              <w:t>装置</w:t>
            </w:r>
            <w:r>
              <w:rPr>
                <w:rFonts w:hint="eastAsia" w:ascii="Times New Roman" w:hAnsi="Times New Roman" w:eastAsia="宋体" w:cs="Times New Roman"/>
                <w:bCs/>
                <w:color w:val="auto"/>
                <w:kern w:val="0"/>
                <w:szCs w:val="21"/>
                <w:highlight w:val="none"/>
                <w:lang w:val="en-US" w:eastAsia="zh-CN"/>
              </w:rPr>
              <w:t>+二级</w:t>
            </w:r>
            <w:r>
              <w:rPr>
                <w:rFonts w:hint="default" w:ascii="Times New Roman" w:hAnsi="Times New Roman" w:eastAsia="宋体" w:cs="Times New Roman"/>
                <w:bCs/>
                <w:color w:val="auto"/>
                <w:kern w:val="0"/>
                <w:szCs w:val="21"/>
                <w:highlight w:val="none"/>
                <w:lang w:val="en-US" w:eastAsia="zh-CN"/>
              </w:rPr>
              <w:t>活性炭吸附</w:t>
            </w:r>
            <w:r>
              <w:rPr>
                <w:rFonts w:hint="eastAsia" w:ascii="Times New Roman" w:hAnsi="Times New Roman" w:eastAsia="宋体" w:cs="Times New Roman"/>
                <w:bCs/>
                <w:color w:val="auto"/>
                <w:kern w:val="0"/>
                <w:szCs w:val="21"/>
                <w:highlight w:val="none"/>
                <w:lang w:val="en-US" w:eastAsia="zh-CN"/>
              </w:rPr>
              <w:t>装置</w:t>
            </w:r>
          </w:p>
        </w:tc>
        <w:tc>
          <w:tcPr>
            <w:tcW w:w="1545" w:type="pct"/>
            <w:vMerge w:val="restart"/>
            <w:tcBorders>
              <w:tl2br w:val="nil"/>
              <w:tr2bl w:val="nil"/>
            </w:tcBorders>
            <w:shd w:val="clear" w:color="auto" w:fill="auto"/>
            <w:vAlign w:val="center"/>
          </w:tcPr>
          <w:p w14:paraId="4ECCA777">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2"/>
                <w:sz w:val="21"/>
                <w:szCs w:val="21"/>
                <w:highlight w:val="none"/>
                <w:lang w:val="en-US" w:eastAsia="zh-CN" w:bidi="ar-SA"/>
              </w:rPr>
              <w:t>《重污染天气重点行业应急减排措施制定技术指南》（环办大气函〔2020〕340号）</w:t>
            </w:r>
            <w:r>
              <w:rPr>
                <w:rFonts w:hint="eastAsia" w:cs="Times New Roman"/>
                <w:color w:val="auto"/>
                <w:kern w:val="2"/>
                <w:sz w:val="21"/>
                <w:szCs w:val="21"/>
                <w:highlight w:val="none"/>
                <w:lang w:val="en-US" w:eastAsia="zh-CN" w:bidi="ar-SA"/>
              </w:rPr>
              <w:t>及</w:t>
            </w:r>
            <w:r>
              <w:rPr>
                <w:rFonts w:hint="default" w:ascii="Times New Roman" w:hAnsi="Times New Roman" w:eastAsia="宋体" w:cs="Times New Roman"/>
                <w:color w:val="auto"/>
                <w:kern w:val="2"/>
                <w:sz w:val="21"/>
                <w:szCs w:val="21"/>
                <w:highlight w:val="none"/>
                <w:lang w:val="en-US" w:eastAsia="zh-CN" w:bidi="ar-SA"/>
              </w:rPr>
              <w:t>《关于印发〈工业炉窑大气污染综合治理方案〉》的通知（环大气〔2019〕56号）</w:t>
            </w:r>
          </w:p>
        </w:tc>
      </w:tr>
      <w:tr w14:paraId="39371B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01" w:type="pct"/>
            <w:vMerge w:val="continue"/>
            <w:tcBorders>
              <w:tl2br w:val="nil"/>
              <w:tr2bl w:val="nil"/>
            </w:tcBorders>
            <w:shd w:val="clear" w:color="auto" w:fill="auto"/>
            <w:vAlign w:val="center"/>
          </w:tcPr>
          <w:p w14:paraId="14747E15">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bidi="ar"/>
              </w:rPr>
            </w:pPr>
          </w:p>
        </w:tc>
        <w:tc>
          <w:tcPr>
            <w:tcW w:w="888" w:type="pct"/>
            <w:vMerge w:val="continue"/>
            <w:tcBorders>
              <w:tl2br w:val="nil"/>
              <w:tr2bl w:val="nil"/>
            </w:tcBorders>
            <w:shd w:val="clear" w:color="auto" w:fill="auto"/>
            <w:vAlign w:val="center"/>
          </w:tcPr>
          <w:p w14:paraId="32B352FF">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FF0000"/>
                <w:sz w:val="21"/>
                <w:szCs w:val="21"/>
                <w:highlight w:val="none"/>
                <w:lang w:val="en-US" w:eastAsia="zh-CN"/>
              </w:rPr>
            </w:pPr>
          </w:p>
        </w:tc>
        <w:tc>
          <w:tcPr>
            <w:tcW w:w="706" w:type="pct"/>
            <w:tcBorders>
              <w:tl2br w:val="nil"/>
              <w:tr2bl w:val="nil"/>
            </w:tcBorders>
            <w:shd w:val="clear" w:color="auto" w:fill="auto"/>
            <w:vAlign w:val="center"/>
          </w:tcPr>
          <w:p w14:paraId="0884F7FA">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lang w:val="en-US" w:eastAsia="zh-CN"/>
              </w:rPr>
              <w:t>颗粒物</w:t>
            </w:r>
          </w:p>
        </w:tc>
        <w:tc>
          <w:tcPr>
            <w:tcW w:w="1157" w:type="pct"/>
            <w:vMerge w:val="continue"/>
            <w:tcBorders>
              <w:tl2br w:val="nil"/>
              <w:tr2bl w:val="nil"/>
            </w:tcBorders>
            <w:shd w:val="clear" w:color="auto" w:fill="auto"/>
            <w:vAlign w:val="center"/>
          </w:tcPr>
          <w:p w14:paraId="753A8531">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1545" w:type="pct"/>
            <w:vMerge w:val="continue"/>
            <w:tcBorders>
              <w:tl2br w:val="nil"/>
              <w:tr2bl w:val="nil"/>
            </w:tcBorders>
            <w:shd w:val="clear" w:color="auto" w:fill="auto"/>
            <w:vAlign w:val="center"/>
          </w:tcPr>
          <w:p w14:paraId="677D129A">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sz w:val="21"/>
                <w:szCs w:val="21"/>
                <w:highlight w:val="none"/>
                <w:lang w:eastAsia="zh-CN"/>
              </w:rPr>
            </w:pPr>
          </w:p>
        </w:tc>
      </w:tr>
      <w:tr w14:paraId="5FAC2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01" w:type="pct"/>
            <w:vMerge w:val="continue"/>
            <w:tcBorders>
              <w:tl2br w:val="nil"/>
              <w:tr2bl w:val="nil"/>
            </w:tcBorders>
            <w:shd w:val="clear" w:color="auto" w:fill="auto"/>
            <w:vAlign w:val="center"/>
          </w:tcPr>
          <w:p w14:paraId="2D89B9D2">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bidi="ar"/>
              </w:rPr>
            </w:pPr>
          </w:p>
        </w:tc>
        <w:tc>
          <w:tcPr>
            <w:tcW w:w="888" w:type="pct"/>
            <w:vMerge w:val="continue"/>
            <w:tcBorders>
              <w:tl2br w:val="nil"/>
              <w:tr2bl w:val="nil"/>
            </w:tcBorders>
            <w:shd w:val="clear" w:color="auto" w:fill="auto"/>
            <w:vAlign w:val="center"/>
          </w:tcPr>
          <w:p w14:paraId="7A1D5A77">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FF0000"/>
                <w:sz w:val="21"/>
                <w:szCs w:val="21"/>
                <w:highlight w:val="none"/>
                <w:lang w:val="en-US" w:eastAsia="zh-CN"/>
              </w:rPr>
            </w:pPr>
          </w:p>
        </w:tc>
        <w:tc>
          <w:tcPr>
            <w:tcW w:w="706" w:type="pct"/>
            <w:tcBorders>
              <w:tl2br w:val="nil"/>
              <w:tr2bl w:val="nil"/>
            </w:tcBorders>
            <w:shd w:val="clear" w:color="auto" w:fill="auto"/>
            <w:vAlign w:val="center"/>
          </w:tcPr>
          <w:p w14:paraId="59B38F47">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二氧化硫</w:t>
            </w:r>
          </w:p>
        </w:tc>
        <w:tc>
          <w:tcPr>
            <w:tcW w:w="1157" w:type="pct"/>
            <w:vMerge w:val="continue"/>
            <w:tcBorders>
              <w:tl2br w:val="nil"/>
              <w:tr2bl w:val="nil"/>
            </w:tcBorders>
            <w:shd w:val="clear" w:color="auto" w:fill="auto"/>
            <w:vAlign w:val="center"/>
          </w:tcPr>
          <w:p w14:paraId="053A62C0">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1545" w:type="pct"/>
            <w:vMerge w:val="continue"/>
            <w:tcBorders>
              <w:tl2br w:val="nil"/>
              <w:tr2bl w:val="nil"/>
            </w:tcBorders>
            <w:shd w:val="clear" w:color="auto" w:fill="auto"/>
            <w:vAlign w:val="center"/>
          </w:tcPr>
          <w:p w14:paraId="4FD117FE">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sz w:val="21"/>
                <w:szCs w:val="21"/>
                <w:highlight w:val="none"/>
                <w:lang w:eastAsia="zh-CN"/>
              </w:rPr>
            </w:pPr>
          </w:p>
        </w:tc>
      </w:tr>
      <w:tr w14:paraId="045C1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01" w:type="pct"/>
            <w:vMerge w:val="continue"/>
            <w:tcBorders>
              <w:tl2br w:val="nil"/>
              <w:tr2bl w:val="nil"/>
            </w:tcBorders>
            <w:shd w:val="clear" w:color="auto" w:fill="auto"/>
            <w:vAlign w:val="center"/>
          </w:tcPr>
          <w:p w14:paraId="46B50512">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bidi="ar"/>
              </w:rPr>
            </w:pPr>
          </w:p>
        </w:tc>
        <w:tc>
          <w:tcPr>
            <w:tcW w:w="888" w:type="pct"/>
            <w:vMerge w:val="continue"/>
            <w:tcBorders>
              <w:tl2br w:val="nil"/>
              <w:tr2bl w:val="nil"/>
            </w:tcBorders>
            <w:shd w:val="clear" w:color="auto" w:fill="auto"/>
            <w:vAlign w:val="center"/>
          </w:tcPr>
          <w:p w14:paraId="1EFD9882">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FF0000"/>
                <w:sz w:val="21"/>
                <w:szCs w:val="21"/>
                <w:highlight w:val="none"/>
                <w:lang w:val="en-US" w:eastAsia="zh-CN"/>
              </w:rPr>
            </w:pPr>
          </w:p>
        </w:tc>
        <w:tc>
          <w:tcPr>
            <w:tcW w:w="706" w:type="pct"/>
            <w:tcBorders>
              <w:tl2br w:val="nil"/>
              <w:tr2bl w:val="nil"/>
            </w:tcBorders>
            <w:shd w:val="clear" w:color="auto" w:fill="auto"/>
            <w:vAlign w:val="center"/>
          </w:tcPr>
          <w:p w14:paraId="793915D4">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氮氧化物</w:t>
            </w:r>
          </w:p>
        </w:tc>
        <w:tc>
          <w:tcPr>
            <w:tcW w:w="1157" w:type="pct"/>
            <w:vMerge w:val="continue"/>
            <w:tcBorders>
              <w:tl2br w:val="nil"/>
              <w:tr2bl w:val="nil"/>
            </w:tcBorders>
            <w:shd w:val="clear" w:color="auto" w:fill="auto"/>
            <w:vAlign w:val="center"/>
          </w:tcPr>
          <w:p w14:paraId="2F368AF8">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1545" w:type="pct"/>
            <w:vMerge w:val="continue"/>
            <w:tcBorders>
              <w:tl2br w:val="nil"/>
              <w:tr2bl w:val="nil"/>
            </w:tcBorders>
            <w:shd w:val="clear" w:color="auto" w:fill="auto"/>
            <w:vAlign w:val="center"/>
          </w:tcPr>
          <w:p w14:paraId="283A6F7A">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sz w:val="21"/>
                <w:szCs w:val="21"/>
                <w:highlight w:val="none"/>
                <w:lang w:eastAsia="zh-CN"/>
              </w:rPr>
            </w:pPr>
          </w:p>
        </w:tc>
      </w:tr>
      <w:tr w14:paraId="6AEC23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701" w:type="pct"/>
            <w:tcBorders>
              <w:tl2br w:val="nil"/>
              <w:tr2bl w:val="nil"/>
            </w:tcBorders>
            <w:shd w:val="clear" w:color="auto" w:fill="auto"/>
            <w:vAlign w:val="center"/>
          </w:tcPr>
          <w:p w14:paraId="059216D8">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地表水环境</w:t>
            </w:r>
          </w:p>
        </w:tc>
        <w:tc>
          <w:tcPr>
            <w:tcW w:w="888" w:type="pct"/>
            <w:tcBorders>
              <w:tl2br w:val="nil"/>
              <w:tr2bl w:val="nil"/>
            </w:tcBorders>
            <w:shd w:val="clear" w:color="auto" w:fill="auto"/>
            <w:vAlign w:val="center"/>
          </w:tcPr>
          <w:p w14:paraId="7A61308E">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生活污水</w:t>
            </w:r>
          </w:p>
          <w:p w14:paraId="5227FC2E">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（DW001）</w:t>
            </w:r>
          </w:p>
        </w:tc>
        <w:tc>
          <w:tcPr>
            <w:tcW w:w="1863" w:type="pct"/>
            <w:gridSpan w:val="2"/>
            <w:tcBorders>
              <w:tl2br w:val="nil"/>
              <w:tr2bl w:val="nil"/>
            </w:tcBorders>
            <w:shd w:val="clear" w:color="auto" w:fill="auto"/>
            <w:vAlign w:val="center"/>
          </w:tcPr>
          <w:p w14:paraId="18C4098A">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纯水制备系统废水与生活污水进入化粪池沉淀处理后排入沣西新城大王污水处理厂，经处理达标后排入新河。</w:t>
            </w:r>
          </w:p>
        </w:tc>
        <w:tc>
          <w:tcPr>
            <w:tcW w:w="1545" w:type="pct"/>
            <w:tcBorders>
              <w:tl2br w:val="nil"/>
              <w:tr2bl w:val="nil"/>
            </w:tcBorders>
            <w:shd w:val="clear" w:color="auto" w:fill="auto"/>
            <w:vAlign w:val="center"/>
          </w:tcPr>
          <w:p w14:paraId="2C4F9207">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zh-CN" w:eastAsia="zh-CN" w:bidi="ar-SA"/>
              </w:rPr>
            </w:pPr>
            <w:r>
              <w:rPr>
                <w:rFonts w:hint="default" w:ascii="Times New Roman" w:hAnsi="Times New Roman" w:eastAsia="宋体" w:cs="Times New Roman"/>
                <w:color w:val="auto"/>
                <w:kern w:val="2"/>
                <w:sz w:val="21"/>
                <w:szCs w:val="21"/>
                <w:highlight w:val="none"/>
                <w:lang w:val="en-US" w:eastAsia="zh-CN" w:bidi="ar-SA"/>
              </w:rPr>
              <w:t>《污水综合排放标准》（GB8978-1996）三级标准、《污水排入城镇下水道水质标准》（GB/T31962-2015）中</w:t>
            </w:r>
            <w:r>
              <w:rPr>
                <w:rFonts w:hint="eastAsia" w:ascii="Times New Roman" w:hAnsi="Times New Roman" w:eastAsia="宋体" w:cs="Times New Roman"/>
                <w:color w:val="auto"/>
                <w:kern w:val="2"/>
                <w:sz w:val="21"/>
                <w:szCs w:val="21"/>
                <w:highlight w:val="none"/>
                <w:lang w:val="en-US" w:eastAsia="zh-CN" w:bidi="ar-SA"/>
              </w:rPr>
              <w:t>B</w:t>
            </w:r>
            <w:r>
              <w:rPr>
                <w:rFonts w:hint="default" w:ascii="Times New Roman" w:hAnsi="Times New Roman" w:eastAsia="宋体" w:cs="Times New Roman"/>
                <w:color w:val="auto"/>
                <w:kern w:val="2"/>
                <w:sz w:val="21"/>
                <w:szCs w:val="21"/>
                <w:highlight w:val="none"/>
                <w:lang w:val="en-US" w:eastAsia="zh-CN" w:bidi="ar-SA"/>
              </w:rPr>
              <w:t>级标准</w:t>
            </w:r>
          </w:p>
        </w:tc>
      </w:tr>
      <w:tr w14:paraId="3639F2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vAlign w:val="center"/>
          </w:tcPr>
          <w:p w14:paraId="03BFDC10">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声环境</w:t>
            </w:r>
          </w:p>
        </w:tc>
        <w:tc>
          <w:tcPr>
            <w:tcW w:w="888" w:type="pct"/>
            <w:tcBorders>
              <w:tl2br w:val="nil"/>
              <w:tr2bl w:val="nil"/>
            </w:tcBorders>
            <w:shd w:val="clear" w:color="auto" w:fill="auto"/>
            <w:vAlign w:val="center"/>
          </w:tcPr>
          <w:p w14:paraId="36C676D7">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生产设备</w:t>
            </w:r>
          </w:p>
        </w:tc>
        <w:tc>
          <w:tcPr>
            <w:tcW w:w="706" w:type="pct"/>
            <w:tcBorders>
              <w:tl2br w:val="nil"/>
              <w:tr2bl w:val="nil"/>
            </w:tcBorders>
            <w:shd w:val="clear" w:color="auto" w:fill="auto"/>
            <w:vAlign w:val="center"/>
          </w:tcPr>
          <w:p w14:paraId="58F4509B">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等效连续A声级</w:t>
            </w:r>
          </w:p>
        </w:tc>
        <w:tc>
          <w:tcPr>
            <w:tcW w:w="1157" w:type="pct"/>
            <w:tcBorders>
              <w:tl2br w:val="nil"/>
              <w:tr2bl w:val="nil"/>
            </w:tcBorders>
            <w:shd w:val="clear" w:color="auto" w:fill="auto"/>
            <w:vAlign w:val="center"/>
          </w:tcPr>
          <w:p w14:paraId="6C2AF58E">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设备底座减震、合理布局、厂房隔声（隔声门窗、厂房封闭，墙体安装吸声材料）减振台基础，风机的进风和出风均加设消</w:t>
            </w:r>
            <w:r>
              <w:rPr>
                <w:rFonts w:hint="eastAsia" w:cs="Times New Roman"/>
                <w:color w:val="auto"/>
                <w:kern w:val="2"/>
                <w:sz w:val="21"/>
                <w:szCs w:val="21"/>
                <w:highlight w:val="none"/>
                <w:lang w:val="en-US" w:eastAsia="zh-CN" w:bidi="ar-SA"/>
              </w:rPr>
              <w:t>声</w:t>
            </w:r>
            <w:r>
              <w:rPr>
                <w:rFonts w:hint="eastAsia" w:ascii="Times New Roman" w:hAnsi="Times New Roman" w:eastAsia="宋体" w:cs="Times New Roman"/>
                <w:color w:val="auto"/>
                <w:kern w:val="2"/>
                <w:sz w:val="21"/>
                <w:szCs w:val="21"/>
                <w:highlight w:val="none"/>
                <w:lang w:val="en-US" w:eastAsia="zh-CN" w:bidi="ar-SA"/>
              </w:rPr>
              <w:t>器，接头处采用柔性软接头</w:t>
            </w:r>
          </w:p>
        </w:tc>
        <w:tc>
          <w:tcPr>
            <w:tcW w:w="1545" w:type="pct"/>
            <w:tcBorders>
              <w:tl2br w:val="nil"/>
              <w:tr2bl w:val="nil"/>
            </w:tcBorders>
            <w:shd w:val="clear" w:color="auto" w:fill="auto"/>
            <w:vAlign w:val="center"/>
          </w:tcPr>
          <w:p w14:paraId="5966C21B">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《工业企业厂界环境噪声排放标准》（GB12348-2008）3类标准</w:t>
            </w:r>
          </w:p>
        </w:tc>
      </w:tr>
      <w:tr w14:paraId="78002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vAlign w:val="center"/>
          </w:tcPr>
          <w:p w14:paraId="755660AB">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电磁辐射</w:t>
            </w:r>
          </w:p>
        </w:tc>
        <w:tc>
          <w:tcPr>
            <w:tcW w:w="888" w:type="pct"/>
            <w:tcBorders>
              <w:tl2br w:val="nil"/>
              <w:tr2bl w:val="nil"/>
            </w:tcBorders>
            <w:shd w:val="clear" w:color="auto" w:fill="auto"/>
            <w:vAlign w:val="center"/>
          </w:tcPr>
          <w:p w14:paraId="41DD79FF">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lang w:val="en-US" w:eastAsia="zh-CN"/>
              </w:rPr>
              <w:t>-</w:t>
            </w:r>
          </w:p>
        </w:tc>
        <w:tc>
          <w:tcPr>
            <w:tcW w:w="706" w:type="pct"/>
            <w:tcBorders>
              <w:tl2br w:val="nil"/>
              <w:tr2bl w:val="nil"/>
            </w:tcBorders>
            <w:shd w:val="clear" w:color="auto" w:fill="auto"/>
            <w:vAlign w:val="center"/>
          </w:tcPr>
          <w:p w14:paraId="1D1A8D4F">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lang w:val="en-US" w:eastAsia="zh-CN"/>
              </w:rPr>
              <w:t>-</w:t>
            </w:r>
          </w:p>
        </w:tc>
        <w:tc>
          <w:tcPr>
            <w:tcW w:w="1157" w:type="pct"/>
            <w:tcBorders>
              <w:tl2br w:val="nil"/>
              <w:tr2bl w:val="nil"/>
            </w:tcBorders>
            <w:shd w:val="clear" w:color="auto" w:fill="auto"/>
            <w:vAlign w:val="center"/>
          </w:tcPr>
          <w:p w14:paraId="57BA5D45">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lang w:val="en-US" w:eastAsia="zh-CN"/>
              </w:rPr>
              <w:t>-</w:t>
            </w:r>
          </w:p>
        </w:tc>
        <w:tc>
          <w:tcPr>
            <w:tcW w:w="1545" w:type="pct"/>
            <w:tcBorders>
              <w:tl2br w:val="nil"/>
              <w:tr2bl w:val="nil"/>
            </w:tcBorders>
            <w:shd w:val="clear" w:color="auto" w:fill="auto"/>
            <w:vAlign w:val="center"/>
          </w:tcPr>
          <w:p w14:paraId="11976435">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lang w:val="en-US" w:eastAsia="zh-CN"/>
              </w:rPr>
              <w:t>-</w:t>
            </w:r>
          </w:p>
        </w:tc>
      </w:tr>
      <w:tr w14:paraId="27CD2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vAlign w:val="center"/>
          </w:tcPr>
          <w:p w14:paraId="28FAC98E">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固体废物</w:t>
            </w:r>
          </w:p>
        </w:tc>
        <w:tc>
          <w:tcPr>
            <w:tcW w:w="4298" w:type="pct"/>
            <w:gridSpan w:val="4"/>
            <w:tcBorders>
              <w:tl2br w:val="nil"/>
              <w:tr2bl w:val="nil"/>
            </w:tcBorders>
            <w:shd w:val="clear" w:color="auto" w:fill="auto"/>
            <w:vAlign w:val="center"/>
          </w:tcPr>
          <w:p w14:paraId="7430ADE2">
            <w:pPr>
              <w:keepNext w:val="0"/>
              <w:keepLines w:val="0"/>
              <w:pageBreakBefore w:val="0"/>
              <w:widowControl w:val="0"/>
              <w:kinsoku/>
              <w:wordWrap w:val="0"/>
              <w:overflowPunct/>
              <w:topLinePunct/>
              <w:autoSpaceDE/>
              <w:autoSpaceDN/>
              <w:bidi w:val="0"/>
              <w:spacing w:line="320" w:lineRule="exact"/>
              <w:jc w:val="center"/>
              <w:textAlignment w:val="auto"/>
              <w:rPr>
                <w:rFonts w:hint="default" w:ascii="Times New Roman" w:hAnsi="Times New Roman" w:eastAsia="宋体" w:cs="Times New Roman"/>
                <w:snapToGrid w:val="0"/>
                <w:color w:val="FF0000"/>
                <w:kern w:val="2"/>
                <w:sz w:val="21"/>
                <w:szCs w:val="21"/>
                <w:highlight w:val="none"/>
                <w:lang w:val="en-US" w:eastAsia="zh-CN" w:bidi="zh-CN"/>
              </w:rPr>
            </w:pPr>
            <w:r>
              <w:rPr>
                <w:rFonts w:hint="default" w:ascii="Times New Roman" w:hAnsi="Times New Roman" w:eastAsia="宋体" w:cs="Times New Roman"/>
                <w:color w:val="auto"/>
                <w:kern w:val="2"/>
                <w:sz w:val="21"/>
                <w:szCs w:val="21"/>
                <w:highlight w:val="none"/>
                <w:lang w:val="en-US" w:eastAsia="zh-CN" w:bidi="ar-SA"/>
              </w:rPr>
              <w:t>废包装材料收集暂存于一般固废暂存区</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定期外售于物资回收公司</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收尘灰</w:t>
            </w:r>
            <w:r>
              <w:rPr>
                <w:rFonts w:hint="eastAsia" w:ascii="Times New Roman" w:hAnsi="Times New Roman" w:eastAsia="宋体" w:cs="Times New Roman"/>
                <w:color w:val="auto"/>
                <w:kern w:val="2"/>
                <w:sz w:val="21"/>
                <w:szCs w:val="21"/>
                <w:highlight w:val="none"/>
                <w:lang w:val="en-US" w:eastAsia="zh-CN" w:bidi="ar-SA"/>
              </w:rPr>
              <w:t>回用于</w:t>
            </w:r>
            <w:r>
              <w:rPr>
                <w:rFonts w:hint="default" w:ascii="Times New Roman" w:hAnsi="Times New Roman" w:eastAsia="宋体" w:cs="Times New Roman"/>
                <w:color w:val="auto"/>
                <w:kern w:val="2"/>
                <w:sz w:val="21"/>
                <w:szCs w:val="21"/>
                <w:highlight w:val="none"/>
                <w:lang w:val="en-US" w:eastAsia="zh-CN" w:bidi="ar-SA"/>
              </w:rPr>
              <w:t>生产</w:t>
            </w:r>
            <w:r>
              <w:rPr>
                <w:rFonts w:hint="eastAsia" w:ascii="Times New Roman" w:hAnsi="Times New Roman" w:eastAsia="宋体" w:cs="Times New Roman"/>
                <w:color w:val="auto"/>
                <w:kern w:val="2"/>
                <w:sz w:val="21"/>
                <w:szCs w:val="21"/>
                <w:highlight w:val="none"/>
                <w:lang w:val="en-US" w:eastAsia="zh-CN" w:bidi="ar-SA"/>
              </w:rPr>
              <w:t>工序；粉末</w:t>
            </w:r>
            <w:r>
              <w:rPr>
                <w:rFonts w:hint="default" w:ascii="Times New Roman" w:hAnsi="Times New Roman" w:eastAsia="宋体" w:cs="Times New Roman"/>
                <w:color w:val="auto"/>
                <w:kern w:val="2"/>
                <w:sz w:val="21"/>
                <w:szCs w:val="21"/>
                <w:highlight w:val="none"/>
                <w:lang w:val="en-US" w:eastAsia="zh-CN" w:bidi="ar-SA"/>
              </w:rPr>
              <w:t>不合格品收集暂存于一般固废暂存区</w:t>
            </w:r>
            <w:r>
              <w:rPr>
                <w:rFonts w:hint="eastAsia" w:ascii="Times New Roman" w:hAnsi="Times New Roman" w:cs="Times New Roman"/>
                <w:color w:val="auto"/>
                <w:kern w:val="2"/>
                <w:sz w:val="21"/>
                <w:szCs w:val="21"/>
                <w:highlight w:val="none"/>
                <w:lang w:val="en-US" w:eastAsia="zh-CN" w:bidi="ar-SA"/>
              </w:rPr>
              <w:t>，收</w:t>
            </w:r>
            <w:r>
              <w:rPr>
                <w:rFonts w:hint="eastAsia" w:ascii="Times New Roman" w:hAnsi="Times New Roman" w:eastAsia="宋体" w:cs="Times New Roman"/>
                <w:color w:val="auto"/>
                <w:kern w:val="2"/>
                <w:sz w:val="21"/>
                <w:szCs w:val="21"/>
                <w:highlight w:val="none"/>
                <w:lang w:val="en-US" w:eastAsia="zh-CN" w:bidi="ar-SA"/>
              </w:rPr>
              <w:t>集后回用于</w:t>
            </w:r>
            <w:r>
              <w:rPr>
                <w:rFonts w:hint="default" w:ascii="Times New Roman" w:hAnsi="Times New Roman" w:eastAsia="宋体" w:cs="Times New Roman"/>
                <w:color w:val="auto"/>
                <w:kern w:val="2"/>
                <w:sz w:val="21"/>
                <w:szCs w:val="21"/>
                <w:highlight w:val="none"/>
                <w:lang w:val="en-US" w:eastAsia="zh-CN" w:bidi="ar-SA"/>
              </w:rPr>
              <w:t>生产</w:t>
            </w:r>
            <w:r>
              <w:rPr>
                <w:rFonts w:hint="eastAsia" w:ascii="Times New Roman" w:hAnsi="Times New Roman" w:eastAsia="宋体" w:cs="Times New Roman"/>
                <w:color w:val="auto"/>
                <w:kern w:val="2"/>
                <w:sz w:val="21"/>
                <w:szCs w:val="21"/>
                <w:highlight w:val="none"/>
                <w:lang w:val="en-US" w:eastAsia="zh-CN" w:bidi="ar-SA"/>
              </w:rPr>
              <w:t>工序；</w:t>
            </w:r>
            <w:r>
              <w:rPr>
                <w:rFonts w:hint="default" w:ascii="Times New Roman" w:hAnsi="Times New Roman" w:eastAsia="宋体" w:cs="Times New Roman"/>
                <w:color w:val="auto"/>
                <w:kern w:val="2"/>
                <w:sz w:val="21"/>
                <w:szCs w:val="21"/>
                <w:highlight w:val="none"/>
                <w:lang w:val="en-US" w:eastAsia="zh-CN" w:bidi="ar-SA"/>
              </w:rPr>
              <w:t>废漆渣收集暂存于一般固废暂存区，定期外售于物资回收公司</w:t>
            </w:r>
            <w:r>
              <w:rPr>
                <w:rFonts w:hint="eastAsia" w:ascii="Times New Roman" w:hAnsi="Times New Roman" w:eastAsia="宋体" w:cs="Times New Roman"/>
                <w:color w:val="auto"/>
                <w:kern w:val="2"/>
                <w:sz w:val="21"/>
                <w:szCs w:val="21"/>
                <w:highlight w:val="none"/>
                <w:lang w:val="en-US" w:eastAsia="zh-CN" w:bidi="ar-SA"/>
              </w:rPr>
              <w:t>；废反渗透膜，暂存于一般固废暂存区，由纯水机厂家检修时回收处置；</w:t>
            </w:r>
            <w:r>
              <w:rPr>
                <w:rFonts w:hint="default" w:ascii="Times New Roman" w:hAnsi="Times New Roman" w:eastAsia="宋体" w:cs="Times New Roman"/>
                <w:color w:val="auto"/>
                <w:kern w:val="2"/>
                <w:sz w:val="21"/>
                <w:szCs w:val="21"/>
                <w:highlight w:val="none"/>
                <w:lang w:val="en-US" w:eastAsia="zh-CN" w:bidi="ar-SA"/>
              </w:rPr>
              <w:t>废漆渣</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收集暂存于一般固废暂存区，定期外售于物资回收公司</w:t>
            </w:r>
            <w:r>
              <w:rPr>
                <w:rFonts w:hint="eastAsia"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highlight w:val="none"/>
                <w:lang w:val="en-US" w:eastAsia="zh-CN"/>
              </w:rPr>
              <w:t>废机油及废油桶、废活性炭、废超滤芯、废油槽渣、废陶化槽渣以及废电泳</w:t>
            </w:r>
            <w:r>
              <w:rPr>
                <w:rFonts w:hint="default" w:ascii="Times New Roman" w:hAnsi="Times New Roman" w:eastAsia="宋体" w:cs="Times New Roman"/>
                <w:color w:val="auto"/>
                <w:highlight w:val="none"/>
                <w:lang w:val="en-US" w:eastAsia="zh-CN"/>
              </w:rPr>
              <w:t>漆渣收集后妥善暂存于危险废物贮存间，交由陕西绿林环保科技有限公司进行处理。</w:t>
            </w:r>
          </w:p>
        </w:tc>
      </w:tr>
      <w:tr w14:paraId="798467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vAlign w:val="center"/>
          </w:tcPr>
          <w:p w14:paraId="26F4F56F">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土壤及地下水污染防治措施</w:t>
            </w:r>
          </w:p>
        </w:tc>
        <w:tc>
          <w:tcPr>
            <w:tcW w:w="4298" w:type="pct"/>
            <w:gridSpan w:val="4"/>
            <w:tcBorders>
              <w:tl2br w:val="nil"/>
              <w:tr2bl w:val="nil"/>
            </w:tcBorders>
            <w:shd w:val="clear" w:color="auto" w:fill="auto"/>
            <w:vAlign w:val="center"/>
          </w:tcPr>
          <w:p w14:paraId="266F68F5">
            <w:pPr>
              <w:pStyle w:val="33"/>
              <w:keepNext w:val="0"/>
              <w:keepLines w:val="0"/>
              <w:pageBreakBefore w:val="0"/>
              <w:widowControl w:val="0"/>
              <w:tabs>
                <w:tab w:val="left" w:pos="1141"/>
              </w:tabs>
              <w:kinsoku/>
              <w:wordWrap/>
              <w:overflowPunct/>
              <w:topLinePunct/>
              <w:autoSpaceDE/>
              <w:autoSpaceDN/>
              <w:bidi w:val="0"/>
              <w:spacing w:after="0" w:line="360" w:lineRule="auto"/>
              <w:ind w:firstLine="48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lang w:val="en-US" w:eastAsia="zh-CN"/>
              </w:rPr>
              <w:t>项目进行分区防渗处理</w:t>
            </w:r>
            <w:r>
              <w:rPr>
                <w:rFonts w:hint="eastAsia" w:cs="Times New Roman"/>
                <w:color w:val="auto"/>
                <w:sz w:val="21"/>
                <w:szCs w:val="21"/>
                <w:lang w:val="en-US" w:eastAsia="zh-CN"/>
              </w:rPr>
              <w:t>，风</w:t>
            </w:r>
            <w:r>
              <w:rPr>
                <w:rFonts w:hint="default" w:ascii="Times New Roman" w:hAnsi="Times New Roman" w:eastAsia="宋体" w:cs="Times New Roman"/>
                <w:color w:val="auto"/>
                <w:sz w:val="21"/>
                <w:szCs w:val="21"/>
                <w:lang w:val="en-US" w:eastAsia="zh-CN"/>
              </w:rPr>
              <w:t>险废物贮存库进行重点防渗处理</w:t>
            </w:r>
            <w:r>
              <w:rPr>
                <w:rFonts w:hint="default" w:ascii="Times New Roman" w:hAnsi="Times New Roman" w:eastAsia="宋体" w:cs="Times New Roman"/>
                <w:color w:val="auto"/>
                <w:sz w:val="21"/>
                <w:szCs w:val="21"/>
                <w:highlight w:val="none"/>
                <w:lang w:val="en-US" w:eastAsia="zh-CN"/>
              </w:rPr>
              <w:t>，能有效防止污染物渗透到地下污染土壤及地下水。</w:t>
            </w:r>
          </w:p>
        </w:tc>
      </w:tr>
      <w:tr w14:paraId="3CC30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vAlign w:val="center"/>
          </w:tcPr>
          <w:p w14:paraId="2014E3F5">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bidi="ar"/>
              </w:rPr>
              <w:t>生态保护措施</w:t>
            </w:r>
          </w:p>
        </w:tc>
        <w:tc>
          <w:tcPr>
            <w:tcW w:w="4298" w:type="pct"/>
            <w:gridSpan w:val="4"/>
            <w:tcBorders>
              <w:tl2br w:val="nil"/>
              <w:tr2bl w:val="nil"/>
            </w:tcBorders>
            <w:shd w:val="clear" w:color="auto" w:fill="auto"/>
            <w:vAlign w:val="center"/>
          </w:tcPr>
          <w:p w14:paraId="34D0AF86">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w:t>
            </w:r>
          </w:p>
        </w:tc>
      </w:tr>
      <w:tr w14:paraId="0EEDFB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vAlign w:val="center"/>
          </w:tcPr>
          <w:p w14:paraId="4F85E2DF">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lang w:bidi="ar"/>
              </w:rPr>
              <w:t>环境风险</w:t>
            </w:r>
          </w:p>
          <w:p w14:paraId="12599362">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lang w:bidi="ar"/>
              </w:rPr>
              <w:t>防范措施</w:t>
            </w:r>
          </w:p>
        </w:tc>
        <w:tc>
          <w:tcPr>
            <w:tcW w:w="4298" w:type="pct"/>
            <w:gridSpan w:val="4"/>
            <w:tcBorders>
              <w:tl2br w:val="nil"/>
              <w:tr2bl w:val="nil"/>
            </w:tcBorders>
            <w:shd w:val="clear" w:color="auto" w:fill="auto"/>
            <w:vAlign w:val="center"/>
          </w:tcPr>
          <w:p w14:paraId="5D6F62A6">
            <w:pPr>
              <w:pStyle w:val="15"/>
              <w:spacing w:line="240" w:lineRule="auto"/>
              <w:ind w:left="0" w:leftChars="0" w:firstLine="0" w:firstLineChars="0"/>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液化石油气采用符合国家标准的储罐中，暂存专用储存区，储存区应严禁烟火、定期泄漏检测，储存区安装可燃气体报警、消防设施。</w:t>
            </w:r>
            <w:r>
              <w:rPr>
                <w:rFonts w:hint="default" w:ascii="Times New Roman" w:hAnsi="Times New Roman" w:eastAsia="宋体" w:cs="Times New Roman"/>
                <w:color w:val="auto"/>
                <w:kern w:val="2"/>
                <w:sz w:val="21"/>
                <w:szCs w:val="21"/>
                <w:highlight w:val="none"/>
                <w:lang w:val="en-US" w:eastAsia="zh-CN" w:bidi="ar-SA"/>
              </w:rPr>
              <w:t>废机油暂存于危废</w:t>
            </w:r>
            <w:r>
              <w:rPr>
                <w:rFonts w:hint="eastAsia" w:ascii="Times New Roman" w:hAnsi="Times New Roman" w:eastAsia="宋体" w:cs="Times New Roman"/>
                <w:color w:val="auto"/>
                <w:kern w:val="2"/>
                <w:sz w:val="21"/>
                <w:szCs w:val="21"/>
                <w:highlight w:val="none"/>
                <w:lang w:val="en-US" w:eastAsia="zh-CN" w:bidi="ar-SA"/>
              </w:rPr>
              <w:t>贮存库</w:t>
            </w:r>
            <w:r>
              <w:rPr>
                <w:rFonts w:hint="default" w:ascii="Times New Roman" w:hAnsi="Times New Roman" w:eastAsia="宋体" w:cs="Times New Roman"/>
                <w:color w:val="auto"/>
                <w:kern w:val="2"/>
                <w:sz w:val="21"/>
                <w:szCs w:val="21"/>
                <w:highlight w:val="none"/>
                <w:lang w:val="en-US" w:eastAsia="zh-CN" w:bidi="ar-SA"/>
              </w:rPr>
              <w:t>，严格按照《危险废物贮存污染控制标准》</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GBl8597-20</w:t>
            </w:r>
            <w:r>
              <w:rPr>
                <w:rFonts w:hint="eastAsia" w:ascii="Times New Roman" w:hAnsi="Times New Roman" w:eastAsia="宋体" w:cs="Times New Roman"/>
                <w:color w:val="auto"/>
                <w:kern w:val="2"/>
                <w:sz w:val="21"/>
                <w:szCs w:val="21"/>
                <w:highlight w:val="none"/>
                <w:lang w:val="en-US" w:eastAsia="zh-CN" w:bidi="ar-SA"/>
              </w:rPr>
              <w:t>23）</w:t>
            </w:r>
            <w:r>
              <w:rPr>
                <w:rFonts w:hint="default" w:ascii="Times New Roman" w:hAnsi="Times New Roman" w:eastAsia="宋体" w:cs="Times New Roman"/>
                <w:color w:val="auto"/>
                <w:kern w:val="2"/>
                <w:sz w:val="21"/>
                <w:szCs w:val="21"/>
                <w:highlight w:val="none"/>
                <w:lang w:val="en-US" w:eastAsia="zh-CN" w:bidi="ar-SA"/>
              </w:rPr>
              <w:t>及其修改单中的相关要求设置相关收集容器，用专用容器集中收集，同时由专人管理，定期交由有资质单位进行专业处理。危废暂存间应做到以下防范措施：存放地面墙裙达到防渗</w:t>
            </w:r>
            <w:r>
              <w:rPr>
                <w:rFonts w:hint="eastAsia" w:cs="Times New Roman"/>
                <w:color w:val="auto"/>
                <w:kern w:val="2"/>
                <w:sz w:val="21"/>
                <w:szCs w:val="21"/>
                <w:highlight w:val="none"/>
                <w:lang w:val="en-US" w:eastAsia="zh-CN" w:bidi="ar-SA"/>
              </w:rPr>
              <w:t>要求</w:t>
            </w:r>
            <w:r>
              <w:rPr>
                <w:rFonts w:hint="default" w:ascii="Times New Roman" w:hAnsi="Times New Roman" w:eastAsia="宋体" w:cs="Times New Roman"/>
                <w:color w:val="auto"/>
                <w:kern w:val="2"/>
                <w:sz w:val="21"/>
                <w:szCs w:val="21"/>
                <w:highlight w:val="none"/>
                <w:lang w:val="en-US" w:eastAsia="zh-CN" w:bidi="ar-SA"/>
              </w:rPr>
              <w:t xml:space="preserve">，对废机油设置防渗漏托盘、定期检查清运，配备灭火器等消防器材并定期检查更换。 </w:t>
            </w:r>
          </w:p>
        </w:tc>
      </w:tr>
      <w:tr w14:paraId="57D53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1" w:type="pct"/>
            <w:tcBorders>
              <w:tl2br w:val="nil"/>
              <w:tr2bl w:val="nil"/>
            </w:tcBorders>
            <w:shd w:val="clear" w:color="auto" w:fill="auto"/>
            <w:vAlign w:val="center"/>
          </w:tcPr>
          <w:p w14:paraId="2B63731B">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lang w:bidi="ar"/>
              </w:rPr>
              <w:t>其他环境</w:t>
            </w:r>
          </w:p>
          <w:p w14:paraId="48163446">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lang w:bidi="ar"/>
              </w:rPr>
              <w:t>管理要求</w:t>
            </w:r>
          </w:p>
        </w:tc>
        <w:tc>
          <w:tcPr>
            <w:tcW w:w="4298" w:type="pct"/>
            <w:gridSpan w:val="4"/>
            <w:tcBorders>
              <w:tl2br w:val="nil"/>
              <w:tr2bl w:val="nil"/>
            </w:tcBorders>
            <w:shd w:val="clear" w:color="auto" w:fill="auto"/>
            <w:vAlign w:val="center"/>
          </w:tcPr>
          <w:p w14:paraId="08CA08FC">
            <w:pPr>
              <w:keepNext w:val="0"/>
              <w:keepLines w:val="0"/>
              <w:widowControl/>
              <w:suppressLineNumbers w:val="0"/>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b/>
                <w:bCs/>
                <w:color w:val="auto"/>
                <w:kern w:val="2"/>
                <w:sz w:val="21"/>
                <w:szCs w:val="24"/>
                <w:lang w:val="en-US" w:eastAsia="zh-CN" w:bidi="ar-SA"/>
              </w:rPr>
              <w:t>1.环境管理</w:t>
            </w:r>
            <w:r>
              <w:rPr>
                <w:rFonts w:hint="eastAsia" w:ascii="Times New Roman" w:hAnsi="Times New Roman" w:eastAsia="宋体" w:cs="Times New Roman"/>
                <w:color w:val="auto"/>
                <w:kern w:val="2"/>
                <w:sz w:val="21"/>
                <w:szCs w:val="24"/>
                <w:lang w:val="en-US" w:eastAsia="zh-CN" w:bidi="ar-SA"/>
              </w:rPr>
              <w:t xml:space="preserve"> </w:t>
            </w:r>
          </w:p>
          <w:p w14:paraId="2AC39D7A">
            <w:pPr>
              <w:keepNext w:val="0"/>
              <w:keepLines w:val="0"/>
              <w:widowControl/>
              <w:suppressLineNumbers w:val="0"/>
              <w:spacing w:line="240" w:lineRule="auto"/>
              <w:ind w:firstLine="420" w:firstLineChars="200"/>
              <w:jc w:val="left"/>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根据《排污许可证申请与核发技术规范 总则》中相关要求，本项目环境管理内容如下：</w:t>
            </w:r>
          </w:p>
          <w:p w14:paraId="5E2E94B1">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）按照自行监测方案开展自行监测；</w:t>
            </w:r>
          </w:p>
          <w:p w14:paraId="388B769A">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 xml:space="preserve">）按照排污许可证中环境管理台账记录要求记录相关内容，记录频次、 </w:t>
            </w:r>
          </w:p>
          <w:p w14:paraId="22AD726D">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 xml:space="preserve">形式等需满足排污许可证要求； </w:t>
            </w:r>
          </w:p>
          <w:p w14:paraId="79FD4446">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 xml:space="preserve">）按照排污许可证中执行报告要求定期上报，上报内容需要符合要求； </w:t>
            </w:r>
          </w:p>
          <w:p w14:paraId="7FC97EBB">
            <w:pPr>
              <w:keepNext w:val="0"/>
              <w:keepLines w:val="0"/>
              <w:pageBreakBefore w:val="0"/>
              <w:widowControl/>
              <w:suppressLineNumbers w:val="0"/>
              <w:kinsoku/>
              <w:wordWrap/>
              <w:overflowPunct/>
              <w:topLinePunct w:val="0"/>
              <w:autoSpaceDE/>
              <w:autoSpaceDN/>
              <w:bidi w:val="0"/>
              <w:adjustRightInd/>
              <w:snapToGrid/>
              <w:spacing w:line="240" w:lineRule="auto"/>
              <w:ind w:firstLine="420" w:firstLineChars="200"/>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4</w:t>
            </w:r>
            <w:r>
              <w:rPr>
                <w:rFonts w:hint="eastAsia" w:ascii="Times New Roman" w:hAnsi="Times New Roman" w:eastAsia="宋体" w:cs="Times New Roman"/>
                <w:color w:val="auto"/>
                <w:kern w:val="2"/>
                <w:sz w:val="21"/>
                <w:szCs w:val="24"/>
                <w:lang w:val="en-US" w:eastAsia="zh-CN" w:bidi="ar-SA"/>
              </w:rPr>
              <w:t>）按照排污许可证要求定期开展信息公开。</w:t>
            </w:r>
          </w:p>
          <w:p w14:paraId="19742A92">
            <w:pPr>
              <w:keepNext w:val="0"/>
              <w:keepLines w:val="0"/>
              <w:widowControl/>
              <w:suppressLineNumbers w:val="0"/>
              <w:spacing w:line="360" w:lineRule="auto"/>
              <w:jc w:val="left"/>
              <w:rPr>
                <w:rFonts w:hint="eastAsia" w:ascii="Times New Roman" w:hAnsi="Times New Roman" w:eastAsia="宋体" w:cs="Times New Roman"/>
                <w:b/>
                <w:bCs/>
                <w:color w:val="auto"/>
                <w:kern w:val="2"/>
                <w:sz w:val="21"/>
                <w:szCs w:val="24"/>
                <w:lang w:val="en-US" w:eastAsia="zh-CN" w:bidi="ar-SA"/>
              </w:rPr>
            </w:pPr>
            <w:r>
              <w:rPr>
                <w:rFonts w:hint="default" w:ascii="Times New Roman" w:hAnsi="Times New Roman" w:eastAsia="宋体" w:cs="Times New Roman"/>
                <w:b/>
                <w:bCs/>
                <w:color w:val="auto"/>
                <w:kern w:val="2"/>
                <w:sz w:val="21"/>
                <w:szCs w:val="24"/>
                <w:lang w:val="en-US" w:eastAsia="zh-CN" w:bidi="ar-SA"/>
              </w:rPr>
              <w:t>2.</w:t>
            </w:r>
            <w:r>
              <w:rPr>
                <w:rFonts w:hint="eastAsia" w:ascii="Times New Roman" w:hAnsi="Times New Roman" w:eastAsia="宋体" w:cs="Times New Roman"/>
                <w:b/>
                <w:bCs/>
                <w:color w:val="auto"/>
                <w:kern w:val="2"/>
                <w:sz w:val="21"/>
                <w:szCs w:val="24"/>
                <w:lang w:val="en-US" w:eastAsia="zh-CN" w:bidi="ar-SA"/>
              </w:rPr>
              <w:t>排污口规范化</w:t>
            </w:r>
          </w:p>
          <w:p w14:paraId="254837E8">
            <w:pPr>
              <w:keepNext w:val="0"/>
              <w:keepLines w:val="0"/>
              <w:widowControl/>
              <w:suppressLineNumbers w:val="0"/>
              <w:spacing w:line="240" w:lineRule="auto"/>
              <w:ind w:firstLine="420" w:firstLineChars="20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在厂区的废气、废水排放口、噪声排放源、固体废物、危险废物贮存处置场应设置环境保护图形标志，图形符号分为提示图形和警告图形符号两种，分别</w:t>
            </w:r>
            <w:r>
              <w:rPr>
                <w:rFonts w:hint="default" w:ascii="Times New Roman" w:hAnsi="Times New Roman" w:eastAsia="宋体" w:cs="Times New Roman"/>
                <w:color w:val="auto"/>
                <w:kern w:val="2"/>
                <w:sz w:val="21"/>
                <w:szCs w:val="21"/>
                <w:highlight w:val="none"/>
                <w:lang w:val="en-US" w:eastAsia="zh-CN" w:bidi="ar-SA"/>
              </w:rPr>
              <w:t>GB15562.1-1995</w:t>
            </w:r>
            <w:r>
              <w:rPr>
                <w:rFonts w:hint="eastAsia" w:ascii="Times New Roman" w:hAnsi="Times New Roman" w:eastAsia="宋体" w:cs="Times New Roman"/>
                <w:color w:val="auto"/>
                <w:kern w:val="2"/>
                <w:sz w:val="21"/>
                <w:szCs w:val="21"/>
                <w:highlight w:val="none"/>
                <w:lang w:val="en-US" w:eastAsia="zh-CN" w:bidi="ar-SA"/>
              </w:rPr>
              <w:t>、</w:t>
            </w:r>
            <w:r>
              <w:rPr>
                <w:rFonts w:hint="default" w:ascii="Times New Roman" w:hAnsi="Times New Roman" w:eastAsia="宋体" w:cs="Times New Roman"/>
                <w:color w:val="auto"/>
                <w:kern w:val="2"/>
                <w:sz w:val="21"/>
                <w:szCs w:val="21"/>
                <w:highlight w:val="none"/>
                <w:lang w:val="en-US" w:eastAsia="zh-CN" w:bidi="ar-SA"/>
              </w:rPr>
              <w:t>GB15562.2-1995</w:t>
            </w:r>
            <w:r>
              <w:rPr>
                <w:rFonts w:hint="eastAsia" w:ascii="Times New Roman" w:hAnsi="Times New Roman" w:eastAsia="宋体" w:cs="Times New Roman"/>
                <w:color w:val="auto"/>
                <w:kern w:val="2"/>
                <w:sz w:val="21"/>
                <w:szCs w:val="21"/>
                <w:highlight w:val="none"/>
                <w:lang w:val="en-US" w:eastAsia="zh-CN" w:bidi="ar-SA"/>
              </w:rPr>
              <w:t>执行。环境保护图形符号见下表。</w:t>
            </w:r>
          </w:p>
          <w:p w14:paraId="7A970D1C">
            <w:pPr>
              <w:pStyle w:val="27"/>
              <w:autoSpaceDE w:val="0"/>
              <w:autoSpaceDN w:val="0"/>
              <w:ind w:left="110" w:hanging="110" w:hangingChars="52"/>
              <w:jc w:val="center"/>
              <w:rPr>
                <w:rFonts w:ascii="Times New Roman" w:hAnsi="Times New Roman" w:cs="Times New Roman" w:eastAsiaTheme="minorEastAsia"/>
                <w:b/>
                <w:bCs/>
                <w:color w:val="0C0C0C"/>
                <w:szCs w:val="21"/>
                <w:lang w:val="en-US"/>
              </w:rPr>
            </w:pPr>
            <w:r>
              <w:rPr>
                <w:rFonts w:hint="eastAsia" w:ascii="Times New Roman" w:hAnsi="Times New Roman" w:cs="Times New Roman" w:eastAsiaTheme="minorEastAsia"/>
                <w:b/>
                <w:bCs/>
                <w:color w:val="0C0C0C"/>
                <w:szCs w:val="21"/>
                <w:lang w:val="en-US" w:eastAsia="zh-CN"/>
              </w:rPr>
              <w:t>表</w:t>
            </w:r>
            <w:r>
              <w:rPr>
                <w:rFonts w:ascii="Times New Roman" w:hAnsi="Times New Roman" w:cs="Times New Roman" w:eastAsiaTheme="minorEastAsia"/>
                <w:b/>
                <w:bCs/>
                <w:color w:val="0C0C0C"/>
                <w:szCs w:val="21"/>
                <w:lang w:val="en-US"/>
              </w:rPr>
              <w:t>5-1</w:t>
            </w:r>
            <w:r>
              <w:rPr>
                <w:rFonts w:hint="eastAsia" w:ascii="Times New Roman" w:hAnsi="Times New Roman" w:cs="Times New Roman" w:eastAsiaTheme="minorEastAsia"/>
                <w:b/>
                <w:bCs/>
                <w:color w:val="0C0C0C"/>
                <w:szCs w:val="21"/>
                <w:lang w:val="en-US"/>
              </w:rPr>
              <w:t xml:space="preserve"> </w:t>
            </w:r>
            <w:r>
              <w:rPr>
                <w:rFonts w:ascii="Times New Roman" w:hAnsi="Times New Roman" w:cs="Times New Roman" w:eastAsiaTheme="minorEastAsia"/>
                <w:b/>
                <w:bCs/>
                <w:color w:val="0C0C0C"/>
                <w:szCs w:val="21"/>
                <w:lang w:val="en-US"/>
              </w:rPr>
              <w:t xml:space="preserve"> 环境保护图形符号一览表</w:t>
            </w:r>
          </w:p>
          <w:tbl>
            <w:tblPr>
              <w:tblStyle w:val="21"/>
              <w:tblW w:w="78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3"/>
              <w:gridCol w:w="3123"/>
              <w:gridCol w:w="2732"/>
            </w:tblGrid>
            <w:tr w14:paraId="3797C3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2003" w:type="dxa"/>
                  <w:tcBorders>
                    <w:tl2br w:val="nil"/>
                    <w:tr2bl w:val="nil"/>
                  </w:tcBorders>
                  <w:vAlign w:val="center"/>
                </w:tcPr>
                <w:p w14:paraId="36A49569">
                  <w:pPr>
                    <w:pStyle w:val="9"/>
                    <w:ind w:firstLine="0" w:firstLineChars="0"/>
                    <w:jc w:val="center"/>
                    <w:rPr>
                      <w:rFonts w:eastAsiaTheme="minorEastAsia"/>
                      <w:b/>
                      <w:bCs/>
                      <w:szCs w:val="21"/>
                    </w:rPr>
                  </w:pPr>
                  <w:r>
                    <w:rPr>
                      <w:rFonts w:eastAsiaTheme="minorEastAsia"/>
                      <w:b/>
                      <w:bCs/>
                      <w:szCs w:val="21"/>
                    </w:rPr>
                    <w:t>图形标志</w:t>
                  </w:r>
                </w:p>
              </w:tc>
              <w:tc>
                <w:tcPr>
                  <w:tcW w:w="3123" w:type="dxa"/>
                  <w:tcBorders>
                    <w:tl2br w:val="nil"/>
                    <w:tr2bl w:val="nil"/>
                  </w:tcBorders>
                  <w:vAlign w:val="center"/>
                </w:tcPr>
                <w:p w14:paraId="0AE2F45B">
                  <w:pPr>
                    <w:pStyle w:val="9"/>
                    <w:ind w:firstLine="0" w:firstLineChars="0"/>
                    <w:jc w:val="center"/>
                    <w:rPr>
                      <w:rFonts w:eastAsiaTheme="minorEastAsia"/>
                      <w:b/>
                      <w:bCs/>
                      <w:szCs w:val="21"/>
                    </w:rPr>
                  </w:pPr>
                  <w:r>
                    <w:rPr>
                      <w:rFonts w:eastAsiaTheme="minorEastAsia"/>
                      <w:b/>
                      <w:bCs/>
                      <w:szCs w:val="21"/>
                    </w:rPr>
                    <w:t>图形代表意义</w:t>
                  </w:r>
                </w:p>
              </w:tc>
              <w:tc>
                <w:tcPr>
                  <w:tcW w:w="2732" w:type="dxa"/>
                  <w:tcBorders>
                    <w:tl2br w:val="nil"/>
                    <w:tr2bl w:val="nil"/>
                  </w:tcBorders>
                  <w:vAlign w:val="center"/>
                </w:tcPr>
                <w:p w14:paraId="7138DDEB">
                  <w:pPr>
                    <w:pStyle w:val="9"/>
                    <w:ind w:firstLine="0" w:firstLineChars="0"/>
                    <w:jc w:val="center"/>
                    <w:rPr>
                      <w:rFonts w:eastAsiaTheme="minorEastAsia"/>
                      <w:b/>
                      <w:bCs/>
                      <w:szCs w:val="21"/>
                    </w:rPr>
                  </w:pPr>
                  <w:r>
                    <w:rPr>
                      <w:rFonts w:eastAsiaTheme="minorEastAsia"/>
                      <w:b/>
                      <w:bCs/>
                      <w:szCs w:val="21"/>
                    </w:rPr>
                    <w:t>符号简介</w:t>
                  </w:r>
                </w:p>
              </w:tc>
            </w:tr>
            <w:tr w14:paraId="6A378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2003" w:type="dxa"/>
                  <w:tcBorders>
                    <w:tl2br w:val="nil"/>
                    <w:tr2bl w:val="nil"/>
                  </w:tcBorders>
                  <w:vAlign w:val="center"/>
                </w:tcPr>
                <w:p w14:paraId="02D3A802">
                  <w:pPr>
                    <w:pStyle w:val="9"/>
                    <w:ind w:firstLine="0" w:firstLineChars="0"/>
                    <w:jc w:val="center"/>
                    <w:rPr>
                      <w:rFonts w:eastAsiaTheme="minorEastAsia"/>
                      <w:szCs w:val="21"/>
                    </w:rPr>
                  </w:pPr>
                  <w:r>
                    <w:rPr>
                      <w:rFonts w:eastAsiaTheme="minorEastAsia"/>
                      <w:szCs w:val="21"/>
                    </w:rPr>
                    <w:drawing>
                      <wp:inline distT="0" distB="0" distL="114300" distR="114300">
                        <wp:extent cx="587375" cy="5638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87375" cy="563880"/>
                                </a:xfrm>
                                <a:prstGeom prst="rect">
                                  <a:avLst/>
                                </a:prstGeom>
                                <a:noFill/>
                                <a:ln>
                                  <a:noFill/>
                                </a:ln>
                              </pic:spPr>
                            </pic:pic>
                          </a:graphicData>
                        </a:graphic>
                      </wp:inline>
                    </w:drawing>
                  </w:r>
                </w:p>
              </w:tc>
              <w:tc>
                <w:tcPr>
                  <w:tcW w:w="3123" w:type="dxa"/>
                  <w:tcBorders>
                    <w:tl2br w:val="nil"/>
                    <w:tr2bl w:val="nil"/>
                  </w:tcBorders>
                  <w:vAlign w:val="center"/>
                </w:tcPr>
                <w:p w14:paraId="43013925">
                  <w:pPr>
                    <w:pStyle w:val="9"/>
                    <w:ind w:firstLine="0" w:firstLineChars="0"/>
                    <w:jc w:val="center"/>
                    <w:rPr>
                      <w:rFonts w:eastAsiaTheme="minorEastAsia"/>
                      <w:szCs w:val="21"/>
                    </w:rPr>
                  </w:pPr>
                  <w:r>
                    <w:rPr>
                      <w:rFonts w:eastAsiaTheme="minorEastAsia"/>
                      <w:szCs w:val="21"/>
                    </w:rPr>
                    <w:t>标志名称：废气排放口国标代码：GB15562.1-1995</w:t>
                  </w:r>
                </w:p>
              </w:tc>
              <w:tc>
                <w:tcPr>
                  <w:tcW w:w="2732" w:type="dxa"/>
                  <w:tcBorders>
                    <w:tl2br w:val="nil"/>
                    <w:tr2bl w:val="nil"/>
                  </w:tcBorders>
                  <w:vAlign w:val="center"/>
                </w:tcPr>
                <w:p w14:paraId="4ECCDDDA">
                  <w:pPr>
                    <w:pStyle w:val="9"/>
                    <w:ind w:firstLine="0" w:firstLineChars="0"/>
                    <w:jc w:val="center"/>
                    <w:rPr>
                      <w:rFonts w:eastAsiaTheme="minorEastAsia"/>
                      <w:szCs w:val="21"/>
                    </w:rPr>
                  </w:pPr>
                  <w:r>
                    <w:rPr>
                      <w:rFonts w:eastAsiaTheme="minorEastAsia"/>
                      <w:szCs w:val="21"/>
                    </w:rPr>
                    <w:t>提示图形符号废气排放口表示废气向大气环境排放</w:t>
                  </w:r>
                </w:p>
              </w:tc>
            </w:tr>
            <w:tr w14:paraId="38684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2003" w:type="dxa"/>
                  <w:tcBorders>
                    <w:tl2br w:val="nil"/>
                    <w:tr2bl w:val="nil"/>
                  </w:tcBorders>
                  <w:vAlign w:val="center"/>
                </w:tcPr>
                <w:p w14:paraId="33F8AD8E">
                  <w:pPr>
                    <w:pStyle w:val="9"/>
                    <w:ind w:firstLine="0" w:firstLineChars="0"/>
                    <w:jc w:val="center"/>
                    <w:rPr>
                      <w:rFonts w:eastAsiaTheme="minorEastAsia"/>
                      <w:szCs w:val="21"/>
                    </w:rPr>
                  </w:pPr>
                  <w:r>
                    <w:rPr>
                      <w:rFonts w:eastAsiaTheme="minorEastAsia"/>
                      <w:szCs w:val="21"/>
                    </w:rPr>
                    <w:drawing>
                      <wp:inline distT="0" distB="0" distL="114300" distR="114300">
                        <wp:extent cx="687705" cy="639445"/>
                        <wp:effectExtent l="0" t="0" r="17145"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3"/>
                                <a:stretch>
                                  <a:fillRect/>
                                </a:stretch>
                              </pic:blipFill>
                              <pic:spPr>
                                <a:xfrm>
                                  <a:off x="0" y="0"/>
                                  <a:ext cx="687705" cy="639445"/>
                                </a:xfrm>
                                <a:prstGeom prst="rect">
                                  <a:avLst/>
                                </a:prstGeom>
                                <a:noFill/>
                                <a:ln>
                                  <a:noFill/>
                                </a:ln>
                              </pic:spPr>
                            </pic:pic>
                          </a:graphicData>
                        </a:graphic>
                      </wp:inline>
                    </w:drawing>
                  </w:r>
                </w:p>
              </w:tc>
              <w:tc>
                <w:tcPr>
                  <w:tcW w:w="3123" w:type="dxa"/>
                  <w:tcBorders>
                    <w:tl2br w:val="nil"/>
                    <w:tr2bl w:val="nil"/>
                  </w:tcBorders>
                  <w:vAlign w:val="center"/>
                </w:tcPr>
                <w:p w14:paraId="794CF4AC">
                  <w:pPr>
                    <w:pStyle w:val="9"/>
                    <w:ind w:firstLine="0" w:firstLineChars="0"/>
                    <w:jc w:val="center"/>
                    <w:rPr>
                      <w:rFonts w:eastAsiaTheme="minorEastAsia"/>
                      <w:szCs w:val="21"/>
                    </w:rPr>
                  </w:pPr>
                  <w:r>
                    <w:rPr>
                      <w:rFonts w:eastAsiaTheme="minorEastAsia"/>
                      <w:szCs w:val="21"/>
                    </w:rPr>
                    <w:t>标志名称：废气排放口国标代码：GB15562.1-1995</w:t>
                  </w:r>
                </w:p>
              </w:tc>
              <w:tc>
                <w:tcPr>
                  <w:tcW w:w="2732" w:type="dxa"/>
                  <w:tcBorders>
                    <w:tl2br w:val="nil"/>
                    <w:tr2bl w:val="nil"/>
                  </w:tcBorders>
                  <w:vAlign w:val="center"/>
                </w:tcPr>
                <w:p w14:paraId="37CBDC28">
                  <w:pPr>
                    <w:pStyle w:val="9"/>
                    <w:ind w:firstLine="0" w:firstLineChars="0"/>
                    <w:jc w:val="center"/>
                    <w:rPr>
                      <w:rFonts w:eastAsiaTheme="minorEastAsia"/>
                      <w:szCs w:val="21"/>
                    </w:rPr>
                  </w:pPr>
                  <w:r>
                    <w:rPr>
                      <w:rFonts w:eastAsiaTheme="minorEastAsia"/>
                      <w:szCs w:val="21"/>
                    </w:rPr>
                    <w:t>警告图形符号废气排放口表示废气向大气环境排放</w:t>
                  </w:r>
                </w:p>
              </w:tc>
            </w:tr>
            <w:tr w14:paraId="64E7A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2003" w:type="dxa"/>
                  <w:tcBorders>
                    <w:tl2br w:val="nil"/>
                    <w:tr2bl w:val="nil"/>
                  </w:tcBorders>
                  <w:vAlign w:val="center"/>
                </w:tcPr>
                <w:p w14:paraId="6582E8FC">
                  <w:pPr>
                    <w:pStyle w:val="9"/>
                    <w:ind w:firstLine="0" w:firstLineChars="0"/>
                    <w:jc w:val="center"/>
                    <w:rPr>
                      <w:rFonts w:eastAsiaTheme="minorEastAsia"/>
                      <w:szCs w:val="21"/>
                    </w:rPr>
                  </w:pPr>
                  <w:r>
                    <w:rPr>
                      <w:rFonts w:eastAsiaTheme="minorEastAsia"/>
                      <w:szCs w:val="21"/>
                    </w:rPr>
                    <w:drawing>
                      <wp:inline distT="0" distB="0" distL="114300" distR="114300">
                        <wp:extent cx="686435" cy="638810"/>
                        <wp:effectExtent l="0" t="0" r="18415"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4"/>
                                <a:stretch>
                                  <a:fillRect/>
                                </a:stretch>
                              </pic:blipFill>
                              <pic:spPr>
                                <a:xfrm>
                                  <a:off x="0" y="0"/>
                                  <a:ext cx="686435" cy="638810"/>
                                </a:xfrm>
                                <a:prstGeom prst="rect">
                                  <a:avLst/>
                                </a:prstGeom>
                                <a:noFill/>
                                <a:ln>
                                  <a:noFill/>
                                </a:ln>
                              </pic:spPr>
                            </pic:pic>
                          </a:graphicData>
                        </a:graphic>
                      </wp:inline>
                    </w:drawing>
                  </w:r>
                </w:p>
              </w:tc>
              <w:tc>
                <w:tcPr>
                  <w:tcW w:w="3123" w:type="dxa"/>
                  <w:tcBorders>
                    <w:tl2br w:val="nil"/>
                    <w:tr2bl w:val="nil"/>
                  </w:tcBorders>
                  <w:vAlign w:val="center"/>
                </w:tcPr>
                <w:p w14:paraId="6E27592F">
                  <w:pPr>
                    <w:pStyle w:val="9"/>
                    <w:ind w:firstLine="0" w:firstLineChars="0"/>
                    <w:jc w:val="center"/>
                    <w:rPr>
                      <w:rFonts w:eastAsiaTheme="minorEastAsia"/>
                      <w:szCs w:val="21"/>
                    </w:rPr>
                  </w:pPr>
                  <w:r>
                    <w:rPr>
                      <w:rFonts w:eastAsiaTheme="minorEastAsia"/>
                      <w:szCs w:val="21"/>
                    </w:rPr>
                    <w:t>标志名称：噪声排放源国标代码：GB15562.1-1995</w:t>
                  </w:r>
                </w:p>
              </w:tc>
              <w:tc>
                <w:tcPr>
                  <w:tcW w:w="2732" w:type="dxa"/>
                  <w:tcBorders>
                    <w:tl2br w:val="nil"/>
                    <w:tr2bl w:val="nil"/>
                  </w:tcBorders>
                  <w:vAlign w:val="center"/>
                </w:tcPr>
                <w:p w14:paraId="79751D9A">
                  <w:pPr>
                    <w:pStyle w:val="9"/>
                    <w:ind w:firstLine="0" w:firstLineChars="0"/>
                    <w:jc w:val="center"/>
                    <w:rPr>
                      <w:rFonts w:eastAsiaTheme="minorEastAsia"/>
                      <w:szCs w:val="21"/>
                    </w:rPr>
                  </w:pPr>
                  <w:r>
                    <w:rPr>
                      <w:rFonts w:eastAsiaTheme="minorEastAsia"/>
                      <w:szCs w:val="21"/>
                    </w:rPr>
                    <w:t>提示图形符号噪声排放源表示噪声向外环境排放</w:t>
                  </w:r>
                </w:p>
              </w:tc>
            </w:tr>
            <w:tr w14:paraId="5C432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2003" w:type="dxa"/>
                  <w:tcBorders>
                    <w:tl2br w:val="nil"/>
                    <w:tr2bl w:val="nil"/>
                  </w:tcBorders>
                  <w:vAlign w:val="center"/>
                </w:tcPr>
                <w:p w14:paraId="223BF214">
                  <w:pPr>
                    <w:pStyle w:val="9"/>
                    <w:ind w:firstLine="0" w:firstLineChars="0"/>
                    <w:jc w:val="center"/>
                    <w:rPr>
                      <w:rFonts w:eastAsiaTheme="minorEastAsia"/>
                      <w:szCs w:val="21"/>
                    </w:rPr>
                  </w:pPr>
                  <w:r>
                    <w:rPr>
                      <w:rFonts w:eastAsiaTheme="minorEastAsia"/>
                      <w:szCs w:val="21"/>
                    </w:rPr>
                    <w:drawing>
                      <wp:inline distT="0" distB="0" distL="114300" distR="114300">
                        <wp:extent cx="714375" cy="626745"/>
                        <wp:effectExtent l="0" t="0" r="9525" b="19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45"/>
                                <a:stretch>
                                  <a:fillRect/>
                                </a:stretch>
                              </pic:blipFill>
                              <pic:spPr>
                                <a:xfrm>
                                  <a:off x="0" y="0"/>
                                  <a:ext cx="714375" cy="626745"/>
                                </a:xfrm>
                                <a:prstGeom prst="rect">
                                  <a:avLst/>
                                </a:prstGeom>
                                <a:noFill/>
                                <a:ln>
                                  <a:noFill/>
                                </a:ln>
                              </pic:spPr>
                            </pic:pic>
                          </a:graphicData>
                        </a:graphic>
                      </wp:inline>
                    </w:drawing>
                  </w:r>
                </w:p>
              </w:tc>
              <w:tc>
                <w:tcPr>
                  <w:tcW w:w="3123" w:type="dxa"/>
                  <w:tcBorders>
                    <w:tl2br w:val="nil"/>
                    <w:tr2bl w:val="nil"/>
                  </w:tcBorders>
                  <w:vAlign w:val="center"/>
                </w:tcPr>
                <w:p w14:paraId="55F96147">
                  <w:pPr>
                    <w:pStyle w:val="9"/>
                    <w:ind w:firstLine="0" w:firstLineChars="0"/>
                    <w:jc w:val="center"/>
                    <w:rPr>
                      <w:rFonts w:eastAsiaTheme="minorEastAsia"/>
                      <w:szCs w:val="21"/>
                    </w:rPr>
                  </w:pPr>
                  <w:r>
                    <w:rPr>
                      <w:rFonts w:eastAsiaTheme="minorEastAsia"/>
                      <w:szCs w:val="21"/>
                    </w:rPr>
                    <w:t>标志名称：噪声排放源国标代码：GB15562.1-1995</w:t>
                  </w:r>
                </w:p>
              </w:tc>
              <w:tc>
                <w:tcPr>
                  <w:tcW w:w="2732" w:type="dxa"/>
                  <w:tcBorders>
                    <w:tl2br w:val="nil"/>
                    <w:tr2bl w:val="nil"/>
                  </w:tcBorders>
                  <w:vAlign w:val="center"/>
                </w:tcPr>
                <w:p w14:paraId="2A14BC6B">
                  <w:pPr>
                    <w:pStyle w:val="9"/>
                    <w:ind w:firstLine="0" w:firstLineChars="0"/>
                    <w:jc w:val="center"/>
                    <w:rPr>
                      <w:rFonts w:eastAsiaTheme="minorEastAsia"/>
                      <w:szCs w:val="21"/>
                    </w:rPr>
                  </w:pPr>
                  <w:r>
                    <w:rPr>
                      <w:rFonts w:eastAsiaTheme="minorEastAsia"/>
                      <w:szCs w:val="21"/>
                    </w:rPr>
                    <w:t>警告图形符号噪声排放源表示噪声向外环境排放</w:t>
                  </w:r>
                </w:p>
              </w:tc>
            </w:tr>
            <w:tr w14:paraId="70546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2003" w:type="dxa"/>
                  <w:tcBorders>
                    <w:tl2br w:val="nil"/>
                    <w:tr2bl w:val="nil"/>
                  </w:tcBorders>
                  <w:vAlign w:val="center"/>
                </w:tcPr>
                <w:p w14:paraId="11650668">
                  <w:pPr>
                    <w:pStyle w:val="9"/>
                    <w:ind w:firstLine="0" w:firstLineChars="0"/>
                    <w:jc w:val="center"/>
                    <w:rPr>
                      <w:rFonts w:eastAsiaTheme="minorEastAsia"/>
                      <w:szCs w:val="21"/>
                    </w:rPr>
                  </w:pPr>
                  <w:r>
                    <w:rPr>
                      <w:rFonts w:eastAsiaTheme="minorEastAsia"/>
                      <w:szCs w:val="21"/>
                    </w:rPr>
                    <w:drawing>
                      <wp:inline distT="0" distB="0" distL="114300" distR="114300">
                        <wp:extent cx="769620" cy="639445"/>
                        <wp:effectExtent l="0" t="0" r="11430" b="825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46"/>
                                <a:stretch>
                                  <a:fillRect/>
                                </a:stretch>
                              </pic:blipFill>
                              <pic:spPr>
                                <a:xfrm>
                                  <a:off x="0" y="0"/>
                                  <a:ext cx="769620" cy="639445"/>
                                </a:xfrm>
                                <a:prstGeom prst="rect">
                                  <a:avLst/>
                                </a:prstGeom>
                                <a:noFill/>
                                <a:ln>
                                  <a:noFill/>
                                </a:ln>
                              </pic:spPr>
                            </pic:pic>
                          </a:graphicData>
                        </a:graphic>
                      </wp:inline>
                    </w:drawing>
                  </w:r>
                </w:p>
              </w:tc>
              <w:tc>
                <w:tcPr>
                  <w:tcW w:w="3123" w:type="dxa"/>
                  <w:tcBorders>
                    <w:tl2br w:val="nil"/>
                    <w:tr2bl w:val="nil"/>
                  </w:tcBorders>
                  <w:vAlign w:val="center"/>
                </w:tcPr>
                <w:p w14:paraId="38DD51D6">
                  <w:pPr>
                    <w:pStyle w:val="9"/>
                    <w:ind w:firstLine="0" w:firstLineChars="0"/>
                    <w:jc w:val="center"/>
                    <w:rPr>
                      <w:rFonts w:eastAsiaTheme="minorEastAsia"/>
                      <w:szCs w:val="21"/>
                    </w:rPr>
                  </w:pPr>
                  <w:r>
                    <w:rPr>
                      <w:rFonts w:eastAsiaTheme="minorEastAsia"/>
                      <w:szCs w:val="21"/>
                    </w:rPr>
                    <w:t>标志名称：固体废物提示国标代码：GB15562.1-1995</w:t>
                  </w:r>
                </w:p>
              </w:tc>
              <w:tc>
                <w:tcPr>
                  <w:tcW w:w="2732" w:type="dxa"/>
                  <w:tcBorders>
                    <w:tl2br w:val="nil"/>
                    <w:tr2bl w:val="nil"/>
                  </w:tcBorders>
                  <w:vAlign w:val="center"/>
                </w:tcPr>
                <w:p w14:paraId="249778D7">
                  <w:pPr>
                    <w:pStyle w:val="9"/>
                    <w:ind w:firstLine="0" w:firstLineChars="0"/>
                    <w:jc w:val="center"/>
                    <w:rPr>
                      <w:rFonts w:eastAsiaTheme="minorEastAsia"/>
                      <w:szCs w:val="21"/>
                    </w:rPr>
                  </w:pPr>
                  <w:r>
                    <w:rPr>
                      <w:rFonts w:eastAsiaTheme="minorEastAsia"/>
                      <w:szCs w:val="21"/>
                    </w:rPr>
                    <w:t>固体废物提示</w:t>
                  </w:r>
                </w:p>
              </w:tc>
            </w:tr>
            <w:tr w14:paraId="2DFC3E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003" w:type="dxa"/>
                  <w:tcBorders>
                    <w:tl2br w:val="nil"/>
                    <w:tr2bl w:val="nil"/>
                  </w:tcBorders>
                  <w:vAlign w:val="center"/>
                </w:tcPr>
                <w:p w14:paraId="41A65153">
                  <w:pPr>
                    <w:pStyle w:val="9"/>
                    <w:ind w:firstLine="0" w:firstLineChars="0"/>
                    <w:jc w:val="center"/>
                    <w:rPr>
                      <w:rFonts w:eastAsiaTheme="minorEastAsia"/>
                      <w:szCs w:val="21"/>
                    </w:rPr>
                  </w:pPr>
                  <w:r>
                    <w:rPr>
                      <w:rFonts w:eastAsiaTheme="minorEastAsia"/>
                      <w:szCs w:val="21"/>
                    </w:rPr>
                    <w:drawing>
                      <wp:inline distT="0" distB="0" distL="114300" distR="114300">
                        <wp:extent cx="654685" cy="570230"/>
                        <wp:effectExtent l="0" t="0" r="12065" b="12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47"/>
                                <a:stretch>
                                  <a:fillRect/>
                                </a:stretch>
                              </pic:blipFill>
                              <pic:spPr>
                                <a:xfrm>
                                  <a:off x="0" y="0"/>
                                  <a:ext cx="654685" cy="570230"/>
                                </a:xfrm>
                                <a:prstGeom prst="rect">
                                  <a:avLst/>
                                </a:prstGeom>
                                <a:noFill/>
                                <a:ln>
                                  <a:noFill/>
                                </a:ln>
                              </pic:spPr>
                            </pic:pic>
                          </a:graphicData>
                        </a:graphic>
                      </wp:inline>
                    </w:drawing>
                  </w:r>
                </w:p>
              </w:tc>
              <w:tc>
                <w:tcPr>
                  <w:tcW w:w="3123" w:type="dxa"/>
                  <w:tcBorders>
                    <w:tl2br w:val="nil"/>
                    <w:tr2bl w:val="nil"/>
                  </w:tcBorders>
                  <w:vAlign w:val="center"/>
                </w:tcPr>
                <w:p w14:paraId="4482CAB2">
                  <w:pPr>
                    <w:pStyle w:val="9"/>
                    <w:ind w:firstLine="0" w:firstLineChars="0"/>
                    <w:jc w:val="center"/>
                    <w:rPr>
                      <w:rFonts w:eastAsiaTheme="minorEastAsia"/>
                      <w:szCs w:val="21"/>
                    </w:rPr>
                  </w:pPr>
                  <w:r>
                    <w:rPr>
                      <w:rFonts w:eastAsiaTheme="minorEastAsia"/>
                      <w:szCs w:val="21"/>
                    </w:rPr>
                    <w:t>标志名称：一般固体废物国标代码：GB15562.1-1995</w:t>
                  </w:r>
                </w:p>
              </w:tc>
              <w:tc>
                <w:tcPr>
                  <w:tcW w:w="2732" w:type="dxa"/>
                  <w:tcBorders>
                    <w:tl2br w:val="nil"/>
                    <w:tr2bl w:val="nil"/>
                  </w:tcBorders>
                  <w:vAlign w:val="center"/>
                </w:tcPr>
                <w:p w14:paraId="53EB0570">
                  <w:pPr>
                    <w:pStyle w:val="9"/>
                    <w:ind w:firstLine="0" w:firstLineChars="0"/>
                    <w:jc w:val="center"/>
                    <w:rPr>
                      <w:rFonts w:eastAsiaTheme="minorEastAsia"/>
                      <w:szCs w:val="21"/>
                    </w:rPr>
                  </w:pPr>
                  <w:r>
                    <w:rPr>
                      <w:rFonts w:eastAsiaTheme="minorEastAsia"/>
                      <w:szCs w:val="21"/>
                    </w:rPr>
                    <w:t>一般固体废物</w:t>
                  </w:r>
                </w:p>
              </w:tc>
            </w:tr>
            <w:tr w14:paraId="018DC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05" w:hRule="atLeast"/>
                <w:jc w:val="center"/>
              </w:trPr>
              <w:tc>
                <w:tcPr>
                  <w:tcW w:w="2003" w:type="dxa"/>
                  <w:tcBorders>
                    <w:tl2br w:val="nil"/>
                    <w:tr2bl w:val="nil"/>
                  </w:tcBorders>
                  <w:vAlign w:val="center"/>
                </w:tcPr>
                <w:p w14:paraId="3D2D0972">
                  <w:pPr>
                    <w:pStyle w:val="9"/>
                    <w:ind w:firstLine="0" w:firstLineChars="0"/>
                    <w:jc w:val="center"/>
                    <w:rPr>
                      <w:rFonts w:eastAsiaTheme="minorEastAsia"/>
                      <w:szCs w:val="21"/>
                    </w:rPr>
                  </w:pPr>
                  <w:r>
                    <w:rPr>
                      <w:rFonts w:eastAsiaTheme="minorEastAsia"/>
                      <w:szCs w:val="21"/>
                    </w:rPr>
                    <w:drawing>
                      <wp:inline distT="0" distB="0" distL="0" distR="0">
                        <wp:extent cx="685165" cy="616585"/>
                        <wp:effectExtent l="0" t="0" r="635" b="12065"/>
                        <wp:docPr id="10" name="图片 10" descr="C:\Users\ADMINI~1\AppData\Local\Temp\WeChat Files\80d6a1076fb6d9d6da00ad1e2130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WeChat Files\80d6a1076fb6d9d6da00ad1e2130848.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88688" cy="619720"/>
                                </a:xfrm>
                                <a:prstGeom prst="rect">
                                  <a:avLst/>
                                </a:prstGeom>
                                <a:noFill/>
                                <a:ln>
                                  <a:noFill/>
                                </a:ln>
                              </pic:spPr>
                            </pic:pic>
                          </a:graphicData>
                        </a:graphic>
                      </wp:inline>
                    </w:drawing>
                  </w:r>
                </w:p>
              </w:tc>
              <w:tc>
                <w:tcPr>
                  <w:tcW w:w="3123" w:type="dxa"/>
                  <w:tcBorders>
                    <w:tl2br w:val="nil"/>
                    <w:tr2bl w:val="nil"/>
                  </w:tcBorders>
                  <w:vAlign w:val="center"/>
                </w:tcPr>
                <w:p w14:paraId="70D78C02">
                  <w:pPr>
                    <w:pStyle w:val="9"/>
                    <w:ind w:firstLine="0" w:firstLineChars="0"/>
                    <w:jc w:val="center"/>
                    <w:rPr>
                      <w:rFonts w:eastAsiaTheme="minorEastAsia"/>
                      <w:szCs w:val="21"/>
                    </w:rPr>
                  </w:pPr>
                  <w:r>
                    <w:rPr>
                      <w:rFonts w:eastAsiaTheme="minorEastAsia"/>
                      <w:szCs w:val="21"/>
                    </w:rPr>
                    <w:t>标志名称：</w:t>
                  </w:r>
                  <w:r>
                    <w:rPr>
                      <w:rFonts w:hint="eastAsia" w:eastAsiaTheme="minorEastAsia"/>
                      <w:szCs w:val="21"/>
                    </w:rPr>
                    <w:t>《危险废物识别标志设置技术规范》</w:t>
                  </w:r>
                  <w:r>
                    <w:rPr>
                      <w:rFonts w:eastAsiaTheme="minorEastAsia"/>
                      <w:szCs w:val="21"/>
                    </w:rPr>
                    <w:t>（</w:t>
                  </w:r>
                  <w:r>
                    <w:rPr>
                      <w:rFonts w:hint="eastAsia" w:eastAsiaTheme="minorEastAsia"/>
                      <w:szCs w:val="21"/>
                    </w:rPr>
                    <w:t>HJ1276-2022</w:t>
                  </w:r>
                  <w:r>
                    <w:rPr>
                      <w:rFonts w:eastAsiaTheme="minorEastAsia"/>
                      <w:szCs w:val="21"/>
                    </w:rPr>
                    <w:t>）</w:t>
                  </w:r>
                </w:p>
              </w:tc>
              <w:tc>
                <w:tcPr>
                  <w:tcW w:w="2732" w:type="dxa"/>
                  <w:tcBorders>
                    <w:tl2br w:val="nil"/>
                    <w:tr2bl w:val="nil"/>
                  </w:tcBorders>
                  <w:vAlign w:val="center"/>
                </w:tcPr>
                <w:p w14:paraId="6A37FB2A">
                  <w:pPr>
                    <w:pStyle w:val="9"/>
                    <w:ind w:firstLine="0" w:firstLineChars="0"/>
                    <w:jc w:val="center"/>
                    <w:rPr>
                      <w:rFonts w:eastAsiaTheme="minorEastAsia"/>
                      <w:szCs w:val="21"/>
                    </w:rPr>
                  </w:pPr>
                  <w:r>
                    <w:rPr>
                      <w:rFonts w:eastAsiaTheme="minorEastAsia"/>
                      <w:szCs w:val="21"/>
                    </w:rPr>
                    <w:t>危险废物暂存场所</w:t>
                  </w:r>
                </w:p>
              </w:tc>
            </w:tr>
          </w:tbl>
          <w:p w14:paraId="54F0F45B">
            <w:pPr>
              <w:pStyle w:val="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eastAsiaTheme="minorEastAsia"/>
                <w:b/>
                <w:bCs/>
                <w:szCs w:val="21"/>
              </w:rPr>
            </w:pPr>
            <w:r>
              <w:rPr>
                <w:rFonts w:eastAsiaTheme="minorEastAsia"/>
                <w:b/>
                <w:bCs/>
                <w:szCs w:val="21"/>
              </w:rPr>
              <w:t>表5-2</w:t>
            </w:r>
            <w:r>
              <w:rPr>
                <w:rFonts w:hint="eastAsia" w:eastAsiaTheme="minorEastAsia"/>
                <w:b/>
                <w:bCs/>
                <w:szCs w:val="21"/>
              </w:rPr>
              <w:t xml:space="preserve">  </w:t>
            </w:r>
            <w:r>
              <w:rPr>
                <w:rFonts w:eastAsiaTheme="minorEastAsia"/>
                <w:b/>
                <w:bCs/>
                <w:szCs w:val="21"/>
              </w:rPr>
              <w:t>排污口规范化管理要求表</w:t>
            </w:r>
          </w:p>
          <w:tbl>
            <w:tblPr>
              <w:tblStyle w:val="21"/>
              <w:tblW w:w="7859"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09"/>
              <w:gridCol w:w="6950"/>
            </w:tblGrid>
            <w:tr w14:paraId="45B6872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909" w:type="dxa"/>
                  <w:tcBorders>
                    <w:tl2br w:val="nil"/>
                    <w:tr2bl w:val="nil"/>
                  </w:tcBorders>
                  <w:vAlign w:val="center"/>
                </w:tcPr>
                <w:p w14:paraId="1B03FEA2">
                  <w:pPr>
                    <w:pStyle w:val="9"/>
                    <w:ind w:firstLine="0" w:firstLineChars="0"/>
                    <w:jc w:val="center"/>
                    <w:rPr>
                      <w:rFonts w:eastAsiaTheme="minorEastAsia"/>
                      <w:b/>
                      <w:bCs/>
                      <w:szCs w:val="21"/>
                    </w:rPr>
                  </w:pPr>
                  <w:r>
                    <w:rPr>
                      <w:rFonts w:eastAsiaTheme="minorEastAsia"/>
                      <w:b/>
                      <w:bCs/>
                      <w:szCs w:val="21"/>
                    </w:rPr>
                    <w:t>项目</w:t>
                  </w:r>
                </w:p>
              </w:tc>
              <w:tc>
                <w:tcPr>
                  <w:tcW w:w="6950" w:type="dxa"/>
                  <w:tcBorders>
                    <w:tl2br w:val="nil"/>
                    <w:tr2bl w:val="nil"/>
                  </w:tcBorders>
                </w:tcPr>
                <w:p w14:paraId="048006E2">
                  <w:pPr>
                    <w:pStyle w:val="9"/>
                    <w:ind w:firstLine="0" w:firstLineChars="0"/>
                    <w:jc w:val="center"/>
                    <w:rPr>
                      <w:rFonts w:eastAsiaTheme="minorEastAsia"/>
                      <w:b/>
                      <w:bCs/>
                      <w:szCs w:val="21"/>
                    </w:rPr>
                  </w:pPr>
                  <w:r>
                    <w:rPr>
                      <w:rFonts w:eastAsiaTheme="minorEastAsia"/>
                      <w:b/>
                      <w:bCs/>
                      <w:szCs w:val="21"/>
                    </w:rPr>
                    <w:t>主要要求内容</w:t>
                  </w:r>
                </w:p>
              </w:tc>
            </w:tr>
            <w:tr w14:paraId="623B53B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71" w:hRule="atLeast"/>
                <w:jc w:val="center"/>
              </w:trPr>
              <w:tc>
                <w:tcPr>
                  <w:tcW w:w="909" w:type="dxa"/>
                  <w:tcBorders>
                    <w:tl2br w:val="nil"/>
                    <w:tr2bl w:val="nil"/>
                  </w:tcBorders>
                  <w:vAlign w:val="center"/>
                </w:tcPr>
                <w:p w14:paraId="4D7CEE24">
                  <w:pPr>
                    <w:pStyle w:val="9"/>
                    <w:ind w:firstLine="0" w:firstLineChars="0"/>
                    <w:jc w:val="center"/>
                    <w:rPr>
                      <w:rFonts w:eastAsiaTheme="minorEastAsia"/>
                      <w:szCs w:val="21"/>
                    </w:rPr>
                  </w:pPr>
                  <w:r>
                    <w:rPr>
                      <w:rFonts w:eastAsiaTheme="minorEastAsia"/>
                      <w:szCs w:val="21"/>
                    </w:rPr>
                    <w:t>基本</w:t>
                  </w:r>
                </w:p>
                <w:p w14:paraId="4CF2D617">
                  <w:pPr>
                    <w:pStyle w:val="9"/>
                    <w:ind w:firstLine="0" w:firstLineChars="0"/>
                    <w:jc w:val="center"/>
                    <w:rPr>
                      <w:rFonts w:eastAsiaTheme="minorEastAsia"/>
                      <w:szCs w:val="21"/>
                    </w:rPr>
                  </w:pPr>
                  <w:r>
                    <w:rPr>
                      <w:rFonts w:eastAsiaTheme="minorEastAsia"/>
                      <w:szCs w:val="21"/>
                    </w:rPr>
                    <w:t>原则</w:t>
                  </w:r>
                </w:p>
              </w:tc>
              <w:tc>
                <w:tcPr>
                  <w:tcW w:w="6950" w:type="dxa"/>
                  <w:tcBorders>
                    <w:tl2br w:val="nil"/>
                    <w:tr2bl w:val="nil"/>
                  </w:tcBorders>
                </w:tcPr>
                <w:p w14:paraId="04FE62CE">
                  <w:pPr>
                    <w:pStyle w:val="9"/>
                    <w:ind w:firstLine="0" w:firstLineChars="0"/>
                    <w:rPr>
                      <w:rFonts w:eastAsiaTheme="minorEastAsia"/>
                      <w:szCs w:val="21"/>
                    </w:rPr>
                  </w:pPr>
                  <w:r>
                    <w:rPr>
                      <w:rFonts w:eastAsiaTheme="minorEastAsia"/>
                      <w:szCs w:val="21"/>
                    </w:rPr>
                    <w:t>1、凡向环境排放污染物的一切排污口必须进行规范化管理；</w:t>
                  </w:r>
                </w:p>
                <w:p w14:paraId="444DFFB4">
                  <w:pPr>
                    <w:pStyle w:val="9"/>
                    <w:ind w:firstLine="0" w:firstLineChars="0"/>
                    <w:rPr>
                      <w:rFonts w:eastAsiaTheme="minorEastAsia"/>
                      <w:szCs w:val="21"/>
                    </w:rPr>
                  </w:pPr>
                  <w:r>
                    <w:rPr>
                      <w:rFonts w:eastAsiaTheme="minorEastAsia"/>
                      <w:szCs w:val="21"/>
                    </w:rPr>
                    <w:t>2、将总量控制的污染物排污口及行业特征污染物排放口列为管理的重点；</w:t>
                  </w:r>
                </w:p>
                <w:p w14:paraId="374B7657">
                  <w:pPr>
                    <w:pStyle w:val="9"/>
                    <w:ind w:firstLine="0" w:firstLineChars="0"/>
                    <w:rPr>
                      <w:rFonts w:eastAsiaTheme="minorEastAsia"/>
                      <w:szCs w:val="21"/>
                    </w:rPr>
                  </w:pPr>
                  <w:r>
                    <w:rPr>
                      <w:rFonts w:eastAsiaTheme="minorEastAsia"/>
                      <w:szCs w:val="21"/>
                    </w:rPr>
                    <w:t>3、排污口设置应便于采样和计量监测，便于日常现场监督和检查；</w:t>
                  </w:r>
                </w:p>
                <w:p w14:paraId="43AD8B33">
                  <w:pPr>
                    <w:pStyle w:val="9"/>
                    <w:ind w:firstLine="0" w:firstLineChars="0"/>
                    <w:rPr>
                      <w:rFonts w:eastAsiaTheme="minorEastAsia"/>
                      <w:szCs w:val="21"/>
                    </w:rPr>
                  </w:pPr>
                  <w:r>
                    <w:rPr>
                      <w:rFonts w:eastAsiaTheme="minorEastAsia"/>
                      <w:szCs w:val="21"/>
                    </w:rPr>
                    <w:t>4、如实向环保行政主管部门申报排污口位置，排污种类、数量、浓度与排放去向等。</w:t>
                  </w:r>
                </w:p>
              </w:tc>
            </w:tr>
            <w:tr w14:paraId="5D1A56B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12" w:hRule="atLeast"/>
                <w:jc w:val="center"/>
              </w:trPr>
              <w:tc>
                <w:tcPr>
                  <w:tcW w:w="909" w:type="dxa"/>
                  <w:tcBorders>
                    <w:tl2br w:val="nil"/>
                    <w:tr2bl w:val="nil"/>
                  </w:tcBorders>
                  <w:vAlign w:val="center"/>
                </w:tcPr>
                <w:p w14:paraId="50B6C261">
                  <w:pPr>
                    <w:pStyle w:val="9"/>
                    <w:ind w:firstLine="0" w:firstLineChars="0"/>
                    <w:jc w:val="center"/>
                    <w:rPr>
                      <w:rFonts w:eastAsiaTheme="minorEastAsia"/>
                      <w:szCs w:val="21"/>
                    </w:rPr>
                  </w:pPr>
                  <w:r>
                    <w:rPr>
                      <w:rFonts w:eastAsiaTheme="minorEastAsia"/>
                      <w:szCs w:val="21"/>
                    </w:rPr>
                    <w:t>技术</w:t>
                  </w:r>
                </w:p>
                <w:p w14:paraId="6768B584">
                  <w:pPr>
                    <w:pStyle w:val="9"/>
                    <w:ind w:firstLine="0" w:firstLineChars="0"/>
                    <w:jc w:val="center"/>
                    <w:rPr>
                      <w:rFonts w:eastAsiaTheme="minorEastAsia"/>
                      <w:szCs w:val="21"/>
                    </w:rPr>
                  </w:pPr>
                  <w:r>
                    <w:rPr>
                      <w:rFonts w:eastAsiaTheme="minorEastAsia"/>
                      <w:szCs w:val="21"/>
                    </w:rPr>
                    <w:t>要求</w:t>
                  </w:r>
                </w:p>
              </w:tc>
              <w:tc>
                <w:tcPr>
                  <w:tcW w:w="6950" w:type="dxa"/>
                  <w:tcBorders>
                    <w:tl2br w:val="nil"/>
                    <w:tr2bl w:val="nil"/>
                  </w:tcBorders>
                </w:tcPr>
                <w:p w14:paraId="2B3645CD">
                  <w:pPr>
                    <w:widowControl/>
                    <w:rPr>
                      <w:rFonts w:eastAsiaTheme="minorEastAsia"/>
                      <w:szCs w:val="21"/>
                    </w:rPr>
                  </w:pPr>
                  <w:r>
                    <w:rPr>
                      <w:rFonts w:eastAsiaTheme="minorEastAsia"/>
                      <w:kern w:val="0"/>
                      <w:szCs w:val="21"/>
                      <w:lang w:bidi="ar"/>
                    </w:rPr>
                    <w:t>1、排污口位置必须按照环监(1996)470号文要求合理确定，实行规范化管理；</w:t>
                  </w:r>
                </w:p>
                <w:p w14:paraId="387E54DC">
                  <w:pPr>
                    <w:widowControl/>
                    <w:rPr>
                      <w:rFonts w:eastAsiaTheme="minorEastAsia"/>
                      <w:szCs w:val="21"/>
                    </w:rPr>
                  </w:pPr>
                  <w:r>
                    <w:rPr>
                      <w:rFonts w:eastAsiaTheme="minorEastAsia"/>
                      <w:kern w:val="0"/>
                      <w:szCs w:val="21"/>
                      <w:lang w:bidi="ar"/>
                    </w:rPr>
                    <w:t>2、危险废物贮存设施应根据贮存的废物种类和特性按照GB18597附录A设置</w:t>
                  </w:r>
                  <w:r>
                    <w:rPr>
                      <w:rFonts w:hint="eastAsia" w:eastAsiaTheme="minorEastAsia"/>
                      <w:kern w:val="0"/>
                      <w:szCs w:val="21"/>
                      <w:lang w:eastAsia="zh-CN" w:bidi="ar"/>
                    </w:rPr>
                    <w:t>标识</w:t>
                  </w:r>
                  <w:r>
                    <w:rPr>
                      <w:rFonts w:eastAsiaTheme="minorEastAsia"/>
                      <w:kern w:val="0"/>
                      <w:szCs w:val="21"/>
                      <w:lang w:bidi="ar"/>
                    </w:rPr>
                    <w:t>；</w:t>
                  </w:r>
                </w:p>
                <w:p w14:paraId="4511E192">
                  <w:pPr>
                    <w:widowControl/>
                    <w:rPr>
                      <w:rFonts w:eastAsiaTheme="minorEastAsia"/>
                      <w:szCs w:val="21"/>
                    </w:rPr>
                  </w:pPr>
                  <w:r>
                    <w:rPr>
                      <w:rFonts w:eastAsiaTheme="minorEastAsia"/>
                      <w:kern w:val="0"/>
                      <w:szCs w:val="21"/>
                      <w:lang w:bidi="ar"/>
                    </w:rPr>
                    <w:t>3、具体设置应符合《污染源监测技术规范》的规定与要求。</w:t>
                  </w:r>
                </w:p>
              </w:tc>
            </w:tr>
            <w:tr w14:paraId="0D1889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178" w:hRule="atLeast"/>
                <w:jc w:val="center"/>
              </w:trPr>
              <w:tc>
                <w:tcPr>
                  <w:tcW w:w="909" w:type="dxa"/>
                  <w:tcBorders>
                    <w:tl2br w:val="nil"/>
                    <w:tr2bl w:val="nil"/>
                  </w:tcBorders>
                  <w:vAlign w:val="center"/>
                </w:tcPr>
                <w:p w14:paraId="70EEF6FF">
                  <w:pPr>
                    <w:pStyle w:val="9"/>
                    <w:ind w:firstLine="0" w:firstLineChars="0"/>
                    <w:jc w:val="center"/>
                    <w:rPr>
                      <w:rFonts w:eastAsiaTheme="minorEastAsia"/>
                      <w:szCs w:val="21"/>
                    </w:rPr>
                  </w:pPr>
                  <w:r>
                    <w:rPr>
                      <w:rFonts w:eastAsiaTheme="minorEastAsia"/>
                      <w:szCs w:val="21"/>
                    </w:rPr>
                    <w:t>立标</w:t>
                  </w:r>
                </w:p>
                <w:p w14:paraId="451B94BA">
                  <w:pPr>
                    <w:pStyle w:val="9"/>
                    <w:ind w:firstLine="0" w:firstLineChars="0"/>
                    <w:jc w:val="center"/>
                    <w:rPr>
                      <w:rFonts w:eastAsiaTheme="minorEastAsia"/>
                      <w:szCs w:val="21"/>
                    </w:rPr>
                  </w:pPr>
                  <w:r>
                    <w:rPr>
                      <w:rFonts w:eastAsiaTheme="minorEastAsia"/>
                      <w:szCs w:val="21"/>
                    </w:rPr>
                    <w:t>管理</w:t>
                  </w:r>
                </w:p>
              </w:tc>
              <w:tc>
                <w:tcPr>
                  <w:tcW w:w="6950" w:type="dxa"/>
                  <w:tcBorders>
                    <w:tl2br w:val="nil"/>
                    <w:tr2bl w:val="nil"/>
                  </w:tcBorders>
                </w:tcPr>
                <w:p w14:paraId="2E739852">
                  <w:pPr>
                    <w:widowControl/>
                    <w:rPr>
                      <w:rFonts w:eastAsiaTheme="minorEastAsia"/>
                      <w:szCs w:val="21"/>
                    </w:rPr>
                  </w:pPr>
                  <w:r>
                    <w:rPr>
                      <w:rFonts w:eastAsiaTheme="minorEastAsia"/>
                      <w:kern w:val="0"/>
                      <w:szCs w:val="21"/>
                      <w:lang w:bidi="ar"/>
                    </w:rPr>
                    <w:t>1、排污口必须按照国家《环境保护图形标志》相关规定，设置环保图形标志牌；</w:t>
                  </w:r>
                </w:p>
                <w:p w14:paraId="0EBA1136">
                  <w:pPr>
                    <w:widowControl/>
                    <w:rPr>
                      <w:rFonts w:eastAsiaTheme="minorEastAsia"/>
                      <w:szCs w:val="21"/>
                    </w:rPr>
                  </w:pPr>
                  <w:r>
                    <w:rPr>
                      <w:rFonts w:eastAsiaTheme="minorEastAsia"/>
                      <w:kern w:val="0"/>
                      <w:szCs w:val="21"/>
                      <w:lang w:bidi="ar"/>
                    </w:rPr>
                    <w:t>2、标志牌设置位置应距排污口及固体废物贮存(处置)场或采样点较近且醒目处，设置高度一般为标志牌上缘距离地面约2m；</w:t>
                  </w:r>
                </w:p>
                <w:p w14:paraId="7CD33244">
                  <w:pPr>
                    <w:widowControl/>
                    <w:rPr>
                      <w:rFonts w:eastAsiaTheme="minorEastAsia"/>
                      <w:szCs w:val="21"/>
                    </w:rPr>
                  </w:pPr>
                  <w:r>
                    <w:rPr>
                      <w:rFonts w:eastAsiaTheme="minorEastAsia"/>
                      <w:kern w:val="0"/>
                      <w:szCs w:val="21"/>
                      <w:lang w:bidi="ar"/>
                    </w:rPr>
                    <w:t>3、重点排污单位排污口设立式标志牌，一般单位排污口可设立式或平面固定式提示性环保图形标志牌；</w:t>
                  </w:r>
                </w:p>
                <w:p w14:paraId="06D319AC">
                  <w:pPr>
                    <w:widowControl/>
                    <w:rPr>
                      <w:rFonts w:eastAsiaTheme="minorEastAsia"/>
                      <w:szCs w:val="21"/>
                    </w:rPr>
                  </w:pPr>
                  <w:r>
                    <w:rPr>
                      <w:rFonts w:eastAsiaTheme="minorEastAsia"/>
                      <w:kern w:val="0"/>
                      <w:szCs w:val="21"/>
                      <w:lang w:bidi="ar"/>
                    </w:rPr>
                    <w:t>4、对危险物贮存、处置场所，必须设置警告性环境保护图形标志牌。</w:t>
                  </w:r>
                </w:p>
              </w:tc>
            </w:tr>
            <w:tr w14:paraId="0157B2B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898" w:hRule="atLeast"/>
                <w:jc w:val="center"/>
              </w:trPr>
              <w:tc>
                <w:tcPr>
                  <w:tcW w:w="909" w:type="dxa"/>
                  <w:tcBorders>
                    <w:tl2br w:val="nil"/>
                    <w:tr2bl w:val="nil"/>
                  </w:tcBorders>
                  <w:vAlign w:val="center"/>
                </w:tcPr>
                <w:p w14:paraId="28A130AC">
                  <w:pPr>
                    <w:pStyle w:val="9"/>
                    <w:ind w:firstLine="0" w:firstLineChars="0"/>
                    <w:jc w:val="center"/>
                    <w:rPr>
                      <w:rFonts w:eastAsiaTheme="minorEastAsia"/>
                      <w:szCs w:val="21"/>
                    </w:rPr>
                  </w:pPr>
                  <w:r>
                    <w:rPr>
                      <w:rFonts w:eastAsiaTheme="minorEastAsia"/>
                      <w:szCs w:val="21"/>
                    </w:rPr>
                    <w:t>建档</w:t>
                  </w:r>
                </w:p>
                <w:p w14:paraId="3C155618">
                  <w:pPr>
                    <w:pStyle w:val="9"/>
                    <w:ind w:firstLine="0" w:firstLineChars="0"/>
                    <w:jc w:val="center"/>
                    <w:rPr>
                      <w:rFonts w:eastAsiaTheme="minorEastAsia"/>
                      <w:szCs w:val="21"/>
                    </w:rPr>
                  </w:pPr>
                  <w:r>
                    <w:rPr>
                      <w:rFonts w:eastAsiaTheme="minorEastAsia"/>
                      <w:szCs w:val="21"/>
                    </w:rPr>
                    <w:t>管理</w:t>
                  </w:r>
                </w:p>
              </w:tc>
              <w:tc>
                <w:tcPr>
                  <w:tcW w:w="6950" w:type="dxa"/>
                  <w:tcBorders>
                    <w:tl2br w:val="nil"/>
                    <w:tr2bl w:val="nil"/>
                  </w:tcBorders>
                </w:tcPr>
                <w:p w14:paraId="0537C769">
                  <w:pPr>
                    <w:widowControl/>
                    <w:rPr>
                      <w:rFonts w:eastAsiaTheme="minorEastAsia"/>
                      <w:szCs w:val="21"/>
                    </w:rPr>
                  </w:pPr>
                  <w:r>
                    <w:rPr>
                      <w:rFonts w:eastAsiaTheme="minorEastAsia"/>
                      <w:kern w:val="0"/>
                      <w:szCs w:val="21"/>
                      <w:lang w:bidi="ar"/>
                    </w:rPr>
                    <w:t>1、使用《中华人民共和国规范化排污口标志登记证》，并按要求填写有关内容；</w:t>
                  </w:r>
                </w:p>
                <w:p w14:paraId="7D025374">
                  <w:pPr>
                    <w:widowControl/>
                    <w:rPr>
                      <w:rFonts w:eastAsiaTheme="minorEastAsia"/>
                      <w:szCs w:val="21"/>
                    </w:rPr>
                  </w:pPr>
                  <w:r>
                    <w:rPr>
                      <w:rFonts w:eastAsiaTheme="minorEastAsia"/>
                      <w:kern w:val="0"/>
                      <w:szCs w:val="21"/>
                      <w:lang w:bidi="ar"/>
                    </w:rPr>
                    <w:t>2、严格按照环境管理监控计划及排污口管理内容要求，在工程建成后将主要污染物种类、数量、排放浓度与去向，立标及环保设施运行情况记录在案，并及时上报</w:t>
                  </w:r>
                </w:p>
                <w:p w14:paraId="35A8D8D5">
                  <w:pPr>
                    <w:widowControl/>
                    <w:rPr>
                      <w:rFonts w:eastAsiaTheme="minorEastAsia"/>
                      <w:szCs w:val="21"/>
                    </w:rPr>
                  </w:pPr>
                  <w:r>
                    <w:rPr>
                      <w:rFonts w:eastAsiaTheme="minorEastAsia"/>
                      <w:kern w:val="0"/>
                      <w:szCs w:val="21"/>
                      <w:lang w:bidi="ar"/>
                    </w:rPr>
                    <w:t>3、选派有专业技</w:t>
                  </w:r>
                  <w:r>
                    <w:rPr>
                      <w:rFonts w:hint="eastAsia" w:eastAsiaTheme="minorEastAsia"/>
                      <w:kern w:val="0"/>
                      <w:szCs w:val="21"/>
                      <w:lang w:eastAsia="zh-CN" w:bidi="ar"/>
                    </w:rPr>
                    <w:t>能的</w:t>
                  </w:r>
                  <w:r>
                    <w:rPr>
                      <w:rFonts w:eastAsiaTheme="minorEastAsia"/>
                      <w:kern w:val="0"/>
                      <w:szCs w:val="21"/>
                      <w:lang w:bidi="ar"/>
                    </w:rPr>
                    <w:t>环保人员对排污口进行管理，做到责任明确、奖罚分明。</w:t>
                  </w:r>
                </w:p>
              </w:tc>
            </w:tr>
          </w:tbl>
          <w:p w14:paraId="177C2152">
            <w:pPr>
              <w:pStyle w:val="13"/>
              <w:rPr>
                <w:rFonts w:hint="default"/>
              </w:rPr>
            </w:pPr>
          </w:p>
          <w:p w14:paraId="73C7BEDF">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left="0" w:leftChars="0"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p>
          <w:p w14:paraId="30340F27">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left="0" w:leftChars="0"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p>
          <w:p w14:paraId="45344703">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left="0" w:leftChars="0"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p>
          <w:p w14:paraId="4DA402D7">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left="0" w:leftChars="0"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p>
          <w:p w14:paraId="5BA05EB8">
            <w:pPr>
              <w:keepNext w:val="0"/>
              <w:keepLines w:val="0"/>
              <w:pageBreakBefore w:val="0"/>
              <w:widowControl w:val="0"/>
              <w:numPr>
                <w:ilvl w:val="0"/>
                <w:numId w:val="0"/>
              </w:numPr>
              <w:kinsoku/>
              <w:wordWrap w:val="0"/>
              <w:overflowPunct/>
              <w:topLinePunct/>
              <w:autoSpaceDE/>
              <w:autoSpaceDN/>
              <w:bidi w:val="0"/>
              <w:adjustRightInd w:val="0"/>
              <w:snapToGrid/>
              <w:spacing w:line="360" w:lineRule="auto"/>
              <w:ind w:left="0" w:leftChars="0" w:firstLine="422" w:firstLineChars="200"/>
              <w:jc w:val="both"/>
              <w:textAlignment w:val="auto"/>
              <w:rPr>
                <w:rFonts w:hint="eastAsia" w:ascii="Times New Roman" w:hAnsi="Times New Roman" w:eastAsia="宋体" w:cs="Times New Roman"/>
                <w:b/>
                <w:bCs/>
                <w:color w:val="auto"/>
                <w:sz w:val="21"/>
                <w:szCs w:val="21"/>
                <w:highlight w:val="none"/>
                <w:lang w:val="en-US" w:eastAsia="zh-CN"/>
              </w:rPr>
            </w:pPr>
          </w:p>
          <w:p w14:paraId="352C2313">
            <w:pPr>
              <w:keepNext w:val="0"/>
              <w:keepLines w:val="0"/>
              <w:pageBreakBefore w:val="0"/>
              <w:widowControl w:val="0"/>
              <w:kinsoku/>
              <w:wordWrap w:val="0"/>
              <w:overflowPunct/>
              <w:topLinePunct/>
              <w:autoSpaceDE/>
              <w:autoSpaceDN/>
              <w:bidi w:val="0"/>
              <w:textAlignment w:val="auto"/>
              <w:rPr>
                <w:rFonts w:hint="default" w:ascii="Times New Roman" w:hAnsi="Times New Roman" w:eastAsia="宋体" w:cs="Times New Roman"/>
                <w:color w:val="auto"/>
                <w:sz w:val="21"/>
                <w:szCs w:val="21"/>
                <w:highlight w:val="none"/>
                <w:lang w:val="en-US" w:eastAsia="zh-CN"/>
              </w:rPr>
            </w:pPr>
          </w:p>
        </w:tc>
      </w:tr>
    </w:tbl>
    <w:p w14:paraId="10168B1C">
      <w:pPr>
        <w:rPr>
          <w:b/>
          <w:bCs/>
          <w:lang w:val="zh-CN"/>
        </w:rPr>
        <w:sectPr>
          <w:pgSz w:w="11906" w:h="16838"/>
          <w:pgMar w:top="1440" w:right="1800" w:bottom="1440" w:left="1800" w:header="851" w:footer="992" w:gutter="0"/>
          <w:cols w:space="425" w:num="1"/>
          <w:docGrid w:type="lines" w:linePitch="312" w:charSpace="0"/>
        </w:sectPr>
      </w:pPr>
    </w:p>
    <w:p w14:paraId="249C93A6">
      <w:pPr>
        <w:pStyle w:val="16"/>
        <w:jc w:val="center"/>
        <w:outlineLvl w:val="0"/>
        <w:rPr>
          <w:rFonts w:ascii="Times New Roman" w:hAnsi="Times New Roman" w:eastAsiaTheme="minorEastAsia"/>
          <w:b/>
          <w:bCs/>
          <w:snapToGrid w:val="0"/>
          <w:sz w:val="30"/>
          <w:szCs w:val="30"/>
        </w:rPr>
      </w:pPr>
      <w:r>
        <w:rPr>
          <w:rFonts w:ascii="Times New Roman" w:hAnsi="Times New Roman" w:eastAsiaTheme="minorEastAsia"/>
          <w:b/>
          <w:bCs/>
          <w:snapToGrid w:val="0"/>
          <w:sz w:val="30"/>
          <w:szCs w:val="30"/>
        </w:rPr>
        <w:t>六、结论</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4F9F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noWrap/>
          </w:tcPr>
          <w:p w14:paraId="00EA9BFF">
            <w:pPr>
              <w:adjustRightInd w:val="0"/>
              <w:snapToGrid w:val="0"/>
              <w:spacing w:line="360" w:lineRule="auto"/>
              <w:ind w:firstLine="480" w:firstLineChars="200"/>
              <w:rPr>
                <w:sz w:val="24"/>
              </w:rPr>
            </w:pPr>
            <w:r>
              <w:rPr>
                <w:bCs/>
                <w:sz w:val="24"/>
              </w:rPr>
              <w:t>在认真落实环评报告所提出的各项环境污染防治措施的</w:t>
            </w:r>
            <w:r>
              <w:rPr>
                <w:rFonts w:hint="eastAsia"/>
                <w:bCs/>
                <w:sz w:val="24"/>
              </w:rPr>
              <w:t>情况</w:t>
            </w:r>
            <w:r>
              <w:rPr>
                <w:bCs/>
                <w:sz w:val="24"/>
              </w:rPr>
              <w:t>下，从</w:t>
            </w:r>
            <w:r>
              <w:rPr>
                <w:rFonts w:hint="eastAsia"/>
                <w:bCs/>
                <w:sz w:val="24"/>
              </w:rPr>
              <w:t>环境保护角度分析，</w:t>
            </w:r>
            <w:r>
              <w:rPr>
                <w:rFonts w:hint="eastAsia"/>
                <w:bCs/>
                <w:color w:val="000000"/>
                <w:sz w:val="24"/>
              </w:rPr>
              <w:t>建设项目环境影响可行。</w:t>
            </w:r>
          </w:p>
        </w:tc>
      </w:tr>
    </w:tbl>
    <w:p w14:paraId="16217321">
      <w:pPr>
        <w:pStyle w:val="16"/>
        <w:jc w:val="center"/>
        <w:outlineLvl w:val="0"/>
        <w:rPr>
          <w:rFonts w:ascii="Times New Roman" w:hAnsi="Times New Roman" w:eastAsiaTheme="minorEastAsia"/>
          <w:b/>
          <w:bCs/>
          <w:snapToGrid w:val="0"/>
          <w:sz w:val="30"/>
          <w:szCs w:val="30"/>
        </w:rPr>
      </w:pPr>
      <w:bookmarkStart w:id="24" w:name="_Toc4376"/>
      <w:bookmarkStart w:id="25" w:name="_Toc16508"/>
    </w:p>
    <w:p w14:paraId="415A4EB7">
      <w:pPr>
        <w:pStyle w:val="16"/>
        <w:jc w:val="center"/>
        <w:outlineLvl w:val="0"/>
        <w:rPr>
          <w:rFonts w:ascii="Times New Roman" w:hAnsi="Times New Roman" w:eastAsiaTheme="minorEastAsia"/>
          <w:b/>
          <w:bCs/>
          <w:snapToGrid w:val="0"/>
          <w:sz w:val="30"/>
          <w:szCs w:val="30"/>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4"/>
    <w:bookmarkEnd w:id="25"/>
    <w:p w14:paraId="59C34C64">
      <w:pPr>
        <w:pStyle w:val="16"/>
        <w:adjustRightInd w:val="0"/>
        <w:snapToGrid w:val="0"/>
        <w:spacing w:before="0" w:beforeAutospacing="0" w:after="0" w:afterAutospacing="0" w:line="360" w:lineRule="auto"/>
        <w:outlineLvl w:val="0"/>
        <w:rPr>
          <w:rFonts w:ascii="黑体" w:hAnsi="黑体" w:eastAsia="黑体"/>
          <w:snapToGrid w:val="0"/>
          <w:sz w:val="32"/>
          <w:szCs w:val="32"/>
        </w:rPr>
      </w:pPr>
      <w:bookmarkStart w:id="26" w:name="_Toc17061"/>
      <w:r>
        <w:rPr>
          <w:rFonts w:hint="eastAsia" w:ascii="黑体" w:hAnsi="黑体" w:eastAsia="黑体"/>
          <w:snapToGrid w:val="0"/>
          <w:sz w:val="32"/>
          <w:szCs w:val="32"/>
        </w:rPr>
        <w:t>附表</w:t>
      </w:r>
    </w:p>
    <w:p w14:paraId="3C9DD0AA">
      <w:pPr>
        <w:pStyle w:val="16"/>
        <w:adjustRightInd w:val="0"/>
        <w:snapToGrid w:val="0"/>
        <w:spacing w:before="0" w:beforeAutospacing="0" w:after="0" w:afterAutospacing="0" w:line="240"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w:t>
      </w:r>
    </w:p>
    <w:tbl>
      <w:tblPr>
        <w:tblStyle w:val="20"/>
        <w:tblW w:w="5446" w:type="pct"/>
        <w:tblInd w:w="-3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2186"/>
        <w:gridCol w:w="1473"/>
        <w:gridCol w:w="1197"/>
        <w:gridCol w:w="1718"/>
        <w:gridCol w:w="1958"/>
        <w:gridCol w:w="1502"/>
        <w:gridCol w:w="2223"/>
        <w:gridCol w:w="1120"/>
      </w:tblGrid>
      <w:tr w14:paraId="6A467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tcBorders>
              <w:tl2br w:val="nil"/>
              <w:tr2bl w:val="nil"/>
            </w:tcBorders>
            <w:tcMar>
              <w:left w:w="28" w:type="dxa"/>
              <w:right w:w="28" w:type="dxa"/>
            </w:tcMar>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1E89435E">
            <w:pPr>
              <w:pStyle w:val="36"/>
              <w:snapToGrid w:val="0"/>
              <w:spacing w:beforeLines="0" w:afterLines="0" w:line="240" w:lineRule="auto"/>
              <w:jc w:val="both"/>
              <w:rPr>
                <w:rFonts w:ascii="Times New Roman" w:eastAsiaTheme="minorEastAsia"/>
                <w:snapToGrid w:val="0"/>
                <w:color w:val="000000"/>
                <w:spacing w:val="-6"/>
                <w:kern w:val="21"/>
                <w:sz w:val="21"/>
                <w:szCs w:val="21"/>
              </w:rPr>
            </w:pPr>
          </w:p>
          <w:p w14:paraId="50178095">
            <w:pPr>
              <w:pStyle w:val="36"/>
              <w:snapToGrid w:val="0"/>
              <w:spacing w:beforeLines="0" w:afterLines="0" w:line="240" w:lineRule="auto"/>
              <w:jc w:val="both"/>
              <w:rPr>
                <w:rFonts w:ascii="Times New Roman" w:eastAsiaTheme="minorEastAsia"/>
                <w:snapToGrid w:val="0"/>
                <w:color w:val="000000"/>
                <w:spacing w:val="-6"/>
                <w:kern w:val="21"/>
                <w:sz w:val="21"/>
                <w:szCs w:val="21"/>
              </w:rPr>
            </w:pPr>
          </w:p>
          <w:p w14:paraId="168CE32C">
            <w:pPr>
              <w:pStyle w:val="36"/>
              <w:snapToGrid w:val="0"/>
              <w:spacing w:beforeLines="0" w:afterLines="0" w:line="240" w:lineRule="auto"/>
              <w:jc w:val="both"/>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分</w:t>
            </w:r>
          </w:p>
          <w:p w14:paraId="26E462A3">
            <w:pPr>
              <w:pStyle w:val="36"/>
              <w:snapToGrid w:val="0"/>
              <w:spacing w:beforeLines="0" w:afterLines="0" w:line="240" w:lineRule="auto"/>
              <w:jc w:val="both"/>
              <mc:AlternateContent>
                <mc:Choice Requires="wpsCustomData">
                  <wpsCustomData:diagonalParaType/>
                </mc:Choice>
              </mc:AlternateContent>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类</w:t>
            </w:r>
          </w:p>
          <w:p w14:paraId="2FDAE3E2">
            <w:pPr>
              <w:pStyle w:val="36"/>
              <w:spacing w:beforeLines="0" w:afterLines="0" w:line="240" w:lineRule="auto"/>
              <w:jc w:val="both"/>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项目</w:t>
            </w:r>
          </w:p>
          <w:p w14:paraId="287D519A">
            <w:pPr>
              <w:pStyle w:val="36"/>
              <w:spacing w:beforeLines="0" w:afterLines="0" w:line="240" w:lineRule="auto"/>
              <w:jc w:val="both"/>
              <w:rPr>
                <w:rFonts w:ascii="Times New Roman" w:eastAsiaTheme="minorEastAsia"/>
                <w:snapToGrid w:val="0"/>
                <w:color w:val="000000"/>
                <w:spacing w:val="-6"/>
                <w:kern w:val="21"/>
                <w:sz w:val="21"/>
                <w:szCs w:val="21"/>
              </w:rPr>
            </w:pPr>
          </w:p>
        </w:tc>
        <w:tc>
          <w:tcPr>
            <w:tcW w:w="767" w:type="pct"/>
            <w:tcBorders>
              <w:tl2br w:val="nil"/>
              <w:tr2bl w:val="nil"/>
            </w:tcBorders>
            <w:tcMar>
              <w:left w:w="28" w:type="dxa"/>
              <w:right w:w="28" w:type="dxa"/>
            </w:tcMar>
            <w:vAlign w:val="center"/>
          </w:tcPr>
          <w:p w14:paraId="04C3B2D3">
            <w:pPr>
              <w:pStyle w:val="36"/>
              <w:spacing w:beforeLines="0" w:afterLines="0" w:line="240" w:lineRule="auto"/>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污染物名称</w:t>
            </w:r>
          </w:p>
        </w:tc>
        <w:tc>
          <w:tcPr>
            <w:tcW w:w="517" w:type="pct"/>
            <w:tcBorders>
              <w:tl2br w:val="nil"/>
              <w:tr2bl w:val="nil"/>
            </w:tcBorders>
            <w:tcMar>
              <w:left w:w="28" w:type="dxa"/>
              <w:right w:w="28" w:type="dxa"/>
            </w:tcMar>
            <w:vAlign w:val="center"/>
          </w:tcPr>
          <w:p w14:paraId="7C2B0044">
            <w:pPr>
              <w:pStyle w:val="36"/>
              <w:spacing w:beforeLines="0" w:afterLines="0" w:line="240" w:lineRule="auto"/>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现有工程排放量（固体废物产生量）</w:t>
            </w:r>
            <w:r>
              <w:rPr>
                <w:rFonts w:ascii="Times New Roman" w:eastAsiaTheme="minorEastAsia"/>
                <w:snapToGrid w:val="0"/>
                <w:color w:val="000000"/>
                <w:spacing w:val="-6"/>
                <w:kern w:val="21"/>
                <w:sz w:val="21"/>
                <w:szCs w:val="21"/>
              </w:rPr>
              <w:fldChar w:fldCharType="begin" w:fldLock="1"/>
            </w:r>
            <w:r>
              <w:rPr>
                <w:rFonts w:ascii="Times New Roman" w:eastAsiaTheme="minorEastAsia"/>
                <w:snapToGrid w:val="0"/>
                <w:color w:val="000000"/>
                <w:spacing w:val="-6"/>
                <w:kern w:val="21"/>
                <w:sz w:val="21"/>
                <w:szCs w:val="21"/>
              </w:rPr>
              <w:instrText xml:space="preserve"> = 1 \* GB3 \* MERGEFORMAT </w:instrText>
            </w:r>
            <w:r>
              <w:rPr>
                <w:rFonts w:ascii="Times New Roman" w:eastAsiaTheme="minorEastAsia"/>
                <w:snapToGrid w:val="0"/>
                <w:color w:val="000000"/>
                <w:spacing w:val="-6"/>
                <w:kern w:val="21"/>
                <w:sz w:val="21"/>
                <w:szCs w:val="21"/>
              </w:rPr>
              <w:fldChar w:fldCharType="separate"/>
            </w:r>
            <w:r>
              <w:rPr>
                <w:rFonts w:hint="eastAsia" w:hAnsi="宋体" w:cs="宋体"/>
                <w:kern w:val="2"/>
                <w:sz w:val="21"/>
                <w:szCs w:val="21"/>
              </w:rPr>
              <w:t>①</w:t>
            </w:r>
            <w:r>
              <w:rPr>
                <w:rFonts w:ascii="Times New Roman" w:eastAsiaTheme="minorEastAsia"/>
                <w:snapToGrid w:val="0"/>
                <w:color w:val="000000"/>
                <w:spacing w:val="-6"/>
                <w:kern w:val="21"/>
                <w:sz w:val="21"/>
                <w:szCs w:val="21"/>
              </w:rPr>
              <w:fldChar w:fldCharType="end"/>
            </w:r>
          </w:p>
        </w:tc>
        <w:tc>
          <w:tcPr>
            <w:tcW w:w="420" w:type="pct"/>
            <w:tcBorders>
              <w:tl2br w:val="nil"/>
              <w:tr2bl w:val="nil"/>
            </w:tcBorders>
            <w:tcMar>
              <w:left w:w="28" w:type="dxa"/>
              <w:right w:w="28" w:type="dxa"/>
            </w:tcMar>
            <w:vAlign w:val="center"/>
          </w:tcPr>
          <w:p w14:paraId="423A227F">
            <w:pPr>
              <w:pStyle w:val="36"/>
              <w:spacing w:beforeLines="0" w:afterLines="0" w:line="240" w:lineRule="auto"/>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现有工程许可排放量</w:t>
            </w:r>
            <w:r>
              <w:rPr>
                <w:rFonts w:ascii="Times New Roman" w:eastAsiaTheme="minorEastAsia"/>
                <w:snapToGrid w:val="0"/>
                <w:color w:val="000000"/>
                <w:spacing w:val="-6"/>
                <w:kern w:val="21"/>
                <w:sz w:val="21"/>
                <w:szCs w:val="21"/>
              </w:rPr>
              <w:fldChar w:fldCharType="begin" w:fldLock="1"/>
            </w:r>
            <w:r>
              <w:rPr>
                <w:rFonts w:ascii="Times New Roman" w:eastAsiaTheme="minorEastAsia"/>
                <w:snapToGrid w:val="0"/>
                <w:color w:val="000000"/>
                <w:spacing w:val="-6"/>
                <w:kern w:val="21"/>
                <w:sz w:val="21"/>
                <w:szCs w:val="21"/>
              </w:rPr>
              <w:instrText xml:space="preserve"> = 2 \* GB3 \* MERGEFORMAT </w:instrText>
            </w:r>
            <w:r>
              <w:rPr>
                <w:rFonts w:ascii="Times New Roman" w:eastAsiaTheme="minorEastAsia"/>
                <w:snapToGrid w:val="0"/>
                <w:color w:val="000000"/>
                <w:spacing w:val="-6"/>
                <w:kern w:val="21"/>
                <w:sz w:val="21"/>
                <w:szCs w:val="21"/>
              </w:rPr>
              <w:fldChar w:fldCharType="separate"/>
            </w:r>
            <w:r>
              <w:rPr>
                <w:rFonts w:hint="eastAsia" w:hAnsi="宋体" w:cs="宋体"/>
                <w:snapToGrid w:val="0"/>
                <w:color w:val="000000"/>
                <w:spacing w:val="-6"/>
                <w:kern w:val="21"/>
                <w:sz w:val="21"/>
                <w:szCs w:val="21"/>
              </w:rPr>
              <w:t>②</w:t>
            </w:r>
            <w:r>
              <w:rPr>
                <w:rFonts w:ascii="Times New Roman" w:eastAsiaTheme="minorEastAsia"/>
                <w:snapToGrid w:val="0"/>
                <w:color w:val="000000"/>
                <w:spacing w:val="-6"/>
                <w:kern w:val="21"/>
                <w:sz w:val="21"/>
                <w:szCs w:val="21"/>
              </w:rPr>
              <w:fldChar w:fldCharType="end"/>
            </w:r>
          </w:p>
        </w:tc>
        <w:tc>
          <w:tcPr>
            <w:tcW w:w="603" w:type="pct"/>
            <w:tcBorders>
              <w:tl2br w:val="nil"/>
              <w:tr2bl w:val="nil"/>
            </w:tcBorders>
            <w:tcMar>
              <w:left w:w="28" w:type="dxa"/>
              <w:right w:w="28" w:type="dxa"/>
            </w:tcMar>
            <w:vAlign w:val="center"/>
          </w:tcPr>
          <w:p w14:paraId="4EFEF945">
            <w:pPr>
              <w:pStyle w:val="36"/>
              <w:spacing w:beforeLines="0" w:afterLines="0" w:line="240" w:lineRule="auto"/>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在建工程排放量（固体废物产生量）</w:t>
            </w:r>
            <w:r>
              <w:rPr>
                <w:rFonts w:ascii="Times New Roman" w:eastAsiaTheme="minorEastAsia"/>
                <w:snapToGrid w:val="0"/>
                <w:color w:val="000000"/>
                <w:spacing w:val="-6"/>
                <w:kern w:val="21"/>
                <w:sz w:val="21"/>
                <w:szCs w:val="21"/>
              </w:rPr>
              <w:fldChar w:fldCharType="begin" w:fldLock="1"/>
            </w:r>
            <w:r>
              <w:rPr>
                <w:rFonts w:ascii="Times New Roman" w:eastAsiaTheme="minorEastAsia"/>
                <w:snapToGrid w:val="0"/>
                <w:color w:val="000000"/>
                <w:spacing w:val="-6"/>
                <w:kern w:val="21"/>
                <w:sz w:val="21"/>
                <w:szCs w:val="21"/>
              </w:rPr>
              <w:instrText xml:space="preserve"> = 3 \* GB3 \* MERGEFORMAT </w:instrText>
            </w:r>
            <w:r>
              <w:rPr>
                <w:rFonts w:ascii="Times New Roman" w:eastAsiaTheme="minorEastAsia"/>
                <w:snapToGrid w:val="0"/>
                <w:color w:val="000000"/>
                <w:spacing w:val="-6"/>
                <w:kern w:val="21"/>
                <w:sz w:val="21"/>
                <w:szCs w:val="21"/>
              </w:rPr>
              <w:fldChar w:fldCharType="separate"/>
            </w:r>
            <w:r>
              <w:rPr>
                <w:rFonts w:hint="eastAsia" w:hAnsi="宋体" w:cs="宋体"/>
                <w:kern w:val="2"/>
                <w:sz w:val="21"/>
                <w:szCs w:val="21"/>
              </w:rPr>
              <w:t>③</w:t>
            </w:r>
            <w:r>
              <w:rPr>
                <w:rFonts w:ascii="Times New Roman" w:eastAsiaTheme="minorEastAsia"/>
                <w:snapToGrid w:val="0"/>
                <w:color w:val="000000"/>
                <w:spacing w:val="-6"/>
                <w:kern w:val="21"/>
                <w:sz w:val="21"/>
                <w:szCs w:val="21"/>
              </w:rPr>
              <w:fldChar w:fldCharType="end"/>
            </w:r>
          </w:p>
        </w:tc>
        <w:tc>
          <w:tcPr>
            <w:tcW w:w="687" w:type="pct"/>
            <w:tcBorders>
              <w:tl2br w:val="nil"/>
              <w:tr2bl w:val="nil"/>
            </w:tcBorders>
            <w:tcMar>
              <w:left w:w="28" w:type="dxa"/>
              <w:right w:w="28" w:type="dxa"/>
            </w:tcMar>
            <w:vAlign w:val="center"/>
          </w:tcPr>
          <w:p w14:paraId="23A9410D">
            <w:pPr>
              <w:pStyle w:val="36"/>
              <w:spacing w:beforeLines="0" w:afterLines="0" w:line="240" w:lineRule="auto"/>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本项目排放量（固体废物产生量）</w:t>
            </w:r>
            <w:r>
              <w:rPr>
                <w:rFonts w:ascii="Times New Roman" w:eastAsiaTheme="minorEastAsia"/>
                <w:snapToGrid w:val="0"/>
                <w:color w:val="000000"/>
                <w:spacing w:val="-6"/>
                <w:kern w:val="21"/>
                <w:sz w:val="21"/>
                <w:szCs w:val="21"/>
              </w:rPr>
              <w:fldChar w:fldCharType="begin" w:fldLock="1"/>
            </w:r>
            <w:r>
              <w:rPr>
                <w:rFonts w:ascii="Times New Roman" w:eastAsiaTheme="minorEastAsia"/>
                <w:snapToGrid w:val="0"/>
                <w:color w:val="000000"/>
                <w:spacing w:val="-6"/>
                <w:kern w:val="21"/>
                <w:sz w:val="21"/>
                <w:szCs w:val="21"/>
              </w:rPr>
              <w:instrText xml:space="preserve"> = 4 \* GB3 \* MERGEFORMAT </w:instrText>
            </w:r>
            <w:r>
              <w:rPr>
                <w:rFonts w:ascii="Times New Roman" w:eastAsiaTheme="minorEastAsia"/>
                <w:snapToGrid w:val="0"/>
                <w:color w:val="000000"/>
                <w:spacing w:val="-6"/>
                <w:kern w:val="21"/>
                <w:sz w:val="21"/>
                <w:szCs w:val="21"/>
              </w:rPr>
              <w:fldChar w:fldCharType="separate"/>
            </w:r>
            <w:r>
              <w:rPr>
                <w:rFonts w:hint="eastAsia" w:hAnsi="宋体" w:cs="宋体"/>
                <w:kern w:val="2"/>
                <w:sz w:val="21"/>
                <w:szCs w:val="21"/>
              </w:rPr>
              <w:t>④</w:t>
            </w:r>
            <w:r>
              <w:rPr>
                <w:rFonts w:ascii="Times New Roman" w:eastAsiaTheme="minorEastAsia"/>
                <w:snapToGrid w:val="0"/>
                <w:color w:val="000000"/>
                <w:spacing w:val="-6"/>
                <w:kern w:val="21"/>
                <w:sz w:val="21"/>
                <w:szCs w:val="21"/>
              </w:rPr>
              <w:fldChar w:fldCharType="end"/>
            </w:r>
          </w:p>
        </w:tc>
        <w:tc>
          <w:tcPr>
            <w:tcW w:w="527" w:type="pct"/>
            <w:tcBorders>
              <w:tl2br w:val="nil"/>
              <w:tr2bl w:val="nil"/>
            </w:tcBorders>
            <w:tcMar>
              <w:left w:w="28" w:type="dxa"/>
              <w:right w:w="28" w:type="dxa"/>
            </w:tcMar>
            <w:vAlign w:val="center"/>
          </w:tcPr>
          <w:p w14:paraId="1F9A92F8">
            <w:pPr>
              <w:pStyle w:val="36"/>
              <w:spacing w:beforeLines="0" w:afterLines="0" w:line="240" w:lineRule="auto"/>
              <w:rPr>
                <w:rFonts w:ascii="Times New Roman" w:eastAsiaTheme="minorEastAsia"/>
                <w:snapToGrid w:val="0"/>
                <w:color w:val="000000"/>
                <w:spacing w:val="-16"/>
                <w:kern w:val="21"/>
                <w:sz w:val="21"/>
                <w:szCs w:val="21"/>
              </w:rPr>
            </w:pPr>
            <w:r>
              <w:rPr>
                <w:rFonts w:ascii="Times New Roman" w:eastAsiaTheme="minorEastAsia"/>
                <w:snapToGrid w:val="0"/>
                <w:color w:val="000000"/>
                <w:spacing w:val="-16"/>
                <w:kern w:val="21"/>
                <w:sz w:val="21"/>
                <w:szCs w:val="21"/>
              </w:rPr>
              <w:t>以新带老削减量（新建项目不填）</w:t>
            </w:r>
            <w:r>
              <w:rPr>
                <w:rFonts w:ascii="Times New Roman" w:eastAsiaTheme="minorEastAsia"/>
                <w:snapToGrid w:val="0"/>
                <w:color w:val="000000"/>
                <w:spacing w:val="-16"/>
                <w:kern w:val="21"/>
                <w:sz w:val="21"/>
                <w:szCs w:val="21"/>
              </w:rPr>
              <w:fldChar w:fldCharType="begin" w:fldLock="1"/>
            </w:r>
            <w:r>
              <w:rPr>
                <w:rFonts w:ascii="Times New Roman" w:eastAsiaTheme="minorEastAsia"/>
                <w:snapToGrid w:val="0"/>
                <w:color w:val="000000"/>
                <w:spacing w:val="-16"/>
                <w:kern w:val="21"/>
                <w:sz w:val="21"/>
                <w:szCs w:val="21"/>
              </w:rPr>
              <w:instrText xml:space="preserve"> = 5 \* GB3 \* MERGEFORMAT </w:instrText>
            </w:r>
            <w:r>
              <w:rPr>
                <w:rFonts w:ascii="Times New Roman" w:eastAsiaTheme="minorEastAsia"/>
                <w:snapToGrid w:val="0"/>
                <w:color w:val="000000"/>
                <w:spacing w:val="-16"/>
                <w:kern w:val="21"/>
                <w:sz w:val="21"/>
                <w:szCs w:val="21"/>
              </w:rPr>
              <w:fldChar w:fldCharType="separate"/>
            </w:r>
            <w:r>
              <w:rPr>
                <w:rFonts w:hint="eastAsia" w:hAnsi="宋体" w:cs="宋体"/>
                <w:kern w:val="2"/>
                <w:sz w:val="21"/>
                <w:szCs w:val="21"/>
              </w:rPr>
              <w:t>⑤</w:t>
            </w:r>
            <w:r>
              <w:rPr>
                <w:rFonts w:ascii="Times New Roman" w:eastAsiaTheme="minorEastAsia"/>
                <w:snapToGrid w:val="0"/>
                <w:color w:val="000000"/>
                <w:spacing w:val="-16"/>
                <w:kern w:val="21"/>
                <w:sz w:val="21"/>
                <w:szCs w:val="21"/>
              </w:rPr>
              <w:fldChar w:fldCharType="end"/>
            </w:r>
          </w:p>
        </w:tc>
        <w:tc>
          <w:tcPr>
            <w:tcW w:w="780" w:type="pct"/>
            <w:tcBorders>
              <w:tl2br w:val="nil"/>
              <w:tr2bl w:val="nil"/>
            </w:tcBorders>
            <w:tcMar>
              <w:left w:w="28" w:type="dxa"/>
              <w:right w:w="28" w:type="dxa"/>
            </w:tcMar>
            <w:vAlign w:val="center"/>
          </w:tcPr>
          <w:p w14:paraId="5E859FD6">
            <w:pPr>
              <w:pStyle w:val="36"/>
              <w:spacing w:beforeLines="0" w:afterLines="0" w:line="240" w:lineRule="auto"/>
              <w:rPr>
                <w:rFonts w:ascii="Times New Roman" w:eastAsiaTheme="minorEastAsia"/>
                <w:snapToGrid w:val="0"/>
                <w:color w:val="000000"/>
                <w:spacing w:val="-16"/>
                <w:kern w:val="21"/>
                <w:sz w:val="21"/>
                <w:szCs w:val="21"/>
              </w:rPr>
            </w:pPr>
            <w:r>
              <w:rPr>
                <w:rFonts w:ascii="Times New Roman" w:eastAsiaTheme="minorEastAsia"/>
                <w:snapToGrid w:val="0"/>
                <w:color w:val="000000"/>
                <w:spacing w:val="-16"/>
                <w:kern w:val="21"/>
                <w:sz w:val="21"/>
                <w:szCs w:val="21"/>
              </w:rPr>
              <w:t>本项目建成后全厂排放量（固体废物产生量）</w:t>
            </w:r>
            <w:r>
              <w:rPr>
                <w:rFonts w:ascii="Times New Roman" w:eastAsiaTheme="minorEastAsia"/>
                <w:snapToGrid w:val="0"/>
                <w:color w:val="000000"/>
                <w:spacing w:val="-16"/>
                <w:kern w:val="21"/>
                <w:sz w:val="21"/>
                <w:szCs w:val="21"/>
              </w:rPr>
              <w:fldChar w:fldCharType="begin" w:fldLock="1"/>
            </w:r>
            <w:r>
              <w:rPr>
                <w:rFonts w:ascii="Times New Roman" w:eastAsiaTheme="minorEastAsia"/>
                <w:snapToGrid w:val="0"/>
                <w:color w:val="000000"/>
                <w:spacing w:val="-16"/>
                <w:kern w:val="21"/>
                <w:sz w:val="21"/>
                <w:szCs w:val="21"/>
              </w:rPr>
              <w:instrText xml:space="preserve"> = 6 \* GB3 \* MERGEFORMAT </w:instrText>
            </w:r>
            <w:r>
              <w:rPr>
                <w:rFonts w:ascii="Times New Roman" w:eastAsiaTheme="minorEastAsia"/>
                <w:snapToGrid w:val="0"/>
                <w:color w:val="000000"/>
                <w:spacing w:val="-16"/>
                <w:kern w:val="21"/>
                <w:sz w:val="21"/>
                <w:szCs w:val="21"/>
              </w:rPr>
              <w:fldChar w:fldCharType="separate"/>
            </w:r>
            <w:r>
              <w:rPr>
                <w:rFonts w:hint="eastAsia" w:hAnsi="宋体" w:cs="宋体"/>
                <w:kern w:val="2"/>
                <w:sz w:val="21"/>
                <w:szCs w:val="21"/>
              </w:rPr>
              <w:t>⑥</w:t>
            </w:r>
            <w:r>
              <w:rPr>
                <w:rFonts w:ascii="Times New Roman" w:eastAsiaTheme="minorEastAsia"/>
                <w:snapToGrid w:val="0"/>
                <w:color w:val="000000"/>
                <w:spacing w:val="-16"/>
                <w:kern w:val="21"/>
                <w:sz w:val="21"/>
                <w:szCs w:val="21"/>
              </w:rPr>
              <w:fldChar w:fldCharType="end"/>
            </w:r>
          </w:p>
        </w:tc>
        <w:tc>
          <w:tcPr>
            <w:tcW w:w="393" w:type="pct"/>
            <w:tcBorders>
              <w:tl2br w:val="nil"/>
              <w:tr2bl w:val="nil"/>
            </w:tcBorders>
            <w:tcMar>
              <w:left w:w="28" w:type="dxa"/>
              <w:right w:w="28" w:type="dxa"/>
            </w:tcMar>
            <w:vAlign w:val="center"/>
          </w:tcPr>
          <w:p w14:paraId="7BA19944">
            <w:pPr>
              <w:pStyle w:val="36"/>
              <w:spacing w:beforeLines="0" w:afterLines="0" w:line="240" w:lineRule="auto"/>
              <w:rPr>
                <w:rFonts w:ascii="Times New Roman" w:eastAsiaTheme="minorEastAsia"/>
                <w:snapToGrid w:val="0"/>
                <w:color w:val="000000"/>
                <w:spacing w:val="-6"/>
                <w:kern w:val="21"/>
                <w:sz w:val="21"/>
                <w:szCs w:val="21"/>
              </w:rPr>
            </w:pPr>
            <w:r>
              <w:rPr>
                <w:rFonts w:ascii="Times New Roman" w:eastAsiaTheme="minorEastAsia"/>
                <w:snapToGrid w:val="0"/>
                <w:color w:val="000000"/>
                <w:spacing w:val="-6"/>
                <w:kern w:val="21"/>
                <w:sz w:val="21"/>
                <w:szCs w:val="21"/>
              </w:rPr>
              <w:t>变化量</w:t>
            </w:r>
            <w:r>
              <w:rPr>
                <w:rFonts w:ascii="Times New Roman" w:eastAsiaTheme="minorEastAsia"/>
                <w:snapToGrid w:val="0"/>
                <w:color w:val="000000"/>
                <w:spacing w:val="-6"/>
                <w:kern w:val="21"/>
                <w:sz w:val="21"/>
                <w:szCs w:val="21"/>
              </w:rPr>
              <w:fldChar w:fldCharType="begin" w:fldLock="1"/>
            </w:r>
            <w:r>
              <w:rPr>
                <w:rFonts w:ascii="Times New Roman" w:eastAsiaTheme="minorEastAsia"/>
                <w:snapToGrid w:val="0"/>
                <w:color w:val="000000"/>
                <w:spacing w:val="-6"/>
                <w:kern w:val="21"/>
                <w:sz w:val="21"/>
                <w:szCs w:val="21"/>
              </w:rPr>
              <w:instrText xml:space="preserve"> = 7 \* GB3 \* MERGEFORMAT </w:instrText>
            </w:r>
            <w:r>
              <w:rPr>
                <w:rFonts w:ascii="Times New Roman" w:eastAsiaTheme="minorEastAsia"/>
                <w:snapToGrid w:val="0"/>
                <w:color w:val="000000"/>
                <w:spacing w:val="-6"/>
                <w:kern w:val="21"/>
                <w:sz w:val="21"/>
                <w:szCs w:val="21"/>
              </w:rPr>
              <w:fldChar w:fldCharType="separate"/>
            </w:r>
            <w:r>
              <w:rPr>
                <w:rFonts w:hint="eastAsia" w:hAnsi="宋体" w:cs="宋体"/>
                <w:kern w:val="2"/>
                <w:sz w:val="21"/>
                <w:szCs w:val="21"/>
              </w:rPr>
              <w:t>⑦</w:t>
            </w:r>
            <w:r>
              <w:rPr>
                <w:rFonts w:ascii="Times New Roman" w:eastAsiaTheme="minorEastAsia"/>
                <w:snapToGrid w:val="0"/>
                <w:color w:val="000000"/>
                <w:spacing w:val="-6"/>
                <w:kern w:val="21"/>
                <w:sz w:val="21"/>
                <w:szCs w:val="21"/>
              </w:rPr>
              <w:fldChar w:fldCharType="end"/>
            </w:r>
          </w:p>
        </w:tc>
      </w:tr>
      <w:tr w14:paraId="4DB65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restart"/>
            <w:tcBorders>
              <w:tl2br w:val="nil"/>
              <w:tr2bl w:val="nil"/>
            </w:tcBorders>
            <w:vAlign w:val="center"/>
          </w:tcPr>
          <w:p w14:paraId="10A96DFE">
            <w:pPr>
              <w:pStyle w:val="36"/>
              <w:spacing w:before="24" w:after="24"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废气</w:t>
            </w:r>
          </w:p>
        </w:tc>
        <w:tc>
          <w:tcPr>
            <w:tcW w:w="767" w:type="pct"/>
            <w:tcBorders>
              <w:tl2br w:val="nil"/>
              <w:tr2bl w:val="nil"/>
            </w:tcBorders>
            <w:vAlign w:val="center"/>
          </w:tcPr>
          <w:p w14:paraId="3F69E25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eastAsia" w:ascii="Times New Roman" w:eastAsiaTheme="minorEastAsia"/>
                <w:snapToGrid w:val="0"/>
                <w:color w:val="000000" w:themeColor="text1"/>
                <w:kern w:val="21"/>
                <w:sz w:val="21"/>
                <w:szCs w:val="21"/>
                <w14:textFill>
                  <w14:solidFill>
                    <w14:schemeClr w14:val="tx1"/>
                  </w14:solidFill>
                </w14:textFill>
              </w:rPr>
              <w:t>颗粒物</w:t>
            </w:r>
          </w:p>
        </w:tc>
        <w:tc>
          <w:tcPr>
            <w:tcW w:w="517" w:type="pct"/>
            <w:tcBorders>
              <w:tl2br w:val="nil"/>
              <w:tr2bl w:val="nil"/>
            </w:tcBorders>
            <w:vAlign w:val="center"/>
          </w:tcPr>
          <w:p w14:paraId="164C6DB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046937E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3A437F3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4922C583">
            <w:pPr>
              <w:pStyle w:val="36"/>
              <w:spacing w:beforeLines="0" w:afterLines="0" w:line="240" w:lineRule="auto"/>
              <w:jc w:val="center"/>
              <w:rPr>
                <w:rFonts w:hint="default"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t>1.873t</w:t>
            </w:r>
          </w:p>
        </w:tc>
        <w:tc>
          <w:tcPr>
            <w:tcW w:w="527" w:type="pct"/>
            <w:tcBorders>
              <w:tl2br w:val="nil"/>
              <w:tr2bl w:val="nil"/>
            </w:tcBorders>
            <w:vAlign w:val="center"/>
          </w:tcPr>
          <w:p w14:paraId="1D4563F9">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5E7D471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1.873t</w:t>
            </w:r>
          </w:p>
        </w:tc>
        <w:tc>
          <w:tcPr>
            <w:tcW w:w="393" w:type="pct"/>
            <w:tcBorders>
              <w:tl2br w:val="nil"/>
              <w:tr2bl w:val="nil"/>
            </w:tcBorders>
            <w:vAlign w:val="center"/>
          </w:tcPr>
          <w:p w14:paraId="4CCBC69F">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1EED6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0947DF3E">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vAlign w:val="center"/>
          </w:tcPr>
          <w:p w14:paraId="2BAA36B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NMHC</w:t>
            </w:r>
          </w:p>
        </w:tc>
        <w:tc>
          <w:tcPr>
            <w:tcW w:w="517" w:type="pct"/>
            <w:tcBorders>
              <w:tl2br w:val="nil"/>
              <w:tr2bl w:val="nil"/>
            </w:tcBorders>
            <w:vAlign w:val="center"/>
          </w:tcPr>
          <w:p w14:paraId="01DE6A8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28AA5FD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5BEDA74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2B57FDF3">
            <w:pPr>
              <w:pStyle w:val="36"/>
              <w:spacing w:beforeLines="0" w:afterLines="0" w:line="240" w:lineRule="auto"/>
              <w:jc w:val="center"/>
              <w:rPr>
                <w:rFonts w:hint="default"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t>0.368t</w:t>
            </w:r>
          </w:p>
        </w:tc>
        <w:tc>
          <w:tcPr>
            <w:tcW w:w="527" w:type="pct"/>
            <w:tcBorders>
              <w:tl2br w:val="nil"/>
              <w:tr2bl w:val="nil"/>
            </w:tcBorders>
            <w:vAlign w:val="center"/>
          </w:tcPr>
          <w:p w14:paraId="4ECA12C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01ADE709">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0.368t</w:t>
            </w:r>
          </w:p>
        </w:tc>
        <w:tc>
          <w:tcPr>
            <w:tcW w:w="393" w:type="pct"/>
            <w:tcBorders>
              <w:tl2br w:val="nil"/>
              <w:tr2bl w:val="nil"/>
            </w:tcBorders>
            <w:vAlign w:val="center"/>
          </w:tcPr>
          <w:p w14:paraId="1C5E2053">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6937C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554CC95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vAlign w:val="center"/>
          </w:tcPr>
          <w:p w14:paraId="5FE5F21B">
            <w:pPr>
              <w:pStyle w:val="36"/>
              <w:spacing w:beforeLines="0" w:afterLines="0" w:line="240" w:lineRule="auto"/>
              <w:rPr>
                <w:rFonts w:hint="default" w:ascii="Times New Roman" w:eastAsiaTheme="minorEastAsia"/>
                <w:snapToGrid w:val="0"/>
                <w:color w:val="000000" w:themeColor="text1"/>
                <w:kern w:val="21"/>
                <w:sz w:val="21"/>
                <w:szCs w:val="21"/>
                <w:lang w:val="en-US" w:eastAsia="zh-CN"/>
                <w14:textFill>
                  <w14:solidFill>
                    <w14:schemeClr w14:val="tx1"/>
                  </w14:solidFill>
                </w14:textFill>
              </w:rPr>
            </w:pP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SO</w:t>
            </w:r>
            <w:r>
              <w:rPr>
                <w:rFonts w:hint="eastAsia" w:ascii="Times New Roman" w:eastAsiaTheme="minorEastAsia"/>
                <w:snapToGrid w:val="0"/>
                <w:color w:val="000000" w:themeColor="text1"/>
                <w:kern w:val="21"/>
                <w:sz w:val="21"/>
                <w:szCs w:val="21"/>
                <w:vertAlign w:val="subscript"/>
                <w:lang w:val="en-US" w:eastAsia="zh-CN"/>
                <w14:textFill>
                  <w14:solidFill>
                    <w14:schemeClr w14:val="tx1"/>
                  </w14:solidFill>
                </w14:textFill>
              </w:rPr>
              <w:t>2</w:t>
            </w:r>
          </w:p>
        </w:tc>
        <w:tc>
          <w:tcPr>
            <w:tcW w:w="517" w:type="pct"/>
            <w:tcBorders>
              <w:tl2br w:val="nil"/>
              <w:tr2bl w:val="nil"/>
            </w:tcBorders>
            <w:vAlign w:val="center"/>
          </w:tcPr>
          <w:p w14:paraId="0FF0EFC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7515A87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7F19299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17D42C20">
            <w:pPr>
              <w:keepNext w:val="0"/>
              <w:keepLines w:val="0"/>
              <w:widowControl/>
              <w:suppressLineNumbers w:val="0"/>
              <w:jc w:val="center"/>
              <w:textAlignment w:val="center"/>
              <w:rPr>
                <w:rFonts w:hint="default"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t>0.0005928t</w:t>
            </w:r>
          </w:p>
        </w:tc>
        <w:tc>
          <w:tcPr>
            <w:tcW w:w="527" w:type="pct"/>
            <w:tcBorders>
              <w:tl2br w:val="nil"/>
              <w:tr2bl w:val="nil"/>
            </w:tcBorders>
            <w:vAlign w:val="center"/>
          </w:tcPr>
          <w:p w14:paraId="2BAE55A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2873473B">
            <w:pPr>
              <w:keepNext w:val="0"/>
              <w:keepLines w:val="0"/>
              <w:widowControl/>
              <w:suppressLineNumbers w:val="0"/>
              <w:jc w:val="center"/>
              <w:textAlignment w:val="center"/>
              <w:rPr>
                <w:rFonts w:hint="eastAsia" w:ascii="Times New Roman" w:eastAsiaTheme="minorEastAsia"/>
                <w:snapToGrid w:val="0"/>
                <w:color w:val="000000" w:themeColor="text1"/>
                <w:kern w:val="21"/>
                <w:sz w:val="21"/>
                <w:szCs w:val="21"/>
                <w14:textFill>
                  <w14:solidFill>
                    <w14:schemeClr w14:val="tx1"/>
                  </w14:solidFill>
                </w14:textFill>
              </w:rPr>
            </w:pPr>
            <w:r>
              <w:rPr>
                <w:rFonts w:hint="eastAsia"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t>0.0005928t</w:t>
            </w:r>
          </w:p>
        </w:tc>
        <w:tc>
          <w:tcPr>
            <w:tcW w:w="393" w:type="pct"/>
            <w:tcBorders>
              <w:tl2br w:val="nil"/>
              <w:tr2bl w:val="nil"/>
            </w:tcBorders>
            <w:vAlign w:val="center"/>
          </w:tcPr>
          <w:p w14:paraId="5CE2AC4A">
            <w:pPr>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650A1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0A8A79B3">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vAlign w:val="center"/>
          </w:tcPr>
          <w:p w14:paraId="700BB029">
            <w:pPr>
              <w:pStyle w:val="36"/>
              <w:spacing w:beforeLines="0" w:afterLines="0" w:line="240" w:lineRule="auto"/>
              <w:rPr>
                <w:rFonts w:hint="default" w:ascii="Times New Roman" w:eastAsiaTheme="minorEastAsia"/>
                <w:snapToGrid w:val="0"/>
                <w:color w:val="000000" w:themeColor="text1"/>
                <w:kern w:val="21"/>
                <w:sz w:val="21"/>
                <w:szCs w:val="21"/>
                <w:lang w:val="en-US" w:eastAsia="zh-CN"/>
                <w14:textFill>
                  <w14:solidFill>
                    <w14:schemeClr w14:val="tx1"/>
                  </w14:solidFill>
                </w14:textFill>
              </w:rPr>
            </w:pP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NOx</w:t>
            </w:r>
          </w:p>
        </w:tc>
        <w:tc>
          <w:tcPr>
            <w:tcW w:w="517" w:type="pct"/>
            <w:tcBorders>
              <w:tl2br w:val="nil"/>
              <w:tr2bl w:val="nil"/>
            </w:tcBorders>
            <w:vAlign w:val="center"/>
          </w:tcPr>
          <w:p w14:paraId="47F12349">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5F1D1869">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4452865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44F0D81A">
            <w:pPr>
              <w:keepNext w:val="0"/>
              <w:keepLines w:val="0"/>
              <w:widowControl/>
              <w:suppressLineNumbers w:val="0"/>
              <w:jc w:val="center"/>
              <w:textAlignment w:val="center"/>
              <w:rPr>
                <w:rFonts w:hint="default"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pPr>
            <w:r>
              <w:rPr>
                <w:rFonts w:hint="eastAsia"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t>0.0883272t</w:t>
            </w:r>
          </w:p>
        </w:tc>
        <w:tc>
          <w:tcPr>
            <w:tcW w:w="527" w:type="pct"/>
            <w:tcBorders>
              <w:tl2br w:val="nil"/>
              <w:tr2bl w:val="nil"/>
            </w:tcBorders>
            <w:vAlign w:val="center"/>
          </w:tcPr>
          <w:p w14:paraId="634FBBDE">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6139E428">
            <w:pPr>
              <w:keepNext w:val="0"/>
              <w:keepLines w:val="0"/>
              <w:widowControl/>
              <w:suppressLineNumbers w:val="0"/>
              <w:jc w:val="center"/>
              <w:textAlignment w:val="center"/>
              <w:rPr>
                <w:rFonts w:hint="eastAsia" w:ascii="Times New Roman" w:eastAsiaTheme="minorEastAsia"/>
                <w:snapToGrid w:val="0"/>
                <w:color w:val="000000" w:themeColor="text1"/>
                <w:kern w:val="21"/>
                <w:sz w:val="21"/>
                <w:szCs w:val="21"/>
                <w14:textFill>
                  <w14:solidFill>
                    <w14:schemeClr w14:val="tx1"/>
                  </w14:solidFill>
                </w14:textFill>
              </w:rPr>
            </w:pPr>
            <w:r>
              <w:rPr>
                <w:rFonts w:hint="eastAsia" w:ascii="Times New Roman" w:hAnsi="Times New Roman" w:cs="Times New Roman" w:eastAsiaTheme="minorEastAsia"/>
                <w:snapToGrid w:val="0"/>
                <w:color w:val="000000" w:themeColor="text1"/>
                <w:kern w:val="21"/>
                <w:sz w:val="21"/>
                <w:szCs w:val="21"/>
                <w:lang w:val="en-US" w:eastAsia="zh-CN" w:bidi="ar-SA"/>
                <w14:textFill>
                  <w14:solidFill>
                    <w14:schemeClr w14:val="tx1"/>
                  </w14:solidFill>
                </w14:textFill>
              </w:rPr>
              <w:t>0.0883272t</w:t>
            </w:r>
          </w:p>
        </w:tc>
        <w:tc>
          <w:tcPr>
            <w:tcW w:w="393" w:type="pct"/>
            <w:tcBorders>
              <w:tl2br w:val="nil"/>
              <w:tr2bl w:val="nil"/>
            </w:tcBorders>
            <w:vAlign w:val="center"/>
          </w:tcPr>
          <w:p w14:paraId="2A5F25DE">
            <w:pPr>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7FA8D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restart"/>
            <w:tcBorders>
              <w:tl2br w:val="nil"/>
              <w:tr2bl w:val="nil"/>
            </w:tcBorders>
            <w:vAlign w:val="center"/>
          </w:tcPr>
          <w:p w14:paraId="219F372E">
            <w:pPr>
              <w:pStyle w:val="36"/>
              <w:spacing w:before="24" w:after="24"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废水</w:t>
            </w:r>
          </w:p>
        </w:tc>
        <w:tc>
          <w:tcPr>
            <w:tcW w:w="767" w:type="pct"/>
            <w:tcBorders>
              <w:tl2br w:val="nil"/>
              <w:tr2bl w:val="nil"/>
            </w:tcBorders>
            <w:vAlign w:val="center"/>
          </w:tcPr>
          <w:p w14:paraId="3EE9A944">
            <w:pPr>
              <w:pStyle w:val="36"/>
              <w:spacing w:beforeLines="0" w:afterLines="0" w:line="240" w:lineRule="auto"/>
              <w:rPr>
                <w:rFonts w:ascii="Times New Roman" w:eastAsiaTheme="minorEastAsia"/>
                <w:sz w:val="21"/>
                <w:szCs w:val="21"/>
              </w:rPr>
            </w:pPr>
            <w:r>
              <w:rPr>
                <w:rFonts w:hint="eastAsia" w:ascii="Times New Roman" w:eastAsiaTheme="minorEastAsia"/>
                <w:sz w:val="21"/>
                <w:szCs w:val="21"/>
              </w:rPr>
              <w:t>废水</w:t>
            </w:r>
          </w:p>
        </w:tc>
        <w:tc>
          <w:tcPr>
            <w:tcW w:w="517" w:type="pct"/>
            <w:tcBorders>
              <w:tl2br w:val="nil"/>
              <w:tr2bl w:val="nil"/>
            </w:tcBorders>
            <w:vAlign w:val="center"/>
          </w:tcPr>
          <w:p w14:paraId="4811BB7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5277758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5C8B487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1D69365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eastAsia" w:ascii="Times New Roman" w:hAnsi="Times New Roman" w:cs="Times New Roman" w:eastAsiaTheme="minorEastAsia"/>
                <w:color w:val="auto"/>
                <w:sz w:val="21"/>
                <w:szCs w:val="21"/>
                <w:lang w:val="en-US" w:eastAsia="zh-CN"/>
              </w:rPr>
              <w:t>210.6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0D793E4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2FC653F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eastAsia" w:ascii="Times New Roman" w:hAnsi="Times New Roman" w:cs="Times New Roman" w:eastAsiaTheme="minorEastAsia"/>
                <w:color w:val="auto"/>
                <w:sz w:val="21"/>
                <w:szCs w:val="21"/>
                <w:lang w:val="en-US" w:eastAsia="zh-CN"/>
              </w:rPr>
              <w:t>210.6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07FBA99D">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65D54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791E9B1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vAlign w:val="center"/>
          </w:tcPr>
          <w:p w14:paraId="4BE1E57E">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z w:val="21"/>
                <w:szCs w:val="21"/>
              </w:rPr>
              <w:t>COD</w:t>
            </w:r>
          </w:p>
        </w:tc>
        <w:tc>
          <w:tcPr>
            <w:tcW w:w="517" w:type="pct"/>
            <w:tcBorders>
              <w:tl2br w:val="nil"/>
              <w:tr2bl w:val="nil"/>
            </w:tcBorders>
            <w:vAlign w:val="center"/>
          </w:tcPr>
          <w:p w14:paraId="7438D1F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27983D69">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0327A35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3B05B2B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0.05728</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0FC806E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4403385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0.05728</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689FB4C6">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10E7F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0083298F">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vAlign w:val="center"/>
          </w:tcPr>
          <w:p w14:paraId="236EBBAC">
            <w:pPr>
              <w:pStyle w:val="36"/>
              <w:spacing w:beforeLines="0" w:afterLines="0" w:line="240" w:lineRule="auto"/>
              <w:rPr>
                <w:rFonts w:ascii="Times New Roman" w:eastAsiaTheme="minorEastAsia"/>
                <w:sz w:val="21"/>
                <w:szCs w:val="21"/>
              </w:rPr>
            </w:pPr>
            <w:r>
              <w:rPr>
                <w:rFonts w:ascii="Times New Roman" w:eastAsiaTheme="minorEastAsia"/>
                <w:sz w:val="21"/>
                <w:szCs w:val="21"/>
              </w:rPr>
              <w:t>BOD</w:t>
            </w:r>
            <w:r>
              <w:rPr>
                <w:rFonts w:ascii="Times New Roman" w:eastAsiaTheme="minorEastAsia"/>
                <w:sz w:val="21"/>
                <w:szCs w:val="21"/>
                <w:vertAlign w:val="subscript"/>
              </w:rPr>
              <w:t>5</w:t>
            </w:r>
          </w:p>
        </w:tc>
        <w:tc>
          <w:tcPr>
            <w:tcW w:w="517" w:type="pct"/>
            <w:tcBorders>
              <w:tl2br w:val="nil"/>
              <w:tr2bl w:val="nil"/>
            </w:tcBorders>
            <w:vAlign w:val="center"/>
          </w:tcPr>
          <w:p w14:paraId="3E45947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6F4BAFB3">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725C83B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68AE562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0.03066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795AA3C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6D1793D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0.03066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32C93234">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6F7E0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76706EA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vAlign w:val="center"/>
          </w:tcPr>
          <w:p w14:paraId="299CB48A">
            <w:pPr>
              <w:pStyle w:val="36"/>
              <w:spacing w:beforeLines="0" w:afterLines="0" w:line="240" w:lineRule="auto"/>
              <w:rPr>
                <w:rFonts w:ascii="Times New Roman" w:eastAsiaTheme="minorEastAsia"/>
                <w:sz w:val="21"/>
                <w:szCs w:val="21"/>
              </w:rPr>
            </w:pPr>
            <w:r>
              <w:rPr>
                <w:rFonts w:ascii="Times New Roman" w:eastAsiaTheme="minorEastAsia"/>
                <w:sz w:val="21"/>
                <w:szCs w:val="21"/>
              </w:rPr>
              <w:t>SS</w:t>
            </w:r>
          </w:p>
        </w:tc>
        <w:tc>
          <w:tcPr>
            <w:tcW w:w="517" w:type="pct"/>
            <w:tcBorders>
              <w:tl2br w:val="nil"/>
              <w:tr2bl w:val="nil"/>
            </w:tcBorders>
            <w:vAlign w:val="center"/>
          </w:tcPr>
          <w:p w14:paraId="5C673E9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0835AAB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3DA1D25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5C3D9A9F">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0.02948</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5459876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1349D7D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0.02948</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70E92B99">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27FAD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01E53918">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vAlign w:val="center"/>
          </w:tcPr>
          <w:p w14:paraId="7453A5E9">
            <w:pPr>
              <w:pStyle w:val="36"/>
              <w:spacing w:beforeLines="0" w:afterLines="0" w:line="240" w:lineRule="auto"/>
              <w:rPr>
                <w:rFonts w:ascii="Times New Roman" w:eastAsiaTheme="minorEastAsia"/>
                <w:sz w:val="21"/>
                <w:szCs w:val="21"/>
              </w:rPr>
            </w:pPr>
            <w:r>
              <w:rPr>
                <w:rFonts w:ascii="Times New Roman" w:eastAsiaTheme="minorEastAsia"/>
                <w:sz w:val="21"/>
                <w:szCs w:val="21"/>
              </w:rPr>
              <w:t>氨氮</w:t>
            </w:r>
          </w:p>
        </w:tc>
        <w:tc>
          <w:tcPr>
            <w:tcW w:w="517" w:type="pct"/>
            <w:tcBorders>
              <w:tl2br w:val="nil"/>
              <w:tr2bl w:val="nil"/>
            </w:tcBorders>
            <w:vAlign w:val="center"/>
          </w:tcPr>
          <w:p w14:paraId="721E71C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06D00C5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23E56D2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vAlign w:val="center"/>
          </w:tcPr>
          <w:p w14:paraId="68F7A93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0.00511</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13DF078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vAlign w:val="center"/>
          </w:tcPr>
          <w:p w14:paraId="42B3A78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0.00511</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249CF966">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18466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restart"/>
            <w:tcBorders>
              <w:tl2br w:val="nil"/>
              <w:tr2bl w:val="nil"/>
            </w:tcBorders>
            <w:vAlign w:val="center"/>
          </w:tcPr>
          <w:p w14:paraId="3C0AEA7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一般工业</w:t>
            </w:r>
          </w:p>
          <w:p w14:paraId="452A798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固体废物</w:t>
            </w:r>
          </w:p>
        </w:tc>
        <w:tc>
          <w:tcPr>
            <w:tcW w:w="767" w:type="pct"/>
            <w:tcBorders>
              <w:tl2br w:val="nil"/>
              <w:tr2bl w:val="nil"/>
            </w:tcBorders>
            <w:shd w:val="clear" w:color="auto" w:fill="auto"/>
            <w:vAlign w:val="center"/>
          </w:tcPr>
          <w:p w14:paraId="1E944FF7">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生活垃圾</w:t>
            </w:r>
          </w:p>
        </w:tc>
        <w:tc>
          <w:tcPr>
            <w:tcW w:w="517" w:type="pct"/>
            <w:tcBorders>
              <w:tl2br w:val="nil"/>
              <w:tr2bl w:val="nil"/>
            </w:tcBorders>
            <w:vAlign w:val="center"/>
          </w:tcPr>
          <w:p w14:paraId="0BA16D1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1D9E498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0482926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1627AD74">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0.66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6E7B7D0B">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5ABDD872">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0.66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5443ACF8">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62CA7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5A196ED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shd w:val="clear" w:color="auto" w:fill="auto"/>
            <w:vAlign w:val="center"/>
          </w:tcPr>
          <w:p w14:paraId="73FBDA25">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废包装材料</w:t>
            </w:r>
          </w:p>
        </w:tc>
        <w:tc>
          <w:tcPr>
            <w:tcW w:w="517" w:type="pct"/>
            <w:tcBorders>
              <w:tl2br w:val="nil"/>
              <w:tr2bl w:val="nil"/>
            </w:tcBorders>
            <w:vAlign w:val="center"/>
          </w:tcPr>
          <w:p w14:paraId="12DB664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1FEBD8B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4609BCEB">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19143511">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0.3</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2957FB7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3083D79F">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0.3</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264BB211">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1FA42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4D32C48F">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shd w:val="clear" w:color="auto" w:fill="auto"/>
            <w:vAlign w:val="center"/>
          </w:tcPr>
          <w:p w14:paraId="293382E6">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不合格品</w:t>
            </w:r>
          </w:p>
        </w:tc>
        <w:tc>
          <w:tcPr>
            <w:tcW w:w="517" w:type="pct"/>
            <w:tcBorders>
              <w:tl2br w:val="nil"/>
              <w:tr2bl w:val="nil"/>
            </w:tcBorders>
            <w:vAlign w:val="center"/>
          </w:tcPr>
          <w:p w14:paraId="3A0560D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182BBDC9">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503AD7D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56E7C96C">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0.18</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43341CA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77B00300">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0.18</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6BF702B1">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17E61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09548BBE">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shd w:val="clear" w:color="auto" w:fill="auto"/>
            <w:vAlign w:val="center"/>
          </w:tcPr>
          <w:p w14:paraId="360BAF9B">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收集粉尘</w:t>
            </w:r>
          </w:p>
        </w:tc>
        <w:tc>
          <w:tcPr>
            <w:tcW w:w="517" w:type="pct"/>
            <w:tcBorders>
              <w:tl2br w:val="nil"/>
              <w:tr2bl w:val="nil"/>
            </w:tcBorders>
            <w:vAlign w:val="center"/>
          </w:tcPr>
          <w:p w14:paraId="3941144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505F5FF3">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6785A47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0D6F6DD0">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9.2094</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1A8171C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43603D29">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9.2094</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3C34F4F3">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51A1B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6614DDAA">
            <w:pPr>
              <w:pStyle w:val="36"/>
              <w:spacing w:before="24" w:after="24"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shd w:val="clear" w:color="auto" w:fill="auto"/>
            <w:vAlign w:val="center"/>
          </w:tcPr>
          <w:p w14:paraId="7D8738E3">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废漆渣</w:t>
            </w:r>
          </w:p>
        </w:tc>
        <w:tc>
          <w:tcPr>
            <w:tcW w:w="517" w:type="pct"/>
            <w:tcBorders>
              <w:tl2br w:val="nil"/>
              <w:tr2bl w:val="nil"/>
            </w:tcBorders>
            <w:vAlign w:val="center"/>
          </w:tcPr>
          <w:p w14:paraId="1B05F1F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3E6953E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1A797E53">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199FA461">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0.2</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5B2CF04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00BEC0C4">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0.2</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5E780386">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35ED44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644D522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shd w:val="clear" w:color="auto" w:fill="auto"/>
            <w:vAlign w:val="center"/>
          </w:tcPr>
          <w:p w14:paraId="2B7C35B0">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废反渗透膜</w:t>
            </w:r>
          </w:p>
        </w:tc>
        <w:tc>
          <w:tcPr>
            <w:tcW w:w="517" w:type="pct"/>
            <w:tcBorders>
              <w:tl2br w:val="nil"/>
              <w:tr2bl w:val="nil"/>
            </w:tcBorders>
            <w:vAlign w:val="center"/>
          </w:tcPr>
          <w:p w14:paraId="58A8F40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7F4C5CB3">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7F2ECE5F">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093C259F">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0.001</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0B3CD668">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089CFA03">
            <w:pPr>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0.001</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1F365470">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6369B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01" w:type="pct"/>
            <w:vMerge w:val="restart"/>
            <w:tcBorders>
              <w:tl2br w:val="nil"/>
              <w:tr2bl w:val="nil"/>
            </w:tcBorders>
            <w:vAlign w:val="center"/>
          </w:tcPr>
          <w:p w14:paraId="734ECD7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危险废物</w:t>
            </w:r>
          </w:p>
        </w:tc>
        <w:tc>
          <w:tcPr>
            <w:tcW w:w="767" w:type="pct"/>
            <w:tcBorders>
              <w:tl2br w:val="nil"/>
              <w:tr2bl w:val="nil"/>
            </w:tcBorders>
            <w:shd w:val="clear" w:color="auto" w:fill="auto"/>
            <w:vAlign w:val="center"/>
          </w:tcPr>
          <w:p w14:paraId="39ECD7D3">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废机油及废油桶</w:t>
            </w:r>
          </w:p>
        </w:tc>
        <w:tc>
          <w:tcPr>
            <w:tcW w:w="517" w:type="pct"/>
            <w:tcBorders>
              <w:tl2br w:val="nil"/>
              <w:tr2bl w:val="nil"/>
            </w:tcBorders>
            <w:vAlign w:val="center"/>
          </w:tcPr>
          <w:p w14:paraId="285DD95D">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354974E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24BCC63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2FF45661">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40EE00B2">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0CFE1D20">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0.6</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361FA410">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6C3776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Borders>
              <w:tl2br w:val="nil"/>
              <w:tr2bl w:val="nil"/>
            </w:tcBorders>
            <w:vAlign w:val="center"/>
          </w:tcPr>
          <w:p w14:paraId="18777967">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767" w:type="pct"/>
            <w:tcBorders>
              <w:tl2br w:val="nil"/>
              <w:tr2bl w:val="nil"/>
            </w:tcBorders>
            <w:shd w:val="clear" w:color="auto" w:fill="auto"/>
            <w:vAlign w:val="center"/>
          </w:tcPr>
          <w:p w14:paraId="5A59BD9A">
            <w:pPr>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Cs w:val="21"/>
                <w:lang w:val="en-US" w:eastAsia="zh-CN"/>
              </w:rPr>
              <w:t>废活性炭</w:t>
            </w:r>
          </w:p>
        </w:tc>
        <w:tc>
          <w:tcPr>
            <w:tcW w:w="517" w:type="pct"/>
            <w:tcBorders>
              <w:tl2br w:val="nil"/>
              <w:tr2bl w:val="nil"/>
            </w:tcBorders>
            <w:vAlign w:val="center"/>
          </w:tcPr>
          <w:p w14:paraId="007CC66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tcBorders>
              <w:tl2br w:val="nil"/>
              <w:tr2bl w:val="nil"/>
            </w:tcBorders>
            <w:vAlign w:val="center"/>
          </w:tcPr>
          <w:p w14:paraId="1A9D81BF">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tcBorders>
              <w:tl2br w:val="nil"/>
              <w:tr2bl w:val="nil"/>
            </w:tcBorders>
            <w:vAlign w:val="center"/>
          </w:tcPr>
          <w:p w14:paraId="1296590B">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tcBorders>
              <w:tl2br w:val="nil"/>
              <w:tr2bl w:val="nil"/>
            </w:tcBorders>
            <w:shd w:val="clear" w:color="auto" w:fill="auto"/>
            <w:vAlign w:val="center"/>
          </w:tcPr>
          <w:p w14:paraId="14F9DF4A">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2.9575</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tcBorders>
              <w:tl2br w:val="nil"/>
              <w:tr2bl w:val="nil"/>
            </w:tcBorders>
            <w:vAlign w:val="center"/>
          </w:tcPr>
          <w:p w14:paraId="6F0AB11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tcBorders>
              <w:tl2br w:val="nil"/>
              <w:tr2bl w:val="nil"/>
            </w:tcBorders>
            <w:shd w:val="clear" w:color="auto" w:fill="auto"/>
            <w:vAlign w:val="center"/>
          </w:tcPr>
          <w:p w14:paraId="624FA54D">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2.9575</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393" w:type="pct"/>
            <w:tcBorders>
              <w:tl2br w:val="nil"/>
              <w:tr2bl w:val="nil"/>
            </w:tcBorders>
            <w:vAlign w:val="center"/>
          </w:tcPr>
          <w:p w14:paraId="2E6FE288">
            <w:pPr>
              <w:pStyle w:val="36"/>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24814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1" w:type="pct"/>
            <w:vMerge w:val="continue"/>
          </w:tcPr>
          <w:p w14:paraId="4407B98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0" w:type="auto"/>
            <w:shd w:val="clear" w:color="auto" w:fill="auto"/>
            <w:vAlign w:val="center"/>
          </w:tcPr>
          <w:p w14:paraId="4927F6C1">
            <w:pPr>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Cs w:val="21"/>
                <w:lang w:val="en-US" w:eastAsia="zh-CN"/>
              </w:rPr>
              <w:t>废超滤滤芯</w:t>
            </w:r>
          </w:p>
        </w:tc>
        <w:tc>
          <w:tcPr>
            <w:tcW w:w="517" w:type="pct"/>
            <w:vAlign w:val="center"/>
          </w:tcPr>
          <w:p w14:paraId="6B096443">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vAlign w:val="center"/>
          </w:tcPr>
          <w:p w14:paraId="678FA3E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vAlign w:val="center"/>
          </w:tcPr>
          <w:p w14:paraId="2F3917EE">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shd w:val="clear" w:color="auto" w:fill="auto"/>
            <w:vAlign w:val="center"/>
          </w:tcPr>
          <w:p w14:paraId="37A3D317">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0.1</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527" w:type="pct"/>
            <w:vAlign w:val="center"/>
          </w:tcPr>
          <w:p w14:paraId="6C2664CE">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780" w:type="pct"/>
            <w:shd w:val="clear" w:color="auto" w:fill="auto"/>
            <w:vAlign w:val="center"/>
          </w:tcPr>
          <w:p w14:paraId="7AA61C62">
            <w:pPr>
              <w:jc w:val="center"/>
              <w:rPr>
                <w:rFonts w:hint="default" w:ascii="Times New Roman" w:hAnsi="Times New Roman" w:cs="Times New Roman" w:eastAsiaTheme="minorEastAsia"/>
                <w:kern w:val="2"/>
                <w:sz w:val="21"/>
                <w:szCs w:val="21"/>
                <w:lang w:val="en-US" w:eastAsia="zh-CN" w:bidi="ar-SA"/>
              </w:rPr>
            </w:pPr>
            <w:r>
              <w:rPr>
                <w:rFonts w:hint="eastAsia" w:cs="Times New Roman" w:eastAsiaTheme="minorEastAsia"/>
                <w:kern w:val="2"/>
                <w:sz w:val="21"/>
                <w:szCs w:val="21"/>
                <w:lang w:val="en-US" w:eastAsia="zh-CN" w:bidi="ar-SA"/>
              </w:rPr>
              <w:t>0.1</w:t>
            </w:r>
            <w:r>
              <w:rPr>
                <w:rFonts w:hint="eastAsia" w:ascii="Times New Roman" w:eastAsiaTheme="minorEastAsia"/>
                <w:snapToGrid w:val="0"/>
                <w:color w:val="000000" w:themeColor="text1"/>
                <w:kern w:val="21"/>
                <w:sz w:val="21"/>
                <w:szCs w:val="21"/>
                <w:lang w:val="en-US" w:eastAsia="zh-CN"/>
                <w14:textFill>
                  <w14:solidFill>
                    <w14:schemeClr w14:val="tx1"/>
                  </w14:solidFill>
                </w14:textFill>
              </w:rPr>
              <w:t>t</w:t>
            </w:r>
          </w:p>
        </w:tc>
        <w:tc>
          <w:tcPr>
            <w:tcW w:w="0" w:type="auto"/>
          </w:tcPr>
          <w:p w14:paraId="56E8B469">
            <w:pPr>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7D56B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Pr>
          <w:p w14:paraId="2B99CD59">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0" w:type="auto"/>
            <w:shd w:val="clear" w:color="auto" w:fill="auto"/>
            <w:vAlign w:val="center"/>
          </w:tcPr>
          <w:p w14:paraId="2CA3B120">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废油槽渣</w:t>
            </w:r>
          </w:p>
        </w:tc>
        <w:tc>
          <w:tcPr>
            <w:tcW w:w="517" w:type="pct"/>
            <w:vAlign w:val="center"/>
          </w:tcPr>
          <w:p w14:paraId="6BBFF7C1">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shd w:val="clear" w:color="auto" w:fill="auto"/>
            <w:vAlign w:val="center"/>
          </w:tcPr>
          <w:p w14:paraId="324EF302">
            <w:pPr>
              <w:pStyle w:val="36"/>
              <w:spacing w:beforeLines="0" w:afterLines="0" w:line="240" w:lineRule="auto"/>
              <w:rPr>
                <w:rFonts w:hint="default" w:ascii="Times New Roman" w:hAnsi="Times New Roman" w:cs="Times New Roman" w:eastAsiaTheme="minorEastAsia"/>
                <w:color w:val="auto"/>
                <w:kern w:val="2"/>
                <w:sz w:val="21"/>
                <w:szCs w:val="21"/>
                <w:lang w:val="en-US" w:eastAsia="zh-CN" w:bidi="ar-SA"/>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shd w:val="clear" w:color="auto" w:fill="auto"/>
            <w:vAlign w:val="center"/>
          </w:tcPr>
          <w:p w14:paraId="2CB9474C">
            <w:pPr>
              <w:pStyle w:val="36"/>
              <w:spacing w:beforeLines="0" w:afterLines="0" w:line="240" w:lineRule="auto"/>
              <w:rPr>
                <w:rFonts w:hint="default" w:ascii="Times New Roman" w:hAnsi="Times New Roman" w:cs="Times New Roman" w:eastAsiaTheme="minorEastAsia"/>
                <w:color w:val="auto"/>
                <w:kern w:val="2"/>
                <w:sz w:val="21"/>
                <w:szCs w:val="21"/>
                <w:lang w:val="en-US" w:eastAsia="zh-CN" w:bidi="ar-SA"/>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shd w:val="clear" w:color="auto" w:fill="auto"/>
            <w:vAlign w:val="center"/>
          </w:tcPr>
          <w:p w14:paraId="6E1CC077">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0.24t</w:t>
            </w:r>
          </w:p>
        </w:tc>
        <w:tc>
          <w:tcPr>
            <w:tcW w:w="1502" w:type="dxa"/>
            <w:vAlign w:val="center"/>
          </w:tcPr>
          <w:p w14:paraId="7AA4DB04">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2223" w:type="dxa"/>
            <w:shd w:val="clear" w:color="auto" w:fill="auto"/>
            <w:vAlign w:val="center"/>
          </w:tcPr>
          <w:p w14:paraId="76748512">
            <w:pPr>
              <w:jc w:val="center"/>
              <w:rPr>
                <w:rFonts w:hint="eastAsia" w:cs="Times New Roman" w:eastAsiaTheme="minorEastAsia"/>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0.24t</w:t>
            </w:r>
          </w:p>
        </w:tc>
        <w:tc>
          <w:tcPr>
            <w:tcW w:w="0" w:type="auto"/>
          </w:tcPr>
          <w:p w14:paraId="740C368D">
            <w:pPr>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4546F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01" w:type="pct"/>
            <w:vMerge w:val="continue"/>
          </w:tcPr>
          <w:p w14:paraId="15F4394A">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0" w:type="auto"/>
            <w:shd w:val="clear" w:color="auto" w:fill="auto"/>
            <w:vAlign w:val="center"/>
          </w:tcPr>
          <w:p w14:paraId="2F337130">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废陶化槽渣</w:t>
            </w:r>
          </w:p>
        </w:tc>
        <w:tc>
          <w:tcPr>
            <w:tcW w:w="517" w:type="pct"/>
            <w:vAlign w:val="center"/>
          </w:tcPr>
          <w:p w14:paraId="56D82BF0">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vAlign w:val="center"/>
          </w:tcPr>
          <w:p w14:paraId="69A1C48B">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shd w:val="clear" w:color="auto" w:fill="auto"/>
            <w:vAlign w:val="center"/>
          </w:tcPr>
          <w:p w14:paraId="63F8A963">
            <w:pPr>
              <w:pStyle w:val="36"/>
              <w:spacing w:beforeLines="0" w:afterLines="0" w:line="240" w:lineRule="auto"/>
              <w:rPr>
                <w:rFonts w:hint="default" w:ascii="Times New Roman" w:hAnsi="Times New Roman" w:cs="Times New Roman" w:eastAsiaTheme="minorEastAsia"/>
                <w:color w:val="auto"/>
                <w:kern w:val="2"/>
                <w:sz w:val="21"/>
                <w:szCs w:val="21"/>
                <w:lang w:val="en-US" w:eastAsia="zh-CN" w:bidi="ar-SA"/>
              </w:rPr>
            </w:pPr>
            <w:r>
              <w:rPr>
                <w:rFonts w:ascii="Times New Roman" w:eastAsiaTheme="minorEastAsia"/>
                <w:snapToGrid w:val="0"/>
                <w:color w:val="000000" w:themeColor="text1"/>
                <w:kern w:val="21"/>
                <w:sz w:val="21"/>
                <w:szCs w:val="21"/>
                <w14:textFill>
                  <w14:solidFill>
                    <w14:schemeClr w14:val="tx1"/>
                  </w14:solidFill>
                </w14:textFill>
              </w:rPr>
              <w:t>/</w:t>
            </w:r>
          </w:p>
        </w:tc>
        <w:tc>
          <w:tcPr>
            <w:tcW w:w="687" w:type="pct"/>
            <w:shd w:val="clear" w:color="auto" w:fill="auto"/>
            <w:vAlign w:val="center"/>
          </w:tcPr>
          <w:p w14:paraId="6D8B375F">
            <w:pPr>
              <w:jc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0.24t</w:t>
            </w:r>
          </w:p>
        </w:tc>
        <w:tc>
          <w:tcPr>
            <w:tcW w:w="1502" w:type="dxa"/>
            <w:vAlign w:val="center"/>
          </w:tcPr>
          <w:p w14:paraId="60759445">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2223" w:type="dxa"/>
            <w:shd w:val="clear" w:color="auto" w:fill="auto"/>
            <w:vAlign w:val="center"/>
          </w:tcPr>
          <w:p w14:paraId="56C3C34A">
            <w:pPr>
              <w:jc w:val="center"/>
              <w:rPr>
                <w:rFonts w:hint="eastAsia" w:cs="Times New Roman" w:eastAsiaTheme="minorEastAsia"/>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0.24t</w:t>
            </w:r>
          </w:p>
        </w:tc>
        <w:tc>
          <w:tcPr>
            <w:tcW w:w="0" w:type="auto"/>
          </w:tcPr>
          <w:p w14:paraId="0DCC8D02">
            <w:pPr>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r w14:paraId="3CE5F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0" w:type="auto"/>
          </w:tcPr>
          <w:p w14:paraId="4432901E">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p>
        </w:tc>
        <w:tc>
          <w:tcPr>
            <w:tcW w:w="0" w:type="auto"/>
            <w:shd w:val="clear" w:color="auto" w:fill="auto"/>
            <w:vAlign w:val="center"/>
          </w:tcPr>
          <w:p w14:paraId="50021BE3">
            <w:pPr>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sz w:val="21"/>
                <w:szCs w:val="21"/>
                <w:lang w:val="en-US" w:eastAsia="zh-CN"/>
              </w:rPr>
              <w:t>废</w:t>
            </w:r>
            <w:r>
              <w:rPr>
                <w:rFonts w:hint="default" w:ascii="Times New Roman" w:hAnsi="Times New Roman" w:cs="Times New Roman" w:eastAsiaTheme="minorEastAsia"/>
                <w:color w:val="auto"/>
                <w:sz w:val="21"/>
                <w:szCs w:val="21"/>
                <w:lang w:val="en-US" w:eastAsia="zh-CN"/>
              </w:rPr>
              <w:t>电泳</w:t>
            </w:r>
            <w:r>
              <w:rPr>
                <w:rFonts w:hint="eastAsia" w:ascii="Times New Roman" w:hAnsi="Times New Roman" w:cs="Times New Roman" w:eastAsiaTheme="minorEastAsia"/>
                <w:color w:val="auto"/>
                <w:sz w:val="21"/>
                <w:szCs w:val="21"/>
                <w:lang w:val="en-US" w:eastAsia="zh-CN"/>
              </w:rPr>
              <w:t>漆渣</w:t>
            </w:r>
          </w:p>
        </w:tc>
        <w:tc>
          <w:tcPr>
            <w:tcW w:w="517" w:type="pct"/>
            <w:vAlign w:val="center"/>
          </w:tcPr>
          <w:p w14:paraId="33A7F976">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420" w:type="pct"/>
            <w:vAlign w:val="center"/>
          </w:tcPr>
          <w:p w14:paraId="37F0F6F8">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603" w:type="pct"/>
            <w:shd w:val="clear" w:color="auto" w:fill="auto"/>
            <w:vAlign w:val="center"/>
          </w:tcPr>
          <w:p w14:paraId="25AE6398">
            <w:pPr>
              <w:pStyle w:val="36"/>
              <w:spacing w:beforeLines="0" w:afterLines="0" w:line="240" w:lineRule="auto"/>
              <w:rPr>
                <w:rFonts w:hint="default" w:ascii="Times New Roman" w:hAnsi="Times New Roman" w:cs="Times New Roman" w:eastAsiaTheme="minorEastAsia"/>
                <w:color w:val="auto"/>
                <w:kern w:val="2"/>
                <w:sz w:val="21"/>
                <w:szCs w:val="21"/>
                <w:lang w:val="en-US" w:eastAsia="zh-CN" w:bidi="ar-SA"/>
              </w:rPr>
            </w:pPr>
            <w:r>
              <w:rPr>
                <w:rFonts w:ascii="Times New Roman" w:eastAsiaTheme="minorEastAsia"/>
                <w:snapToGrid w:val="0"/>
                <w:color w:val="000000" w:themeColor="text1"/>
                <w:kern w:val="21"/>
                <w:sz w:val="21"/>
                <w:szCs w:val="21"/>
                <w14:textFill>
                  <w14:solidFill>
                    <w14:schemeClr w14:val="tx1"/>
                  </w14:solidFill>
                </w14:textFill>
              </w:rPr>
              <w:t>/</w:t>
            </w:r>
          </w:p>
        </w:tc>
        <w:tc>
          <w:tcPr>
            <w:tcW w:w="0" w:type="auto"/>
            <w:shd w:val="clear" w:color="auto" w:fill="auto"/>
            <w:vAlign w:val="center"/>
          </w:tcPr>
          <w:p w14:paraId="413F8525">
            <w:pPr>
              <w:jc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0.6</w:t>
            </w:r>
            <w:r>
              <w:rPr>
                <w:rFonts w:hint="eastAsia" w:ascii="Times New Roman" w:hAnsi="Times New Roman" w:cs="Times New Roman" w:eastAsiaTheme="minorEastAsia"/>
                <w:color w:val="auto"/>
                <w:sz w:val="21"/>
                <w:szCs w:val="21"/>
                <w:lang w:val="en-US" w:eastAsia="zh-CN"/>
              </w:rPr>
              <w:t>t</w:t>
            </w:r>
          </w:p>
        </w:tc>
        <w:tc>
          <w:tcPr>
            <w:tcW w:w="1502" w:type="dxa"/>
            <w:vAlign w:val="center"/>
          </w:tcPr>
          <w:p w14:paraId="063B080C">
            <w:pPr>
              <w:pStyle w:val="36"/>
              <w:spacing w:beforeLines="0" w:afterLines="0" w:line="240" w:lineRule="auto"/>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c>
          <w:tcPr>
            <w:tcW w:w="2223" w:type="dxa"/>
            <w:vAlign w:val="center"/>
          </w:tcPr>
          <w:p w14:paraId="654C8E43">
            <w:pPr>
              <w:jc w:val="center"/>
              <w:rPr>
                <w:rFonts w:hint="eastAsia"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0.6</w:t>
            </w:r>
            <w:r>
              <w:rPr>
                <w:rFonts w:hint="eastAsia" w:ascii="Times New Roman" w:hAnsi="Times New Roman" w:cs="Times New Roman" w:eastAsiaTheme="minorEastAsia"/>
                <w:color w:val="auto"/>
                <w:sz w:val="21"/>
                <w:szCs w:val="21"/>
                <w:lang w:val="en-US" w:eastAsia="zh-CN"/>
              </w:rPr>
              <w:t>t</w:t>
            </w:r>
          </w:p>
        </w:tc>
        <w:tc>
          <w:tcPr>
            <w:tcW w:w="0" w:type="auto"/>
          </w:tcPr>
          <w:p w14:paraId="5F5DF429">
            <w:pPr>
              <w:spacing w:beforeLines="0" w:afterLines="0" w:line="240" w:lineRule="auto"/>
              <w:jc w:val="center"/>
              <w:rPr>
                <w:rFonts w:ascii="Times New Roman" w:eastAsiaTheme="minorEastAsia"/>
                <w:snapToGrid w:val="0"/>
                <w:color w:val="000000" w:themeColor="text1"/>
                <w:kern w:val="21"/>
                <w:sz w:val="21"/>
                <w:szCs w:val="21"/>
                <w14:textFill>
                  <w14:solidFill>
                    <w14:schemeClr w14:val="tx1"/>
                  </w14:solidFill>
                </w14:textFill>
              </w:rPr>
            </w:pPr>
            <w:r>
              <w:rPr>
                <w:rFonts w:ascii="Times New Roman" w:eastAsiaTheme="minorEastAsia"/>
                <w:snapToGrid w:val="0"/>
                <w:color w:val="000000" w:themeColor="text1"/>
                <w:kern w:val="21"/>
                <w:sz w:val="21"/>
                <w:szCs w:val="21"/>
                <w14:textFill>
                  <w14:solidFill>
                    <w14:schemeClr w14:val="tx1"/>
                  </w14:solidFill>
                </w14:textFill>
              </w:rPr>
              <w:t>/</w:t>
            </w:r>
          </w:p>
        </w:tc>
      </w:tr>
    </w:tbl>
    <w:p w14:paraId="1AE1E6AB">
      <w:pPr>
        <w:pStyle w:val="36"/>
        <w:spacing w:before="192" w:beforeLines="80" w:after="24"/>
        <w:jc w:val="left"/>
        <w:sectPr>
          <w:footerReference r:id="rId3" w:type="default"/>
          <w:pgSz w:w="16840" w:h="11907" w:orient="landscape"/>
          <w:pgMar w:top="1531" w:right="1701" w:bottom="1531" w:left="2126" w:header="851" w:footer="851" w:gutter="0"/>
          <w:pgBorders>
            <w:top w:val="none" w:sz="0" w:space="0"/>
            <w:left w:val="none" w:sz="0" w:space="0"/>
            <w:bottom w:val="none" w:sz="0" w:space="0"/>
            <w:right w:val="none" w:sz="0" w:space="0"/>
          </w:pgBorders>
          <w:pgNumType w:fmt="decimal"/>
          <w:cols w:space="720" w:num="1"/>
          <w:docGrid w:linePitch="312" w:charSpace="0"/>
        </w:sectPr>
      </w:pPr>
      <w:r>
        <w:rPr>
          <w:rFonts w:hAnsi="宋体"/>
          <w:snapToGrid w:val="0"/>
          <w:color w:val="000000" w:themeColor="text1"/>
          <w:kern w:val="21"/>
          <w:szCs w:val="21"/>
          <w14:textFill>
            <w14:solidFill>
              <w14:schemeClr w14:val="tx1"/>
            </w14:solidFill>
          </w14:textFill>
        </w:rPr>
        <w:t>注：</w:t>
      </w:r>
      <w:r>
        <w:rPr>
          <w:rFonts w:hAnsi="宋体"/>
          <w:snapToGrid w:val="0"/>
          <w:color w:val="000000" w:themeColor="text1"/>
          <w:spacing w:val="-16"/>
          <w:kern w:val="21"/>
          <w:szCs w:val="21"/>
          <w14:textFill>
            <w14:solidFill>
              <w14:schemeClr w14:val="tx1"/>
            </w14:solidFill>
          </w14:textFill>
        </w:rPr>
        <w:fldChar w:fldCharType="begin" w:fldLock="1"/>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fldLock="1"/>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fldLock="1"/>
      </w:r>
      <w:r>
        <w:rPr>
          <w:rFonts w:hAnsi="宋体"/>
          <w:snapToGrid w:val="0"/>
          <w:color w:val="000000" w:themeColor="text1"/>
          <w:spacing w:val="-6"/>
          <w:kern w:val="21"/>
          <w:szCs w:val="21"/>
          <w14:textFill>
            <w14:solidFill>
              <w14:schemeClr w14:val="tx1"/>
            </w14:solidFill>
          </w14:textFill>
        </w:rPr>
        <w:instrText xml:space="preserve"> = 3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③</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fldLock="1"/>
      </w:r>
      <w:r>
        <w:rPr>
          <w:rFonts w:hAnsi="宋体"/>
          <w:snapToGrid w:val="0"/>
          <w:color w:val="000000" w:themeColor="text1"/>
          <w:spacing w:val="-6"/>
          <w:kern w:val="21"/>
          <w:szCs w:val="21"/>
          <w14:textFill>
            <w14:solidFill>
              <w14:schemeClr w14:val="tx1"/>
            </w14:solidFill>
          </w14:textFill>
        </w:rPr>
        <w:instrText xml:space="preserve"> = 4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④</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fldLock="1"/>
      </w:r>
      <w:r>
        <w:rPr>
          <w:rFonts w:hAnsi="宋体"/>
          <w:snapToGrid w:val="0"/>
          <w:color w:val="000000" w:themeColor="text1"/>
          <w:spacing w:val="-16"/>
          <w:kern w:val="21"/>
          <w:szCs w:val="21"/>
          <w14:textFill>
            <w14:solidFill>
              <w14:schemeClr w14:val="tx1"/>
            </w14:solidFill>
          </w14:textFill>
        </w:rPr>
        <w:instrText xml:space="preserve"> = 5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⑤</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fldLock="1"/>
      </w:r>
      <w:r>
        <w:rPr>
          <w:rFonts w:hAnsi="宋体"/>
          <w:snapToGrid w:val="0"/>
          <w:color w:val="000000" w:themeColor="text1"/>
          <w:spacing w:val="-6"/>
          <w:kern w:val="21"/>
          <w:szCs w:val="21"/>
          <w14:textFill>
            <w14:solidFill>
              <w14:schemeClr w14:val="tx1"/>
            </w14:solidFill>
          </w14:textFill>
        </w:rPr>
        <w:instrText xml:space="preserve"> = 7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⑦</w:t>
      </w:r>
      <w:r>
        <w:rPr>
          <w:rFonts w:hAnsi="宋体"/>
          <w:snapToGrid w:val="0"/>
          <w:color w:val="000000" w:themeColor="text1"/>
          <w:spacing w:val="-6"/>
          <w:kern w:val="21"/>
          <w:szCs w:val="21"/>
          <w14:textFill>
            <w14:solidFill>
              <w14:schemeClr w14:val="tx1"/>
            </w14:solidFill>
          </w14:textFill>
        </w:rPr>
        <w:fldChar w:fldCharType="end"/>
      </w:r>
      <w:r>
        <w:rPr>
          <w:rFonts w:hAnsi="宋体"/>
          <w:snapToGrid w:val="0"/>
          <w:color w:val="000000" w:themeColor="text1"/>
          <w:spacing w:val="-6"/>
          <w:kern w:val="21"/>
          <w:szCs w:val="21"/>
          <w14:textFill>
            <w14:solidFill>
              <w14:schemeClr w14:val="tx1"/>
            </w14:solidFill>
          </w14:textFill>
        </w:rPr>
        <w:t>=</w:t>
      </w:r>
      <w:r>
        <w:rPr>
          <w:rFonts w:hAnsi="宋体"/>
          <w:snapToGrid w:val="0"/>
          <w:color w:val="000000" w:themeColor="text1"/>
          <w:spacing w:val="-16"/>
          <w:kern w:val="21"/>
          <w:szCs w:val="21"/>
          <w14:textFill>
            <w14:solidFill>
              <w14:schemeClr w14:val="tx1"/>
            </w14:solidFill>
          </w14:textFill>
        </w:rPr>
        <w:fldChar w:fldCharType="begin" w:fldLock="1"/>
      </w:r>
      <w:r>
        <w:rPr>
          <w:rFonts w:hAnsi="宋体"/>
          <w:snapToGrid w:val="0"/>
          <w:color w:val="000000" w:themeColor="text1"/>
          <w:spacing w:val="-16"/>
          <w:kern w:val="21"/>
          <w:szCs w:val="21"/>
          <w14:textFill>
            <w14:solidFill>
              <w14:schemeClr w14:val="tx1"/>
            </w14:solidFill>
          </w14:textFill>
        </w:rPr>
        <w:instrText xml:space="preserve"> = 6 \* GB3 \* MERGEFORMAT </w:instrText>
      </w:r>
      <w:r>
        <w:rPr>
          <w:rFonts w:hAnsi="宋体"/>
          <w:snapToGrid w:val="0"/>
          <w:color w:val="000000" w:themeColor="text1"/>
          <w:spacing w:val="-1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⑥</w:t>
      </w:r>
      <w:r>
        <w:rPr>
          <w:rFonts w:hAnsi="宋体"/>
          <w:snapToGrid w:val="0"/>
          <w:color w:val="000000" w:themeColor="text1"/>
          <w:spacing w:val="-16"/>
          <w:kern w:val="21"/>
          <w:szCs w:val="21"/>
          <w14:textFill>
            <w14:solidFill>
              <w14:schemeClr w14:val="tx1"/>
            </w14:solidFill>
          </w14:textFill>
        </w:rPr>
        <w:fldChar w:fldCharType="end"/>
      </w:r>
      <w:r>
        <w:rPr>
          <w:rFonts w:hAnsi="宋体"/>
          <w:snapToGrid w:val="0"/>
          <w:color w:val="000000" w:themeColor="text1"/>
          <w:spacing w:val="-16"/>
          <w:kern w:val="21"/>
          <w:szCs w:val="21"/>
          <w14:textFill>
            <w14:solidFill>
              <w14:schemeClr w14:val="tx1"/>
            </w14:solidFill>
          </w14:textFill>
        </w:rPr>
        <w:t>-</w:t>
      </w:r>
      <w:r>
        <w:rPr>
          <w:rFonts w:hAnsi="宋体"/>
          <w:snapToGrid w:val="0"/>
          <w:color w:val="000000" w:themeColor="text1"/>
          <w:spacing w:val="-6"/>
          <w:kern w:val="21"/>
          <w:szCs w:val="21"/>
          <w14:textFill>
            <w14:solidFill>
              <w14:schemeClr w14:val="tx1"/>
            </w14:solidFill>
          </w14:textFill>
        </w:rPr>
        <w:fldChar w:fldCharType="begin" w:fldLock="1"/>
      </w:r>
      <w:r>
        <w:rPr>
          <w:rFonts w:hAnsi="宋体"/>
          <w:snapToGrid w:val="0"/>
          <w:color w:val="000000" w:themeColor="text1"/>
          <w:spacing w:val="-6"/>
          <w:kern w:val="21"/>
          <w:szCs w:val="21"/>
          <w14:textFill>
            <w14:solidFill>
              <w14:schemeClr w14:val="tx1"/>
            </w14:solidFill>
          </w14:textFill>
        </w:rPr>
        <w:instrText xml:space="preserve"> = 1 \* GB3 \* MERGEFORMAT </w:instrText>
      </w:r>
      <w:r>
        <w:rPr>
          <w:rFonts w:hAnsi="宋体"/>
          <w:snapToGrid w:val="0"/>
          <w:color w:val="000000" w:themeColor="text1"/>
          <w:spacing w:val="-6"/>
          <w:kern w:val="21"/>
          <w:szCs w:val="21"/>
          <w14:textFill>
            <w14:solidFill>
              <w14:schemeClr w14:val="tx1"/>
            </w14:solidFill>
          </w14:textFill>
        </w:rPr>
        <w:fldChar w:fldCharType="separate"/>
      </w:r>
      <w:r>
        <w:rPr>
          <w:rFonts w:hint="eastAsia" w:hAnsi="宋体"/>
          <w:color w:val="000000" w:themeColor="text1"/>
          <w:szCs w:val="21"/>
          <w14:textFill>
            <w14:solidFill>
              <w14:schemeClr w14:val="tx1"/>
            </w14:solidFill>
          </w14:textFill>
        </w:rPr>
        <w:t>①</w:t>
      </w:r>
      <w:r>
        <w:rPr>
          <w:rFonts w:hAnsi="宋体"/>
          <w:snapToGrid w:val="0"/>
          <w:color w:val="000000" w:themeColor="text1"/>
          <w:spacing w:val="-6"/>
          <w:kern w:val="21"/>
          <w:szCs w:val="21"/>
          <w14:textFill>
            <w14:solidFill>
              <w14:schemeClr w14:val="tx1"/>
            </w14:solidFill>
          </w14:textFill>
        </w:rPr>
        <w:fldChar w:fldCharType="end"/>
      </w:r>
    </w:p>
    <w:bookmarkEnd w:id="26"/>
    <w:p w14:paraId="75FEE040">
      <w:pPr>
        <w:rPr>
          <w:b/>
          <w:bCs/>
          <w:lang w:val="zh-CN"/>
        </w:rPr>
      </w:pPr>
      <w:bookmarkStart w:id="27" w:name="_GoBack"/>
      <w:bookmarkEnd w:id="27"/>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Arial Unicode MS">
    <w:altName w:val="宋体"/>
    <w:panose1 w:val="020B0604020202020204"/>
    <w:charset w:val="86"/>
    <w:family w:val="swiss"/>
    <w:pitch w:val="default"/>
    <w:sig w:usb0="00000000" w:usb1="00000000" w:usb2="0000003F" w:usb3="00000000" w:csb0="603F01FF" w:csb1="FFFF0000"/>
  </w:font>
  <w:font w:name="MS PGothic">
    <w:panose1 w:val="020B0600070205080204"/>
    <w:charset w:val="80"/>
    <w:family w:val="auto"/>
    <w:pitch w:val="default"/>
    <w:sig w:usb0="E00002FF" w:usb1="6AC7FDFB" w:usb2="08000012" w:usb3="00000000" w:csb0="4002009F" w:csb1="DFD7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AE2D5">
    <w:pPr>
      <w:pStyle w:val="14"/>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44C047">
                          <w:pPr>
                            <w:pStyle w:val="14"/>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644C047">
                    <w:pPr>
                      <w:pStyle w:val="14"/>
                    </w:pPr>
                    <w:r>
                      <w:fldChar w:fldCharType="begin"/>
                    </w:r>
                    <w:r>
                      <w:instrText xml:space="preserve"> PAGE  \* MERGEFORMAT </w:instrText>
                    </w:r>
                    <w:r>
                      <w:fldChar w:fldCharType="separate"/>
                    </w:r>
                    <w:r>
                      <w:t>75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90315"/>
    <w:multiLevelType w:val="singleLevel"/>
    <w:tmpl w:val="A3790315"/>
    <w:lvl w:ilvl="0" w:tentative="0">
      <w:start w:val="1"/>
      <w:numFmt w:val="decimal"/>
      <w:suff w:val="nothing"/>
      <w:lvlText w:val="%1、"/>
      <w:lvlJc w:val="left"/>
    </w:lvl>
  </w:abstractNum>
  <w:abstractNum w:abstractNumId="1">
    <w:nsid w:val="AC8B66FB"/>
    <w:multiLevelType w:val="singleLevel"/>
    <w:tmpl w:val="AC8B66FB"/>
    <w:lvl w:ilvl="0" w:tentative="0">
      <w:start w:val="4"/>
      <w:numFmt w:val="decimal"/>
      <w:suff w:val="nothing"/>
      <w:lvlText w:val="（%1）"/>
      <w:lvlJc w:val="left"/>
    </w:lvl>
  </w:abstractNum>
  <w:abstractNum w:abstractNumId="2">
    <w:nsid w:val="C0676C24"/>
    <w:multiLevelType w:val="singleLevel"/>
    <w:tmpl w:val="C0676C24"/>
    <w:lvl w:ilvl="0" w:tentative="0">
      <w:start w:val="1"/>
      <w:numFmt w:val="decimal"/>
      <w:suff w:val="nothing"/>
      <w:lvlText w:val="（%1）"/>
      <w:lvlJc w:val="left"/>
    </w:lvl>
  </w:abstractNum>
  <w:abstractNum w:abstractNumId="3">
    <w:nsid w:val="C6E6F7F8"/>
    <w:multiLevelType w:val="singleLevel"/>
    <w:tmpl w:val="C6E6F7F8"/>
    <w:lvl w:ilvl="0" w:tentative="0">
      <w:start w:val="1"/>
      <w:numFmt w:val="decimal"/>
      <w:suff w:val="nothing"/>
      <w:lvlText w:val="（%1）"/>
      <w:lvlJc w:val="left"/>
    </w:lvl>
  </w:abstractNum>
  <w:abstractNum w:abstractNumId="4">
    <w:nsid w:val="DEF94B89"/>
    <w:multiLevelType w:val="singleLevel"/>
    <w:tmpl w:val="DEF94B89"/>
    <w:lvl w:ilvl="0" w:tentative="0">
      <w:start w:val="3"/>
      <w:numFmt w:val="decimal"/>
      <w:suff w:val="nothing"/>
      <w:lvlText w:val="（%1）"/>
      <w:lvlJc w:val="left"/>
    </w:lvl>
  </w:abstractNum>
  <w:abstractNum w:abstractNumId="5">
    <w:nsid w:val="02BD0A9B"/>
    <w:multiLevelType w:val="singleLevel"/>
    <w:tmpl w:val="02BD0A9B"/>
    <w:lvl w:ilvl="0" w:tentative="0">
      <w:start w:val="1"/>
      <w:numFmt w:val="decimal"/>
      <w:suff w:val="nothing"/>
      <w:lvlText w:val="（%1）"/>
      <w:lvlJc w:val="left"/>
    </w:lvl>
  </w:abstractNum>
  <w:abstractNum w:abstractNumId="6">
    <w:nsid w:val="1A8DFF69"/>
    <w:multiLevelType w:val="singleLevel"/>
    <w:tmpl w:val="1A8DFF69"/>
    <w:lvl w:ilvl="0" w:tentative="0">
      <w:start w:val="1"/>
      <w:numFmt w:val="decimal"/>
      <w:suff w:val="nothing"/>
      <w:lvlText w:val="（%1）"/>
      <w:lvlJc w:val="left"/>
    </w:lvl>
  </w:abstractNum>
  <w:num w:numId="1">
    <w:abstractNumId w:val="4"/>
  </w:num>
  <w:num w:numId="2">
    <w:abstractNumId w:val="1"/>
  </w:num>
  <w:num w:numId="3">
    <w:abstractNumId w:val="5"/>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09651E"/>
    <w:rsid w:val="05AC1AAE"/>
    <w:rsid w:val="05C04034"/>
    <w:rsid w:val="067D371E"/>
    <w:rsid w:val="099A379A"/>
    <w:rsid w:val="0F2E3D3A"/>
    <w:rsid w:val="108A1444"/>
    <w:rsid w:val="18F26721"/>
    <w:rsid w:val="1AD16DEA"/>
    <w:rsid w:val="1B09651E"/>
    <w:rsid w:val="22431522"/>
    <w:rsid w:val="26B20955"/>
    <w:rsid w:val="270268A5"/>
    <w:rsid w:val="27660359"/>
    <w:rsid w:val="2D5431DC"/>
    <w:rsid w:val="2D826840"/>
    <w:rsid w:val="312A17C7"/>
    <w:rsid w:val="36842B5B"/>
    <w:rsid w:val="40EA138C"/>
    <w:rsid w:val="43043ED0"/>
    <w:rsid w:val="46F31C44"/>
    <w:rsid w:val="50515284"/>
    <w:rsid w:val="50E22C1F"/>
    <w:rsid w:val="51F621D5"/>
    <w:rsid w:val="52111268"/>
    <w:rsid w:val="58841449"/>
    <w:rsid w:val="58EE31BF"/>
    <w:rsid w:val="58F22470"/>
    <w:rsid w:val="599D70BF"/>
    <w:rsid w:val="607A7DA8"/>
    <w:rsid w:val="683A5DD2"/>
    <w:rsid w:val="6A175A16"/>
    <w:rsid w:val="6B955233"/>
    <w:rsid w:val="6F4F0078"/>
    <w:rsid w:val="70801293"/>
    <w:rsid w:val="77E85ED2"/>
    <w:rsid w:val="7ACD2412"/>
    <w:rsid w:val="7D851DEF"/>
    <w:rsid w:val="7F9F4600"/>
    <w:rsid w:val="7FF53A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qFormat/>
    <w:uiPriority w:val="0"/>
    <w:pPr>
      <w:keepNext/>
      <w:keepLines/>
      <w:spacing w:line="360" w:lineRule="auto"/>
      <w:outlineLvl w:val="0"/>
    </w:pPr>
    <w:rPr>
      <w:rFonts w:ascii="Times New Roman" w:hAnsi="Times New Roman" w:eastAsia="仿宋"/>
      <w:b/>
      <w:bCs/>
      <w:kern w:val="44"/>
      <w:sz w:val="36"/>
      <w:szCs w:val="44"/>
    </w:rPr>
  </w:style>
  <w:style w:type="paragraph" w:styleId="3">
    <w:name w:val="heading 2"/>
    <w:basedOn w:val="1"/>
    <w:next w:val="1"/>
    <w:link w:val="24"/>
    <w:semiHidden/>
    <w:unhideWhenUsed/>
    <w:qFormat/>
    <w:uiPriority w:val="0"/>
    <w:pPr>
      <w:keepNext/>
      <w:keepLines/>
      <w:spacing w:line="360" w:lineRule="auto"/>
      <w:outlineLvl w:val="1"/>
    </w:pPr>
    <w:rPr>
      <w:rFonts w:ascii="仿宋" w:hAnsi="仿宋" w:eastAsia="仿宋" w:cs="Times New Roman"/>
      <w:b/>
      <w:bCs/>
      <w:kern w:val="2"/>
      <w:sz w:val="32"/>
      <w:szCs w:val="32"/>
      <w:lang w:eastAsia="zh-CN"/>
    </w:rPr>
  </w:style>
  <w:style w:type="paragraph" w:styleId="4">
    <w:name w:val="heading 3"/>
    <w:basedOn w:val="1"/>
    <w:next w:val="1"/>
    <w:link w:val="25"/>
    <w:semiHidden/>
    <w:unhideWhenUsed/>
    <w:qFormat/>
    <w:uiPriority w:val="0"/>
    <w:pPr>
      <w:keepNext/>
      <w:keepLines/>
      <w:spacing w:line="360" w:lineRule="auto"/>
      <w:outlineLvl w:val="2"/>
    </w:pPr>
    <w:rPr>
      <w:rFonts w:ascii="Times New Roman" w:hAnsi="Times New Roman" w:eastAsia="仿宋"/>
      <w:b/>
      <w:bCs/>
      <w:sz w:val="32"/>
      <w:szCs w:val="32"/>
    </w:rPr>
  </w:style>
  <w:style w:type="paragraph" w:styleId="5">
    <w:name w:val="heading 4"/>
    <w:basedOn w:val="1"/>
    <w:next w:val="1"/>
    <w:semiHidden/>
    <w:unhideWhenUsed/>
    <w:qFormat/>
    <w:uiPriority w:val="0"/>
    <w:pPr>
      <w:keepNext/>
      <w:keepLines/>
      <w:spacing w:beforeLines="0" w:beforeAutospacing="0" w:afterLines="0" w:afterAutospacing="0" w:line="360" w:lineRule="auto"/>
      <w:outlineLvl w:val="3"/>
    </w:pPr>
    <w:rPr>
      <w:rFonts w:ascii="仿宋" w:hAnsi="仿宋" w:eastAsia="仿宋"/>
      <w:b/>
      <w:sz w:val="30"/>
    </w:rPr>
  </w:style>
  <w:style w:type="paragraph" w:styleId="6">
    <w:name w:val="heading 5"/>
    <w:basedOn w:val="1"/>
    <w:next w:val="1"/>
    <w:semiHidden/>
    <w:unhideWhenUsed/>
    <w:qFormat/>
    <w:uiPriority w:val="0"/>
    <w:pPr>
      <w:keepNext/>
      <w:keepLines/>
      <w:spacing w:beforeLines="0" w:beforeAutospacing="0" w:afterLines="0" w:afterAutospacing="0" w:line="360" w:lineRule="auto"/>
      <w:outlineLvl w:val="4"/>
    </w:pPr>
    <w:rPr>
      <w:rFonts w:ascii="Times New Roman" w:hAnsi="Times New Roman" w:eastAsia="仿宋"/>
      <w:b/>
      <w:sz w:val="30"/>
    </w:rPr>
  </w:style>
  <w:style w:type="paragraph" w:styleId="7">
    <w:name w:val="heading 6"/>
    <w:basedOn w:val="1"/>
    <w:next w:val="1"/>
    <w:semiHidden/>
    <w:unhideWhenUsed/>
    <w:qFormat/>
    <w:uiPriority w:val="0"/>
    <w:pPr>
      <w:keepNext/>
      <w:keepLines/>
      <w:spacing w:beforeLines="0" w:beforeAutospacing="0" w:afterLines="0" w:afterAutospacing="0" w:line="360" w:lineRule="auto"/>
      <w:outlineLvl w:val="5"/>
    </w:pPr>
    <w:rPr>
      <w:rFonts w:ascii="Arial" w:hAnsi="Arial" w:eastAsia="仿宋"/>
      <w:b/>
      <w:sz w:val="28"/>
    </w:rPr>
  </w:style>
  <w:style w:type="paragraph" w:styleId="8">
    <w:name w:val="heading 7"/>
    <w:basedOn w:val="1"/>
    <w:next w:val="1"/>
    <w:autoRedefine/>
    <w:semiHidden/>
    <w:unhideWhenUsed/>
    <w:qFormat/>
    <w:uiPriority w:val="0"/>
    <w:pPr>
      <w:keepNext/>
      <w:keepLines/>
      <w:spacing w:beforeLines="0" w:beforeAutospacing="0" w:afterLines="0" w:afterAutospacing="0" w:line="360" w:lineRule="auto"/>
      <w:outlineLvl w:val="6"/>
    </w:pPr>
    <w:rPr>
      <w:rFonts w:ascii="Times New Roman" w:hAnsi="Times New Roman" w:eastAsia="仿宋"/>
      <w:b/>
      <w:sz w:val="28"/>
    </w:rPr>
  </w:style>
  <w:style w:type="character" w:default="1" w:styleId="22">
    <w:name w:val="Default Paragraph Font"/>
    <w:autoRedefine/>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9">
    <w:name w:val="Normal Indent"/>
    <w:basedOn w:val="1"/>
    <w:next w:val="1"/>
    <w:qFormat/>
    <w:uiPriority w:val="99"/>
    <w:pPr>
      <w:ind w:firstLine="420" w:firstLineChars="200"/>
    </w:pPr>
    <w:rPr>
      <w:szCs w:val="20"/>
    </w:rPr>
  </w:style>
  <w:style w:type="paragraph" w:styleId="10">
    <w:name w:val="annotation text"/>
    <w:basedOn w:val="1"/>
    <w:semiHidden/>
    <w:qFormat/>
    <w:uiPriority w:val="0"/>
    <w:pPr>
      <w:jc w:val="left"/>
    </w:pPr>
    <w:rPr>
      <w:kern w:val="0"/>
      <w:sz w:val="24"/>
      <w:szCs w:val="20"/>
    </w:rPr>
  </w:style>
  <w:style w:type="paragraph" w:styleId="11">
    <w:name w:val="Body Text"/>
    <w:basedOn w:val="1"/>
    <w:autoRedefine/>
    <w:qFormat/>
    <w:uiPriority w:val="0"/>
    <w:pPr>
      <w:spacing w:after="120" w:afterLines="0" w:afterAutospacing="0"/>
    </w:pPr>
  </w:style>
  <w:style w:type="paragraph" w:styleId="12">
    <w:name w:val="Body Text Indent"/>
    <w:basedOn w:val="1"/>
    <w:qFormat/>
    <w:uiPriority w:val="0"/>
    <w:pPr>
      <w:spacing w:after="120" w:afterLines="0" w:afterAutospacing="0"/>
      <w:ind w:left="420" w:leftChars="200"/>
    </w:pPr>
  </w:style>
  <w:style w:type="paragraph" w:styleId="13">
    <w:name w:val="Block Text"/>
    <w:basedOn w:val="1"/>
    <w:qFormat/>
    <w:uiPriority w:val="0"/>
    <w:pPr>
      <w:spacing w:beforeLines="50" w:line="600" w:lineRule="exact"/>
      <w:ind w:left="42" w:leftChars="20" w:right="42" w:rightChars="20" w:firstLine="560"/>
    </w:pPr>
    <w:rPr>
      <w:rFonts w:ascii="宋体"/>
      <w:sz w:val="28"/>
    </w:rPr>
  </w:style>
  <w:style w:type="paragraph" w:styleId="14">
    <w:name w:val="footer"/>
    <w:basedOn w:val="1"/>
    <w:qFormat/>
    <w:uiPriority w:val="99"/>
    <w:pPr>
      <w:tabs>
        <w:tab w:val="center" w:pos="4153"/>
        <w:tab w:val="right" w:pos="8306"/>
      </w:tabs>
      <w:snapToGrid w:val="0"/>
      <w:jc w:val="left"/>
    </w:pPr>
    <w:rPr>
      <w:kern w:val="0"/>
      <w:sz w:val="18"/>
      <w:szCs w:val="20"/>
    </w:rPr>
  </w:style>
  <w:style w:type="paragraph" w:styleId="15">
    <w:name w:val="table of figures"/>
    <w:basedOn w:val="1"/>
    <w:next w:val="1"/>
    <w:qFormat/>
    <w:uiPriority w:val="0"/>
    <w:pPr>
      <w:ind w:leftChars="200" w:hanging="200" w:hangingChars="200"/>
    </w:pPr>
  </w:style>
  <w:style w:type="paragraph" w:styleId="16">
    <w:name w:val="Normal (Web)"/>
    <w:basedOn w:val="1"/>
    <w:next w:val="1"/>
    <w:qFormat/>
    <w:uiPriority w:val="99"/>
    <w:pPr>
      <w:widowControl/>
      <w:spacing w:before="100" w:beforeAutospacing="1" w:after="100" w:afterAutospacing="1"/>
      <w:jc w:val="left"/>
    </w:pPr>
    <w:rPr>
      <w:rFonts w:ascii="宋体" w:hAnsi="宋体"/>
      <w:kern w:val="0"/>
      <w:sz w:val="24"/>
      <w:szCs w:val="20"/>
    </w:rPr>
  </w:style>
  <w:style w:type="paragraph" w:styleId="17">
    <w:name w:val="Title"/>
    <w:basedOn w:val="1"/>
    <w:next w:val="1"/>
    <w:qFormat/>
    <w:uiPriority w:val="0"/>
    <w:pPr>
      <w:jc w:val="center"/>
    </w:pPr>
    <w:rPr>
      <w:bCs/>
      <w:kern w:val="0"/>
      <w:sz w:val="20"/>
      <w:szCs w:val="32"/>
    </w:rPr>
  </w:style>
  <w:style w:type="paragraph" w:styleId="18">
    <w:name w:val="Body Text First Indent"/>
    <w:basedOn w:val="11"/>
    <w:qFormat/>
    <w:uiPriority w:val="0"/>
    <w:pPr>
      <w:ind w:firstLine="420" w:firstLineChars="100"/>
    </w:pPr>
  </w:style>
  <w:style w:type="paragraph" w:styleId="19">
    <w:name w:val="Body Text First Indent 2"/>
    <w:basedOn w:val="12"/>
    <w:qFormat/>
    <w:uiPriority w:val="0"/>
    <w:pPr>
      <w:ind w:firstLine="420" w:firstLineChars="200"/>
    </w:p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
    <w:name w:val="标题 1 Char"/>
    <w:link w:val="2"/>
    <w:autoRedefine/>
    <w:qFormat/>
    <w:uiPriority w:val="0"/>
    <w:rPr>
      <w:rFonts w:ascii="Times New Roman" w:hAnsi="Times New Roman" w:eastAsia="仿宋" w:cs="Times New Roman"/>
      <w:b/>
      <w:bCs/>
      <w:kern w:val="44"/>
      <w:sz w:val="36"/>
      <w:szCs w:val="44"/>
      <w:lang w:eastAsia="zh-CN"/>
    </w:rPr>
  </w:style>
  <w:style w:type="character" w:customStyle="1" w:styleId="24">
    <w:name w:val="标题 2 Char"/>
    <w:link w:val="3"/>
    <w:qFormat/>
    <w:uiPriority w:val="0"/>
    <w:rPr>
      <w:rFonts w:ascii="仿宋" w:hAnsi="仿宋" w:eastAsia="仿宋" w:cs="Times New Roman"/>
      <w:b/>
      <w:bCs/>
      <w:kern w:val="2"/>
      <w:sz w:val="32"/>
      <w:szCs w:val="32"/>
      <w:lang w:eastAsia="zh-CN"/>
    </w:rPr>
  </w:style>
  <w:style w:type="character" w:customStyle="1" w:styleId="25">
    <w:name w:val="标题 3 Char1"/>
    <w:link w:val="4"/>
    <w:autoRedefine/>
    <w:qFormat/>
    <w:uiPriority w:val="0"/>
    <w:rPr>
      <w:rFonts w:ascii="Times New Roman" w:hAnsi="Times New Roman" w:eastAsia="仿宋"/>
      <w:b/>
      <w:bCs/>
      <w:kern w:val="2"/>
      <w:sz w:val="32"/>
      <w:szCs w:val="32"/>
    </w:rPr>
  </w:style>
  <w:style w:type="paragraph" w:customStyle="1" w:styleId="26">
    <w:name w:val="标5"/>
    <w:basedOn w:val="1"/>
    <w:qFormat/>
    <w:uiPriority w:val="0"/>
    <w:pPr>
      <w:spacing w:line="360" w:lineRule="auto"/>
    </w:pPr>
    <w:rPr>
      <w:rFonts w:ascii="Times New Roman" w:hAnsi="Times New Roman" w:eastAsia="仿宋"/>
      <w:b/>
      <w:sz w:val="30"/>
    </w:rPr>
  </w:style>
  <w:style w:type="paragraph" w:customStyle="1" w:styleId="27">
    <w:name w:val="Table Paragraph"/>
    <w:basedOn w:val="1"/>
    <w:qFormat/>
    <w:uiPriority w:val="1"/>
    <w:rPr>
      <w:rFonts w:ascii="宋体" w:hAnsi="宋体" w:cs="宋体"/>
      <w:lang w:val="zh-CN" w:bidi="zh-CN"/>
    </w:rPr>
  </w:style>
  <w:style w:type="paragraph" w:customStyle="1" w:styleId="28">
    <w:name w:val="xl24"/>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29">
    <w:name w:val="XQ报告表正文"/>
    <w:basedOn w:val="1"/>
    <w:qFormat/>
    <w:uiPriority w:val="0"/>
    <w:pPr>
      <w:adjustRightInd w:val="0"/>
      <w:snapToGrid w:val="0"/>
      <w:ind w:firstLine="200" w:firstLineChars="200"/>
    </w:pPr>
    <w:rPr>
      <w:rFonts w:hAnsi="宋体"/>
      <w:bCs/>
      <w:kern w:val="0"/>
      <w:szCs w:val="22"/>
      <w:lang w:val="zh-CN"/>
    </w:rPr>
  </w:style>
  <w:style w:type="paragraph" w:customStyle="1" w:styleId="30">
    <w:name w:val="0正文"/>
    <w:basedOn w:val="1"/>
    <w:qFormat/>
    <w:uiPriority w:val="0"/>
    <w:pPr>
      <w:wordWrap w:val="0"/>
      <w:spacing w:line="360" w:lineRule="auto"/>
      <w:ind w:firstLine="200" w:firstLineChars="200"/>
      <w:jc w:val="left"/>
    </w:pPr>
    <w:rPr>
      <w:sz w:val="24"/>
      <w:szCs w:val="22"/>
    </w:rPr>
  </w:style>
  <w:style w:type="paragraph" w:customStyle="1" w:styleId="31">
    <w:name w:val="4正文"/>
    <w:basedOn w:val="1"/>
    <w:qFormat/>
    <w:uiPriority w:val="0"/>
    <w:pPr>
      <w:spacing w:line="360" w:lineRule="auto"/>
      <w:ind w:firstLine="200" w:firstLineChars="200"/>
      <w:jc w:val="left"/>
    </w:pPr>
    <w:rPr>
      <w:kern w:val="0"/>
      <w:sz w:val="24"/>
    </w:rPr>
  </w:style>
  <w:style w:type="paragraph" w:customStyle="1" w:styleId="32">
    <w:name w:val="无间隔1"/>
    <w:basedOn w:val="11"/>
    <w:next w:val="11"/>
    <w:qFormat/>
    <w:uiPriority w:val="1"/>
    <w:pPr>
      <w:spacing w:after="0" w:line="360" w:lineRule="exact"/>
      <w:jc w:val="center"/>
    </w:pPr>
    <w:rPr>
      <w:rFonts w:ascii="Times New Roman" w:hAnsi="Times New Roman" w:eastAsia="黑体" w:cs="Times New Roman"/>
    </w:rPr>
  </w:style>
  <w:style w:type="paragraph" w:styleId="33">
    <w:name w:val="List Paragraph"/>
    <w:basedOn w:val="1"/>
    <w:qFormat/>
    <w:uiPriority w:val="99"/>
    <w:pPr>
      <w:ind w:firstLine="420" w:firstLineChars="200"/>
    </w:pPr>
  </w:style>
  <w:style w:type="character" w:customStyle="1" w:styleId="34">
    <w:name w:val="Body text (2)_"/>
    <w:link w:val="35"/>
    <w:qFormat/>
    <w:uiPriority w:val="0"/>
    <w:rPr>
      <w:rFonts w:ascii="Times New Roman" w:hAnsi="Times New Roman" w:eastAsia="Times New Roman" w:cs="Times New Roman"/>
      <w:kern w:val="0"/>
      <w:sz w:val="26"/>
      <w:szCs w:val="26"/>
    </w:rPr>
  </w:style>
  <w:style w:type="paragraph" w:customStyle="1" w:styleId="35">
    <w:name w:val="Body text (2)"/>
    <w:basedOn w:val="1"/>
    <w:link w:val="34"/>
    <w:qFormat/>
    <w:uiPriority w:val="0"/>
    <w:pPr>
      <w:shd w:val="clear" w:color="auto" w:fill="FFFFFF"/>
      <w:spacing w:line="503" w:lineRule="exact"/>
      <w:jc w:val="distribute"/>
    </w:pPr>
    <w:rPr>
      <w:rFonts w:ascii="Times New Roman" w:hAnsi="Times New Roman" w:eastAsia="Times New Roman" w:cs="Times New Roman"/>
      <w:kern w:val="0"/>
      <w:sz w:val="26"/>
      <w:szCs w:val="26"/>
    </w:rPr>
  </w:style>
  <w:style w:type="paragraph" w:customStyle="1" w:styleId="36">
    <w:name w:val="表格"/>
    <w:basedOn w:val="1"/>
    <w:next w:val="1"/>
    <w:qFormat/>
    <w:uiPriority w:val="0"/>
    <w:pPr>
      <w:adjustRightInd w:val="0"/>
      <w:snapToGrid w:val="0"/>
      <w:spacing w:beforeLines="10" w:afterLines="10" w:line="259" w:lineRule="auto"/>
      <w:jc w:val="center"/>
    </w:pPr>
    <w:rPr>
      <w:rFonts w:ascii="宋体"/>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image" Target="media/image1.png"/><Relationship Id="rId49" Type="http://schemas.openxmlformats.org/officeDocument/2006/relationships/customXml" Target="../customXml/item1.xml"/><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theme" Target="theme/theme1.xml"/><Relationship Id="rId39" Type="http://schemas.openxmlformats.org/officeDocument/2006/relationships/image" Target="media/image23.wmf"/><Relationship Id="rId38" Type="http://schemas.openxmlformats.org/officeDocument/2006/relationships/oleObject" Target="embeddings/oleObject12.bin"/><Relationship Id="rId37" Type="http://schemas.openxmlformats.org/officeDocument/2006/relationships/image" Target="media/image22.wmf"/><Relationship Id="rId36" Type="http://schemas.openxmlformats.org/officeDocument/2006/relationships/oleObject" Target="embeddings/oleObject11.bin"/><Relationship Id="rId35" Type="http://schemas.openxmlformats.org/officeDocument/2006/relationships/image" Target="media/image21.wmf"/><Relationship Id="rId34" Type="http://schemas.openxmlformats.org/officeDocument/2006/relationships/oleObject" Target="embeddings/oleObject10.bin"/><Relationship Id="rId33" Type="http://schemas.openxmlformats.org/officeDocument/2006/relationships/image" Target="media/image20.wmf"/><Relationship Id="rId32" Type="http://schemas.openxmlformats.org/officeDocument/2006/relationships/oleObject" Target="embeddings/oleObject9.bin"/><Relationship Id="rId31" Type="http://schemas.openxmlformats.org/officeDocument/2006/relationships/image" Target="media/image19.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8.wmf"/><Relationship Id="rId28" Type="http://schemas.openxmlformats.org/officeDocument/2006/relationships/oleObject" Target="embeddings/oleObject7.bin"/><Relationship Id="rId27" Type="http://schemas.openxmlformats.org/officeDocument/2006/relationships/image" Target="media/image17.wmf"/><Relationship Id="rId26" Type="http://schemas.openxmlformats.org/officeDocument/2006/relationships/oleObject" Target="embeddings/oleObject6.bin"/><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emf"/><Relationship Id="rId22" Type="http://schemas.openxmlformats.org/officeDocument/2006/relationships/oleObject" Target="embeddings/oleObject5.bin"/><Relationship Id="rId21" Type="http://schemas.openxmlformats.org/officeDocument/2006/relationships/image" Target="media/image13.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12.emf"/><Relationship Id="rId18" Type="http://schemas.openxmlformats.org/officeDocument/2006/relationships/oleObject" Target="embeddings/oleObject3.bin"/><Relationship Id="rId17" Type="http://schemas.openxmlformats.org/officeDocument/2006/relationships/image" Target="media/image11.emf"/><Relationship Id="rId16" Type="http://schemas.openxmlformats.org/officeDocument/2006/relationships/oleObject" Target="embeddings/oleObject2.bin"/><Relationship Id="rId15" Type="http://schemas.openxmlformats.org/officeDocument/2006/relationships/image" Target="media/image10.png"/><Relationship Id="rId14" Type="http://schemas.openxmlformats.org/officeDocument/2006/relationships/image" Target="media/image9.emf"/><Relationship Id="rId13" Type="http://schemas.openxmlformats.org/officeDocument/2006/relationships/oleObject" Target="embeddings/oleObject1.bin"/><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2025-01-06T10:41:00Z</dcterms:created>
  <dc:creator>简</dc:creator>
  <cp:lastModifiedBy>简</cp:lastModifiedBy>
  <dcterms:modified xsi:type="dcterms:W3CDTF">2025-01-06T10:48:53Z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97FC32EA1EC84BDE98B95562E1496361_11</vt:lpwstr>
  </property>
  <property fmtid="{D5CDD505-2E9C-101B-9397-08002B2CF9AE}" pid="4" name="KSOTemplateDocerSaveRecord">
    <vt:lpwstr>eyJoZGlkIjoiZjQ3MjNhZWFiN2EwYzBiMWY4ZTU5ODEyYTIyYmFiOWYiLCJ1c2VySWQiOiI4MzQxMzk5MTUifQ==</vt:lpwstr>
  </property>
</Properties>
</file>