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9EBD">
      <w:pPr>
        <w:rPr>
          <w:rFonts w:ascii="仿宋_GB2312" w:hAnsi="仿宋_GB2312" w:eastAsia="仿宋_GB2312" w:cs="仿宋_GB2312"/>
          <w:sz w:val="36"/>
          <w:szCs w:val="36"/>
        </w:rPr>
      </w:pPr>
    </w:p>
    <w:p w14:paraId="0B568AEF">
      <w:pPr>
        <w:rPr>
          <w:rFonts w:ascii="仿宋_GB2312" w:hAnsi="仿宋_GB2312" w:eastAsia="仿宋_GB2312" w:cs="仿宋_GB2312"/>
          <w:sz w:val="36"/>
          <w:szCs w:val="36"/>
        </w:rPr>
      </w:pPr>
    </w:p>
    <w:p w14:paraId="121CB73D">
      <w:pPr>
        <w:rPr>
          <w:rFonts w:ascii="仿宋_GB2312" w:hAnsi="仿宋_GB2312" w:eastAsia="仿宋_GB2312" w:cs="仿宋_GB2312"/>
          <w:sz w:val="36"/>
          <w:szCs w:val="36"/>
        </w:rPr>
      </w:pPr>
    </w:p>
    <w:p w14:paraId="72AE4C6A">
      <w:pPr>
        <w:adjustRightInd w:val="0"/>
        <w:snapToGrid w:val="0"/>
        <w:jc w:val="center"/>
        <w:outlineLvl w:val="0"/>
        <w:rPr>
          <w:rFonts w:ascii="方正小标宋_GBK" w:eastAsia="方正小标宋_GBK"/>
          <w:bCs/>
          <w:color w:val="auto"/>
          <w:sz w:val="72"/>
          <w:szCs w:val="72"/>
        </w:rPr>
      </w:pPr>
      <w:r>
        <w:rPr>
          <w:rFonts w:hint="eastAsia" w:ascii="方正小标宋_GBK" w:eastAsia="方正小标宋_GBK"/>
          <w:bCs/>
          <w:sz w:val="72"/>
          <w:szCs w:val="72"/>
        </w:rPr>
        <w:t>建设</w:t>
      </w:r>
      <w:r>
        <w:rPr>
          <w:rFonts w:hint="eastAsia" w:ascii="方正小标宋_GBK" w:eastAsia="方正小标宋_GBK"/>
          <w:bCs/>
          <w:color w:val="auto"/>
          <w:sz w:val="72"/>
          <w:szCs w:val="72"/>
        </w:rPr>
        <w:t>项目环境影响报告表</w:t>
      </w:r>
    </w:p>
    <w:p w14:paraId="23B6739F">
      <w:pPr>
        <w:adjustRightInd w:val="0"/>
        <w:snapToGrid w:val="0"/>
        <w:spacing w:line="288" w:lineRule="auto"/>
        <w:jc w:val="center"/>
        <w:rPr>
          <w:rFonts w:ascii="华文仿宋" w:hAnsi="华文仿宋" w:eastAsia="华文仿宋" w:cs="华文仿宋"/>
          <w:color w:val="auto"/>
          <w:kern w:val="44"/>
          <w:sz w:val="44"/>
          <w:szCs w:val="44"/>
        </w:rPr>
      </w:pPr>
      <w:r>
        <w:rPr>
          <w:rFonts w:hint="eastAsia" w:ascii="华文仿宋" w:hAnsi="华文仿宋" w:eastAsia="华文仿宋" w:cs="华文仿宋"/>
          <w:color w:val="auto"/>
          <w:kern w:val="44"/>
          <w:sz w:val="44"/>
          <w:szCs w:val="44"/>
        </w:rPr>
        <w:t>（污染影响类）</w:t>
      </w:r>
    </w:p>
    <w:p w14:paraId="297E7102">
      <w:pPr>
        <w:jc w:val="center"/>
        <w:rPr>
          <w:rFonts w:eastAsia="仿宋"/>
          <w:color w:val="auto"/>
          <w:sz w:val="52"/>
          <w:szCs w:val="52"/>
        </w:rPr>
      </w:pPr>
    </w:p>
    <w:p w14:paraId="72C20FD2">
      <w:pPr>
        <w:ind w:firstLine="1040"/>
        <w:rPr>
          <w:rFonts w:eastAsia="仿宋"/>
          <w:color w:val="auto"/>
          <w:sz w:val="44"/>
          <w:szCs w:val="44"/>
        </w:rPr>
      </w:pPr>
    </w:p>
    <w:p w14:paraId="19E5F10A">
      <w:pPr>
        <w:ind w:firstLine="1040"/>
        <w:rPr>
          <w:rFonts w:eastAsia="仿宋"/>
          <w:color w:val="auto"/>
          <w:sz w:val="44"/>
          <w:szCs w:val="44"/>
        </w:rPr>
      </w:pPr>
    </w:p>
    <w:p w14:paraId="255CC8F4">
      <w:pPr>
        <w:ind w:firstLine="1040"/>
        <w:rPr>
          <w:rFonts w:eastAsia="仿宋"/>
          <w:color w:val="auto"/>
          <w:sz w:val="44"/>
          <w:szCs w:val="44"/>
        </w:rPr>
      </w:pPr>
    </w:p>
    <w:p w14:paraId="7395F495">
      <w:pPr>
        <w:ind w:firstLine="1040"/>
        <w:rPr>
          <w:rFonts w:eastAsia="仿宋"/>
          <w:color w:val="auto"/>
          <w:sz w:val="44"/>
          <w:szCs w:val="44"/>
        </w:rPr>
      </w:pPr>
    </w:p>
    <w:p w14:paraId="5AD4DDF5">
      <w:pPr>
        <w:adjustRightInd w:val="0"/>
        <w:snapToGrid w:val="0"/>
        <w:spacing w:line="360" w:lineRule="auto"/>
        <w:ind w:left="1800" w:hanging="1800" w:hangingChars="500"/>
        <w:rPr>
          <w:rFonts w:ascii="仿宋_GB2312" w:eastAsia="仿宋_GB2312"/>
          <w:color w:val="auto"/>
          <w:sz w:val="36"/>
          <w:szCs w:val="36"/>
          <w:u w:val="single"/>
        </w:rPr>
      </w:pPr>
      <w:r>
        <w:rPr>
          <w:rFonts w:hint="eastAsia" w:ascii="仿宋_GB2312" w:eastAsia="仿宋_GB2312"/>
          <w:color w:val="auto"/>
          <w:sz w:val="36"/>
          <w:szCs w:val="36"/>
        </w:rPr>
        <w:t>项目名称：</w:t>
      </w:r>
      <w:r>
        <w:rPr>
          <w:rFonts w:hint="eastAsia" w:ascii="仿宋_GB2312" w:eastAsia="仿宋_GB2312"/>
          <w:color w:val="auto"/>
          <w:sz w:val="36"/>
          <w:szCs w:val="36"/>
          <w:u w:val="single"/>
        </w:rPr>
        <w:t xml:space="preserve">          研发实验室建设项目          </w:t>
      </w:r>
    </w:p>
    <w:p w14:paraId="3353D426">
      <w:pPr>
        <w:adjustRightInd w:val="0"/>
        <w:snapToGrid w:val="0"/>
        <w:spacing w:line="360" w:lineRule="auto"/>
        <w:rPr>
          <w:rFonts w:ascii="仿宋_GB2312" w:eastAsia="仿宋_GB2312"/>
          <w:color w:val="auto"/>
          <w:sz w:val="36"/>
          <w:szCs w:val="36"/>
          <w:u w:val="single"/>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rPr>
        <w:t xml:space="preserve">   陕西先氟领创科技有限公司   </w:t>
      </w:r>
    </w:p>
    <w:p w14:paraId="31FE8EF8">
      <w:pPr>
        <w:adjustRightInd w:val="0"/>
        <w:snapToGrid w:val="0"/>
        <w:spacing w:line="360" w:lineRule="auto"/>
        <w:rPr>
          <w:rFonts w:ascii="仿宋_GB2312" w:eastAsia="仿宋_GB2312"/>
          <w:color w:val="auto"/>
          <w:sz w:val="36"/>
          <w:szCs w:val="36"/>
          <w:u w:val="single"/>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hint="eastAsia" w:eastAsia="仿宋_GB2312"/>
          <w:color w:val="auto"/>
          <w:sz w:val="36"/>
          <w:szCs w:val="36"/>
          <w:u w:val="single"/>
        </w:rPr>
        <w:t>二零二</w:t>
      </w:r>
      <w:r>
        <w:rPr>
          <w:rFonts w:hint="eastAsia" w:eastAsia="仿宋_GB2312"/>
          <w:color w:val="auto"/>
          <w:sz w:val="36"/>
          <w:szCs w:val="36"/>
          <w:u w:val="single"/>
          <w:lang w:val="en-US" w:eastAsia="zh-CN"/>
        </w:rPr>
        <w:t>五</w:t>
      </w:r>
      <w:r>
        <w:rPr>
          <w:rFonts w:eastAsia="仿宋_GB2312"/>
          <w:color w:val="auto"/>
          <w:sz w:val="36"/>
          <w:szCs w:val="36"/>
          <w:u w:val="single"/>
        </w:rPr>
        <w:t>年</w:t>
      </w:r>
      <w:r>
        <w:rPr>
          <w:rFonts w:hint="eastAsia" w:eastAsia="仿宋_GB2312"/>
          <w:color w:val="auto"/>
          <w:sz w:val="36"/>
          <w:szCs w:val="36"/>
          <w:u w:val="single"/>
          <w:lang w:val="en-US" w:eastAsia="zh-CN"/>
        </w:rPr>
        <w:t>一</w:t>
      </w:r>
      <w:r>
        <w:rPr>
          <w:rFonts w:eastAsia="仿宋_GB2312"/>
          <w:color w:val="auto"/>
          <w:sz w:val="36"/>
          <w:szCs w:val="36"/>
          <w:u w:val="single"/>
        </w:rPr>
        <w:t xml:space="preserve">月 </w:t>
      </w:r>
      <w:r>
        <w:rPr>
          <w:rFonts w:hint="eastAsia" w:ascii="仿宋_GB2312" w:eastAsia="仿宋_GB2312"/>
          <w:color w:val="auto"/>
          <w:sz w:val="36"/>
          <w:szCs w:val="36"/>
          <w:u w:val="single"/>
        </w:rPr>
        <w:t xml:space="preserve">         </w:t>
      </w:r>
    </w:p>
    <w:p w14:paraId="0DBF9FC8">
      <w:pPr>
        <w:adjustRightInd w:val="0"/>
        <w:snapToGrid w:val="0"/>
        <w:spacing w:line="288" w:lineRule="auto"/>
        <w:ind w:firstLine="1040"/>
        <w:rPr>
          <w:rFonts w:ascii="仿宋_GB2312" w:eastAsia="仿宋_GB2312"/>
          <w:color w:val="auto"/>
          <w:sz w:val="36"/>
          <w:szCs w:val="36"/>
          <w:u w:val="single"/>
        </w:rPr>
      </w:pPr>
      <w:bookmarkStart w:id="0" w:name="_Hlk57884087"/>
    </w:p>
    <w:p w14:paraId="0B616D6A">
      <w:pPr>
        <w:adjustRightInd w:val="0"/>
        <w:snapToGrid w:val="0"/>
        <w:spacing w:line="288" w:lineRule="auto"/>
        <w:ind w:firstLine="1040"/>
        <w:rPr>
          <w:rFonts w:ascii="仿宋_GB2312" w:eastAsia="仿宋_GB2312"/>
          <w:color w:val="auto"/>
          <w:sz w:val="36"/>
          <w:szCs w:val="36"/>
        </w:rPr>
      </w:pPr>
    </w:p>
    <w:p w14:paraId="33AF2000">
      <w:pPr>
        <w:adjustRightInd w:val="0"/>
        <w:snapToGrid w:val="0"/>
        <w:spacing w:line="288" w:lineRule="auto"/>
        <w:ind w:firstLine="1040"/>
        <w:rPr>
          <w:rFonts w:ascii="仿宋_GB2312" w:eastAsia="仿宋_GB2312"/>
          <w:color w:val="auto"/>
          <w:sz w:val="36"/>
          <w:szCs w:val="36"/>
        </w:rPr>
      </w:pPr>
    </w:p>
    <w:p w14:paraId="606B6515">
      <w:pPr>
        <w:adjustRightInd w:val="0"/>
        <w:snapToGrid w:val="0"/>
        <w:spacing w:line="288" w:lineRule="auto"/>
        <w:ind w:firstLine="1040"/>
        <w:rPr>
          <w:rFonts w:ascii="仿宋_GB2312" w:eastAsia="仿宋_GB2312"/>
          <w:color w:val="auto"/>
          <w:sz w:val="36"/>
          <w:szCs w:val="36"/>
        </w:rPr>
      </w:pPr>
    </w:p>
    <w:p w14:paraId="1311C29B">
      <w:pPr>
        <w:pStyle w:val="9"/>
        <w:ind w:firstLine="480"/>
        <w:rPr>
          <w:color w:val="auto"/>
        </w:rPr>
      </w:pPr>
    </w:p>
    <w:p w14:paraId="2B635DF8">
      <w:pPr>
        <w:adjustRightInd w:val="0"/>
        <w:snapToGrid w:val="0"/>
        <w:spacing w:line="288" w:lineRule="auto"/>
        <w:rPr>
          <w:rFonts w:ascii="仿宋_GB2312" w:eastAsia="仿宋_GB2312"/>
          <w:color w:val="auto"/>
          <w:sz w:val="36"/>
          <w:szCs w:val="36"/>
        </w:rPr>
      </w:pPr>
    </w:p>
    <w:bookmarkEnd w:id="0"/>
    <w:p w14:paraId="1E18CCA3">
      <w:pPr>
        <w:adjustRightInd w:val="0"/>
        <w:snapToGrid w:val="0"/>
        <w:spacing w:line="288" w:lineRule="auto"/>
        <w:jc w:val="center"/>
        <w:rPr>
          <w:rFonts w:ascii="楷体_GB2312" w:eastAsia="楷体_GB2312"/>
          <w:color w:val="auto"/>
          <w:sz w:val="36"/>
          <w:szCs w:val="36"/>
        </w:rPr>
      </w:pPr>
      <w:r>
        <w:rPr>
          <w:rFonts w:hint="eastAsia" w:ascii="楷体_GB2312" w:eastAsia="楷体_GB2312"/>
          <w:color w:val="auto"/>
          <w:sz w:val="36"/>
          <w:szCs w:val="36"/>
        </w:rPr>
        <w:t>中华人民共和国生态环境部制</w:t>
      </w:r>
    </w:p>
    <w:p w14:paraId="386F3F04">
      <w:pPr>
        <w:rPr>
          <w:rFonts w:ascii="楷体_GB2312" w:eastAsia="楷体_GB2312"/>
          <w:color w:val="auto"/>
          <w:sz w:val="36"/>
          <w:szCs w:val="36"/>
        </w:rPr>
      </w:pPr>
      <w:r>
        <w:rPr>
          <w:rFonts w:hint="eastAsia" w:ascii="楷体_GB2312" w:eastAsia="楷体_GB2312"/>
          <w:color w:val="auto"/>
          <w:sz w:val="36"/>
          <w:szCs w:val="36"/>
        </w:rPr>
        <w:br w:type="page"/>
      </w:r>
    </w:p>
    <w:p w14:paraId="1ED13FF7">
      <w:pPr>
        <w:adjustRightInd w:val="0"/>
        <w:snapToGrid w:val="0"/>
        <w:spacing w:line="288" w:lineRule="auto"/>
        <w:jc w:val="center"/>
        <w:rPr>
          <w:rFonts w:ascii="楷体_GB2312" w:eastAsia="楷体_GB2312"/>
          <w:color w:val="auto"/>
          <w:sz w:val="36"/>
          <w:szCs w:val="36"/>
        </w:rPr>
      </w:pPr>
    </w:p>
    <w:p w14:paraId="1DB01505">
      <w:pPr>
        <w:pStyle w:val="15"/>
        <w:jc w:val="center"/>
        <w:outlineLvl w:val="0"/>
        <w:rPr>
          <w:rFonts w:ascii="黑体" w:hAnsi="黑体" w:eastAsia="黑体"/>
          <w:snapToGrid w:val="0"/>
          <w:color w:val="auto"/>
          <w:sz w:val="30"/>
          <w:szCs w:val="30"/>
        </w:rPr>
        <w:sectPr>
          <w:footerReference r:id="rId3" w:type="default"/>
          <w:pgSz w:w="11906" w:h="16838"/>
          <w:pgMar w:top="1701" w:right="1531" w:bottom="1701" w:left="1531" w:header="851" w:footer="1077" w:gutter="0"/>
          <w:pgNumType w:fmt="numberInDash" w:start="1"/>
          <w:cols w:space="720" w:num="1"/>
          <w:docGrid w:linePitch="312" w:charSpace="0"/>
        </w:sectPr>
      </w:pPr>
    </w:p>
    <w:p w14:paraId="0FE46959">
      <w:pPr>
        <w:widowControl/>
        <w:spacing w:line="360" w:lineRule="auto"/>
        <w:jc w:val="center"/>
        <w:outlineLvl w:val="0"/>
        <w:rPr>
          <w:rFonts w:eastAsia="黑体"/>
          <w:snapToGrid w:val="0"/>
          <w:color w:val="auto"/>
          <w:kern w:val="0"/>
          <w:sz w:val="30"/>
          <w:szCs w:val="30"/>
        </w:rPr>
      </w:pPr>
      <w:r>
        <w:rPr>
          <w:rFonts w:eastAsia="黑体"/>
          <w:snapToGrid w:val="0"/>
          <w:color w:val="auto"/>
          <w:kern w:val="0"/>
          <w:sz w:val="30"/>
          <w:szCs w:val="30"/>
        </w:rPr>
        <w:t>一、建设项目基本情况</w:t>
      </w:r>
    </w:p>
    <w:tbl>
      <w:tblPr>
        <w:tblStyle w:val="18"/>
        <w:tblW w:w="893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07"/>
        <w:gridCol w:w="1751"/>
        <w:gridCol w:w="2081"/>
        <w:gridCol w:w="3193"/>
      </w:tblGrid>
      <w:tr w14:paraId="0B780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07" w:type="dxa"/>
            <w:tcMar>
              <w:top w:w="16" w:type="dxa"/>
              <w:left w:w="16" w:type="dxa"/>
              <w:right w:w="16" w:type="dxa"/>
            </w:tcMar>
            <w:vAlign w:val="center"/>
          </w:tcPr>
          <w:p w14:paraId="48AA26A4">
            <w:pPr>
              <w:adjustRightInd w:val="0"/>
              <w:snapToGrid w:val="0"/>
              <w:jc w:val="center"/>
              <w:rPr>
                <w:color w:val="auto"/>
                <w:sz w:val="24"/>
              </w:rPr>
            </w:pPr>
            <w:r>
              <w:rPr>
                <w:color w:val="auto"/>
                <w:sz w:val="24"/>
              </w:rPr>
              <w:t>建设项目名称</w:t>
            </w:r>
          </w:p>
        </w:tc>
        <w:tc>
          <w:tcPr>
            <w:tcW w:w="7025" w:type="dxa"/>
            <w:gridSpan w:val="3"/>
            <w:vAlign w:val="center"/>
          </w:tcPr>
          <w:p w14:paraId="42993AF8">
            <w:pPr>
              <w:adjustRightInd w:val="0"/>
              <w:snapToGrid w:val="0"/>
              <w:jc w:val="center"/>
              <w:rPr>
                <w:color w:val="auto"/>
                <w:sz w:val="24"/>
              </w:rPr>
            </w:pPr>
            <w:r>
              <w:rPr>
                <w:rFonts w:hint="eastAsia"/>
                <w:color w:val="auto"/>
                <w:sz w:val="24"/>
              </w:rPr>
              <w:t>研发实验室建设项目</w:t>
            </w:r>
          </w:p>
        </w:tc>
      </w:tr>
      <w:tr w14:paraId="2970D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1907" w:type="dxa"/>
            <w:tcMar>
              <w:top w:w="16" w:type="dxa"/>
              <w:left w:w="16" w:type="dxa"/>
              <w:right w:w="16" w:type="dxa"/>
            </w:tcMar>
            <w:vAlign w:val="center"/>
          </w:tcPr>
          <w:p w14:paraId="1730B78B">
            <w:pPr>
              <w:adjustRightInd w:val="0"/>
              <w:snapToGrid w:val="0"/>
              <w:jc w:val="center"/>
              <w:rPr>
                <w:color w:val="auto"/>
                <w:sz w:val="24"/>
              </w:rPr>
            </w:pPr>
            <w:r>
              <w:rPr>
                <w:color w:val="auto"/>
                <w:sz w:val="24"/>
              </w:rPr>
              <w:t>项目代码</w:t>
            </w:r>
          </w:p>
        </w:tc>
        <w:tc>
          <w:tcPr>
            <w:tcW w:w="7025" w:type="dxa"/>
            <w:gridSpan w:val="3"/>
            <w:vAlign w:val="center"/>
          </w:tcPr>
          <w:p w14:paraId="42FE1B79">
            <w:pPr>
              <w:adjustRightInd w:val="0"/>
              <w:snapToGrid w:val="0"/>
              <w:jc w:val="center"/>
              <w:rPr>
                <w:color w:val="auto"/>
                <w:sz w:val="24"/>
              </w:rPr>
            </w:pPr>
            <w:r>
              <w:rPr>
                <w:rFonts w:hint="eastAsia"/>
                <w:color w:val="auto"/>
                <w:sz w:val="24"/>
              </w:rPr>
              <w:t>/</w:t>
            </w:r>
          </w:p>
        </w:tc>
      </w:tr>
      <w:tr w14:paraId="47EFD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907" w:type="dxa"/>
            <w:tcMar>
              <w:top w:w="16" w:type="dxa"/>
              <w:left w:w="16" w:type="dxa"/>
              <w:right w:w="16" w:type="dxa"/>
            </w:tcMar>
            <w:vAlign w:val="center"/>
          </w:tcPr>
          <w:p w14:paraId="682EF99F">
            <w:pPr>
              <w:adjustRightInd w:val="0"/>
              <w:snapToGrid w:val="0"/>
              <w:jc w:val="center"/>
              <w:rPr>
                <w:color w:val="auto"/>
                <w:sz w:val="24"/>
              </w:rPr>
            </w:pPr>
            <w:r>
              <w:rPr>
                <w:color w:val="auto"/>
                <w:sz w:val="24"/>
              </w:rPr>
              <w:t>建设单位联系人</w:t>
            </w:r>
          </w:p>
        </w:tc>
        <w:tc>
          <w:tcPr>
            <w:tcW w:w="1751" w:type="dxa"/>
            <w:vAlign w:val="center"/>
          </w:tcPr>
          <w:p w14:paraId="6D2B44C4">
            <w:pPr>
              <w:spacing w:line="360" w:lineRule="exact"/>
              <w:jc w:val="center"/>
              <w:rPr>
                <w:color w:val="auto"/>
                <w:sz w:val="24"/>
              </w:rPr>
            </w:pPr>
            <w:r>
              <w:rPr>
                <w:rFonts w:hint="eastAsia"/>
                <w:color w:val="auto"/>
                <w:sz w:val="24"/>
              </w:rPr>
              <w:t>李扬</w:t>
            </w:r>
          </w:p>
        </w:tc>
        <w:tc>
          <w:tcPr>
            <w:tcW w:w="2081" w:type="dxa"/>
            <w:vAlign w:val="center"/>
          </w:tcPr>
          <w:p w14:paraId="2FFA04A5">
            <w:pPr>
              <w:spacing w:line="360" w:lineRule="exact"/>
              <w:jc w:val="center"/>
              <w:rPr>
                <w:color w:val="auto"/>
                <w:sz w:val="24"/>
              </w:rPr>
            </w:pPr>
            <w:r>
              <w:rPr>
                <w:color w:val="auto"/>
                <w:sz w:val="24"/>
              </w:rPr>
              <w:t>联系电话</w:t>
            </w:r>
          </w:p>
        </w:tc>
        <w:tc>
          <w:tcPr>
            <w:tcW w:w="3193" w:type="dxa"/>
            <w:vAlign w:val="center"/>
          </w:tcPr>
          <w:p w14:paraId="25910815">
            <w:pPr>
              <w:spacing w:line="360" w:lineRule="exact"/>
              <w:jc w:val="center"/>
              <w:rPr>
                <w:color w:val="auto"/>
                <w:sz w:val="24"/>
              </w:rPr>
            </w:pPr>
            <w:r>
              <w:rPr>
                <w:rFonts w:hint="eastAsia"/>
                <w:color w:val="auto"/>
                <w:sz w:val="24"/>
              </w:rPr>
              <w:t>1</w:t>
            </w:r>
            <w:r>
              <w:rPr>
                <w:color w:val="auto"/>
                <w:sz w:val="24"/>
              </w:rPr>
              <w:t>7791678303</w:t>
            </w:r>
          </w:p>
        </w:tc>
      </w:tr>
      <w:tr w14:paraId="5D607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907" w:type="dxa"/>
            <w:tcMar>
              <w:top w:w="16" w:type="dxa"/>
              <w:left w:w="16" w:type="dxa"/>
              <w:right w:w="16" w:type="dxa"/>
            </w:tcMar>
            <w:vAlign w:val="center"/>
          </w:tcPr>
          <w:p w14:paraId="56C3F877">
            <w:pPr>
              <w:adjustRightInd w:val="0"/>
              <w:snapToGrid w:val="0"/>
              <w:jc w:val="center"/>
              <w:rPr>
                <w:color w:val="auto"/>
                <w:sz w:val="24"/>
              </w:rPr>
            </w:pPr>
            <w:r>
              <w:rPr>
                <w:color w:val="auto"/>
                <w:sz w:val="24"/>
              </w:rPr>
              <w:t>建设地点</w:t>
            </w:r>
          </w:p>
        </w:tc>
        <w:tc>
          <w:tcPr>
            <w:tcW w:w="7025" w:type="dxa"/>
            <w:gridSpan w:val="3"/>
            <w:vAlign w:val="center"/>
          </w:tcPr>
          <w:p w14:paraId="371FE351">
            <w:pPr>
              <w:adjustRightInd w:val="0"/>
              <w:snapToGrid w:val="0"/>
              <w:jc w:val="center"/>
              <w:rPr>
                <w:color w:val="auto"/>
                <w:sz w:val="24"/>
              </w:rPr>
            </w:pPr>
            <w:r>
              <w:rPr>
                <w:rFonts w:hint="eastAsia"/>
                <w:color w:val="auto"/>
                <w:sz w:val="24"/>
              </w:rPr>
              <w:t>陕西省西咸新区沣西新城秀雅路995号西安生漆涂料研究所五号楼</w:t>
            </w:r>
          </w:p>
        </w:tc>
      </w:tr>
      <w:tr w14:paraId="487B3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1907" w:type="dxa"/>
            <w:tcMar>
              <w:top w:w="16" w:type="dxa"/>
              <w:left w:w="16" w:type="dxa"/>
              <w:right w:w="16" w:type="dxa"/>
            </w:tcMar>
            <w:vAlign w:val="center"/>
          </w:tcPr>
          <w:p w14:paraId="59E014C9">
            <w:pPr>
              <w:adjustRightInd w:val="0"/>
              <w:snapToGrid w:val="0"/>
              <w:jc w:val="center"/>
              <w:rPr>
                <w:color w:val="auto"/>
                <w:sz w:val="24"/>
              </w:rPr>
            </w:pPr>
            <w:r>
              <w:rPr>
                <w:color w:val="auto"/>
                <w:sz w:val="24"/>
              </w:rPr>
              <w:t>地理坐标</w:t>
            </w:r>
          </w:p>
        </w:tc>
        <w:tc>
          <w:tcPr>
            <w:tcW w:w="7025" w:type="dxa"/>
            <w:gridSpan w:val="3"/>
            <w:vAlign w:val="center"/>
          </w:tcPr>
          <w:p w14:paraId="048A4B66">
            <w:pPr>
              <w:jc w:val="center"/>
              <w:rPr>
                <w:color w:val="auto"/>
                <w:sz w:val="24"/>
              </w:rPr>
            </w:pPr>
            <w:r>
              <w:rPr>
                <w:color w:val="auto"/>
                <w:sz w:val="24"/>
              </w:rPr>
              <w:t>（E</w:t>
            </w:r>
            <w:r>
              <w:rPr>
                <w:color w:val="auto"/>
                <w:sz w:val="24"/>
                <w:u w:val="single"/>
              </w:rPr>
              <w:t>10</w:t>
            </w:r>
            <w:r>
              <w:rPr>
                <w:rFonts w:hint="eastAsia"/>
                <w:color w:val="auto"/>
                <w:sz w:val="24"/>
                <w:u w:val="single"/>
              </w:rPr>
              <w:t>8</w:t>
            </w:r>
            <w:r>
              <w:rPr>
                <w:color w:val="auto"/>
                <w:sz w:val="24"/>
              </w:rPr>
              <w:t>度</w:t>
            </w:r>
            <w:r>
              <w:rPr>
                <w:rFonts w:hint="eastAsia"/>
                <w:color w:val="auto"/>
                <w:sz w:val="24"/>
                <w:u w:val="single"/>
              </w:rPr>
              <w:t>41</w:t>
            </w:r>
            <w:r>
              <w:rPr>
                <w:color w:val="auto"/>
                <w:sz w:val="24"/>
              </w:rPr>
              <w:t>分</w:t>
            </w:r>
            <w:r>
              <w:rPr>
                <w:rFonts w:hint="eastAsia"/>
                <w:color w:val="auto"/>
                <w:sz w:val="24"/>
                <w:u w:val="single"/>
              </w:rPr>
              <w:t>57.424</w:t>
            </w:r>
            <w:r>
              <w:rPr>
                <w:color w:val="auto"/>
                <w:sz w:val="24"/>
              </w:rPr>
              <w:t>秒，N</w:t>
            </w:r>
            <w:r>
              <w:rPr>
                <w:color w:val="auto"/>
                <w:sz w:val="24"/>
                <w:u w:val="single"/>
              </w:rPr>
              <w:t>34</w:t>
            </w:r>
            <w:r>
              <w:rPr>
                <w:color w:val="auto"/>
                <w:sz w:val="24"/>
              </w:rPr>
              <w:t>度</w:t>
            </w:r>
            <w:r>
              <w:rPr>
                <w:rFonts w:hint="eastAsia"/>
                <w:color w:val="auto"/>
                <w:sz w:val="24"/>
                <w:u w:val="single"/>
              </w:rPr>
              <w:t>17</w:t>
            </w:r>
            <w:r>
              <w:rPr>
                <w:color w:val="auto"/>
                <w:sz w:val="24"/>
              </w:rPr>
              <w:t>分</w:t>
            </w:r>
            <w:r>
              <w:rPr>
                <w:rFonts w:hint="eastAsia"/>
                <w:color w:val="auto"/>
                <w:sz w:val="24"/>
                <w:u w:val="single"/>
              </w:rPr>
              <w:t>22.603</w:t>
            </w:r>
            <w:r>
              <w:rPr>
                <w:color w:val="auto"/>
                <w:sz w:val="24"/>
              </w:rPr>
              <w:t>秒）</w:t>
            </w:r>
          </w:p>
        </w:tc>
      </w:tr>
      <w:tr w14:paraId="64C5A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07" w:type="dxa"/>
            <w:tcMar>
              <w:top w:w="16" w:type="dxa"/>
              <w:left w:w="16" w:type="dxa"/>
              <w:right w:w="16" w:type="dxa"/>
            </w:tcMar>
            <w:vAlign w:val="center"/>
          </w:tcPr>
          <w:p w14:paraId="3ACD0066">
            <w:pPr>
              <w:widowControl/>
              <w:jc w:val="center"/>
              <w:rPr>
                <w:bCs/>
                <w:color w:val="auto"/>
                <w:sz w:val="24"/>
              </w:rPr>
            </w:pPr>
            <w:r>
              <w:rPr>
                <w:bCs/>
                <w:color w:val="auto"/>
                <w:sz w:val="24"/>
              </w:rPr>
              <w:t>国民经济</w:t>
            </w:r>
          </w:p>
          <w:p w14:paraId="6595133B">
            <w:pPr>
              <w:widowControl/>
              <w:jc w:val="center"/>
              <w:rPr>
                <w:bCs/>
                <w:color w:val="auto"/>
                <w:sz w:val="24"/>
              </w:rPr>
            </w:pPr>
            <w:r>
              <w:rPr>
                <w:bCs/>
                <w:color w:val="auto"/>
                <w:sz w:val="24"/>
              </w:rPr>
              <w:t>行业类别</w:t>
            </w:r>
          </w:p>
        </w:tc>
        <w:tc>
          <w:tcPr>
            <w:tcW w:w="1751" w:type="dxa"/>
            <w:vAlign w:val="center"/>
          </w:tcPr>
          <w:p w14:paraId="230FB7E5">
            <w:pPr>
              <w:adjustRightInd w:val="0"/>
              <w:snapToGrid w:val="0"/>
              <w:jc w:val="center"/>
              <w:rPr>
                <w:bCs/>
                <w:color w:val="auto"/>
                <w:sz w:val="24"/>
              </w:rPr>
            </w:pPr>
            <w:r>
              <w:rPr>
                <w:bCs/>
                <w:color w:val="auto"/>
                <w:sz w:val="24"/>
              </w:rPr>
              <w:t>M7320工程和技术研究和试验发展</w:t>
            </w:r>
          </w:p>
        </w:tc>
        <w:tc>
          <w:tcPr>
            <w:tcW w:w="2081" w:type="dxa"/>
            <w:vAlign w:val="center"/>
          </w:tcPr>
          <w:p w14:paraId="2D0E9087">
            <w:pPr>
              <w:adjustRightInd w:val="0"/>
              <w:snapToGrid w:val="0"/>
              <w:jc w:val="center"/>
              <w:rPr>
                <w:color w:val="auto"/>
                <w:sz w:val="24"/>
              </w:rPr>
            </w:pPr>
            <w:r>
              <w:rPr>
                <w:color w:val="auto"/>
                <w:sz w:val="24"/>
              </w:rPr>
              <w:t>建设项目</w:t>
            </w:r>
          </w:p>
          <w:p w14:paraId="22CB57B2">
            <w:pPr>
              <w:adjustRightInd w:val="0"/>
              <w:snapToGrid w:val="0"/>
              <w:jc w:val="center"/>
              <w:rPr>
                <w:bCs/>
                <w:color w:val="auto"/>
                <w:sz w:val="24"/>
                <w:lang w:val="en-GB"/>
              </w:rPr>
            </w:pPr>
            <w:r>
              <w:rPr>
                <w:color w:val="auto"/>
                <w:sz w:val="24"/>
              </w:rPr>
              <w:t>行业类别</w:t>
            </w:r>
          </w:p>
        </w:tc>
        <w:tc>
          <w:tcPr>
            <w:tcW w:w="3193" w:type="dxa"/>
            <w:vAlign w:val="center"/>
          </w:tcPr>
          <w:p w14:paraId="6DF01A88">
            <w:pPr>
              <w:adjustRightInd w:val="0"/>
              <w:snapToGrid w:val="0"/>
              <w:jc w:val="left"/>
              <w:rPr>
                <w:color w:val="auto"/>
                <w:sz w:val="24"/>
              </w:rPr>
            </w:pPr>
            <w:r>
              <w:rPr>
                <w:rFonts w:hint="eastAsia"/>
                <w:color w:val="auto"/>
                <w:sz w:val="24"/>
              </w:rPr>
              <w:t>四十五</w:t>
            </w:r>
            <w:r>
              <w:rPr>
                <w:color w:val="auto"/>
                <w:sz w:val="24"/>
              </w:rPr>
              <w:t>、</w:t>
            </w:r>
            <w:r>
              <w:rPr>
                <w:rFonts w:hint="eastAsia"/>
                <w:color w:val="auto"/>
                <w:sz w:val="24"/>
              </w:rPr>
              <w:t>研究和试验发展</w:t>
            </w:r>
          </w:p>
          <w:p w14:paraId="2F36CF90">
            <w:pPr>
              <w:pStyle w:val="9"/>
              <w:adjustRightInd w:val="0"/>
              <w:snapToGrid w:val="0"/>
              <w:spacing w:after="0"/>
              <w:ind w:left="0" w:leftChars="0" w:firstLine="0" w:firstLineChars="0"/>
              <w:rPr>
                <w:color w:val="auto"/>
              </w:rPr>
            </w:pPr>
            <w:r>
              <w:rPr>
                <w:rFonts w:hint="eastAsia"/>
                <w:color w:val="auto"/>
              </w:rPr>
              <w:t>98 专业实验室、研发（试验）基地</w:t>
            </w:r>
            <w:r>
              <w:rPr>
                <w:color w:val="auto"/>
              </w:rPr>
              <w:t>-其他（</w:t>
            </w:r>
            <w:r>
              <w:rPr>
                <w:rFonts w:hint="eastAsia"/>
                <w:color w:val="auto"/>
              </w:rPr>
              <w:t>不产生实验废气、废水、危险废物的除外</w:t>
            </w:r>
            <w:r>
              <w:rPr>
                <w:color w:val="auto"/>
              </w:rPr>
              <w:t>）</w:t>
            </w:r>
          </w:p>
        </w:tc>
      </w:tr>
      <w:tr w14:paraId="581D9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907" w:type="dxa"/>
            <w:tcMar>
              <w:top w:w="16" w:type="dxa"/>
              <w:left w:w="16" w:type="dxa"/>
              <w:right w:w="16" w:type="dxa"/>
            </w:tcMar>
            <w:vAlign w:val="center"/>
          </w:tcPr>
          <w:p w14:paraId="0CA76823">
            <w:pPr>
              <w:adjustRightInd w:val="0"/>
              <w:snapToGrid w:val="0"/>
              <w:jc w:val="center"/>
              <w:rPr>
                <w:color w:val="auto"/>
                <w:sz w:val="24"/>
              </w:rPr>
            </w:pPr>
            <w:r>
              <w:rPr>
                <w:color w:val="auto"/>
                <w:sz w:val="24"/>
              </w:rPr>
              <w:t>建设性质</w:t>
            </w:r>
          </w:p>
        </w:tc>
        <w:tc>
          <w:tcPr>
            <w:tcW w:w="1751" w:type="dxa"/>
            <w:vAlign w:val="center"/>
          </w:tcPr>
          <w:p w14:paraId="0D52BC97">
            <w:pPr>
              <w:jc w:val="left"/>
              <w:rPr>
                <w:color w:val="auto"/>
                <w:sz w:val="24"/>
              </w:rPr>
            </w:pPr>
            <w:r>
              <w:rPr>
                <w:rFonts w:hint="eastAsia"/>
                <w:color w:val="auto"/>
                <w:sz w:val="24"/>
              </w:rPr>
              <w:t>☑</w:t>
            </w:r>
            <w:r>
              <w:rPr>
                <w:color w:val="auto"/>
                <w:sz w:val="24"/>
              </w:rPr>
              <w:t>新建</w:t>
            </w:r>
            <w:r>
              <w:rPr>
                <w:rFonts w:hint="eastAsia"/>
                <w:color w:val="auto"/>
                <w:sz w:val="24"/>
              </w:rPr>
              <w:t>（迁建）</w:t>
            </w:r>
          </w:p>
          <w:p w14:paraId="3A19B756">
            <w:pPr>
              <w:jc w:val="left"/>
              <w:rPr>
                <w:color w:val="auto"/>
                <w:sz w:val="24"/>
              </w:rPr>
            </w:pPr>
            <w:r>
              <w:rPr>
                <w:rFonts w:hint="eastAsia"/>
                <w:color w:val="auto"/>
                <w:sz w:val="24"/>
              </w:rPr>
              <w:t>□</w:t>
            </w:r>
            <w:r>
              <w:rPr>
                <w:color w:val="auto"/>
                <w:sz w:val="24"/>
              </w:rPr>
              <w:t>改建</w:t>
            </w:r>
          </w:p>
          <w:p w14:paraId="079B26DA">
            <w:pPr>
              <w:jc w:val="left"/>
              <w:rPr>
                <w:color w:val="auto"/>
                <w:sz w:val="24"/>
              </w:rPr>
            </w:pPr>
            <w:r>
              <w:rPr>
                <w:rFonts w:hint="eastAsia"/>
                <w:color w:val="auto"/>
                <w:sz w:val="24"/>
              </w:rPr>
              <w:t>□</w:t>
            </w:r>
            <w:r>
              <w:rPr>
                <w:color w:val="auto"/>
                <w:sz w:val="24"/>
              </w:rPr>
              <w:t>扩建</w:t>
            </w:r>
          </w:p>
          <w:p w14:paraId="662E2D0B">
            <w:pPr>
              <w:jc w:val="left"/>
              <w:rPr>
                <w:color w:val="auto"/>
                <w:sz w:val="24"/>
              </w:rPr>
            </w:pPr>
            <w:r>
              <w:rPr>
                <w:rFonts w:hint="eastAsia"/>
                <w:color w:val="auto"/>
                <w:sz w:val="24"/>
              </w:rPr>
              <w:t>□</w:t>
            </w:r>
            <w:r>
              <w:rPr>
                <w:color w:val="auto"/>
                <w:sz w:val="24"/>
              </w:rPr>
              <w:t>技术改造</w:t>
            </w:r>
          </w:p>
        </w:tc>
        <w:tc>
          <w:tcPr>
            <w:tcW w:w="2081" w:type="dxa"/>
            <w:vAlign w:val="center"/>
          </w:tcPr>
          <w:p w14:paraId="1482F383">
            <w:pPr>
              <w:adjustRightInd w:val="0"/>
              <w:snapToGrid w:val="0"/>
              <w:jc w:val="center"/>
              <w:rPr>
                <w:color w:val="auto"/>
                <w:sz w:val="24"/>
              </w:rPr>
            </w:pPr>
            <w:r>
              <w:rPr>
                <w:color w:val="auto"/>
                <w:sz w:val="24"/>
              </w:rPr>
              <w:t>建设项目</w:t>
            </w:r>
          </w:p>
          <w:p w14:paraId="7EC4AD5F">
            <w:pPr>
              <w:adjustRightInd w:val="0"/>
              <w:snapToGrid w:val="0"/>
              <w:jc w:val="center"/>
              <w:rPr>
                <w:color w:val="auto"/>
                <w:sz w:val="24"/>
              </w:rPr>
            </w:pPr>
            <w:r>
              <w:rPr>
                <w:color w:val="auto"/>
                <w:sz w:val="24"/>
              </w:rPr>
              <w:t>申报情形</w:t>
            </w:r>
          </w:p>
        </w:tc>
        <w:tc>
          <w:tcPr>
            <w:tcW w:w="3193" w:type="dxa"/>
            <w:vAlign w:val="center"/>
          </w:tcPr>
          <w:p w14:paraId="5A3C0BF9">
            <w:pPr>
              <w:jc w:val="left"/>
              <w:rPr>
                <w:color w:val="auto"/>
                <w:sz w:val="24"/>
              </w:rPr>
            </w:pPr>
            <w:r>
              <w:rPr>
                <w:color w:val="auto"/>
                <w:sz w:val="24"/>
              </w:rPr>
              <w:t>☑首次申报项目</w:t>
            </w:r>
          </w:p>
          <w:p w14:paraId="4CA4300A">
            <w:pPr>
              <w:jc w:val="left"/>
              <w:rPr>
                <w:color w:val="auto"/>
                <w:sz w:val="24"/>
              </w:rPr>
            </w:pPr>
            <w:r>
              <w:rPr>
                <w:color w:val="auto"/>
                <w:sz w:val="24"/>
              </w:rPr>
              <w:t>□不予批准后再次申报项目</w:t>
            </w:r>
          </w:p>
          <w:p w14:paraId="51D3CEA4">
            <w:pPr>
              <w:jc w:val="left"/>
              <w:rPr>
                <w:color w:val="auto"/>
                <w:sz w:val="24"/>
              </w:rPr>
            </w:pPr>
            <w:r>
              <w:rPr>
                <w:color w:val="auto"/>
                <w:sz w:val="24"/>
              </w:rPr>
              <w:t>□超五年重新审核项目</w:t>
            </w:r>
          </w:p>
          <w:p w14:paraId="45AB4FB5">
            <w:pPr>
              <w:jc w:val="left"/>
              <w:rPr>
                <w:color w:val="auto"/>
                <w:sz w:val="24"/>
              </w:rPr>
            </w:pPr>
            <w:r>
              <w:rPr>
                <w:color w:val="auto"/>
                <w:sz w:val="24"/>
              </w:rPr>
              <w:t>□重大变动重新报批项目</w:t>
            </w:r>
          </w:p>
        </w:tc>
      </w:tr>
      <w:tr w14:paraId="17C67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1907" w:type="dxa"/>
            <w:tcMar>
              <w:top w:w="16" w:type="dxa"/>
              <w:left w:w="16" w:type="dxa"/>
              <w:right w:w="16" w:type="dxa"/>
            </w:tcMar>
            <w:vAlign w:val="center"/>
          </w:tcPr>
          <w:p w14:paraId="030350F5">
            <w:pPr>
              <w:adjustRightInd w:val="0"/>
              <w:snapToGrid w:val="0"/>
              <w:jc w:val="center"/>
              <w:rPr>
                <w:color w:val="auto"/>
                <w:sz w:val="24"/>
              </w:rPr>
            </w:pPr>
            <w:r>
              <w:rPr>
                <w:color w:val="auto"/>
                <w:sz w:val="24"/>
              </w:rPr>
              <w:t>项目审批（核准/备案）部门（选填）</w:t>
            </w:r>
          </w:p>
        </w:tc>
        <w:tc>
          <w:tcPr>
            <w:tcW w:w="1751" w:type="dxa"/>
            <w:vAlign w:val="center"/>
          </w:tcPr>
          <w:p w14:paraId="314585F2">
            <w:pPr>
              <w:adjustRightInd w:val="0"/>
              <w:snapToGrid w:val="0"/>
              <w:jc w:val="center"/>
              <w:rPr>
                <w:color w:val="auto"/>
                <w:sz w:val="24"/>
              </w:rPr>
            </w:pPr>
            <w:r>
              <w:rPr>
                <w:rFonts w:hint="eastAsia"/>
                <w:color w:val="auto"/>
                <w:sz w:val="24"/>
              </w:rPr>
              <w:t>/</w:t>
            </w:r>
          </w:p>
        </w:tc>
        <w:tc>
          <w:tcPr>
            <w:tcW w:w="2081" w:type="dxa"/>
            <w:vAlign w:val="center"/>
          </w:tcPr>
          <w:p w14:paraId="53305E92">
            <w:pPr>
              <w:adjustRightInd w:val="0"/>
              <w:snapToGrid w:val="0"/>
              <w:jc w:val="center"/>
              <w:rPr>
                <w:color w:val="auto"/>
                <w:sz w:val="24"/>
              </w:rPr>
            </w:pPr>
            <w:r>
              <w:rPr>
                <w:color w:val="auto"/>
                <w:sz w:val="24"/>
              </w:rPr>
              <w:t>项目审批（核准/</w:t>
            </w:r>
          </w:p>
          <w:p w14:paraId="01A8E6BA">
            <w:pPr>
              <w:adjustRightInd w:val="0"/>
              <w:snapToGrid w:val="0"/>
              <w:jc w:val="center"/>
              <w:rPr>
                <w:color w:val="auto"/>
                <w:sz w:val="24"/>
              </w:rPr>
            </w:pPr>
            <w:r>
              <w:rPr>
                <w:color w:val="auto"/>
                <w:sz w:val="24"/>
              </w:rPr>
              <w:t>备案）文号（选填）</w:t>
            </w:r>
          </w:p>
        </w:tc>
        <w:tc>
          <w:tcPr>
            <w:tcW w:w="3193" w:type="dxa"/>
            <w:vAlign w:val="center"/>
          </w:tcPr>
          <w:p w14:paraId="47A81F53">
            <w:pPr>
              <w:adjustRightInd w:val="0"/>
              <w:snapToGrid w:val="0"/>
              <w:jc w:val="center"/>
              <w:rPr>
                <w:color w:val="auto"/>
                <w:sz w:val="24"/>
              </w:rPr>
            </w:pPr>
            <w:r>
              <w:rPr>
                <w:rFonts w:hint="eastAsia"/>
                <w:color w:val="auto"/>
                <w:sz w:val="24"/>
              </w:rPr>
              <w:t>/</w:t>
            </w:r>
          </w:p>
        </w:tc>
      </w:tr>
      <w:tr w14:paraId="68977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07" w:type="dxa"/>
            <w:tcMar>
              <w:top w:w="16" w:type="dxa"/>
              <w:left w:w="16" w:type="dxa"/>
              <w:right w:w="16" w:type="dxa"/>
            </w:tcMar>
            <w:vAlign w:val="center"/>
          </w:tcPr>
          <w:p w14:paraId="34DCE347">
            <w:pPr>
              <w:adjustRightInd w:val="0"/>
              <w:snapToGrid w:val="0"/>
              <w:jc w:val="center"/>
              <w:rPr>
                <w:color w:val="auto"/>
                <w:sz w:val="24"/>
              </w:rPr>
            </w:pPr>
            <w:r>
              <w:rPr>
                <w:color w:val="auto"/>
                <w:sz w:val="24"/>
              </w:rPr>
              <w:t>总投资（万元）</w:t>
            </w:r>
          </w:p>
        </w:tc>
        <w:tc>
          <w:tcPr>
            <w:tcW w:w="1751" w:type="dxa"/>
            <w:vAlign w:val="center"/>
          </w:tcPr>
          <w:p w14:paraId="1907D863">
            <w:pPr>
              <w:adjustRightInd w:val="0"/>
              <w:snapToGrid w:val="0"/>
              <w:jc w:val="center"/>
              <w:rPr>
                <w:color w:val="auto"/>
                <w:sz w:val="24"/>
              </w:rPr>
            </w:pPr>
            <w:r>
              <w:rPr>
                <w:rFonts w:hint="eastAsia"/>
                <w:color w:val="auto"/>
                <w:sz w:val="24"/>
              </w:rPr>
              <w:t>30</w:t>
            </w:r>
          </w:p>
        </w:tc>
        <w:tc>
          <w:tcPr>
            <w:tcW w:w="2081" w:type="dxa"/>
            <w:tcMar>
              <w:top w:w="16" w:type="dxa"/>
              <w:left w:w="16" w:type="dxa"/>
              <w:right w:w="16" w:type="dxa"/>
            </w:tcMar>
            <w:vAlign w:val="center"/>
          </w:tcPr>
          <w:p w14:paraId="5D050D47">
            <w:pPr>
              <w:adjustRightInd w:val="0"/>
              <w:snapToGrid w:val="0"/>
              <w:jc w:val="center"/>
              <w:rPr>
                <w:color w:val="auto"/>
                <w:sz w:val="24"/>
              </w:rPr>
            </w:pPr>
            <w:r>
              <w:rPr>
                <w:color w:val="auto"/>
                <w:sz w:val="24"/>
              </w:rPr>
              <w:t>环保投资（万元）</w:t>
            </w:r>
          </w:p>
        </w:tc>
        <w:tc>
          <w:tcPr>
            <w:tcW w:w="3193" w:type="dxa"/>
            <w:vAlign w:val="center"/>
          </w:tcPr>
          <w:p w14:paraId="25DB494B">
            <w:pPr>
              <w:adjustRightInd w:val="0"/>
              <w:snapToGrid w:val="0"/>
              <w:jc w:val="center"/>
              <w:rPr>
                <w:color w:val="auto"/>
                <w:sz w:val="24"/>
              </w:rPr>
            </w:pPr>
            <w:r>
              <w:rPr>
                <w:rFonts w:hint="eastAsia"/>
                <w:color w:val="auto"/>
                <w:sz w:val="24"/>
              </w:rPr>
              <w:t>10</w:t>
            </w:r>
          </w:p>
        </w:tc>
      </w:tr>
      <w:tr w14:paraId="2BF7E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07" w:type="dxa"/>
            <w:tcMar>
              <w:top w:w="16" w:type="dxa"/>
              <w:left w:w="16" w:type="dxa"/>
              <w:right w:w="16" w:type="dxa"/>
            </w:tcMar>
            <w:vAlign w:val="center"/>
          </w:tcPr>
          <w:p w14:paraId="15A30AD9">
            <w:pPr>
              <w:adjustRightInd w:val="0"/>
              <w:snapToGrid w:val="0"/>
              <w:jc w:val="center"/>
              <w:rPr>
                <w:color w:val="auto"/>
                <w:sz w:val="24"/>
              </w:rPr>
            </w:pPr>
            <w:r>
              <w:rPr>
                <w:color w:val="auto"/>
                <w:sz w:val="24"/>
              </w:rPr>
              <w:t>环保投资占比（%）</w:t>
            </w:r>
          </w:p>
        </w:tc>
        <w:tc>
          <w:tcPr>
            <w:tcW w:w="1751" w:type="dxa"/>
            <w:vAlign w:val="center"/>
          </w:tcPr>
          <w:p w14:paraId="2AE3DF41">
            <w:pPr>
              <w:adjustRightInd w:val="0"/>
              <w:snapToGrid w:val="0"/>
              <w:jc w:val="center"/>
              <w:rPr>
                <w:color w:val="auto"/>
                <w:sz w:val="24"/>
              </w:rPr>
            </w:pPr>
            <w:r>
              <w:rPr>
                <w:rFonts w:hint="eastAsia"/>
                <w:color w:val="auto"/>
                <w:sz w:val="24"/>
              </w:rPr>
              <w:t>33.33%</w:t>
            </w:r>
          </w:p>
        </w:tc>
        <w:tc>
          <w:tcPr>
            <w:tcW w:w="2081" w:type="dxa"/>
            <w:tcMar>
              <w:top w:w="16" w:type="dxa"/>
              <w:left w:w="16" w:type="dxa"/>
              <w:right w:w="16" w:type="dxa"/>
            </w:tcMar>
            <w:vAlign w:val="center"/>
          </w:tcPr>
          <w:p w14:paraId="02F891D7">
            <w:pPr>
              <w:adjustRightInd w:val="0"/>
              <w:snapToGrid w:val="0"/>
              <w:jc w:val="center"/>
              <w:rPr>
                <w:color w:val="auto"/>
                <w:sz w:val="24"/>
              </w:rPr>
            </w:pPr>
            <w:r>
              <w:rPr>
                <w:color w:val="auto"/>
                <w:sz w:val="24"/>
              </w:rPr>
              <w:t>施工工期</w:t>
            </w:r>
          </w:p>
        </w:tc>
        <w:tc>
          <w:tcPr>
            <w:tcW w:w="3193" w:type="dxa"/>
            <w:vAlign w:val="center"/>
          </w:tcPr>
          <w:p w14:paraId="14FF94B0">
            <w:pPr>
              <w:adjustRightInd w:val="0"/>
              <w:snapToGrid w:val="0"/>
              <w:jc w:val="center"/>
              <w:rPr>
                <w:rFonts w:hint="eastAsia" w:eastAsia="宋体"/>
                <w:color w:val="auto"/>
                <w:sz w:val="24"/>
                <w:lang w:val="en-US" w:eastAsia="zh-CN"/>
              </w:rPr>
            </w:pPr>
            <w:r>
              <w:rPr>
                <w:rFonts w:hint="eastAsia"/>
                <w:color w:val="auto"/>
                <w:sz w:val="24"/>
              </w:rPr>
              <w:t>2025.</w:t>
            </w:r>
            <w:r>
              <w:rPr>
                <w:rFonts w:hint="eastAsia"/>
                <w:color w:val="auto"/>
                <w:sz w:val="24"/>
                <w:lang w:val="en-US" w:eastAsia="zh-CN"/>
              </w:rPr>
              <w:t>2</w:t>
            </w:r>
            <w:r>
              <w:rPr>
                <w:rFonts w:hint="eastAsia"/>
                <w:color w:val="auto"/>
                <w:sz w:val="24"/>
              </w:rPr>
              <w:t>~2025.</w:t>
            </w:r>
            <w:r>
              <w:rPr>
                <w:rFonts w:hint="eastAsia"/>
                <w:color w:val="auto"/>
                <w:sz w:val="24"/>
                <w:lang w:val="en-US" w:eastAsia="zh-CN"/>
              </w:rPr>
              <w:t>3</w:t>
            </w:r>
          </w:p>
        </w:tc>
      </w:tr>
      <w:tr w14:paraId="2DF0C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07" w:type="dxa"/>
            <w:tcMar>
              <w:top w:w="16" w:type="dxa"/>
              <w:left w:w="16" w:type="dxa"/>
              <w:right w:w="16" w:type="dxa"/>
            </w:tcMar>
            <w:vAlign w:val="center"/>
          </w:tcPr>
          <w:p w14:paraId="6006EF8D">
            <w:pPr>
              <w:adjustRightInd w:val="0"/>
              <w:snapToGrid w:val="0"/>
              <w:jc w:val="center"/>
              <w:rPr>
                <w:color w:val="auto"/>
                <w:sz w:val="24"/>
              </w:rPr>
            </w:pPr>
            <w:r>
              <w:rPr>
                <w:color w:val="auto"/>
                <w:sz w:val="24"/>
              </w:rPr>
              <w:t>是否开工建设</w:t>
            </w:r>
          </w:p>
        </w:tc>
        <w:tc>
          <w:tcPr>
            <w:tcW w:w="1751" w:type="dxa"/>
            <w:vAlign w:val="center"/>
          </w:tcPr>
          <w:p w14:paraId="0520CC44">
            <w:pPr>
              <w:adjustRightInd w:val="0"/>
              <w:snapToGrid w:val="0"/>
              <w:rPr>
                <w:color w:val="auto"/>
                <w:sz w:val="24"/>
              </w:rPr>
            </w:pPr>
            <w:r>
              <w:rPr>
                <w:rFonts w:hint="eastAsia"/>
                <w:color w:val="auto"/>
                <w:sz w:val="24"/>
              </w:rPr>
              <w:t>☑</w:t>
            </w:r>
            <w:r>
              <w:rPr>
                <w:color w:val="auto"/>
                <w:sz w:val="24"/>
              </w:rPr>
              <w:t>否</w:t>
            </w:r>
          </w:p>
          <w:p w14:paraId="56491096">
            <w:pPr>
              <w:adjustRightInd w:val="0"/>
              <w:snapToGrid w:val="0"/>
              <w:rPr>
                <w:color w:val="auto"/>
                <w:sz w:val="24"/>
                <w:u w:val="single"/>
              </w:rPr>
            </w:pPr>
            <w:r>
              <w:rPr>
                <w:rFonts w:hint="eastAsia"/>
                <w:color w:val="auto"/>
                <w:sz w:val="24"/>
              </w:rPr>
              <w:t>□</w:t>
            </w:r>
            <w:r>
              <w:rPr>
                <w:color w:val="auto"/>
                <w:sz w:val="24"/>
              </w:rPr>
              <w:t>是：</w:t>
            </w:r>
            <w:r>
              <w:rPr>
                <w:rFonts w:hint="eastAsia"/>
                <w:color w:val="auto"/>
                <w:sz w:val="24"/>
                <w:u w:val="single"/>
              </w:rPr>
              <w:t xml:space="preserve">     </w:t>
            </w:r>
          </w:p>
        </w:tc>
        <w:tc>
          <w:tcPr>
            <w:tcW w:w="2081" w:type="dxa"/>
            <w:tcMar>
              <w:top w:w="16" w:type="dxa"/>
              <w:left w:w="16" w:type="dxa"/>
              <w:right w:w="16" w:type="dxa"/>
            </w:tcMar>
            <w:vAlign w:val="center"/>
          </w:tcPr>
          <w:p w14:paraId="4C0E3A0F">
            <w:pPr>
              <w:adjustRightInd w:val="0"/>
              <w:snapToGrid w:val="0"/>
              <w:jc w:val="center"/>
              <w:rPr>
                <w:color w:val="auto"/>
                <w:sz w:val="24"/>
              </w:rPr>
            </w:pPr>
            <w:r>
              <w:rPr>
                <w:color w:val="auto"/>
                <w:spacing w:val="-6"/>
                <w:sz w:val="24"/>
              </w:rPr>
              <w:t>用地面积（m</w:t>
            </w:r>
            <w:r>
              <w:rPr>
                <w:color w:val="auto"/>
                <w:spacing w:val="-6"/>
                <w:sz w:val="24"/>
                <w:vertAlign w:val="superscript"/>
              </w:rPr>
              <w:t>2</w:t>
            </w:r>
            <w:r>
              <w:rPr>
                <w:color w:val="auto"/>
                <w:spacing w:val="-6"/>
                <w:sz w:val="24"/>
              </w:rPr>
              <w:t>）</w:t>
            </w:r>
          </w:p>
        </w:tc>
        <w:tc>
          <w:tcPr>
            <w:tcW w:w="3193" w:type="dxa"/>
            <w:vAlign w:val="center"/>
          </w:tcPr>
          <w:p w14:paraId="58D63D0C">
            <w:pPr>
              <w:adjustRightInd w:val="0"/>
              <w:snapToGrid w:val="0"/>
              <w:jc w:val="center"/>
              <w:rPr>
                <w:color w:val="auto"/>
                <w:sz w:val="24"/>
              </w:rPr>
            </w:pPr>
            <w:r>
              <w:rPr>
                <w:rFonts w:hint="eastAsia"/>
                <w:color w:val="auto"/>
                <w:sz w:val="24"/>
              </w:rPr>
              <w:t>170</w:t>
            </w:r>
          </w:p>
        </w:tc>
      </w:tr>
      <w:tr w14:paraId="73BFC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14:paraId="09583411">
            <w:pPr>
              <w:autoSpaceDE w:val="0"/>
              <w:autoSpaceDN w:val="0"/>
              <w:adjustRightInd w:val="0"/>
              <w:snapToGrid w:val="0"/>
              <w:jc w:val="center"/>
              <w:rPr>
                <w:color w:val="auto"/>
                <w:kern w:val="0"/>
                <w:sz w:val="24"/>
              </w:rPr>
            </w:pPr>
            <w:r>
              <w:rPr>
                <w:color w:val="auto"/>
                <w:kern w:val="0"/>
                <w:sz w:val="24"/>
              </w:rPr>
              <w:t>专项评价设置情况</w:t>
            </w:r>
          </w:p>
        </w:tc>
        <w:tc>
          <w:tcPr>
            <w:tcW w:w="7025" w:type="dxa"/>
            <w:gridSpan w:val="3"/>
            <w:vAlign w:val="center"/>
          </w:tcPr>
          <w:p w14:paraId="17D2241B">
            <w:pPr>
              <w:autoSpaceDE w:val="0"/>
              <w:autoSpaceDN w:val="0"/>
              <w:adjustRightInd w:val="0"/>
              <w:snapToGrid w:val="0"/>
              <w:jc w:val="center"/>
              <w:rPr>
                <w:color w:val="auto"/>
                <w:kern w:val="0"/>
                <w:sz w:val="24"/>
              </w:rPr>
            </w:pPr>
            <w:r>
              <w:rPr>
                <w:color w:val="auto"/>
                <w:sz w:val="24"/>
              </w:rPr>
              <w:t>无</w:t>
            </w:r>
          </w:p>
        </w:tc>
      </w:tr>
      <w:tr w14:paraId="02AC8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907" w:type="dxa"/>
            <w:vAlign w:val="center"/>
          </w:tcPr>
          <w:p w14:paraId="20645157">
            <w:pPr>
              <w:autoSpaceDE w:val="0"/>
              <w:autoSpaceDN w:val="0"/>
              <w:adjustRightInd w:val="0"/>
              <w:snapToGrid w:val="0"/>
              <w:jc w:val="center"/>
              <w:rPr>
                <w:color w:val="auto"/>
                <w:kern w:val="0"/>
                <w:sz w:val="24"/>
              </w:rPr>
            </w:pPr>
            <w:r>
              <w:rPr>
                <w:color w:val="auto"/>
                <w:sz w:val="24"/>
              </w:rPr>
              <w:t>规划情况</w:t>
            </w:r>
          </w:p>
        </w:tc>
        <w:tc>
          <w:tcPr>
            <w:tcW w:w="7025" w:type="dxa"/>
            <w:gridSpan w:val="3"/>
            <w:vAlign w:val="center"/>
          </w:tcPr>
          <w:p w14:paraId="43914727">
            <w:pPr>
              <w:autoSpaceDE w:val="0"/>
              <w:autoSpaceDN w:val="0"/>
              <w:adjustRightInd w:val="0"/>
              <w:spacing w:line="360" w:lineRule="auto"/>
              <w:rPr>
                <w:color w:val="auto"/>
                <w:kern w:val="0"/>
                <w:sz w:val="24"/>
              </w:rPr>
            </w:pPr>
            <w:r>
              <w:rPr>
                <w:color w:val="auto"/>
                <w:kern w:val="0"/>
                <w:sz w:val="24"/>
              </w:rPr>
              <w:t>规划名称：《西咸新区沣西新城分区规划（2016~2035年）》；</w:t>
            </w:r>
          </w:p>
          <w:p w14:paraId="37638720">
            <w:pPr>
              <w:autoSpaceDE w:val="0"/>
              <w:autoSpaceDN w:val="0"/>
              <w:adjustRightInd w:val="0"/>
              <w:spacing w:line="360" w:lineRule="auto"/>
              <w:rPr>
                <w:color w:val="auto"/>
                <w:kern w:val="0"/>
                <w:sz w:val="24"/>
              </w:rPr>
            </w:pPr>
            <w:r>
              <w:rPr>
                <w:rFonts w:hint="eastAsia"/>
                <w:color w:val="auto"/>
                <w:kern w:val="0"/>
                <w:sz w:val="24"/>
              </w:rPr>
              <w:t>规划</w:t>
            </w:r>
            <w:r>
              <w:rPr>
                <w:color w:val="auto"/>
                <w:kern w:val="0"/>
                <w:sz w:val="24"/>
              </w:rPr>
              <w:t>审批机关：陕西省西咸新区开发建设管理委员会；</w:t>
            </w:r>
          </w:p>
          <w:p w14:paraId="3BDC04AF">
            <w:pPr>
              <w:autoSpaceDE w:val="0"/>
              <w:autoSpaceDN w:val="0"/>
              <w:adjustRightInd w:val="0"/>
              <w:snapToGrid w:val="0"/>
              <w:spacing w:line="360" w:lineRule="auto"/>
              <w:rPr>
                <w:color w:val="auto"/>
                <w:kern w:val="0"/>
                <w:sz w:val="24"/>
              </w:rPr>
            </w:pPr>
            <w:r>
              <w:rPr>
                <w:color w:val="auto"/>
                <w:kern w:val="0"/>
                <w:sz w:val="24"/>
              </w:rPr>
              <w:t>审批文件名称及文号：关于《西咸新区沣西新城分区规划（2016~2035年）》的批复（陕西咸函</w:t>
            </w:r>
            <w:r>
              <w:rPr>
                <w:rFonts w:hint="eastAsia" w:ascii="宋体" w:hAnsi="宋体" w:cs="宋体"/>
                <w:color w:val="auto"/>
                <w:kern w:val="0"/>
                <w:sz w:val="24"/>
              </w:rPr>
              <w:t>〔</w:t>
            </w:r>
            <w:r>
              <w:rPr>
                <w:rFonts w:hint="eastAsia"/>
                <w:color w:val="auto"/>
                <w:kern w:val="0"/>
                <w:sz w:val="24"/>
              </w:rPr>
              <w:t>2011</w:t>
            </w:r>
            <w:r>
              <w:rPr>
                <w:rFonts w:hint="eastAsia" w:ascii="宋体" w:hAnsi="宋体" w:cs="宋体"/>
                <w:color w:val="auto"/>
                <w:kern w:val="0"/>
                <w:sz w:val="24"/>
              </w:rPr>
              <w:t>〕</w:t>
            </w:r>
            <w:r>
              <w:rPr>
                <w:color w:val="auto"/>
                <w:kern w:val="0"/>
                <w:sz w:val="24"/>
              </w:rPr>
              <w:t>123号）</w:t>
            </w:r>
            <w:r>
              <w:rPr>
                <w:rFonts w:hint="eastAsia"/>
                <w:color w:val="auto"/>
                <w:kern w:val="0"/>
                <w:sz w:val="24"/>
              </w:rPr>
              <w:t>。</w:t>
            </w:r>
          </w:p>
        </w:tc>
      </w:tr>
      <w:tr w14:paraId="78D7C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14:paraId="2FEACC88">
            <w:pPr>
              <w:adjustRightInd w:val="0"/>
              <w:snapToGrid w:val="0"/>
              <w:jc w:val="center"/>
              <w:rPr>
                <w:color w:val="auto"/>
                <w:kern w:val="0"/>
                <w:sz w:val="24"/>
              </w:rPr>
            </w:pPr>
            <w:r>
              <w:rPr>
                <w:color w:val="auto"/>
                <w:sz w:val="24"/>
              </w:rPr>
              <w:t>规划环境影响评价情况</w:t>
            </w:r>
          </w:p>
        </w:tc>
        <w:tc>
          <w:tcPr>
            <w:tcW w:w="7025" w:type="dxa"/>
            <w:gridSpan w:val="3"/>
            <w:vAlign w:val="center"/>
          </w:tcPr>
          <w:p w14:paraId="5DB55765">
            <w:pPr>
              <w:autoSpaceDE w:val="0"/>
              <w:autoSpaceDN w:val="0"/>
              <w:adjustRightInd w:val="0"/>
              <w:snapToGrid w:val="0"/>
              <w:spacing w:line="360" w:lineRule="auto"/>
              <w:rPr>
                <w:color w:val="auto"/>
                <w:kern w:val="0"/>
                <w:sz w:val="24"/>
              </w:rPr>
            </w:pPr>
            <w:r>
              <w:rPr>
                <w:color w:val="auto"/>
                <w:kern w:val="0"/>
                <w:sz w:val="24"/>
              </w:rPr>
              <w:t>规划文件名称：《西咸新区沣西新城分区规划（2016-2035）环境影响报告书》</w:t>
            </w:r>
            <w:r>
              <w:rPr>
                <w:rFonts w:hint="eastAsia"/>
                <w:color w:val="auto"/>
                <w:kern w:val="0"/>
                <w:sz w:val="24"/>
              </w:rPr>
              <w:t>；</w:t>
            </w:r>
          </w:p>
          <w:p w14:paraId="10E6B44E">
            <w:pPr>
              <w:autoSpaceDE w:val="0"/>
              <w:autoSpaceDN w:val="0"/>
              <w:adjustRightInd w:val="0"/>
              <w:snapToGrid w:val="0"/>
              <w:spacing w:line="360" w:lineRule="auto"/>
              <w:rPr>
                <w:color w:val="auto"/>
                <w:kern w:val="0"/>
                <w:sz w:val="24"/>
              </w:rPr>
            </w:pPr>
            <w:r>
              <w:rPr>
                <w:rFonts w:hint="eastAsia"/>
                <w:color w:val="auto"/>
                <w:kern w:val="0"/>
                <w:sz w:val="24"/>
              </w:rPr>
              <w:t>召集</w:t>
            </w:r>
            <w:r>
              <w:rPr>
                <w:color w:val="auto"/>
                <w:kern w:val="0"/>
                <w:sz w:val="24"/>
              </w:rPr>
              <w:t>审查机关：</w:t>
            </w:r>
            <w:r>
              <w:rPr>
                <w:rFonts w:ascii="宋体" w:hAnsi="宋体" w:cs="宋体"/>
                <w:color w:val="auto"/>
                <w:sz w:val="24"/>
              </w:rPr>
              <w:t>陕西省西咸新区环境保护局</w:t>
            </w:r>
            <w:r>
              <w:rPr>
                <w:rFonts w:hint="eastAsia" w:ascii="宋体" w:hAnsi="宋体" w:cs="宋体"/>
                <w:color w:val="auto"/>
                <w:sz w:val="24"/>
              </w:rPr>
              <w:t>；</w:t>
            </w:r>
          </w:p>
          <w:p w14:paraId="7D9FDC6A">
            <w:pPr>
              <w:autoSpaceDE w:val="0"/>
              <w:autoSpaceDN w:val="0"/>
              <w:adjustRightInd w:val="0"/>
              <w:snapToGrid w:val="0"/>
              <w:spacing w:line="360" w:lineRule="auto"/>
              <w:rPr>
                <w:color w:val="auto"/>
                <w:kern w:val="0"/>
                <w:sz w:val="24"/>
              </w:rPr>
            </w:pPr>
            <w:r>
              <w:rPr>
                <w:color w:val="auto"/>
                <w:kern w:val="0"/>
                <w:sz w:val="24"/>
              </w:rPr>
              <w:t>审查文件名称及文号：关于《西咸新区沣西新城分区规划（2016-2035）环境影响报告书》审查意见的函（陕西咸环函</w:t>
            </w:r>
            <w:r>
              <w:rPr>
                <w:rFonts w:hint="eastAsia" w:ascii="宋体" w:hAnsi="宋体" w:cs="宋体"/>
                <w:color w:val="auto"/>
                <w:kern w:val="0"/>
                <w:sz w:val="24"/>
              </w:rPr>
              <w:t>〔</w:t>
            </w:r>
            <w:r>
              <w:rPr>
                <w:color w:val="auto"/>
                <w:kern w:val="0"/>
                <w:sz w:val="24"/>
              </w:rPr>
              <w:t>20</w:t>
            </w:r>
            <w:r>
              <w:rPr>
                <w:rFonts w:hint="eastAsia"/>
                <w:color w:val="auto"/>
                <w:kern w:val="0"/>
                <w:sz w:val="24"/>
              </w:rPr>
              <w:t>18</w:t>
            </w:r>
            <w:r>
              <w:rPr>
                <w:rFonts w:hint="eastAsia" w:ascii="宋体" w:hAnsi="宋体" w:cs="宋体"/>
                <w:color w:val="auto"/>
                <w:kern w:val="0"/>
                <w:sz w:val="24"/>
              </w:rPr>
              <w:t>〕</w:t>
            </w:r>
            <w:r>
              <w:rPr>
                <w:rFonts w:hint="eastAsia"/>
                <w:color w:val="auto"/>
                <w:kern w:val="0"/>
                <w:sz w:val="24"/>
              </w:rPr>
              <w:t>61</w:t>
            </w:r>
            <w:r>
              <w:rPr>
                <w:color w:val="auto"/>
                <w:kern w:val="0"/>
                <w:sz w:val="24"/>
              </w:rPr>
              <w:t>号）</w:t>
            </w:r>
          </w:p>
        </w:tc>
      </w:tr>
      <w:tr w14:paraId="0F7DD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14:paraId="08A0BF33">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7025" w:type="dxa"/>
            <w:gridSpan w:val="3"/>
            <w:vAlign w:val="center"/>
          </w:tcPr>
          <w:p w14:paraId="19D3AA5F">
            <w:pPr>
              <w:autoSpaceDE w:val="0"/>
              <w:autoSpaceDN w:val="0"/>
              <w:adjustRightInd w:val="0"/>
              <w:snapToGrid w:val="0"/>
              <w:spacing w:line="360" w:lineRule="auto"/>
              <w:ind w:firstLine="472" w:firstLineChars="200"/>
              <w:rPr>
                <w:b/>
                <w:bCs/>
                <w:color w:val="auto"/>
                <w:kern w:val="0"/>
                <w:szCs w:val="21"/>
              </w:rPr>
            </w:pPr>
            <w:r>
              <w:rPr>
                <w:rFonts w:ascii="宋体" w:hAnsi="宋体" w:cs="宋体"/>
                <w:color w:val="auto"/>
                <w:spacing w:val="-2"/>
                <w:sz w:val="24"/>
              </w:rPr>
              <w:t>本项目与园区规划、规划环评及审查意见符合性分析见表</w:t>
            </w:r>
            <w:r>
              <w:rPr>
                <w:rFonts w:eastAsia="Times New Roman"/>
                <w:color w:val="auto"/>
                <w:spacing w:val="-2"/>
                <w:sz w:val="24"/>
              </w:rPr>
              <w:t>1</w:t>
            </w:r>
            <w:r>
              <w:rPr>
                <w:rFonts w:hint="eastAsia"/>
                <w:color w:val="auto"/>
                <w:spacing w:val="-2"/>
                <w:sz w:val="24"/>
              </w:rPr>
              <w:t>-1</w:t>
            </w:r>
            <w:r>
              <w:rPr>
                <w:rFonts w:ascii="宋体" w:hAnsi="宋体" w:cs="宋体"/>
                <w:color w:val="auto"/>
                <w:spacing w:val="-2"/>
                <w:sz w:val="24"/>
              </w:rPr>
              <w:t>。</w:t>
            </w:r>
          </w:p>
          <w:p w14:paraId="683BC3BE">
            <w:pPr>
              <w:autoSpaceDE w:val="0"/>
              <w:autoSpaceDN w:val="0"/>
              <w:adjustRightInd w:val="0"/>
              <w:snapToGrid w:val="0"/>
              <w:jc w:val="center"/>
              <w:rPr>
                <w:b/>
                <w:bCs/>
                <w:color w:val="auto"/>
                <w:kern w:val="0"/>
                <w:szCs w:val="21"/>
              </w:rPr>
            </w:pPr>
            <w:r>
              <w:rPr>
                <w:b/>
                <w:bCs/>
                <w:color w:val="auto"/>
                <w:kern w:val="0"/>
                <w:szCs w:val="21"/>
              </w:rPr>
              <w:t xml:space="preserve">表1-1  </w:t>
            </w:r>
            <w:r>
              <w:rPr>
                <w:rFonts w:hint="eastAsia"/>
                <w:b/>
                <w:bCs/>
                <w:color w:val="auto"/>
                <w:kern w:val="0"/>
                <w:szCs w:val="21"/>
              </w:rPr>
              <w:t xml:space="preserve"> </w:t>
            </w:r>
            <w:r>
              <w:rPr>
                <w:b/>
                <w:bCs/>
                <w:color w:val="auto"/>
                <w:kern w:val="0"/>
                <w:szCs w:val="21"/>
              </w:rPr>
              <w:t>项目与规划及规划环评的相符性</w:t>
            </w:r>
          </w:p>
          <w:tbl>
            <w:tblPr>
              <w:tblStyle w:val="18"/>
              <w:tblW w:w="679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600"/>
              <w:gridCol w:w="3675"/>
              <w:gridCol w:w="1966"/>
              <w:gridCol w:w="558"/>
            </w:tblGrid>
            <w:tr w14:paraId="70F779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jc w:val="center"/>
              </w:trPr>
              <w:tc>
                <w:tcPr>
                  <w:tcW w:w="441" w:type="pct"/>
                  <w:vAlign w:val="center"/>
                </w:tcPr>
                <w:p w14:paraId="57D149EE">
                  <w:pPr>
                    <w:adjustRightInd w:val="0"/>
                    <w:snapToGrid w:val="0"/>
                    <w:jc w:val="center"/>
                    <w:rPr>
                      <w:color w:val="auto"/>
                      <w:szCs w:val="21"/>
                    </w:rPr>
                  </w:pPr>
                  <w:r>
                    <w:rPr>
                      <w:color w:val="auto"/>
                      <w:szCs w:val="21"/>
                    </w:rPr>
                    <w:t>文件</w:t>
                  </w:r>
                </w:p>
              </w:tc>
              <w:tc>
                <w:tcPr>
                  <w:tcW w:w="2702" w:type="pct"/>
                  <w:vAlign w:val="center"/>
                </w:tcPr>
                <w:p w14:paraId="130E1D9C">
                  <w:pPr>
                    <w:adjustRightInd w:val="0"/>
                    <w:snapToGrid w:val="0"/>
                    <w:jc w:val="center"/>
                    <w:rPr>
                      <w:color w:val="auto"/>
                      <w:szCs w:val="21"/>
                    </w:rPr>
                  </w:pPr>
                  <w:r>
                    <w:rPr>
                      <w:color w:val="auto"/>
                      <w:szCs w:val="21"/>
                    </w:rPr>
                    <w:t>政策要求</w:t>
                  </w:r>
                </w:p>
              </w:tc>
              <w:tc>
                <w:tcPr>
                  <w:tcW w:w="1445" w:type="pct"/>
                  <w:vAlign w:val="center"/>
                </w:tcPr>
                <w:p w14:paraId="1F929D99">
                  <w:pPr>
                    <w:adjustRightInd w:val="0"/>
                    <w:snapToGrid w:val="0"/>
                    <w:jc w:val="center"/>
                    <w:rPr>
                      <w:color w:val="auto"/>
                      <w:szCs w:val="21"/>
                    </w:rPr>
                  </w:pPr>
                  <w:r>
                    <w:rPr>
                      <w:color w:val="auto"/>
                      <w:szCs w:val="21"/>
                    </w:rPr>
                    <w:t>本项目情况</w:t>
                  </w:r>
                </w:p>
              </w:tc>
              <w:tc>
                <w:tcPr>
                  <w:tcW w:w="410" w:type="pct"/>
                  <w:vAlign w:val="center"/>
                </w:tcPr>
                <w:p w14:paraId="56B4CBB3">
                  <w:pPr>
                    <w:adjustRightInd w:val="0"/>
                    <w:snapToGrid w:val="0"/>
                    <w:jc w:val="center"/>
                    <w:rPr>
                      <w:color w:val="auto"/>
                      <w:szCs w:val="21"/>
                    </w:rPr>
                  </w:pPr>
                  <w:r>
                    <w:rPr>
                      <w:color w:val="auto"/>
                      <w:szCs w:val="21"/>
                    </w:rPr>
                    <w:t>相符性</w:t>
                  </w:r>
                </w:p>
              </w:tc>
            </w:tr>
            <w:tr w14:paraId="216C79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jc w:val="center"/>
              </w:trPr>
              <w:tc>
                <w:tcPr>
                  <w:tcW w:w="441" w:type="pct"/>
                  <w:vAlign w:val="center"/>
                </w:tcPr>
                <w:p w14:paraId="60EBDE8F">
                  <w:pPr>
                    <w:pStyle w:val="42"/>
                    <w:adjustRightInd w:val="0"/>
                    <w:snapToGrid w:val="0"/>
                    <w:jc w:val="center"/>
                    <w:rPr>
                      <w:rFonts w:ascii="Times New Roman" w:hAnsi="Times New Roman" w:cs="Times New Roman"/>
                      <w:color w:val="auto"/>
                      <w:sz w:val="21"/>
                      <w:szCs w:val="21"/>
                      <w:lang w:eastAsia="zh-CN"/>
                    </w:rPr>
                  </w:pPr>
                  <w:r>
                    <w:rPr>
                      <w:color w:val="auto"/>
                      <w:spacing w:val="7"/>
                      <w:sz w:val="21"/>
                      <w:szCs w:val="21"/>
                      <w:lang w:eastAsia="zh-CN"/>
                    </w:rPr>
                    <w:t>《西咸新区沣西新城分区规</w:t>
                  </w:r>
                  <w:r>
                    <w:rPr>
                      <w:color w:val="auto"/>
                      <w:spacing w:val="5"/>
                      <w:sz w:val="21"/>
                      <w:szCs w:val="21"/>
                      <w:lang w:eastAsia="zh-CN"/>
                    </w:rPr>
                    <w:t>划（</w:t>
                  </w:r>
                  <w:r>
                    <w:rPr>
                      <w:rFonts w:ascii="Times New Roman" w:hAnsi="Times New Roman" w:eastAsia="Times New Roman" w:cs="Times New Roman"/>
                      <w:color w:val="auto"/>
                      <w:spacing w:val="5"/>
                      <w:sz w:val="21"/>
                      <w:szCs w:val="21"/>
                      <w:lang w:eastAsia="zh-CN"/>
                    </w:rPr>
                    <w:t>2016</w:t>
                  </w:r>
                  <w:r>
                    <w:rPr>
                      <w:color w:val="auto"/>
                      <w:spacing w:val="5"/>
                      <w:sz w:val="21"/>
                      <w:szCs w:val="21"/>
                      <w:lang w:eastAsia="zh-CN"/>
                    </w:rPr>
                    <w:t>年</w:t>
                  </w:r>
                  <w:r>
                    <w:rPr>
                      <w:rFonts w:ascii="Times New Roman" w:hAnsi="Times New Roman" w:eastAsia="Times New Roman" w:cs="Times New Roman"/>
                      <w:color w:val="auto"/>
                      <w:spacing w:val="3"/>
                      <w:sz w:val="21"/>
                      <w:szCs w:val="21"/>
                      <w:lang w:eastAsia="zh-CN"/>
                    </w:rPr>
                    <w:t>-2035</w:t>
                  </w:r>
                  <w:r>
                    <w:rPr>
                      <w:color w:val="auto"/>
                      <w:spacing w:val="3"/>
                      <w:sz w:val="21"/>
                      <w:szCs w:val="21"/>
                      <w:lang w:eastAsia="zh-CN"/>
                    </w:rPr>
                    <w:t>年）》</w:t>
                  </w:r>
                </w:p>
              </w:tc>
              <w:tc>
                <w:tcPr>
                  <w:tcW w:w="2702" w:type="pct"/>
                  <w:vAlign w:val="center"/>
                </w:tcPr>
                <w:p w14:paraId="53C5F116">
                  <w:pPr>
                    <w:pStyle w:val="42"/>
                    <w:adjustRightInd w:val="0"/>
                    <w:snapToGrid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沣西新城定位为丝绸之路信息港，国家海绵城市建设示范区、西部科技创新引领区，以信心产业、大数据、国际文化交流为主的大西安新中心重要组成部分。</w:t>
                  </w:r>
                </w:p>
              </w:tc>
              <w:tc>
                <w:tcPr>
                  <w:tcW w:w="1445" w:type="pct"/>
                  <w:vAlign w:val="center"/>
                </w:tcPr>
                <w:p w14:paraId="6BBEAA5D">
                  <w:pPr>
                    <w:pStyle w:val="42"/>
                    <w:adjustRightInd w:val="0"/>
                    <w:snapToGrid w:val="0"/>
                    <w:rPr>
                      <w:rFonts w:ascii="Times New Roman" w:hAnsi="Times New Roman" w:eastAsia="宋体" w:cs="Times New Roman"/>
                      <w:color w:val="auto"/>
                      <w:sz w:val="21"/>
                      <w:szCs w:val="21"/>
                      <w:lang w:eastAsia="zh-CN"/>
                    </w:rPr>
                  </w:pPr>
                  <w:r>
                    <w:rPr>
                      <w:color w:val="auto"/>
                      <w:spacing w:val="-4"/>
                      <w:sz w:val="21"/>
                      <w:szCs w:val="21"/>
                      <w:lang w:eastAsia="zh-CN"/>
                    </w:rPr>
                    <w:t>本项目</w:t>
                  </w:r>
                  <w:r>
                    <w:rPr>
                      <w:rFonts w:hint="eastAsia"/>
                      <w:color w:val="auto"/>
                      <w:spacing w:val="-4"/>
                      <w:sz w:val="21"/>
                      <w:szCs w:val="21"/>
                      <w:lang w:eastAsia="zh-CN"/>
                    </w:rPr>
                    <w:t>租赁</w:t>
                  </w:r>
                  <w:r>
                    <w:rPr>
                      <w:color w:val="auto"/>
                      <w:spacing w:val="-4"/>
                      <w:sz w:val="21"/>
                      <w:szCs w:val="21"/>
                      <w:lang w:eastAsia="zh-CN"/>
                    </w:rPr>
                    <w:t>沣西新</w:t>
                  </w:r>
                  <w:r>
                    <w:rPr>
                      <w:color w:val="auto"/>
                      <w:spacing w:val="-1"/>
                      <w:sz w:val="21"/>
                      <w:szCs w:val="21"/>
                      <w:lang w:eastAsia="zh-CN"/>
                    </w:rPr>
                    <w:t>城信息产</w:t>
                  </w:r>
                  <w:r>
                    <w:rPr>
                      <w:rFonts w:ascii="Times New Roman" w:hAnsi="Times New Roman" w:cs="Times New Roman"/>
                      <w:color w:val="auto"/>
                      <w:spacing w:val="-1"/>
                      <w:sz w:val="21"/>
                      <w:szCs w:val="21"/>
                      <w:lang w:eastAsia="zh-CN"/>
                    </w:rPr>
                    <w:t>业园西安</w:t>
                  </w:r>
                  <w:r>
                    <w:rPr>
                      <w:rFonts w:ascii="Times New Roman" w:hAnsi="Times New Roman" w:cs="Times New Roman"/>
                      <w:color w:val="auto"/>
                      <w:spacing w:val="8"/>
                      <w:sz w:val="21"/>
                      <w:szCs w:val="21"/>
                      <w:lang w:eastAsia="zh-CN"/>
                    </w:rPr>
                    <w:t>生漆涂料研究所五号楼三层</w:t>
                  </w:r>
                  <w:r>
                    <w:rPr>
                      <w:rFonts w:hint="eastAsia" w:ascii="Times New Roman" w:hAnsi="Times New Roman" w:cs="Times New Roman"/>
                      <w:color w:val="auto"/>
                      <w:spacing w:val="8"/>
                      <w:sz w:val="21"/>
                      <w:szCs w:val="21"/>
                      <w:lang w:val="en-US" w:eastAsia="zh-CN"/>
                    </w:rPr>
                    <w:t>及</w:t>
                  </w:r>
                  <w:r>
                    <w:rPr>
                      <w:rFonts w:ascii="Times New Roman" w:hAnsi="Times New Roman" w:cs="Times New Roman"/>
                      <w:color w:val="auto"/>
                      <w:spacing w:val="8"/>
                      <w:sz w:val="21"/>
                      <w:szCs w:val="21"/>
                      <w:lang w:eastAsia="zh-CN"/>
                    </w:rPr>
                    <w:t>四层</w:t>
                  </w:r>
                  <w:r>
                    <w:rPr>
                      <w:rFonts w:ascii="Times New Roman" w:hAnsi="Times New Roman" w:cs="Times New Roman"/>
                      <w:color w:val="auto"/>
                      <w:spacing w:val="5"/>
                      <w:sz w:val="21"/>
                      <w:szCs w:val="21"/>
                      <w:lang w:eastAsia="zh-CN"/>
                    </w:rPr>
                    <w:t>，</w:t>
                  </w:r>
                  <w:r>
                    <w:rPr>
                      <w:rFonts w:hint="eastAsia"/>
                      <w:color w:val="auto"/>
                      <w:spacing w:val="5"/>
                      <w:sz w:val="21"/>
                      <w:szCs w:val="21"/>
                      <w:lang w:eastAsia="zh-CN"/>
                    </w:rPr>
                    <w:t>进行</w:t>
                  </w:r>
                  <w:r>
                    <w:rPr>
                      <w:rFonts w:eastAsia="宋体"/>
                      <w:bCs/>
                      <w:color w:val="auto"/>
                      <w:sz w:val="21"/>
                      <w:szCs w:val="21"/>
                      <w:lang w:eastAsia="zh-CN"/>
                    </w:rPr>
                    <w:t>工程和技术研究和试验发展</w:t>
                  </w:r>
                  <w:r>
                    <w:rPr>
                      <w:color w:val="auto"/>
                      <w:spacing w:val="2"/>
                      <w:sz w:val="21"/>
                      <w:szCs w:val="21"/>
                      <w:lang w:eastAsia="zh-CN"/>
                    </w:rPr>
                    <w:t>，属于科技服务</w:t>
                  </w:r>
                  <w:r>
                    <w:rPr>
                      <w:color w:val="auto"/>
                      <w:sz w:val="21"/>
                      <w:szCs w:val="21"/>
                      <w:lang w:eastAsia="zh-CN"/>
                    </w:rPr>
                    <w:t>业。</w:t>
                  </w:r>
                </w:p>
              </w:tc>
              <w:tc>
                <w:tcPr>
                  <w:tcW w:w="410" w:type="pct"/>
                  <w:vAlign w:val="center"/>
                </w:tcPr>
                <w:p w14:paraId="0C9A95AB">
                  <w:pPr>
                    <w:adjustRightInd w:val="0"/>
                    <w:snapToGrid w:val="0"/>
                    <w:rPr>
                      <w:color w:val="auto"/>
                      <w:szCs w:val="21"/>
                    </w:rPr>
                  </w:pPr>
                  <w:r>
                    <w:rPr>
                      <w:color w:val="auto"/>
                      <w:szCs w:val="21"/>
                    </w:rPr>
                    <w:t>相符</w:t>
                  </w:r>
                </w:p>
              </w:tc>
            </w:tr>
            <w:tr w14:paraId="4DC56F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196" w:hRule="atLeast"/>
                <w:jc w:val="center"/>
              </w:trPr>
              <w:tc>
                <w:tcPr>
                  <w:tcW w:w="441" w:type="pct"/>
                  <w:vAlign w:val="center"/>
                </w:tcPr>
                <w:p w14:paraId="597F9AB8">
                  <w:pPr>
                    <w:pStyle w:val="42"/>
                    <w:adjustRightInd w:val="0"/>
                    <w:snapToGrid w:val="0"/>
                    <w:jc w:val="center"/>
                    <w:rPr>
                      <w:rFonts w:ascii="Times New Roman" w:hAnsi="Times New Roman" w:cs="Times New Roman"/>
                      <w:color w:val="auto"/>
                      <w:sz w:val="21"/>
                      <w:szCs w:val="21"/>
                      <w:lang w:eastAsia="zh-CN"/>
                    </w:rPr>
                  </w:pPr>
                  <w:r>
                    <w:rPr>
                      <w:color w:val="auto"/>
                      <w:spacing w:val="-2"/>
                      <w:sz w:val="21"/>
                      <w:szCs w:val="21"/>
                      <w:lang w:eastAsia="zh-CN"/>
                    </w:rPr>
                    <w:t>《西咸新区沣</w:t>
                  </w:r>
                  <w:r>
                    <w:rPr>
                      <w:color w:val="auto"/>
                      <w:spacing w:val="14"/>
                      <w:sz w:val="21"/>
                      <w:szCs w:val="21"/>
                      <w:lang w:eastAsia="zh-CN"/>
                    </w:rPr>
                    <w:t>西新城分区规</w:t>
                  </w:r>
                  <w:r>
                    <w:rPr>
                      <w:color w:val="auto"/>
                      <w:spacing w:val="-2"/>
                      <w:sz w:val="21"/>
                      <w:szCs w:val="21"/>
                      <w:lang w:eastAsia="zh-CN"/>
                    </w:rPr>
                    <w:t>划（</w:t>
                  </w:r>
                  <w:r>
                    <w:rPr>
                      <w:rFonts w:ascii="Times New Roman" w:hAnsi="Times New Roman" w:eastAsia="Times New Roman" w:cs="Times New Roman"/>
                      <w:color w:val="auto"/>
                      <w:spacing w:val="-2"/>
                      <w:sz w:val="21"/>
                      <w:szCs w:val="21"/>
                      <w:lang w:eastAsia="zh-CN"/>
                    </w:rPr>
                    <w:t>2016-2035</w:t>
                  </w:r>
                  <w:r>
                    <w:rPr>
                      <w:color w:val="auto"/>
                      <w:spacing w:val="-2"/>
                      <w:sz w:val="21"/>
                      <w:szCs w:val="21"/>
                      <w:lang w:eastAsia="zh-CN"/>
                    </w:rPr>
                    <w:t>）</w:t>
                  </w:r>
                  <w:r>
                    <w:rPr>
                      <w:color w:val="auto"/>
                      <w:spacing w:val="8"/>
                      <w:sz w:val="21"/>
                      <w:szCs w:val="21"/>
                      <w:lang w:eastAsia="zh-CN"/>
                    </w:rPr>
                    <w:t>环境影响报告</w:t>
                  </w:r>
                  <w:r>
                    <w:rPr>
                      <w:color w:val="auto"/>
                      <w:spacing w:val="-2"/>
                      <w:sz w:val="21"/>
                      <w:szCs w:val="21"/>
                      <w:lang w:eastAsia="zh-CN"/>
                    </w:rPr>
                    <w:t>书》</w:t>
                  </w:r>
                </w:p>
              </w:tc>
              <w:tc>
                <w:tcPr>
                  <w:tcW w:w="2702" w:type="pct"/>
                  <w:vAlign w:val="center"/>
                </w:tcPr>
                <w:p w14:paraId="0F5F5ACA">
                  <w:pPr>
                    <w:pStyle w:val="42"/>
                    <w:adjustRightInd w:val="0"/>
                    <w:snapToGrid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①对产业的引入采取</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底线控制、优势相关、鼓励创新</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的原则，底线控制即淘汰三高（高污染、高耗能、高耗水，如铸造、化工等），凡是非三高企业都可引入；</w:t>
                  </w:r>
                </w:p>
                <w:p w14:paraId="582AB7F8">
                  <w:pPr>
                    <w:pStyle w:val="42"/>
                    <w:adjustRightInd w:val="0"/>
                    <w:snapToGrid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②区内建设污水处理厂，对地表水有较大的改善，但考虑到距离最终的规划目标仍有差距，评价要求严禁高耗水、高排水企业入驻区内，严格控制污水外排；</w:t>
                  </w:r>
                </w:p>
                <w:p w14:paraId="79E094F5">
                  <w:pPr>
                    <w:pStyle w:val="42"/>
                    <w:adjustRightInd w:val="0"/>
                    <w:snapToGrid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③合理规划区内环卫基础设施建设，针对固废的不同性质，采取相应的处置措施。推行生活垃圾分类收集，提高生活垃圾无害化处理率和固体废物的综合利用率。固废须按照《一般工业固体废物处贮存、处置场污染控制标准》（GB18599-2001）要求，进行贮存和处置，危废的产生和管理按照陕西省环境保护厅颁发的《危险废物转移联单管理办法》等有关规定文件的要求，收集后送往危废处理处置中心。</w:t>
                  </w:r>
                </w:p>
              </w:tc>
              <w:tc>
                <w:tcPr>
                  <w:tcW w:w="1445" w:type="pct"/>
                  <w:vAlign w:val="center"/>
                </w:tcPr>
                <w:p w14:paraId="37BF827A">
                  <w:pPr>
                    <w:rPr>
                      <w:color w:val="auto"/>
                      <w:szCs w:val="21"/>
                    </w:rPr>
                  </w:pPr>
                  <w:r>
                    <w:rPr>
                      <w:color w:val="auto"/>
                      <w:szCs w:val="21"/>
                    </w:rPr>
                    <w:t>①</w:t>
                  </w:r>
                  <w:r>
                    <w:rPr>
                      <w:rFonts w:hint="eastAsia"/>
                      <w:color w:val="auto"/>
                      <w:szCs w:val="21"/>
                    </w:rPr>
                    <w:t>本项目主要进行工程和技术研究和试验发展，不属于三高企业和</w:t>
                  </w:r>
                  <w:r>
                    <w:rPr>
                      <w:color w:val="auto"/>
                      <w:szCs w:val="21"/>
                    </w:rPr>
                    <w:t>高耗水</w:t>
                  </w:r>
                  <w:r>
                    <w:rPr>
                      <w:rFonts w:hint="eastAsia"/>
                      <w:color w:val="auto"/>
                      <w:szCs w:val="21"/>
                    </w:rPr>
                    <w:t>企业。</w:t>
                  </w:r>
                </w:p>
                <w:p w14:paraId="48FD4562">
                  <w:pPr>
                    <w:pStyle w:val="42"/>
                    <w:adjustRightInd w:val="0"/>
                    <w:snapToGrid w:val="0"/>
                    <w:rPr>
                      <w:rFonts w:ascii="Times New Roman" w:hAnsi="Times New Roman" w:cs="Times New Roman"/>
                      <w:color w:val="auto"/>
                      <w:sz w:val="21"/>
                      <w:szCs w:val="21"/>
                      <w:lang w:eastAsia="zh-CN"/>
                    </w:rPr>
                  </w:pPr>
                  <w:r>
                    <w:rPr>
                      <w:rFonts w:hint="eastAsia" w:ascii="宋体" w:hAnsi="宋体" w:eastAsia="宋体" w:cs="宋体"/>
                      <w:color w:val="auto"/>
                      <w:sz w:val="21"/>
                      <w:szCs w:val="21"/>
                      <w:lang w:eastAsia="zh-CN"/>
                    </w:rPr>
                    <w:t>②</w:t>
                  </w:r>
                  <w:r>
                    <w:rPr>
                      <w:rFonts w:hint="eastAsia" w:ascii="Times New Roman" w:hAnsi="Times New Roman" w:eastAsia="宋体"/>
                      <w:color w:val="auto"/>
                      <w:sz w:val="21"/>
                      <w:szCs w:val="21"/>
                      <w:lang w:eastAsia="zh-CN"/>
                    </w:rPr>
                    <w:t>本项目</w:t>
                  </w:r>
                  <w:r>
                    <w:rPr>
                      <w:rFonts w:ascii="Times New Roman" w:hAnsi="Times New Roman" w:eastAsia="宋体"/>
                      <w:color w:val="auto"/>
                      <w:sz w:val="21"/>
                      <w:szCs w:val="21"/>
                      <w:lang w:eastAsia="zh-CN"/>
                    </w:rPr>
                    <w:t>固废按照《一般</w:t>
                  </w:r>
                  <w:r>
                    <w:rPr>
                      <w:rFonts w:hint="eastAsia" w:ascii="Times New Roman" w:hAnsi="Times New Roman" w:eastAsia="宋体"/>
                      <w:color w:val="auto"/>
                      <w:sz w:val="21"/>
                      <w:szCs w:val="21"/>
                      <w:lang w:eastAsia="zh-CN"/>
                    </w:rPr>
                    <w:t>工业</w:t>
                  </w:r>
                  <w:r>
                    <w:rPr>
                      <w:rFonts w:ascii="Times New Roman" w:hAnsi="Times New Roman" w:eastAsia="宋体"/>
                      <w:color w:val="auto"/>
                      <w:sz w:val="21"/>
                      <w:szCs w:val="21"/>
                      <w:lang w:eastAsia="zh-CN"/>
                    </w:rPr>
                    <w:t>固体废物</w:t>
                  </w:r>
                  <w:r>
                    <w:rPr>
                      <w:rFonts w:hint="eastAsia" w:ascii="Times New Roman" w:hAnsi="Times New Roman" w:eastAsia="宋体"/>
                      <w:color w:val="auto"/>
                      <w:sz w:val="21"/>
                      <w:szCs w:val="21"/>
                      <w:lang w:eastAsia="zh-CN"/>
                    </w:rPr>
                    <w:t>贮存和填埋污染控制</w:t>
                  </w:r>
                  <w:r>
                    <w:rPr>
                      <w:rFonts w:ascii="Times New Roman" w:hAnsi="Times New Roman" w:eastAsia="宋体"/>
                      <w:color w:val="auto"/>
                      <w:sz w:val="21"/>
                      <w:szCs w:val="21"/>
                      <w:lang w:eastAsia="zh-CN"/>
                    </w:rPr>
                    <w:t>标准》</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lang w:eastAsia="zh-CN"/>
                    </w:rPr>
                    <w:t>GB18599-20</w:t>
                  </w:r>
                  <w:r>
                    <w:rPr>
                      <w:rFonts w:hint="eastAsia" w:ascii="Times New Roman" w:hAnsi="Times New Roman" w:eastAsia="宋体"/>
                      <w:color w:val="auto"/>
                      <w:sz w:val="21"/>
                      <w:szCs w:val="21"/>
                      <w:lang w:eastAsia="zh-CN"/>
                    </w:rPr>
                    <w:t>20）</w:t>
                  </w:r>
                  <w:r>
                    <w:rPr>
                      <w:rFonts w:ascii="Times New Roman" w:hAnsi="Times New Roman" w:eastAsia="宋体"/>
                      <w:color w:val="auto"/>
                      <w:sz w:val="21"/>
                      <w:szCs w:val="21"/>
                      <w:lang w:eastAsia="zh-CN"/>
                    </w:rPr>
                    <w:t>要求，进行贮存和处置</w:t>
                  </w:r>
                  <w:r>
                    <w:rPr>
                      <w:rFonts w:hint="eastAsia" w:ascii="Times New Roman" w:hAnsi="Times New Roman" w:eastAsia="宋体"/>
                      <w:color w:val="auto"/>
                      <w:sz w:val="21"/>
                      <w:szCs w:val="21"/>
                      <w:lang w:eastAsia="zh-CN"/>
                    </w:rPr>
                    <w:t>；危险废物按照《危险废物贮存污染控制标准》（GB18597-2023）、</w:t>
                  </w:r>
                  <w:r>
                    <w:rPr>
                      <w:rFonts w:hint="eastAsia" w:ascii="Times New Roman" w:hAnsi="Times New Roman" w:eastAsia="宋体"/>
                      <w:color w:val="FF0000"/>
                      <w:sz w:val="21"/>
                      <w:szCs w:val="21"/>
                      <w:lang w:val="en-US" w:eastAsia="zh-CN"/>
                    </w:rPr>
                    <w:t>《实验室危险废物污染控制技术规范》（DB61/T1716-2023）</w:t>
                  </w:r>
                  <w:r>
                    <w:rPr>
                      <w:rFonts w:ascii="Times New Roman" w:hAnsi="Times New Roman" w:eastAsia="宋体"/>
                      <w:color w:val="auto"/>
                      <w:sz w:val="21"/>
                      <w:szCs w:val="21"/>
                      <w:lang w:eastAsia="zh-CN"/>
                    </w:rPr>
                    <w:t>要求进行贮存，定期交由有资质单位处置。</w:t>
                  </w:r>
                </w:p>
              </w:tc>
              <w:tc>
                <w:tcPr>
                  <w:tcW w:w="410" w:type="pct"/>
                  <w:vAlign w:val="center"/>
                </w:tcPr>
                <w:p w14:paraId="375B89E2">
                  <w:pPr>
                    <w:adjustRightInd w:val="0"/>
                    <w:snapToGrid w:val="0"/>
                    <w:rPr>
                      <w:color w:val="auto"/>
                      <w:szCs w:val="21"/>
                    </w:rPr>
                  </w:pPr>
                  <w:r>
                    <w:rPr>
                      <w:color w:val="auto"/>
                      <w:szCs w:val="21"/>
                    </w:rPr>
                    <w:t>相符</w:t>
                  </w:r>
                </w:p>
              </w:tc>
            </w:tr>
            <w:tr w14:paraId="29DD4B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jc w:val="center"/>
              </w:trPr>
              <w:tc>
                <w:tcPr>
                  <w:tcW w:w="441" w:type="pct"/>
                  <w:vAlign w:val="center"/>
                </w:tcPr>
                <w:p w14:paraId="2A4BD2C3">
                  <w:pPr>
                    <w:pStyle w:val="42"/>
                    <w:adjustRightInd w:val="0"/>
                    <w:snapToGrid w:val="0"/>
                    <w:jc w:val="center"/>
                    <w:rPr>
                      <w:rFonts w:ascii="Times New Roman" w:hAnsi="Times New Roman" w:cs="Times New Roman"/>
                      <w:color w:val="auto"/>
                      <w:sz w:val="21"/>
                      <w:szCs w:val="21"/>
                      <w:lang w:eastAsia="zh-CN"/>
                    </w:rPr>
                  </w:pPr>
                  <w:r>
                    <w:rPr>
                      <w:color w:val="auto"/>
                      <w:spacing w:val="-2"/>
                      <w:sz w:val="21"/>
                      <w:szCs w:val="21"/>
                      <w:lang w:eastAsia="zh-CN"/>
                    </w:rPr>
                    <w:t>《西咸新区沣</w:t>
                  </w:r>
                  <w:r>
                    <w:rPr>
                      <w:color w:val="auto"/>
                      <w:spacing w:val="14"/>
                      <w:sz w:val="21"/>
                      <w:szCs w:val="21"/>
                      <w:lang w:eastAsia="zh-CN"/>
                    </w:rPr>
                    <w:t>西新城分区规</w:t>
                  </w:r>
                  <w:r>
                    <w:rPr>
                      <w:color w:val="auto"/>
                      <w:spacing w:val="-2"/>
                      <w:sz w:val="21"/>
                      <w:szCs w:val="21"/>
                      <w:lang w:eastAsia="zh-CN"/>
                    </w:rPr>
                    <w:t>划（</w:t>
                  </w:r>
                  <w:r>
                    <w:rPr>
                      <w:rFonts w:ascii="Times New Roman" w:hAnsi="Times New Roman" w:eastAsia="Times New Roman" w:cs="Times New Roman"/>
                      <w:color w:val="auto"/>
                      <w:spacing w:val="-2"/>
                      <w:sz w:val="21"/>
                      <w:szCs w:val="21"/>
                      <w:lang w:eastAsia="zh-CN"/>
                    </w:rPr>
                    <w:t>2016-2035</w:t>
                  </w:r>
                  <w:r>
                    <w:rPr>
                      <w:color w:val="auto"/>
                      <w:spacing w:val="-2"/>
                      <w:sz w:val="21"/>
                      <w:szCs w:val="21"/>
                      <w:lang w:eastAsia="zh-CN"/>
                    </w:rPr>
                    <w:t>）</w:t>
                  </w:r>
                  <w:r>
                    <w:rPr>
                      <w:color w:val="auto"/>
                      <w:spacing w:val="14"/>
                      <w:sz w:val="21"/>
                      <w:szCs w:val="21"/>
                      <w:lang w:eastAsia="zh-CN"/>
                    </w:rPr>
                    <w:t>环境影响报告书》审查意见</w:t>
                  </w:r>
                </w:p>
              </w:tc>
              <w:tc>
                <w:tcPr>
                  <w:tcW w:w="2702" w:type="pct"/>
                  <w:vAlign w:val="center"/>
                </w:tcPr>
                <w:p w14:paraId="39E14AFF">
                  <w:pPr>
                    <w:adjustRightInd w:val="0"/>
                    <w:snapToGrid w:val="0"/>
                    <w:rPr>
                      <w:color w:val="auto"/>
                      <w:spacing w:val="-6"/>
                      <w:szCs w:val="21"/>
                    </w:rPr>
                  </w:pPr>
                  <w:r>
                    <w:rPr>
                      <w:rFonts w:hint="eastAsia"/>
                      <w:color w:val="auto"/>
                      <w:spacing w:val="-6"/>
                      <w:szCs w:val="21"/>
                    </w:rPr>
                    <w:t>①</w:t>
                  </w:r>
                  <w:r>
                    <w:rPr>
                      <w:color w:val="auto"/>
                      <w:spacing w:val="-6"/>
                      <w:szCs w:val="21"/>
                    </w:rPr>
                    <w:t>加强规划引导，坚持生态优先绿色集约发展，突出城市与产业协调发展的理念。严格落实生态保护红线、环境质量底线、资源利用上线和环境准入负面清单管控要求。强化</w:t>
                  </w:r>
                  <w:r>
                    <w:rPr>
                      <w:rFonts w:hint="eastAsia"/>
                      <w:color w:val="auto"/>
                      <w:spacing w:val="-6"/>
                      <w:szCs w:val="21"/>
                    </w:rPr>
                    <w:t>“</w:t>
                  </w:r>
                  <w:r>
                    <w:rPr>
                      <w:color w:val="auto"/>
                      <w:spacing w:val="-6"/>
                      <w:szCs w:val="21"/>
                    </w:rPr>
                    <w:t>三线一单</w:t>
                  </w:r>
                  <w:r>
                    <w:rPr>
                      <w:rFonts w:hint="eastAsia"/>
                      <w:color w:val="auto"/>
                      <w:spacing w:val="-6"/>
                      <w:szCs w:val="21"/>
                    </w:rPr>
                    <w:t>”</w:t>
                  </w:r>
                  <w:r>
                    <w:rPr>
                      <w:color w:val="auto"/>
                      <w:spacing w:val="-6"/>
                      <w:szCs w:val="21"/>
                    </w:rPr>
                    <w:t>在优布局、控规模及对项目环境准入的强制约束作用。严禁</w:t>
                  </w:r>
                  <w:r>
                    <w:rPr>
                      <w:rFonts w:hint="eastAsia"/>
                      <w:color w:val="auto"/>
                      <w:spacing w:val="-6"/>
                      <w:szCs w:val="21"/>
                    </w:rPr>
                    <w:t>“</w:t>
                  </w:r>
                  <w:r>
                    <w:rPr>
                      <w:color w:val="auto"/>
                      <w:spacing w:val="-6"/>
                      <w:szCs w:val="21"/>
                    </w:rPr>
                    <w:t>三高一低</w:t>
                  </w:r>
                  <w:r>
                    <w:rPr>
                      <w:rFonts w:hint="eastAsia"/>
                      <w:color w:val="auto"/>
                      <w:spacing w:val="-6"/>
                      <w:szCs w:val="21"/>
                    </w:rPr>
                    <w:t>”</w:t>
                  </w:r>
                  <w:r>
                    <w:rPr>
                      <w:color w:val="auto"/>
                      <w:spacing w:val="-6"/>
                      <w:szCs w:val="21"/>
                    </w:rPr>
                    <w:t>项目入区,采用总量控制方式，限制大气污染物及水污染物排放量大的项目入区。引进项目的生产工艺、设备、污染治理技术，以及单位产品能耗、物耗、污染物排放和资源利用率等均需达到同行业国际先进水平</w:t>
                  </w:r>
                  <w:r>
                    <w:rPr>
                      <w:rFonts w:hint="eastAsia"/>
                      <w:color w:val="auto"/>
                      <w:spacing w:val="-6"/>
                      <w:szCs w:val="21"/>
                    </w:rPr>
                    <w:t>，</w:t>
                  </w:r>
                  <w:r>
                    <w:rPr>
                      <w:color w:val="auto"/>
                      <w:spacing w:val="-6"/>
                      <w:szCs w:val="21"/>
                    </w:rPr>
                    <w:t>落实《报告书》提出的环境要求</w:t>
                  </w:r>
                  <w:r>
                    <w:rPr>
                      <w:rFonts w:hint="eastAsia"/>
                      <w:color w:val="auto"/>
                      <w:spacing w:val="-6"/>
                      <w:szCs w:val="21"/>
                    </w:rPr>
                    <w:t>；</w:t>
                  </w:r>
                </w:p>
                <w:p w14:paraId="1306EF68">
                  <w:pPr>
                    <w:adjustRightInd w:val="0"/>
                    <w:snapToGrid w:val="0"/>
                    <w:rPr>
                      <w:color w:val="auto"/>
                      <w:spacing w:val="-6"/>
                      <w:szCs w:val="21"/>
                    </w:rPr>
                  </w:pPr>
                  <w:r>
                    <w:rPr>
                      <w:rFonts w:hint="eastAsia"/>
                      <w:color w:val="auto"/>
                      <w:spacing w:val="-6"/>
                      <w:szCs w:val="21"/>
                    </w:rPr>
                    <w:t>②</w:t>
                  </w:r>
                  <w:r>
                    <w:rPr>
                      <w:color w:val="auto"/>
                      <w:spacing w:val="-6"/>
                      <w:szCs w:val="21"/>
                    </w:rPr>
                    <w:t>严守环境质量底线，落实污染物总量管控要求。根据国家、陕西省、西成新区有关大气、水、土壤污染防治行动计划相关要求，制定区域污染物减排方案</w:t>
                  </w:r>
                  <w:r>
                    <w:rPr>
                      <w:rFonts w:hint="eastAsia"/>
                      <w:color w:val="auto"/>
                      <w:spacing w:val="-6"/>
                      <w:szCs w:val="21"/>
                    </w:rPr>
                    <w:t>，</w:t>
                  </w:r>
                  <w:r>
                    <w:rPr>
                      <w:color w:val="auto"/>
                      <w:spacing w:val="-6"/>
                      <w:szCs w:val="21"/>
                    </w:rPr>
                    <w:t>采取有效措施减少主要污染物和挥发性有机物等排放总量，实现区域环境质量改善目标</w:t>
                  </w:r>
                  <w:r>
                    <w:rPr>
                      <w:rFonts w:hint="eastAsia"/>
                      <w:color w:val="auto"/>
                      <w:spacing w:val="-6"/>
                      <w:szCs w:val="21"/>
                    </w:rPr>
                    <w:t>；</w:t>
                  </w:r>
                </w:p>
                <w:p w14:paraId="0C1B294C">
                  <w:pPr>
                    <w:adjustRightInd w:val="0"/>
                    <w:snapToGrid w:val="0"/>
                    <w:rPr>
                      <w:color w:val="auto"/>
                      <w:spacing w:val="-6"/>
                      <w:szCs w:val="21"/>
                    </w:rPr>
                  </w:pPr>
                  <w:r>
                    <w:rPr>
                      <w:rFonts w:hint="eastAsia"/>
                      <w:color w:val="auto"/>
                      <w:spacing w:val="-6"/>
                      <w:szCs w:val="21"/>
                    </w:rPr>
                    <w:t>③</w:t>
                  </w:r>
                  <w:r>
                    <w:rPr>
                      <w:color w:val="auto"/>
                      <w:spacing w:val="-6"/>
                      <w:szCs w:val="21"/>
                    </w:rPr>
                    <w:t>结合区域大气环境质量改善目标要求，明确无煤化城市建设阶段性目标，进一步优化能源结构，加大无千扰干热岩供热技术的应用推广。加强挥发性有机物产生企业监督管理，强化移动源污染防治</w:t>
                  </w:r>
                  <w:r>
                    <w:rPr>
                      <w:rFonts w:hint="eastAsia"/>
                      <w:color w:val="auto"/>
                      <w:spacing w:val="-6"/>
                      <w:szCs w:val="21"/>
                    </w:rPr>
                    <w:t>；</w:t>
                  </w:r>
                </w:p>
                <w:p w14:paraId="090C0B26">
                  <w:pPr>
                    <w:adjustRightInd w:val="0"/>
                    <w:snapToGrid w:val="0"/>
                    <w:rPr>
                      <w:color w:val="auto"/>
                      <w:spacing w:val="-6"/>
                      <w:szCs w:val="21"/>
                    </w:rPr>
                  </w:pPr>
                  <w:r>
                    <w:rPr>
                      <w:rFonts w:hint="eastAsia"/>
                      <w:color w:val="auto"/>
                      <w:spacing w:val="-6"/>
                      <w:szCs w:val="21"/>
                    </w:rPr>
                    <w:t>④</w:t>
                  </w:r>
                  <w:r>
                    <w:rPr>
                      <w:color w:val="auto"/>
                      <w:spacing w:val="-6"/>
                      <w:szCs w:val="21"/>
                    </w:rPr>
                    <w:t>结合区域水环境质量改善目标的要求，提高再生水回用率，提高污水厂管理标准；落实畜禽养殖禁养、景观水体建设等措施</w:t>
                  </w:r>
                  <w:r>
                    <w:rPr>
                      <w:rFonts w:hint="eastAsia"/>
                      <w:color w:val="auto"/>
                      <w:spacing w:val="-6"/>
                      <w:szCs w:val="21"/>
                    </w:rPr>
                    <w:t>；</w:t>
                  </w:r>
                </w:p>
                <w:p w14:paraId="2E146FAC">
                  <w:pPr>
                    <w:adjustRightInd w:val="0"/>
                    <w:snapToGrid w:val="0"/>
                    <w:rPr>
                      <w:color w:val="auto"/>
                      <w:spacing w:val="-6"/>
                      <w:szCs w:val="21"/>
                    </w:rPr>
                  </w:pPr>
                  <w:r>
                    <w:rPr>
                      <w:rFonts w:hint="eastAsia"/>
                      <w:color w:val="auto"/>
                      <w:spacing w:val="-6"/>
                      <w:szCs w:val="21"/>
                    </w:rPr>
                    <w:t>⑤</w:t>
                  </w:r>
                  <w:r>
                    <w:rPr>
                      <w:color w:val="auto"/>
                      <w:spacing w:val="-6"/>
                      <w:szCs w:val="21"/>
                    </w:rPr>
                    <w:t>结合规划及水源地保护相关法律法规，加强水源地保护，全力保障饮用水安全</w:t>
                  </w:r>
                  <w:r>
                    <w:rPr>
                      <w:rFonts w:hint="eastAsia"/>
                      <w:color w:val="auto"/>
                      <w:spacing w:val="-6"/>
                      <w:szCs w:val="21"/>
                    </w:rPr>
                    <w:t>；</w:t>
                  </w:r>
                </w:p>
                <w:p w14:paraId="610CDC2B">
                  <w:pPr>
                    <w:adjustRightInd w:val="0"/>
                    <w:snapToGrid w:val="0"/>
                    <w:rPr>
                      <w:color w:val="auto"/>
                      <w:szCs w:val="21"/>
                    </w:rPr>
                  </w:pPr>
                  <w:r>
                    <w:rPr>
                      <w:rFonts w:hint="eastAsia"/>
                      <w:color w:val="auto"/>
                      <w:spacing w:val="-6"/>
                      <w:szCs w:val="21"/>
                    </w:rPr>
                    <w:t>⑥</w:t>
                  </w:r>
                  <w:r>
                    <w:rPr>
                      <w:color w:val="auto"/>
                      <w:spacing w:val="-6"/>
                      <w:szCs w:val="21"/>
                    </w:rPr>
                    <w:t>积极开展垃圾分类试点建设，加强固体废弃物特别是危险废物的集中处理处置。</w:t>
                  </w:r>
                </w:p>
              </w:tc>
              <w:tc>
                <w:tcPr>
                  <w:tcW w:w="1445" w:type="pct"/>
                  <w:vAlign w:val="center"/>
                </w:tcPr>
                <w:p w14:paraId="456750C9">
                  <w:pPr>
                    <w:rPr>
                      <w:color w:val="auto"/>
                      <w:spacing w:val="-6"/>
                      <w:szCs w:val="21"/>
                    </w:rPr>
                  </w:pPr>
                  <w:r>
                    <w:rPr>
                      <w:rFonts w:hint="eastAsia"/>
                      <w:color w:val="auto"/>
                      <w:spacing w:val="-6"/>
                      <w:szCs w:val="21"/>
                    </w:rPr>
                    <w:t>①</w:t>
                  </w:r>
                  <w:r>
                    <w:rPr>
                      <w:rFonts w:hint="eastAsia"/>
                      <w:color w:val="auto"/>
                      <w:szCs w:val="21"/>
                    </w:rPr>
                    <w:t>本项目位于</w:t>
                  </w:r>
                  <w:r>
                    <w:rPr>
                      <w:rFonts w:hint="eastAsia"/>
                      <w:color w:val="auto"/>
                      <w:spacing w:val="-6"/>
                      <w:szCs w:val="21"/>
                    </w:rPr>
                    <w:t>陕西省西咸新区沣西新城秀雅路995号西安生漆涂料研究所五号楼</w:t>
                  </w:r>
                  <w:r>
                    <w:rPr>
                      <w:rFonts w:hint="eastAsia"/>
                      <w:color w:val="auto"/>
                      <w:szCs w:val="21"/>
                    </w:rPr>
                    <w:t>，属于西安</w:t>
                  </w:r>
                  <w:r>
                    <w:rPr>
                      <w:color w:val="auto"/>
                      <w:szCs w:val="21"/>
                    </w:rPr>
                    <w:t>市生态环境分区</w:t>
                  </w:r>
                  <w:r>
                    <w:rPr>
                      <w:rFonts w:hint="eastAsia"/>
                      <w:color w:val="auto"/>
                      <w:szCs w:val="21"/>
                    </w:rPr>
                    <w:t>管控</w:t>
                  </w:r>
                  <w:r>
                    <w:rPr>
                      <w:color w:val="auto"/>
                      <w:szCs w:val="21"/>
                    </w:rPr>
                    <w:t>重点</w:t>
                  </w:r>
                  <w:r>
                    <w:rPr>
                      <w:rFonts w:hint="eastAsia"/>
                      <w:color w:val="auto"/>
                      <w:szCs w:val="21"/>
                    </w:rPr>
                    <w:t>管控单元</w:t>
                  </w:r>
                  <w:r>
                    <w:rPr>
                      <w:color w:val="auto"/>
                      <w:szCs w:val="21"/>
                    </w:rPr>
                    <w:t>内</w:t>
                  </w:r>
                  <w:r>
                    <w:rPr>
                      <w:rFonts w:hint="eastAsia"/>
                      <w:color w:val="auto"/>
                      <w:szCs w:val="21"/>
                    </w:rPr>
                    <w:t>，运营期产生的各污染物均采取相应环保措施，符合西安市“三线一单”</w:t>
                  </w:r>
                  <w:r>
                    <w:rPr>
                      <w:color w:val="auto"/>
                      <w:szCs w:val="21"/>
                    </w:rPr>
                    <w:t>生态环境分区管控方案的要求</w:t>
                  </w:r>
                  <w:r>
                    <w:rPr>
                      <w:rFonts w:hint="eastAsia"/>
                      <w:color w:val="auto"/>
                      <w:szCs w:val="21"/>
                    </w:rPr>
                    <w:t>。</w:t>
                  </w:r>
                </w:p>
                <w:p w14:paraId="27930FD4">
                  <w:pPr>
                    <w:snapToGrid w:val="0"/>
                    <w:rPr>
                      <w:color w:val="auto"/>
                      <w:szCs w:val="21"/>
                    </w:rPr>
                  </w:pPr>
                  <w:r>
                    <w:rPr>
                      <w:rFonts w:hint="eastAsia"/>
                      <w:color w:val="auto"/>
                      <w:spacing w:val="-6"/>
                      <w:szCs w:val="21"/>
                    </w:rPr>
                    <w:t>②</w:t>
                  </w:r>
                  <w:r>
                    <w:rPr>
                      <w:color w:val="auto"/>
                      <w:spacing w:val="-6"/>
                      <w:szCs w:val="21"/>
                    </w:rPr>
                    <w:t>本项目</w:t>
                  </w:r>
                  <w:r>
                    <w:rPr>
                      <w:rFonts w:hint="eastAsia"/>
                      <w:color w:val="auto"/>
                      <w:spacing w:val="-6"/>
                      <w:szCs w:val="21"/>
                    </w:rPr>
                    <w:t>研发废气经“活性炭吸附装置”处理后通过23m高排气筒（DA001）排放；废水依托</w:t>
                  </w:r>
                  <w:r>
                    <w:rPr>
                      <w:rFonts w:hint="eastAsia"/>
                      <w:bCs/>
                      <w:color w:val="auto"/>
                      <w:szCs w:val="21"/>
                    </w:rPr>
                    <w:t>化粪池及地埋式一体化污水处理设施处理后经市政管网排入沣西新城渭河污水处理厂处理；</w:t>
                  </w:r>
                  <w:r>
                    <w:rPr>
                      <w:rFonts w:hint="eastAsia"/>
                      <w:color w:val="auto"/>
                      <w:spacing w:val="-6"/>
                      <w:szCs w:val="21"/>
                    </w:rPr>
                    <w:t>固废均外售或委托有资质单位处理；</w:t>
                  </w:r>
                </w:p>
                <w:p w14:paraId="4FD30591">
                  <w:pPr>
                    <w:adjustRightInd w:val="0"/>
                    <w:snapToGrid w:val="0"/>
                    <w:rPr>
                      <w:color w:val="auto"/>
                      <w:spacing w:val="-6"/>
                      <w:szCs w:val="21"/>
                    </w:rPr>
                  </w:pPr>
                  <w:r>
                    <w:rPr>
                      <w:rFonts w:hint="eastAsia"/>
                      <w:color w:val="auto"/>
                      <w:spacing w:val="-6"/>
                      <w:szCs w:val="21"/>
                    </w:rPr>
                    <w:t>③</w:t>
                  </w:r>
                  <w:r>
                    <w:rPr>
                      <w:color w:val="auto"/>
                      <w:spacing w:val="-6"/>
                      <w:szCs w:val="21"/>
                    </w:rPr>
                    <w:t>本项目不涉及水源保护区</w:t>
                  </w:r>
                  <w:r>
                    <w:rPr>
                      <w:rFonts w:hint="eastAsia"/>
                      <w:color w:val="auto"/>
                      <w:spacing w:val="-6"/>
                      <w:szCs w:val="21"/>
                    </w:rPr>
                    <w:t>；</w:t>
                  </w:r>
                </w:p>
                <w:p w14:paraId="6D896570">
                  <w:pPr>
                    <w:adjustRightInd w:val="0"/>
                    <w:snapToGrid w:val="0"/>
                    <w:rPr>
                      <w:rFonts w:eastAsia="新宋体"/>
                      <w:color w:val="auto"/>
                      <w:szCs w:val="21"/>
                    </w:rPr>
                  </w:pPr>
                  <w:r>
                    <w:rPr>
                      <w:rFonts w:hint="eastAsia"/>
                      <w:color w:val="auto"/>
                      <w:spacing w:val="-6"/>
                      <w:szCs w:val="21"/>
                    </w:rPr>
                    <w:t>④</w:t>
                  </w:r>
                  <w:r>
                    <w:rPr>
                      <w:color w:val="auto"/>
                      <w:spacing w:val="-6"/>
                      <w:szCs w:val="21"/>
                    </w:rPr>
                    <w:t>本项目</w:t>
                  </w:r>
                  <w:r>
                    <w:rPr>
                      <w:color w:val="auto"/>
                      <w:szCs w:val="21"/>
                    </w:rPr>
                    <w:t>一般固体废物分类收集后定期外售</w:t>
                  </w:r>
                  <w:r>
                    <w:rPr>
                      <w:rFonts w:hint="eastAsia"/>
                      <w:color w:val="auto"/>
                      <w:szCs w:val="21"/>
                    </w:rPr>
                    <w:t>；危险废物分类收集后暂存于</w:t>
                  </w:r>
                  <w:r>
                    <w:rPr>
                      <w:rFonts w:hint="eastAsia"/>
                      <w:color w:val="auto"/>
                      <w:szCs w:val="21"/>
                      <w:lang w:eastAsia="zh-CN"/>
                    </w:rPr>
                    <w:t>危废贮存库</w:t>
                  </w:r>
                  <w:r>
                    <w:rPr>
                      <w:rFonts w:hint="eastAsia"/>
                      <w:color w:val="auto"/>
                      <w:szCs w:val="21"/>
                    </w:rPr>
                    <w:t>，交由有资质单位处置</w:t>
                  </w:r>
                  <w:r>
                    <w:rPr>
                      <w:color w:val="auto"/>
                      <w:spacing w:val="-6"/>
                      <w:szCs w:val="21"/>
                    </w:rPr>
                    <w:t>。</w:t>
                  </w:r>
                </w:p>
              </w:tc>
              <w:tc>
                <w:tcPr>
                  <w:tcW w:w="410" w:type="pct"/>
                  <w:vAlign w:val="center"/>
                </w:tcPr>
                <w:p w14:paraId="4B056AC1">
                  <w:pPr>
                    <w:adjustRightInd w:val="0"/>
                    <w:snapToGrid w:val="0"/>
                    <w:jc w:val="center"/>
                    <w:rPr>
                      <w:color w:val="auto"/>
                      <w:szCs w:val="21"/>
                    </w:rPr>
                  </w:pPr>
                  <w:r>
                    <w:rPr>
                      <w:color w:val="auto"/>
                      <w:szCs w:val="21"/>
                    </w:rPr>
                    <w:t>相符</w:t>
                  </w:r>
                </w:p>
              </w:tc>
            </w:tr>
          </w:tbl>
          <w:p w14:paraId="29ADE6D9">
            <w:pPr>
              <w:autoSpaceDE w:val="0"/>
              <w:autoSpaceDN w:val="0"/>
              <w:adjustRightInd w:val="0"/>
              <w:snapToGrid w:val="0"/>
              <w:rPr>
                <w:color w:val="auto"/>
                <w:kern w:val="0"/>
                <w:sz w:val="24"/>
              </w:rPr>
            </w:pPr>
          </w:p>
        </w:tc>
      </w:tr>
      <w:tr w14:paraId="47B8E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14:paraId="6AB9ED80">
            <w:pPr>
              <w:autoSpaceDE w:val="0"/>
              <w:autoSpaceDN w:val="0"/>
              <w:adjustRightInd w:val="0"/>
              <w:snapToGrid w:val="0"/>
              <w:jc w:val="center"/>
              <w:rPr>
                <w:color w:val="auto"/>
                <w:kern w:val="0"/>
                <w:szCs w:val="21"/>
              </w:rPr>
            </w:pPr>
            <w:r>
              <w:rPr>
                <w:color w:val="auto"/>
                <w:kern w:val="0"/>
                <w:sz w:val="24"/>
              </w:rPr>
              <w:t>其他符合性分析</w:t>
            </w:r>
          </w:p>
        </w:tc>
        <w:tc>
          <w:tcPr>
            <w:tcW w:w="7025" w:type="dxa"/>
            <w:gridSpan w:val="3"/>
            <w:vAlign w:val="center"/>
          </w:tcPr>
          <w:p w14:paraId="79D94959">
            <w:pPr>
              <w:spacing w:line="360" w:lineRule="auto"/>
              <w:ind w:firstLine="482" w:firstLineChars="200"/>
              <w:rPr>
                <w:b/>
                <w:bCs/>
                <w:color w:val="auto"/>
                <w:kern w:val="0"/>
                <w:sz w:val="24"/>
                <w:szCs w:val="20"/>
              </w:rPr>
            </w:pPr>
            <w:r>
              <w:rPr>
                <w:rFonts w:hint="eastAsia"/>
                <w:b/>
                <w:bCs/>
                <w:color w:val="auto"/>
                <w:kern w:val="0"/>
                <w:sz w:val="24"/>
                <w:szCs w:val="20"/>
              </w:rPr>
              <w:t>1、</w:t>
            </w:r>
            <w:r>
              <w:rPr>
                <w:b/>
                <w:bCs/>
                <w:color w:val="auto"/>
                <w:kern w:val="0"/>
                <w:sz w:val="24"/>
                <w:szCs w:val="20"/>
              </w:rPr>
              <w:t>产业政策相符性分析</w:t>
            </w:r>
          </w:p>
          <w:p w14:paraId="1FDFD338">
            <w:pPr>
              <w:spacing w:line="360" w:lineRule="auto"/>
              <w:ind w:firstLine="480" w:firstLineChars="200"/>
              <w:rPr>
                <w:color w:val="auto"/>
                <w:sz w:val="24"/>
              </w:rPr>
            </w:pPr>
            <w:r>
              <w:rPr>
                <w:color w:val="auto"/>
                <w:sz w:val="24"/>
              </w:rPr>
              <w:t>根据《产业结构调整指导目录（20</w:t>
            </w:r>
            <w:r>
              <w:rPr>
                <w:rFonts w:hint="eastAsia"/>
                <w:color w:val="auto"/>
                <w:sz w:val="24"/>
              </w:rPr>
              <w:t>24</w:t>
            </w:r>
            <w:r>
              <w:rPr>
                <w:color w:val="auto"/>
                <w:sz w:val="24"/>
              </w:rPr>
              <w:t>年本）》，经查阅本项目不属于其中规定的</w:t>
            </w:r>
            <w:r>
              <w:rPr>
                <w:rFonts w:hint="eastAsia"/>
                <w:color w:val="auto"/>
                <w:sz w:val="24"/>
              </w:rPr>
              <w:t>“</w:t>
            </w:r>
            <w:r>
              <w:rPr>
                <w:color w:val="auto"/>
                <w:sz w:val="24"/>
              </w:rPr>
              <w:t>鼓励类</w:t>
            </w:r>
            <w:r>
              <w:rPr>
                <w:rFonts w:hint="eastAsia"/>
                <w:color w:val="auto"/>
                <w:sz w:val="24"/>
              </w:rPr>
              <w:t>”</w:t>
            </w:r>
            <w:r>
              <w:rPr>
                <w:color w:val="auto"/>
                <w:sz w:val="24"/>
              </w:rPr>
              <w:t>、</w:t>
            </w:r>
            <w:r>
              <w:rPr>
                <w:rFonts w:hint="eastAsia"/>
                <w:color w:val="auto"/>
                <w:sz w:val="24"/>
              </w:rPr>
              <w:t>“</w:t>
            </w:r>
            <w:r>
              <w:rPr>
                <w:color w:val="auto"/>
                <w:sz w:val="24"/>
              </w:rPr>
              <w:t>限制类</w:t>
            </w:r>
            <w:r>
              <w:rPr>
                <w:rFonts w:hint="eastAsia"/>
                <w:color w:val="auto"/>
                <w:sz w:val="24"/>
              </w:rPr>
              <w:t>”</w:t>
            </w:r>
            <w:r>
              <w:rPr>
                <w:color w:val="auto"/>
                <w:sz w:val="24"/>
              </w:rPr>
              <w:t>和</w:t>
            </w:r>
            <w:r>
              <w:rPr>
                <w:rFonts w:hint="eastAsia"/>
                <w:color w:val="auto"/>
                <w:sz w:val="24"/>
              </w:rPr>
              <w:t>“</w:t>
            </w:r>
            <w:r>
              <w:rPr>
                <w:color w:val="auto"/>
                <w:sz w:val="24"/>
              </w:rPr>
              <w:t>淘汰类</w:t>
            </w:r>
            <w:r>
              <w:rPr>
                <w:rFonts w:hint="eastAsia"/>
                <w:color w:val="auto"/>
                <w:sz w:val="24"/>
              </w:rPr>
              <w:t>”</w:t>
            </w:r>
            <w:r>
              <w:rPr>
                <w:color w:val="auto"/>
                <w:sz w:val="24"/>
              </w:rPr>
              <w:t>项目。</w:t>
            </w:r>
          </w:p>
          <w:p w14:paraId="68B6D6CB">
            <w:pPr>
              <w:spacing w:line="360" w:lineRule="auto"/>
              <w:ind w:firstLine="480" w:firstLineChars="200"/>
              <w:rPr>
                <w:color w:val="auto"/>
                <w:sz w:val="24"/>
                <w:highlight w:val="yellow"/>
              </w:rPr>
            </w:pPr>
            <w:r>
              <w:rPr>
                <w:color w:val="auto"/>
                <w:kern w:val="0"/>
                <w:sz w:val="24"/>
              </w:rPr>
              <w:t>经查阅，</w:t>
            </w:r>
            <w:r>
              <w:rPr>
                <w:color w:val="auto"/>
                <w:kern w:val="0"/>
                <w:sz w:val="24"/>
                <w:szCs w:val="20"/>
              </w:rPr>
              <w:t>本项目不属于《市场准入负面清单（2022年版）》</w:t>
            </w:r>
            <w:r>
              <w:rPr>
                <w:color w:val="auto"/>
                <w:sz w:val="24"/>
              </w:rPr>
              <w:t>中禁止或许可准入类。</w:t>
            </w:r>
          </w:p>
          <w:p w14:paraId="495B2694">
            <w:pPr>
              <w:spacing w:line="360" w:lineRule="auto"/>
              <w:ind w:firstLine="480" w:firstLineChars="200"/>
              <w:rPr>
                <w:color w:val="auto"/>
                <w:kern w:val="0"/>
                <w:sz w:val="24"/>
              </w:rPr>
            </w:pPr>
            <w:r>
              <w:rPr>
                <w:color w:val="auto"/>
                <w:kern w:val="0"/>
                <w:sz w:val="24"/>
              </w:rPr>
              <w:t>综上，本项目符合相关产业政策。</w:t>
            </w:r>
          </w:p>
          <w:p w14:paraId="48E3C6C5">
            <w:pPr>
              <w:spacing w:line="360" w:lineRule="auto"/>
              <w:ind w:firstLine="482" w:firstLineChars="200"/>
              <w:rPr>
                <w:b/>
                <w:color w:val="auto"/>
                <w:kern w:val="0"/>
                <w:sz w:val="24"/>
                <w:lang w:val="en-GB" w:eastAsia="zh-TW"/>
              </w:rPr>
            </w:pPr>
            <w:r>
              <w:rPr>
                <w:rFonts w:hint="eastAsia"/>
                <w:b/>
                <w:color w:val="auto"/>
                <w:kern w:val="0"/>
                <w:sz w:val="24"/>
              </w:rPr>
              <w:t>2、</w:t>
            </w:r>
            <w:r>
              <w:rPr>
                <w:rFonts w:hint="eastAsia"/>
                <w:b/>
                <w:color w:val="auto"/>
                <w:kern w:val="0"/>
                <w:sz w:val="24"/>
                <w:lang w:val="en-GB"/>
              </w:rPr>
              <w:t>“</w:t>
            </w:r>
            <w:r>
              <w:rPr>
                <w:b/>
                <w:color w:val="auto"/>
                <w:kern w:val="0"/>
                <w:sz w:val="24"/>
                <w:lang w:val="en-GB" w:eastAsia="zh-TW"/>
              </w:rPr>
              <w:t>三线一单</w:t>
            </w:r>
            <w:r>
              <w:rPr>
                <w:rFonts w:hint="eastAsia"/>
                <w:b/>
                <w:color w:val="auto"/>
                <w:kern w:val="0"/>
                <w:sz w:val="24"/>
                <w:lang w:val="en-GB"/>
              </w:rPr>
              <w:t>”</w:t>
            </w:r>
            <w:r>
              <w:rPr>
                <w:b/>
                <w:color w:val="auto"/>
                <w:kern w:val="0"/>
                <w:sz w:val="24"/>
                <w:lang w:val="en-GB" w:eastAsia="zh-TW"/>
              </w:rPr>
              <w:t>符合性分析</w:t>
            </w:r>
          </w:p>
          <w:p w14:paraId="654D4696">
            <w:pPr>
              <w:pStyle w:val="37"/>
              <w:tabs>
                <w:tab w:val="left" w:pos="1624"/>
              </w:tabs>
              <w:ind w:firstLine="480" w:firstLineChars="200"/>
              <w:jc w:val="left"/>
              <w:rPr>
                <w:b w:val="0"/>
                <w:bCs/>
                <w:color w:val="auto"/>
                <w:szCs w:val="22"/>
              </w:rPr>
            </w:pPr>
            <w:r>
              <w:rPr>
                <w:rFonts w:hint="eastAsia"/>
                <w:b w:val="0"/>
                <w:bCs/>
                <w:color w:val="auto"/>
                <w:szCs w:val="22"/>
              </w:rPr>
              <w:t>（1）与陕西省“三线一单”符合性分析</w:t>
            </w:r>
          </w:p>
          <w:p w14:paraId="6099CC38">
            <w:pPr>
              <w:pStyle w:val="37"/>
              <w:tabs>
                <w:tab w:val="left" w:pos="1624"/>
              </w:tabs>
              <w:ind w:firstLine="480" w:firstLineChars="200"/>
              <w:jc w:val="left"/>
              <w:rPr>
                <w:b w:val="0"/>
                <w:bCs/>
                <w:color w:val="auto"/>
                <w:szCs w:val="22"/>
              </w:rPr>
            </w:pPr>
            <w:r>
              <w:rPr>
                <w:rFonts w:hint="eastAsia"/>
                <w:b w:val="0"/>
                <w:bCs/>
                <w:color w:val="auto"/>
                <w:szCs w:val="22"/>
              </w:rPr>
              <w:t>根据《陕西省人民政府关于加快实施“三线一单”生态环境分区管控的意见》（陕政发</w:t>
            </w:r>
            <w:r>
              <w:rPr>
                <w:rFonts w:hint="eastAsia" w:ascii="宋体" w:hAnsi="宋体" w:cs="宋体"/>
                <w:b w:val="0"/>
                <w:bCs/>
                <w:color w:val="auto"/>
                <w:szCs w:val="22"/>
              </w:rPr>
              <w:t>〔</w:t>
            </w:r>
            <w:r>
              <w:rPr>
                <w:rFonts w:hint="eastAsia"/>
                <w:b w:val="0"/>
                <w:bCs/>
                <w:color w:val="auto"/>
                <w:szCs w:val="22"/>
              </w:rPr>
              <w:t>2020</w:t>
            </w:r>
            <w:r>
              <w:rPr>
                <w:rFonts w:hint="eastAsia" w:ascii="宋体" w:hAnsi="宋体" w:cs="宋体"/>
                <w:b w:val="0"/>
                <w:bCs/>
                <w:color w:val="auto"/>
                <w:szCs w:val="22"/>
              </w:rPr>
              <w:t>〕</w:t>
            </w:r>
            <w:r>
              <w:rPr>
                <w:rFonts w:hint="eastAsia"/>
                <w:b w:val="0"/>
                <w:bCs/>
                <w:color w:val="auto"/>
                <w:szCs w:val="22"/>
              </w:rPr>
              <w:t>11号），本项目与陕西省“三线一单”符合性分析见表1-2。</w:t>
            </w:r>
          </w:p>
          <w:p w14:paraId="073C777C">
            <w:pPr>
              <w:pStyle w:val="37"/>
              <w:spacing w:line="240" w:lineRule="auto"/>
              <w:rPr>
                <w:color w:val="auto"/>
                <w:sz w:val="21"/>
              </w:rPr>
            </w:pPr>
            <w:r>
              <w:rPr>
                <w:color w:val="auto"/>
                <w:sz w:val="21"/>
              </w:rPr>
              <w:t>表1-</w:t>
            </w:r>
            <w:r>
              <w:rPr>
                <w:rFonts w:hint="eastAsia"/>
                <w:color w:val="auto"/>
                <w:sz w:val="21"/>
              </w:rPr>
              <w:t xml:space="preserve">2   </w:t>
            </w:r>
            <w:r>
              <w:rPr>
                <w:color w:val="auto"/>
                <w:sz w:val="21"/>
              </w:rPr>
              <w:t>陕西省</w:t>
            </w:r>
            <w:r>
              <w:rPr>
                <w:rFonts w:hint="eastAsia"/>
                <w:color w:val="auto"/>
                <w:sz w:val="21"/>
              </w:rPr>
              <w:t>“</w:t>
            </w:r>
            <w:r>
              <w:rPr>
                <w:color w:val="auto"/>
                <w:sz w:val="21"/>
              </w:rPr>
              <w:t>三线一单</w:t>
            </w:r>
            <w:r>
              <w:rPr>
                <w:rFonts w:hint="eastAsia"/>
                <w:color w:val="auto"/>
                <w:sz w:val="21"/>
              </w:rPr>
              <w:t>”</w:t>
            </w:r>
            <w:r>
              <w:rPr>
                <w:color w:val="auto"/>
                <w:sz w:val="21"/>
              </w:rPr>
              <w:t>符合性分析</w:t>
            </w:r>
          </w:p>
          <w:tbl>
            <w:tblPr>
              <w:tblStyle w:val="18"/>
              <w:tblW w:w="49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88"/>
              <w:gridCol w:w="5433"/>
              <w:gridCol w:w="537"/>
            </w:tblGrid>
            <w:tr w14:paraId="35EB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3" w:type="pct"/>
                  <w:tcBorders>
                    <w:top w:val="single" w:color="000000" w:sz="2" w:space="0"/>
                    <w:left w:val="single" w:color="000000" w:sz="2" w:space="0"/>
                    <w:bottom w:val="single" w:color="000000" w:sz="4" w:space="0"/>
                    <w:right w:val="single" w:color="000000" w:sz="4" w:space="0"/>
                  </w:tcBorders>
                  <w:vAlign w:val="center"/>
                </w:tcPr>
                <w:p w14:paraId="35C07C2E">
                  <w:pPr>
                    <w:pStyle w:val="9"/>
                    <w:adjustRightInd w:val="0"/>
                    <w:snapToGrid w:val="0"/>
                    <w:spacing w:after="0"/>
                    <w:ind w:left="0" w:leftChars="0" w:firstLine="0" w:firstLineChars="0"/>
                    <w:jc w:val="center"/>
                    <w:rPr>
                      <w:bCs/>
                      <w:snapToGrid w:val="0"/>
                      <w:color w:val="auto"/>
                      <w:sz w:val="21"/>
                      <w:szCs w:val="21"/>
                    </w:rPr>
                  </w:pPr>
                  <w:r>
                    <w:rPr>
                      <w:rFonts w:hint="eastAsia"/>
                      <w:bCs/>
                      <w:snapToGrid w:val="0"/>
                      <w:color w:val="auto"/>
                      <w:sz w:val="21"/>
                      <w:szCs w:val="21"/>
                    </w:rPr>
                    <w:t>“</w:t>
                  </w:r>
                  <w:r>
                    <w:rPr>
                      <w:bCs/>
                      <w:snapToGrid w:val="0"/>
                      <w:color w:val="auto"/>
                      <w:sz w:val="21"/>
                      <w:szCs w:val="21"/>
                    </w:rPr>
                    <w:t>三线一单</w:t>
                  </w:r>
                  <w:r>
                    <w:rPr>
                      <w:rFonts w:hint="eastAsia"/>
                      <w:bCs/>
                      <w:snapToGrid w:val="0"/>
                      <w:color w:val="auto"/>
                      <w:sz w:val="21"/>
                      <w:szCs w:val="21"/>
                    </w:rPr>
                    <w:t>”</w:t>
                  </w:r>
                </w:p>
              </w:tc>
              <w:tc>
                <w:tcPr>
                  <w:tcW w:w="4018" w:type="pct"/>
                  <w:tcBorders>
                    <w:top w:val="single" w:color="000000" w:sz="2" w:space="0"/>
                    <w:left w:val="single" w:color="000000" w:sz="4" w:space="0"/>
                    <w:bottom w:val="single" w:color="000000" w:sz="4" w:space="0"/>
                    <w:right w:val="single" w:color="000000" w:sz="4" w:space="0"/>
                  </w:tcBorders>
                  <w:vAlign w:val="center"/>
                </w:tcPr>
                <w:p w14:paraId="3468CA07">
                  <w:pPr>
                    <w:pStyle w:val="9"/>
                    <w:adjustRightInd w:val="0"/>
                    <w:snapToGrid w:val="0"/>
                    <w:spacing w:after="0"/>
                    <w:ind w:left="0" w:leftChars="0" w:firstLine="0" w:firstLineChars="0"/>
                    <w:jc w:val="center"/>
                    <w:rPr>
                      <w:bCs/>
                      <w:snapToGrid w:val="0"/>
                      <w:color w:val="auto"/>
                      <w:sz w:val="21"/>
                      <w:szCs w:val="21"/>
                    </w:rPr>
                  </w:pPr>
                  <w:r>
                    <w:rPr>
                      <w:bCs/>
                      <w:snapToGrid w:val="0"/>
                      <w:color w:val="auto"/>
                      <w:sz w:val="21"/>
                      <w:szCs w:val="21"/>
                    </w:rPr>
                    <w:t>本项目情况</w:t>
                  </w:r>
                </w:p>
              </w:tc>
              <w:tc>
                <w:tcPr>
                  <w:tcW w:w="397" w:type="pct"/>
                  <w:tcBorders>
                    <w:top w:val="single" w:color="000000" w:sz="2" w:space="0"/>
                    <w:left w:val="single" w:color="000000" w:sz="4" w:space="0"/>
                    <w:bottom w:val="single" w:color="000000" w:sz="4" w:space="0"/>
                    <w:right w:val="single" w:color="000000" w:sz="2" w:space="0"/>
                  </w:tcBorders>
                  <w:vAlign w:val="center"/>
                </w:tcPr>
                <w:p w14:paraId="331B35CD">
                  <w:pPr>
                    <w:pStyle w:val="9"/>
                    <w:adjustRightInd w:val="0"/>
                    <w:snapToGrid w:val="0"/>
                    <w:spacing w:after="0"/>
                    <w:ind w:left="0" w:leftChars="0" w:firstLine="0" w:firstLineChars="0"/>
                    <w:jc w:val="center"/>
                    <w:rPr>
                      <w:bCs/>
                      <w:snapToGrid w:val="0"/>
                      <w:color w:val="auto"/>
                      <w:sz w:val="21"/>
                      <w:szCs w:val="21"/>
                    </w:rPr>
                  </w:pPr>
                  <w:r>
                    <w:rPr>
                      <w:bCs/>
                      <w:snapToGrid w:val="0"/>
                      <w:color w:val="auto"/>
                      <w:sz w:val="21"/>
                      <w:szCs w:val="21"/>
                    </w:rPr>
                    <w:t>符合性</w:t>
                  </w:r>
                </w:p>
              </w:tc>
            </w:tr>
            <w:tr w14:paraId="28511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3" w:type="pct"/>
                  <w:tcBorders>
                    <w:top w:val="single" w:color="000000" w:sz="4" w:space="0"/>
                    <w:left w:val="single" w:color="000000" w:sz="2" w:space="0"/>
                    <w:bottom w:val="single" w:color="000000" w:sz="4" w:space="0"/>
                    <w:right w:val="single" w:color="000000" w:sz="4" w:space="0"/>
                  </w:tcBorders>
                  <w:vAlign w:val="center"/>
                </w:tcPr>
                <w:p w14:paraId="319826F0">
                  <w:pPr>
                    <w:pStyle w:val="9"/>
                    <w:adjustRightInd w:val="0"/>
                    <w:snapToGrid w:val="0"/>
                    <w:spacing w:after="0"/>
                    <w:ind w:left="0" w:leftChars="0" w:firstLine="0" w:firstLineChars="0"/>
                    <w:jc w:val="center"/>
                    <w:rPr>
                      <w:bCs/>
                      <w:snapToGrid w:val="0"/>
                      <w:color w:val="auto"/>
                      <w:sz w:val="21"/>
                      <w:szCs w:val="21"/>
                    </w:rPr>
                  </w:pPr>
                  <w:r>
                    <w:rPr>
                      <w:bCs/>
                      <w:snapToGrid w:val="0"/>
                      <w:color w:val="auto"/>
                      <w:sz w:val="21"/>
                      <w:szCs w:val="21"/>
                    </w:rPr>
                    <w:t>生态保护红线</w:t>
                  </w:r>
                </w:p>
              </w:tc>
              <w:tc>
                <w:tcPr>
                  <w:tcW w:w="4018" w:type="pct"/>
                  <w:tcBorders>
                    <w:top w:val="single" w:color="000000" w:sz="4" w:space="0"/>
                    <w:left w:val="single" w:color="000000" w:sz="4" w:space="0"/>
                    <w:bottom w:val="single" w:color="000000" w:sz="4" w:space="0"/>
                    <w:right w:val="single" w:color="000000" w:sz="4" w:space="0"/>
                  </w:tcBorders>
                  <w:vAlign w:val="center"/>
                </w:tcPr>
                <w:p w14:paraId="351A833B">
                  <w:pPr>
                    <w:autoSpaceDE w:val="0"/>
                    <w:autoSpaceDN w:val="0"/>
                    <w:adjustRightInd w:val="0"/>
                    <w:snapToGrid w:val="0"/>
                    <w:rPr>
                      <w:color w:val="auto"/>
                      <w:szCs w:val="21"/>
                    </w:rPr>
                  </w:pPr>
                  <w:r>
                    <w:rPr>
                      <w:color w:val="auto"/>
                      <w:szCs w:val="21"/>
                    </w:rPr>
                    <w:t>本项目位于</w:t>
                  </w:r>
                  <w:r>
                    <w:rPr>
                      <w:rFonts w:hint="eastAsia"/>
                      <w:color w:val="auto"/>
                      <w:szCs w:val="21"/>
                    </w:rPr>
                    <w:t>陕西省西咸新区沣西新城秀雅路995号西安生漆涂料研究所五号楼</w:t>
                  </w:r>
                  <w:r>
                    <w:rPr>
                      <w:color w:val="auto"/>
                      <w:szCs w:val="21"/>
                    </w:rPr>
                    <w:t>，</w:t>
                  </w:r>
                  <w:r>
                    <w:rPr>
                      <w:bCs/>
                      <w:color w:val="auto"/>
                      <w:kern w:val="21"/>
                      <w:szCs w:val="21"/>
                    </w:rPr>
                    <w:t>属于重点管控单元，</w:t>
                  </w:r>
                  <w:r>
                    <w:rPr>
                      <w:color w:val="auto"/>
                      <w:szCs w:val="21"/>
                    </w:rPr>
                    <w:t>项目地周围无自然保护区、风景名胜区等环境敏感点，</w:t>
                  </w:r>
                  <w:r>
                    <w:rPr>
                      <w:bCs/>
                      <w:color w:val="auto"/>
                      <w:kern w:val="21"/>
                      <w:szCs w:val="21"/>
                    </w:rPr>
                    <w:t>不涉及生态保护红线。</w:t>
                  </w:r>
                </w:p>
              </w:tc>
              <w:tc>
                <w:tcPr>
                  <w:tcW w:w="397" w:type="pct"/>
                  <w:tcBorders>
                    <w:top w:val="single" w:color="000000" w:sz="4" w:space="0"/>
                    <w:left w:val="single" w:color="000000" w:sz="4" w:space="0"/>
                    <w:bottom w:val="single" w:color="000000" w:sz="4" w:space="0"/>
                    <w:right w:val="single" w:color="000000" w:sz="2" w:space="0"/>
                  </w:tcBorders>
                  <w:vAlign w:val="center"/>
                </w:tcPr>
                <w:p w14:paraId="55293132">
                  <w:pPr>
                    <w:pStyle w:val="9"/>
                    <w:adjustRightInd w:val="0"/>
                    <w:snapToGrid w:val="0"/>
                    <w:spacing w:after="0"/>
                    <w:ind w:left="0" w:leftChars="0" w:firstLine="0" w:firstLineChars="0"/>
                    <w:jc w:val="center"/>
                    <w:rPr>
                      <w:bCs/>
                      <w:snapToGrid w:val="0"/>
                      <w:color w:val="auto"/>
                      <w:sz w:val="21"/>
                      <w:szCs w:val="21"/>
                    </w:rPr>
                  </w:pPr>
                  <w:r>
                    <w:rPr>
                      <w:bCs/>
                      <w:snapToGrid w:val="0"/>
                      <w:color w:val="auto"/>
                      <w:sz w:val="21"/>
                      <w:szCs w:val="21"/>
                    </w:rPr>
                    <w:t>符合</w:t>
                  </w:r>
                </w:p>
              </w:tc>
            </w:tr>
            <w:tr w14:paraId="5032C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3" w:type="pct"/>
                  <w:tcBorders>
                    <w:top w:val="single" w:color="000000" w:sz="4" w:space="0"/>
                    <w:left w:val="single" w:color="000000" w:sz="2" w:space="0"/>
                    <w:bottom w:val="single" w:color="000000" w:sz="4" w:space="0"/>
                    <w:right w:val="single" w:color="000000" w:sz="4" w:space="0"/>
                  </w:tcBorders>
                  <w:vAlign w:val="center"/>
                </w:tcPr>
                <w:p w14:paraId="4B1C9383">
                  <w:pPr>
                    <w:pStyle w:val="38"/>
                    <w:rPr>
                      <w:color w:val="auto"/>
                      <w:szCs w:val="21"/>
                    </w:rPr>
                  </w:pPr>
                  <w:r>
                    <w:rPr>
                      <w:color w:val="auto"/>
                      <w:szCs w:val="21"/>
                    </w:rPr>
                    <w:t>环境质量底线</w:t>
                  </w:r>
                </w:p>
              </w:tc>
              <w:tc>
                <w:tcPr>
                  <w:tcW w:w="4018" w:type="pct"/>
                  <w:tcBorders>
                    <w:top w:val="single" w:color="000000" w:sz="4" w:space="0"/>
                    <w:left w:val="single" w:color="000000" w:sz="4" w:space="0"/>
                    <w:bottom w:val="single" w:color="000000" w:sz="4" w:space="0"/>
                    <w:right w:val="single" w:color="000000" w:sz="4" w:space="0"/>
                  </w:tcBorders>
                  <w:vAlign w:val="center"/>
                </w:tcPr>
                <w:p w14:paraId="2253D684">
                  <w:pPr>
                    <w:autoSpaceDE w:val="0"/>
                    <w:autoSpaceDN w:val="0"/>
                    <w:adjustRightInd w:val="0"/>
                    <w:snapToGrid w:val="0"/>
                    <w:rPr>
                      <w:color w:val="auto"/>
                      <w:szCs w:val="21"/>
                    </w:rPr>
                  </w:pPr>
                  <w:r>
                    <w:rPr>
                      <w:color w:val="auto"/>
                      <w:szCs w:val="21"/>
                    </w:rPr>
                    <w:t>本项目产生的废气采取环保措施后达标排放，满足污染物排放标准要求，不触及环境质量底线。</w:t>
                  </w:r>
                </w:p>
              </w:tc>
              <w:tc>
                <w:tcPr>
                  <w:tcW w:w="397" w:type="pct"/>
                  <w:tcBorders>
                    <w:top w:val="single" w:color="000000" w:sz="4" w:space="0"/>
                    <w:left w:val="single" w:color="000000" w:sz="4" w:space="0"/>
                    <w:bottom w:val="single" w:color="000000" w:sz="4" w:space="0"/>
                    <w:right w:val="single" w:color="000000" w:sz="2" w:space="0"/>
                  </w:tcBorders>
                  <w:vAlign w:val="center"/>
                </w:tcPr>
                <w:p w14:paraId="05595C33">
                  <w:pPr>
                    <w:pStyle w:val="9"/>
                    <w:adjustRightInd w:val="0"/>
                    <w:snapToGrid w:val="0"/>
                    <w:spacing w:after="0"/>
                    <w:ind w:left="0" w:leftChars="0" w:firstLine="0" w:firstLineChars="0"/>
                    <w:jc w:val="center"/>
                    <w:rPr>
                      <w:bCs/>
                      <w:snapToGrid w:val="0"/>
                      <w:color w:val="auto"/>
                      <w:sz w:val="21"/>
                      <w:szCs w:val="21"/>
                    </w:rPr>
                  </w:pPr>
                  <w:r>
                    <w:rPr>
                      <w:bCs/>
                      <w:snapToGrid w:val="0"/>
                      <w:color w:val="auto"/>
                      <w:sz w:val="21"/>
                      <w:szCs w:val="21"/>
                    </w:rPr>
                    <w:t>符合</w:t>
                  </w:r>
                </w:p>
              </w:tc>
            </w:tr>
            <w:tr w14:paraId="0740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3" w:type="pct"/>
                  <w:tcBorders>
                    <w:top w:val="single" w:color="000000" w:sz="4" w:space="0"/>
                    <w:left w:val="single" w:color="000000" w:sz="2" w:space="0"/>
                    <w:bottom w:val="single" w:color="000000" w:sz="4" w:space="0"/>
                    <w:right w:val="single" w:color="000000" w:sz="4" w:space="0"/>
                  </w:tcBorders>
                  <w:vAlign w:val="center"/>
                </w:tcPr>
                <w:p w14:paraId="46FAC782">
                  <w:pPr>
                    <w:pStyle w:val="9"/>
                    <w:adjustRightInd w:val="0"/>
                    <w:snapToGrid w:val="0"/>
                    <w:spacing w:after="0"/>
                    <w:ind w:left="0" w:leftChars="0" w:firstLine="0" w:firstLineChars="0"/>
                    <w:jc w:val="center"/>
                    <w:rPr>
                      <w:bCs/>
                      <w:snapToGrid w:val="0"/>
                      <w:color w:val="auto"/>
                      <w:sz w:val="21"/>
                      <w:szCs w:val="21"/>
                    </w:rPr>
                  </w:pPr>
                  <w:r>
                    <w:rPr>
                      <w:bCs/>
                      <w:snapToGrid w:val="0"/>
                      <w:color w:val="auto"/>
                      <w:sz w:val="21"/>
                      <w:szCs w:val="21"/>
                    </w:rPr>
                    <w:t>资源利用上线</w:t>
                  </w:r>
                </w:p>
              </w:tc>
              <w:tc>
                <w:tcPr>
                  <w:tcW w:w="4018" w:type="pct"/>
                  <w:tcBorders>
                    <w:top w:val="single" w:color="000000" w:sz="4" w:space="0"/>
                    <w:left w:val="single" w:color="000000" w:sz="4" w:space="0"/>
                    <w:bottom w:val="single" w:color="000000" w:sz="4" w:space="0"/>
                    <w:right w:val="single" w:color="000000" w:sz="4" w:space="0"/>
                  </w:tcBorders>
                  <w:vAlign w:val="center"/>
                </w:tcPr>
                <w:p w14:paraId="1DC4A8D6">
                  <w:pPr>
                    <w:autoSpaceDE w:val="0"/>
                    <w:autoSpaceDN w:val="0"/>
                    <w:adjustRightInd w:val="0"/>
                    <w:snapToGrid w:val="0"/>
                    <w:rPr>
                      <w:bCs/>
                      <w:snapToGrid w:val="0"/>
                      <w:color w:val="auto"/>
                      <w:kern w:val="0"/>
                      <w:szCs w:val="21"/>
                    </w:rPr>
                  </w:pPr>
                  <w:r>
                    <w:rPr>
                      <w:bCs/>
                      <w:color w:val="auto"/>
                      <w:kern w:val="21"/>
                      <w:szCs w:val="21"/>
                    </w:rPr>
                    <w:t>本项目主要消耗能源为电</w:t>
                  </w:r>
                  <w:r>
                    <w:rPr>
                      <w:rFonts w:hint="eastAsia"/>
                      <w:bCs/>
                      <w:color w:val="auto"/>
                      <w:kern w:val="21"/>
                      <w:szCs w:val="21"/>
                    </w:rPr>
                    <w:t>及水</w:t>
                  </w:r>
                  <w:r>
                    <w:rPr>
                      <w:bCs/>
                      <w:color w:val="auto"/>
                      <w:kern w:val="21"/>
                      <w:szCs w:val="21"/>
                    </w:rPr>
                    <w:t>，</w:t>
                  </w:r>
                  <w:r>
                    <w:rPr>
                      <w:color w:val="auto"/>
                      <w:szCs w:val="21"/>
                    </w:rPr>
                    <w:t>不会突破资源利用上线。</w:t>
                  </w:r>
                </w:p>
              </w:tc>
              <w:tc>
                <w:tcPr>
                  <w:tcW w:w="397" w:type="pct"/>
                  <w:tcBorders>
                    <w:top w:val="single" w:color="000000" w:sz="4" w:space="0"/>
                    <w:left w:val="single" w:color="000000" w:sz="4" w:space="0"/>
                    <w:bottom w:val="single" w:color="000000" w:sz="4" w:space="0"/>
                    <w:right w:val="single" w:color="000000" w:sz="2" w:space="0"/>
                  </w:tcBorders>
                  <w:vAlign w:val="center"/>
                </w:tcPr>
                <w:p w14:paraId="1C8DCEB8">
                  <w:pPr>
                    <w:pStyle w:val="9"/>
                    <w:adjustRightInd w:val="0"/>
                    <w:snapToGrid w:val="0"/>
                    <w:spacing w:after="0"/>
                    <w:ind w:left="0" w:leftChars="0" w:firstLine="0" w:firstLineChars="0"/>
                    <w:jc w:val="center"/>
                    <w:rPr>
                      <w:bCs/>
                      <w:snapToGrid w:val="0"/>
                      <w:color w:val="auto"/>
                      <w:sz w:val="21"/>
                      <w:szCs w:val="21"/>
                    </w:rPr>
                  </w:pPr>
                  <w:r>
                    <w:rPr>
                      <w:bCs/>
                      <w:snapToGrid w:val="0"/>
                      <w:color w:val="auto"/>
                      <w:sz w:val="21"/>
                      <w:szCs w:val="21"/>
                    </w:rPr>
                    <w:t>符合</w:t>
                  </w:r>
                </w:p>
              </w:tc>
            </w:tr>
            <w:tr w14:paraId="4B654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83" w:type="pct"/>
                  <w:tcBorders>
                    <w:top w:val="single" w:color="000000" w:sz="4" w:space="0"/>
                    <w:left w:val="single" w:color="000000" w:sz="2" w:space="0"/>
                    <w:bottom w:val="single" w:color="000000" w:sz="2" w:space="0"/>
                    <w:right w:val="single" w:color="000000" w:sz="4" w:space="0"/>
                  </w:tcBorders>
                  <w:vAlign w:val="center"/>
                </w:tcPr>
                <w:p w14:paraId="43F54BA8">
                  <w:pPr>
                    <w:pStyle w:val="9"/>
                    <w:adjustRightInd w:val="0"/>
                    <w:snapToGrid w:val="0"/>
                    <w:spacing w:after="0"/>
                    <w:ind w:left="0" w:leftChars="0" w:firstLine="0" w:firstLineChars="0"/>
                    <w:jc w:val="center"/>
                    <w:rPr>
                      <w:bCs/>
                      <w:snapToGrid w:val="0"/>
                      <w:color w:val="auto"/>
                      <w:sz w:val="21"/>
                      <w:szCs w:val="21"/>
                    </w:rPr>
                  </w:pPr>
                  <w:r>
                    <w:rPr>
                      <w:bCs/>
                      <w:snapToGrid w:val="0"/>
                      <w:color w:val="auto"/>
                      <w:sz w:val="21"/>
                      <w:szCs w:val="21"/>
                    </w:rPr>
                    <w:t>环境准入负面清单</w:t>
                  </w:r>
                </w:p>
              </w:tc>
              <w:tc>
                <w:tcPr>
                  <w:tcW w:w="4018" w:type="pct"/>
                  <w:tcBorders>
                    <w:top w:val="single" w:color="000000" w:sz="4" w:space="0"/>
                    <w:left w:val="single" w:color="000000" w:sz="4" w:space="0"/>
                    <w:bottom w:val="single" w:color="000000" w:sz="2" w:space="0"/>
                    <w:right w:val="single" w:color="000000" w:sz="4" w:space="0"/>
                  </w:tcBorders>
                  <w:vAlign w:val="center"/>
                </w:tcPr>
                <w:p w14:paraId="346441C0">
                  <w:pPr>
                    <w:autoSpaceDE w:val="0"/>
                    <w:autoSpaceDN w:val="0"/>
                    <w:adjustRightInd w:val="0"/>
                    <w:snapToGrid w:val="0"/>
                    <w:rPr>
                      <w:bCs/>
                      <w:snapToGrid w:val="0"/>
                      <w:color w:val="auto"/>
                      <w:szCs w:val="21"/>
                    </w:rPr>
                  </w:pPr>
                  <w:r>
                    <w:rPr>
                      <w:color w:val="auto"/>
                      <w:szCs w:val="21"/>
                    </w:rPr>
                    <w:t>经查阅《陕西省国家重点生态功能区产业准入负面清单（试行）》（陕发改规划</w:t>
                  </w:r>
                  <w:r>
                    <w:rPr>
                      <w:rFonts w:hint="eastAsia" w:ascii="宋体" w:hAnsi="宋体" w:cs="宋体"/>
                      <w:color w:val="auto"/>
                      <w:szCs w:val="21"/>
                    </w:rPr>
                    <w:t>〔</w:t>
                  </w:r>
                  <w:r>
                    <w:rPr>
                      <w:color w:val="auto"/>
                      <w:szCs w:val="21"/>
                    </w:rPr>
                    <w:t>2018</w:t>
                  </w:r>
                  <w:r>
                    <w:rPr>
                      <w:rFonts w:hint="eastAsia" w:ascii="宋体" w:hAnsi="宋体" w:cs="宋体"/>
                      <w:color w:val="auto"/>
                      <w:szCs w:val="21"/>
                    </w:rPr>
                    <w:t>〕</w:t>
                  </w:r>
                  <w:r>
                    <w:rPr>
                      <w:color w:val="auto"/>
                      <w:szCs w:val="21"/>
                    </w:rPr>
                    <w:t>213号），</w:t>
                  </w:r>
                  <w:r>
                    <w:rPr>
                      <w:rFonts w:hint="eastAsia"/>
                      <w:color w:val="auto"/>
                      <w:szCs w:val="21"/>
                      <w:lang w:val="en-US" w:eastAsia="zh-CN"/>
                    </w:rPr>
                    <w:t>沣西</w:t>
                  </w:r>
                  <w:r>
                    <w:rPr>
                      <w:rFonts w:hint="eastAsia"/>
                      <w:color w:val="auto"/>
                      <w:szCs w:val="21"/>
                    </w:rPr>
                    <w:t>新城</w:t>
                  </w:r>
                  <w:r>
                    <w:rPr>
                      <w:color w:val="auto"/>
                      <w:szCs w:val="21"/>
                    </w:rPr>
                    <w:t>不在清单内容管理范围内，因此本项目不属于负面清单禁止项目。根据《产业结构调整指导目录（20</w:t>
                  </w:r>
                  <w:r>
                    <w:rPr>
                      <w:rFonts w:hint="eastAsia"/>
                      <w:color w:val="auto"/>
                      <w:szCs w:val="21"/>
                    </w:rPr>
                    <w:t>24</w:t>
                  </w:r>
                  <w:r>
                    <w:rPr>
                      <w:color w:val="auto"/>
                      <w:szCs w:val="21"/>
                    </w:rPr>
                    <w:t>年本）》，本项目不属于其中规定的</w:t>
                  </w:r>
                  <w:r>
                    <w:rPr>
                      <w:rFonts w:hint="eastAsia"/>
                      <w:color w:val="auto"/>
                      <w:szCs w:val="21"/>
                    </w:rPr>
                    <w:t>“</w:t>
                  </w:r>
                  <w:r>
                    <w:rPr>
                      <w:color w:val="auto"/>
                      <w:szCs w:val="21"/>
                    </w:rPr>
                    <w:t>鼓励类</w:t>
                  </w:r>
                  <w:r>
                    <w:rPr>
                      <w:rFonts w:hint="eastAsia"/>
                      <w:color w:val="auto"/>
                      <w:szCs w:val="21"/>
                    </w:rPr>
                    <w:t>”</w:t>
                  </w:r>
                  <w:r>
                    <w:rPr>
                      <w:color w:val="auto"/>
                      <w:szCs w:val="21"/>
                    </w:rPr>
                    <w:t>、</w:t>
                  </w:r>
                  <w:r>
                    <w:rPr>
                      <w:rFonts w:hint="eastAsia"/>
                      <w:color w:val="auto"/>
                      <w:szCs w:val="21"/>
                    </w:rPr>
                    <w:t>“</w:t>
                  </w:r>
                  <w:r>
                    <w:rPr>
                      <w:color w:val="auto"/>
                      <w:szCs w:val="21"/>
                    </w:rPr>
                    <w:t>限制类</w:t>
                  </w:r>
                  <w:r>
                    <w:rPr>
                      <w:rFonts w:hint="eastAsia"/>
                      <w:color w:val="auto"/>
                      <w:szCs w:val="21"/>
                    </w:rPr>
                    <w:t>”</w:t>
                  </w:r>
                  <w:r>
                    <w:rPr>
                      <w:color w:val="auto"/>
                      <w:szCs w:val="21"/>
                    </w:rPr>
                    <w:t>和</w:t>
                  </w:r>
                  <w:r>
                    <w:rPr>
                      <w:rFonts w:hint="eastAsia"/>
                      <w:color w:val="auto"/>
                      <w:szCs w:val="21"/>
                    </w:rPr>
                    <w:t>“</w:t>
                  </w:r>
                  <w:r>
                    <w:rPr>
                      <w:color w:val="auto"/>
                      <w:szCs w:val="21"/>
                    </w:rPr>
                    <w:t>淘汰类</w:t>
                  </w:r>
                  <w:r>
                    <w:rPr>
                      <w:rFonts w:hint="eastAsia"/>
                      <w:color w:val="auto"/>
                      <w:szCs w:val="21"/>
                    </w:rPr>
                    <w:t>”</w:t>
                  </w:r>
                  <w:r>
                    <w:rPr>
                      <w:color w:val="auto"/>
                      <w:szCs w:val="21"/>
                    </w:rPr>
                    <w:t>项目</w:t>
                  </w:r>
                  <w:r>
                    <w:rPr>
                      <w:rFonts w:hint="eastAsia"/>
                      <w:color w:val="auto"/>
                      <w:szCs w:val="21"/>
                    </w:rPr>
                    <w:t>；同时</w:t>
                  </w:r>
                  <w:r>
                    <w:rPr>
                      <w:color w:val="auto"/>
                      <w:szCs w:val="21"/>
                    </w:rPr>
                    <w:t>本项目不属于《市场准入负面清单（2022年版）》中禁止或许可准入类</w:t>
                  </w:r>
                  <w:r>
                    <w:rPr>
                      <w:rFonts w:hint="eastAsia"/>
                      <w:color w:val="auto"/>
                      <w:szCs w:val="21"/>
                    </w:rPr>
                    <w:t>项目</w:t>
                  </w:r>
                  <w:r>
                    <w:rPr>
                      <w:color w:val="auto"/>
                      <w:szCs w:val="21"/>
                    </w:rPr>
                    <w:t>。</w:t>
                  </w:r>
                </w:p>
              </w:tc>
              <w:tc>
                <w:tcPr>
                  <w:tcW w:w="397" w:type="pct"/>
                  <w:tcBorders>
                    <w:top w:val="single" w:color="000000" w:sz="4" w:space="0"/>
                    <w:left w:val="single" w:color="000000" w:sz="4" w:space="0"/>
                    <w:bottom w:val="single" w:color="000000" w:sz="2" w:space="0"/>
                    <w:right w:val="single" w:color="000000" w:sz="2" w:space="0"/>
                  </w:tcBorders>
                  <w:vAlign w:val="center"/>
                </w:tcPr>
                <w:p w14:paraId="053B34CD">
                  <w:pPr>
                    <w:pStyle w:val="9"/>
                    <w:adjustRightInd w:val="0"/>
                    <w:snapToGrid w:val="0"/>
                    <w:spacing w:after="0"/>
                    <w:ind w:left="0" w:leftChars="0" w:firstLine="0" w:firstLineChars="0"/>
                    <w:jc w:val="center"/>
                    <w:rPr>
                      <w:bCs/>
                      <w:snapToGrid w:val="0"/>
                      <w:color w:val="auto"/>
                      <w:sz w:val="21"/>
                      <w:szCs w:val="21"/>
                    </w:rPr>
                  </w:pPr>
                  <w:r>
                    <w:rPr>
                      <w:bCs/>
                      <w:snapToGrid w:val="0"/>
                      <w:color w:val="auto"/>
                      <w:sz w:val="21"/>
                      <w:szCs w:val="21"/>
                    </w:rPr>
                    <w:t>符合</w:t>
                  </w:r>
                </w:p>
              </w:tc>
            </w:tr>
          </w:tbl>
          <w:p w14:paraId="082095CF">
            <w:pPr>
              <w:pStyle w:val="9"/>
              <w:adjustRightInd w:val="0"/>
              <w:snapToGrid w:val="0"/>
              <w:spacing w:after="0" w:line="360" w:lineRule="auto"/>
              <w:ind w:left="0" w:leftChars="0" w:firstLine="480"/>
              <w:rPr>
                <w:color w:val="auto"/>
                <w:szCs w:val="24"/>
              </w:rPr>
            </w:pPr>
            <w:r>
              <w:rPr>
                <w:color w:val="auto"/>
                <w:szCs w:val="24"/>
              </w:rPr>
              <w:t>（2）与</w:t>
            </w:r>
            <w:r>
              <w:rPr>
                <w:rFonts w:hint="eastAsia"/>
                <w:color w:val="auto"/>
                <w:szCs w:val="24"/>
              </w:rPr>
              <w:t>西安市</w:t>
            </w:r>
            <w:r>
              <w:rPr>
                <w:color w:val="auto"/>
                <w:szCs w:val="24"/>
              </w:rPr>
              <w:t>生态环境总体准入清单符合性分析</w:t>
            </w:r>
          </w:p>
          <w:p w14:paraId="651FCD76">
            <w:pPr>
              <w:pStyle w:val="9"/>
              <w:adjustRightInd w:val="0"/>
              <w:snapToGrid w:val="0"/>
              <w:spacing w:after="0" w:line="360" w:lineRule="auto"/>
              <w:ind w:left="0" w:leftChars="0" w:firstLine="480"/>
              <w:rPr>
                <w:color w:val="auto"/>
                <w:szCs w:val="24"/>
              </w:rPr>
            </w:pPr>
            <w:r>
              <w:rPr>
                <w:rFonts w:hint="default" w:ascii="Times New Roman" w:hAnsi="Times New Roman" w:cs="Times New Roman"/>
                <w:color w:val="FF0000"/>
                <w:szCs w:val="24"/>
                <w:lang w:val="en-US" w:eastAsia="zh-CN"/>
              </w:rPr>
              <w:t>根据《陕西省“三线一单”生态环境分区管控应用技术指南：环境影响评价（试行）》（陕环办发</w:t>
            </w:r>
            <w:r>
              <w:rPr>
                <w:rFonts w:hint="default" w:ascii="Times New Roman" w:hAnsi="Times New Roman" w:eastAsia="宋体" w:cs="Times New Roman"/>
                <w:color w:val="FF0000"/>
                <w:szCs w:val="24"/>
                <w:lang w:val="en-US" w:eastAsia="zh-CN"/>
              </w:rPr>
              <w:t>〔2022〕76号</w:t>
            </w:r>
            <w:r>
              <w:rPr>
                <w:rFonts w:hint="default" w:ascii="Times New Roman" w:hAnsi="Times New Roman" w:cs="Times New Roman"/>
                <w:color w:val="FF0000"/>
                <w:szCs w:val="24"/>
                <w:lang w:val="en-US" w:eastAsia="zh-CN"/>
              </w:rPr>
              <w:t>）要求</w:t>
            </w:r>
            <w:r>
              <w:rPr>
                <w:rFonts w:hint="eastAsia"/>
                <w:color w:val="auto"/>
                <w:szCs w:val="24"/>
                <w:lang w:val="en-US" w:eastAsia="zh-CN"/>
              </w:rPr>
              <w:t>，本项目与</w:t>
            </w:r>
            <w:r>
              <w:rPr>
                <w:color w:val="auto"/>
              </w:rPr>
              <w:t>《西安市人民政府关于印发</w:t>
            </w:r>
            <w:r>
              <w:rPr>
                <w:rFonts w:hint="eastAsia"/>
                <w:color w:val="auto"/>
              </w:rPr>
              <w:t>“</w:t>
            </w:r>
            <w:r>
              <w:rPr>
                <w:color w:val="auto"/>
              </w:rPr>
              <w:t>三线一单</w:t>
            </w:r>
            <w:r>
              <w:rPr>
                <w:rFonts w:hint="eastAsia"/>
                <w:color w:val="auto"/>
              </w:rPr>
              <w:t>”</w:t>
            </w:r>
            <w:r>
              <w:rPr>
                <w:color w:val="auto"/>
              </w:rPr>
              <w:t>生态环境分区管控方案的通知》（市政发〔2021〕22号）</w:t>
            </w:r>
            <w:r>
              <w:rPr>
                <w:rFonts w:hint="eastAsia"/>
                <w:sz w:val="24"/>
                <w:lang w:eastAsia="zh-CN"/>
              </w:rPr>
              <w:t>、《西安市生态环境保护委员会办公室关于印发2023年西安市生态环境分区管控调整方案的通知》（市生态委办发〔2024〕</w:t>
            </w:r>
            <w:r>
              <w:rPr>
                <w:rFonts w:hint="eastAsia"/>
                <w:sz w:val="24"/>
                <w:lang w:val="en-US" w:eastAsia="zh-CN"/>
              </w:rPr>
              <w:t>16</w:t>
            </w:r>
            <w:r>
              <w:rPr>
                <w:rFonts w:hint="eastAsia"/>
                <w:sz w:val="24"/>
                <w:lang w:eastAsia="zh-CN"/>
              </w:rPr>
              <w:t>号）</w:t>
            </w:r>
            <w:r>
              <w:rPr>
                <w:rFonts w:hint="eastAsia"/>
                <w:color w:val="auto"/>
                <w:szCs w:val="24"/>
              </w:rPr>
              <w:t>符合性分析如下：</w:t>
            </w:r>
          </w:p>
          <w:p w14:paraId="101A089A">
            <w:pPr>
              <w:pStyle w:val="9"/>
              <w:adjustRightInd w:val="0"/>
              <w:snapToGrid w:val="0"/>
              <w:spacing w:after="0" w:line="360" w:lineRule="auto"/>
              <w:ind w:left="0" w:leftChars="0" w:firstLine="480"/>
              <w:rPr>
                <w:color w:val="auto"/>
                <w:szCs w:val="24"/>
              </w:rPr>
            </w:pPr>
            <w:r>
              <w:rPr>
                <w:rFonts w:hint="eastAsia"/>
                <w:color w:val="auto"/>
                <w:szCs w:val="24"/>
              </w:rPr>
              <w:t>①“一图”：项目与环境管控单元对照分析示意图</w:t>
            </w:r>
          </w:p>
          <w:p w14:paraId="51C8C287">
            <w:pPr>
              <w:spacing w:line="360" w:lineRule="auto"/>
              <w:ind w:firstLine="480" w:firstLineChars="200"/>
              <w:rPr>
                <w:rFonts w:ascii="宋体" w:hAnsi="宋体" w:cs="宋体"/>
                <w:color w:val="auto"/>
                <w:kern w:val="0"/>
                <w:sz w:val="24"/>
                <w:lang w:bidi="ar"/>
              </w:rPr>
            </w:pPr>
            <w:r>
              <w:rPr>
                <w:color w:val="auto"/>
                <w:sz w:val="24"/>
              </w:rPr>
              <w:t>根据《西安市人民政府关于印发</w:t>
            </w:r>
            <w:r>
              <w:rPr>
                <w:rFonts w:hint="eastAsia"/>
                <w:color w:val="auto"/>
                <w:sz w:val="24"/>
              </w:rPr>
              <w:t>“</w:t>
            </w:r>
            <w:r>
              <w:rPr>
                <w:color w:val="auto"/>
                <w:sz w:val="24"/>
              </w:rPr>
              <w:t>三线一单</w:t>
            </w:r>
            <w:r>
              <w:rPr>
                <w:rFonts w:hint="eastAsia"/>
                <w:color w:val="auto"/>
                <w:sz w:val="24"/>
              </w:rPr>
              <w:t>”</w:t>
            </w:r>
            <w:r>
              <w:rPr>
                <w:color w:val="auto"/>
                <w:sz w:val="24"/>
              </w:rPr>
              <w:t>生态环境分区管控方案的通知》（市政发〔2021〕22号）</w:t>
            </w:r>
            <w:r>
              <w:rPr>
                <w:rFonts w:hint="eastAsia"/>
                <w:sz w:val="24"/>
                <w:lang w:eastAsia="zh-CN"/>
              </w:rPr>
              <w:t>、《西安市生态环境保护委员会办公室关于印发2023年西安市生态环境分区管控调整方案的通知》（市生态委办发〔2024〕</w:t>
            </w:r>
            <w:r>
              <w:rPr>
                <w:rFonts w:hint="eastAsia"/>
                <w:sz w:val="24"/>
                <w:lang w:val="en-US" w:eastAsia="zh-CN"/>
              </w:rPr>
              <w:t>16</w:t>
            </w:r>
            <w:r>
              <w:rPr>
                <w:rFonts w:hint="eastAsia"/>
                <w:sz w:val="24"/>
                <w:lang w:eastAsia="zh-CN"/>
              </w:rPr>
              <w:t>号）</w:t>
            </w:r>
            <w:r>
              <w:rPr>
                <w:color w:val="auto"/>
                <w:sz w:val="24"/>
              </w:rPr>
              <w:t>，本项目位于重点管控单元内。</w:t>
            </w:r>
          </w:p>
          <w:p w14:paraId="1DDB92EE">
            <w:pPr>
              <w:adjustRightInd w:val="0"/>
              <w:snapToGrid w:val="0"/>
              <w:jc w:val="center"/>
              <w:rPr>
                <w:rFonts w:ascii="宋体" w:hAnsi="宋体" w:cs="宋体"/>
                <w:color w:val="auto"/>
                <w:kern w:val="0"/>
                <w:sz w:val="24"/>
                <w:lang w:bidi="ar"/>
              </w:rPr>
            </w:pPr>
            <w:r>
              <w:rPr>
                <w:color w:val="auto"/>
              </w:rPr>
              <w:drawing>
                <wp:inline distT="0" distB="0" distL="114300" distR="114300">
                  <wp:extent cx="3622675" cy="4834890"/>
                  <wp:effectExtent l="0" t="0" r="15875" b="38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rcRect l="2324" t="2268" r="3942" b="291"/>
                          <a:stretch>
                            <a:fillRect/>
                          </a:stretch>
                        </pic:blipFill>
                        <pic:spPr>
                          <a:xfrm>
                            <a:off x="0" y="0"/>
                            <a:ext cx="3622675" cy="4834890"/>
                          </a:xfrm>
                          <a:prstGeom prst="rect">
                            <a:avLst/>
                          </a:prstGeom>
                          <a:noFill/>
                          <a:ln>
                            <a:noFill/>
                          </a:ln>
                        </pic:spPr>
                      </pic:pic>
                    </a:graphicData>
                  </a:graphic>
                </wp:inline>
              </w:drawing>
            </w:r>
          </w:p>
          <w:p w14:paraId="0BA07ECB">
            <w:pPr>
              <w:spacing w:line="360" w:lineRule="auto"/>
              <w:ind w:firstLine="480" w:firstLineChars="200"/>
              <w:rPr>
                <w:color w:val="auto"/>
                <w:kern w:val="0"/>
                <w:sz w:val="24"/>
                <w:lang w:bidi="ar"/>
              </w:rPr>
            </w:pPr>
            <w:r>
              <w:rPr>
                <w:color w:val="auto"/>
                <w:kern w:val="0"/>
                <w:sz w:val="24"/>
                <w:lang w:bidi="ar"/>
              </w:rPr>
              <w:t>②</w:t>
            </w:r>
            <w:r>
              <w:rPr>
                <w:rFonts w:hint="eastAsia"/>
                <w:color w:val="auto"/>
                <w:kern w:val="0"/>
                <w:sz w:val="24"/>
                <w:lang w:bidi="ar"/>
              </w:rPr>
              <w:t>“</w:t>
            </w:r>
            <w:r>
              <w:rPr>
                <w:color w:val="auto"/>
                <w:kern w:val="0"/>
                <w:sz w:val="24"/>
                <w:lang w:bidi="ar"/>
              </w:rPr>
              <w:t>一表</w:t>
            </w:r>
            <w:r>
              <w:rPr>
                <w:rFonts w:hint="eastAsia"/>
                <w:color w:val="auto"/>
                <w:kern w:val="0"/>
                <w:sz w:val="24"/>
                <w:lang w:bidi="ar"/>
              </w:rPr>
              <w:t>”</w:t>
            </w:r>
            <w:r>
              <w:rPr>
                <w:color w:val="auto"/>
                <w:kern w:val="0"/>
                <w:sz w:val="24"/>
                <w:lang w:bidi="ar"/>
              </w:rPr>
              <w:t>：项目涉及的生态环境分区管控准入要求符合性分析。</w:t>
            </w:r>
          </w:p>
          <w:p w14:paraId="272CEC6B">
            <w:pPr>
              <w:spacing w:line="360" w:lineRule="auto"/>
              <w:ind w:firstLine="480" w:firstLineChars="200"/>
              <w:rPr>
                <w:color w:val="auto"/>
                <w:kern w:val="0"/>
                <w:sz w:val="24"/>
                <w:lang w:bidi="ar"/>
              </w:rPr>
            </w:pPr>
            <w:r>
              <w:rPr>
                <w:color w:val="auto"/>
                <w:kern w:val="0"/>
                <w:sz w:val="24"/>
                <w:lang w:bidi="ar"/>
              </w:rPr>
              <w:t>本项目与</w:t>
            </w:r>
            <w:r>
              <w:rPr>
                <w:rFonts w:hint="eastAsia"/>
                <w:color w:val="auto"/>
                <w:kern w:val="0"/>
                <w:sz w:val="24"/>
                <w:lang w:bidi="ar"/>
              </w:rPr>
              <w:t>西安</w:t>
            </w:r>
            <w:r>
              <w:rPr>
                <w:color w:val="auto"/>
                <w:kern w:val="0"/>
                <w:sz w:val="24"/>
                <w:lang w:bidi="ar"/>
              </w:rPr>
              <w:t>市生态环境总体准入清单符合性分析见表1-</w:t>
            </w:r>
            <w:r>
              <w:rPr>
                <w:rFonts w:hint="eastAsia"/>
                <w:color w:val="auto"/>
                <w:kern w:val="0"/>
                <w:sz w:val="24"/>
                <w:lang w:bidi="ar"/>
              </w:rPr>
              <w:t>3</w:t>
            </w:r>
            <w:r>
              <w:rPr>
                <w:color w:val="auto"/>
                <w:kern w:val="0"/>
                <w:sz w:val="24"/>
                <w:lang w:bidi="ar"/>
              </w:rPr>
              <w:t>。</w:t>
            </w:r>
          </w:p>
          <w:p w14:paraId="017680F8">
            <w:pPr>
              <w:jc w:val="center"/>
              <w:rPr>
                <w:b/>
                <w:bCs/>
                <w:color w:val="auto"/>
                <w:kern w:val="0"/>
                <w:szCs w:val="21"/>
              </w:rPr>
            </w:pPr>
            <w:r>
              <w:rPr>
                <w:b/>
                <w:bCs/>
                <w:color w:val="auto"/>
                <w:kern w:val="0"/>
                <w:szCs w:val="21"/>
              </w:rPr>
              <w:t>表1</w:t>
            </w:r>
            <w:r>
              <w:rPr>
                <w:rFonts w:hint="eastAsia"/>
                <w:b/>
                <w:bCs/>
                <w:color w:val="auto"/>
                <w:kern w:val="0"/>
                <w:szCs w:val="21"/>
              </w:rPr>
              <w:t xml:space="preserve">-3   </w:t>
            </w:r>
            <w:r>
              <w:rPr>
                <w:b/>
                <w:bCs/>
                <w:color w:val="auto"/>
                <w:kern w:val="0"/>
                <w:szCs w:val="21"/>
              </w:rPr>
              <w:t>本项目范围涉及的生态环境管控单元准入清单</w:t>
            </w:r>
          </w:p>
          <w:tbl>
            <w:tblPr>
              <w:tblStyle w:val="19"/>
              <w:tblW w:w="6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9"/>
              <w:gridCol w:w="253"/>
              <w:gridCol w:w="261"/>
              <w:gridCol w:w="849"/>
              <w:gridCol w:w="488"/>
              <w:gridCol w:w="2552"/>
              <w:gridCol w:w="420"/>
              <w:gridCol w:w="1196"/>
              <w:gridCol w:w="239"/>
            </w:tblGrid>
            <w:tr w14:paraId="76BE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23" w:type="pct"/>
                  <w:vAlign w:val="center"/>
                </w:tcPr>
                <w:p w14:paraId="3A3E5122">
                  <w:pPr>
                    <w:autoSpaceDE w:val="0"/>
                    <w:autoSpaceDN w:val="0"/>
                    <w:adjustRightInd w:val="0"/>
                    <w:snapToGrid w:val="0"/>
                    <w:jc w:val="center"/>
                    <w:rPr>
                      <w:color w:val="auto"/>
                      <w:kern w:val="0"/>
                      <w:szCs w:val="21"/>
                    </w:rPr>
                  </w:pPr>
                  <w:r>
                    <w:rPr>
                      <w:color w:val="auto"/>
                      <w:kern w:val="0"/>
                      <w:szCs w:val="21"/>
                    </w:rPr>
                    <w:t>环境管控单元名称</w:t>
                  </w:r>
                </w:p>
              </w:tc>
              <w:tc>
                <w:tcPr>
                  <w:tcW w:w="184" w:type="pct"/>
                  <w:vAlign w:val="center"/>
                </w:tcPr>
                <w:p w14:paraId="03BB512F">
                  <w:pPr>
                    <w:autoSpaceDE w:val="0"/>
                    <w:autoSpaceDN w:val="0"/>
                    <w:adjustRightInd w:val="0"/>
                    <w:snapToGrid w:val="0"/>
                    <w:jc w:val="center"/>
                    <w:rPr>
                      <w:color w:val="auto"/>
                      <w:kern w:val="0"/>
                      <w:szCs w:val="21"/>
                    </w:rPr>
                  </w:pPr>
                  <w:r>
                    <w:rPr>
                      <w:color w:val="auto"/>
                      <w:kern w:val="0"/>
                      <w:szCs w:val="21"/>
                    </w:rPr>
                    <w:t>市</w:t>
                  </w:r>
                </w:p>
              </w:tc>
              <w:tc>
                <w:tcPr>
                  <w:tcW w:w="190" w:type="pct"/>
                  <w:vAlign w:val="center"/>
                </w:tcPr>
                <w:p w14:paraId="4426301F">
                  <w:pPr>
                    <w:autoSpaceDE w:val="0"/>
                    <w:autoSpaceDN w:val="0"/>
                    <w:adjustRightInd w:val="0"/>
                    <w:snapToGrid w:val="0"/>
                    <w:jc w:val="center"/>
                    <w:rPr>
                      <w:color w:val="auto"/>
                      <w:kern w:val="0"/>
                      <w:szCs w:val="21"/>
                    </w:rPr>
                  </w:pPr>
                  <w:r>
                    <w:rPr>
                      <w:color w:val="auto"/>
                      <w:kern w:val="0"/>
                      <w:szCs w:val="21"/>
                    </w:rPr>
                    <w:t>区县</w:t>
                  </w:r>
                </w:p>
              </w:tc>
              <w:tc>
                <w:tcPr>
                  <w:tcW w:w="621" w:type="pct"/>
                  <w:vAlign w:val="center"/>
                </w:tcPr>
                <w:p w14:paraId="0810EA02">
                  <w:pPr>
                    <w:autoSpaceDE w:val="0"/>
                    <w:autoSpaceDN w:val="0"/>
                    <w:adjustRightInd w:val="0"/>
                    <w:snapToGrid w:val="0"/>
                    <w:jc w:val="center"/>
                    <w:rPr>
                      <w:color w:val="auto"/>
                      <w:kern w:val="0"/>
                      <w:szCs w:val="21"/>
                    </w:rPr>
                  </w:pPr>
                  <w:r>
                    <w:rPr>
                      <w:color w:val="auto"/>
                      <w:kern w:val="0"/>
                      <w:szCs w:val="21"/>
                    </w:rPr>
                    <w:t>单元要素属性</w:t>
                  </w:r>
                </w:p>
              </w:tc>
              <w:tc>
                <w:tcPr>
                  <w:tcW w:w="357" w:type="pct"/>
                  <w:vAlign w:val="center"/>
                </w:tcPr>
                <w:p w14:paraId="0BEE12EA">
                  <w:pPr>
                    <w:autoSpaceDE w:val="0"/>
                    <w:autoSpaceDN w:val="0"/>
                    <w:adjustRightInd w:val="0"/>
                    <w:snapToGrid w:val="0"/>
                    <w:jc w:val="center"/>
                    <w:rPr>
                      <w:color w:val="auto"/>
                      <w:kern w:val="0"/>
                      <w:szCs w:val="21"/>
                    </w:rPr>
                  </w:pPr>
                  <w:r>
                    <w:rPr>
                      <w:rFonts w:hint="eastAsia"/>
                      <w:color w:val="auto"/>
                      <w:kern w:val="0"/>
                      <w:szCs w:val="21"/>
                    </w:rPr>
                    <w:t>管控要求分类</w:t>
                  </w:r>
                </w:p>
              </w:tc>
              <w:tc>
                <w:tcPr>
                  <w:tcW w:w="1865" w:type="pct"/>
                  <w:vAlign w:val="center"/>
                </w:tcPr>
                <w:p w14:paraId="475859B9">
                  <w:pPr>
                    <w:autoSpaceDE w:val="0"/>
                    <w:autoSpaceDN w:val="0"/>
                    <w:adjustRightInd w:val="0"/>
                    <w:snapToGrid w:val="0"/>
                    <w:jc w:val="center"/>
                    <w:rPr>
                      <w:color w:val="auto"/>
                      <w:kern w:val="0"/>
                      <w:szCs w:val="21"/>
                    </w:rPr>
                  </w:pPr>
                  <w:r>
                    <w:rPr>
                      <w:color w:val="auto"/>
                      <w:kern w:val="0"/>
                      <w:szCs w:val="21"/>
                    </w:rPr>
                    <w:t>管控要求</w:t>
                  </w:r>
                </w:p>
              </w:tc>
              <w:tc>
                <w:tcPr>
                  <w:tcW w:w="307" w:type="pct"/>
                  <w:vAlign w:val="center"/>
                </w:tcPr>
                <w:p w14:paraId="2376E952">
                  <w:pPr>
                    <w:autoSpaceDE w:val="0"/>
                    <w:autoSpaceDN w:val="0"/>
                    <w:adjustRightInd w:val="0"/>
                    <w:snapToGrid w:val="0"/>
                    <w:jc w:val="center"/>
                    <w:rPr>
                      <w:color w:val="auto"/>
                      <w:kern w:val="0"/>
                      <w:szCs w:val="21"/>
                    </w:rPr>
                  </w:pPr>
                  <w:r>
                    <w:rPr>
                      <w:color w:val="auto"/>
                      <w:kern w:val="0"/>
                      <w:szCs w:val="21"/>
                    </w:rPr>
                    <w:t>面积/长度</w:t>
                  </w:r>
                </w:p>
              </w:tc>
              <w:tc>
                <w:tcPr>
                  <w:tcW w:w="874" w:type="pct"/>
                  <w:vAlign w:val="center"/>
                </w:tcPr>
                <w:p w14:paraId="23E1C3D6">
                  <w:pPr>
                    <w:autoSpaceDE w:val="0"/>
                    <w:autoSpaceDN w:val="0"/>
                    <w:adjustRightInd w:val="0"/>
                    <w:snapToGrid w:val="0"/>
                    <w:jc w:val="center"/>
                    <w:rPr>
                      <w:color w:val="auto"/>
                      <w:kern w:val="0"/>
                      <w:szCs w:val="21"/>
                    </w:rPr>
                  </w:pPr>
                  <w:r>
                    <w:rPr>
                      <w:color w:val="auto"/>
                      <w:kern w:val="0"/>
                      <w:szCs w:val="21"/>
                    </w:rPr>
                    <w:t>本项目情况说明</w:t>
                  </w:r>
                </w:p>
              </w:tc>
              <w:tc>
                <w:tcPr>
                  <w:tcW w:w="175" w:type="pct"/>
                  <w:vAlign w:val="center"/>
                </w:tcPr>
                <w:p w14:paraId="2722A270">
                  <w:pPr>
                    <w:autoSpaceDE w:val="0"/>
                    <w:autoSpaceDN w:val="0"/>
                    <w:adjustRightInd w:val="0"/>
                    <w:snapToGrid w:val="0"/>
                    <w:jc w:val="center"/>
                    <w:rPr>
                      <w:color w:val="auto"/>
                      <w:kern w:val="0"/>
                      <w:szCs w:val="21"/>
                    </w:rPr>
                  </w:pPr>
                  <w:r>
                    <w:rPr>
                      <w:color w:val="auto"/>
                      <w:kern w:val="0"/>
                      <w:szCs w:val="21"/>
                    </w:rPr>
                    <w:t>相符性</w:t>
                  </w:r>
                </w:p>
              </w:tc>
            </w:tr>
            <w:tr w14:paraId="1A85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3" w:type="pct"/>
                  <w:vMerge w:val="restart"/>
                  <w:vAlign w:val="center"/>
                </w:tcPr>
                <w:p w14:paraId="03F2E1C6">
                  <w:pPr>
                    <w:autoSpaceDE w:val="0"/>
                    <w:autoSpaceDN w:val="0"/>
                    <w:adjustRightInd w:val="0"/>
                    <w:snapToGrid w:val="0"/>
                    <w:jc w:val="center"/>
                    <w:rPr>
                      <w:color w:val="auto"/>
                      <w:kern w:val="0"/>
                      <w:szCs w:val="21"/>
                    </w:rPr>
                  </w:pPr>
                  <w:r>
                    <w:rPr>
                      <w:rFonts w:hint="eastAsia"/>
                      <w:color w:val="auto"/>
                      <w:kern w:val="0"/>
                      <w:szCs w:val="21"/>
                    </w:rPr>
                    <w:t>陕西省咸阳市秦都区重点管控单元6（西咸新区）</w:t>
                  </w:r>
                </w:p>
              </w:tc>
              <w:tc>
                <w:tcPr>
                  <w:tcW w:w="184" w:type="pct"/>
                  <w:vMerge w:val="restart"/>
                  <w:vAlign w:val="center"/>
                </w:tcPr>
                <w:p w14:paraId="17CC0987">
                  <w:pPr>
                    <w:autoSpaceDE w:val="0"/>
                    <w:autoSpaceDN w:val="0"/>
                    <w:adjustRightInd w:val="0"/>
                    <w:snapToGrid w:val="0"/>
                    <w:jc w:val="center"/>
                    <w:rPr>
                      <w:color w:val="auto"/>
                      <w:kern w:val="0"/>
                      <w:szCs w:val="21"/>
                    </w:rPr>
                  </w:pPr>
                  <w:r>
                    <w:rPr>
                      <w:rFonts w:hint="eastAsia"/>
                      <w:color w:val="auto"/>
                      <w:kern w:val="0"/>
                      <w:szCs w:val="21"/>
                    </w:rPr>
                    <w:t>咸阳市</w:t>
                  </w:r>
                </w:p>
              </w:tc>
              <w:tc>
                <w:tcPr>
                  <w:tcW w:w="190" w:type="pct"/>
                  <w:vMerge w:val="restart"/>
                  <w:vAlign w:val="center"/>
                </w:tcPr>
                <w:p w14:paraId="0996340C">
                  <w:pPr>
                    <w:autoSpaceDE w:val="0"/>
                    <w:autoSpaceDN w:val="0"/>
                    <w:adjustRightInd w:val="0"/>
                    <w:snapToGrid w:val="0"/>
                    <w:jc w:val="center"/>
                    <w:rPr>
                      <w:color w:val="auto"/>
                      <w:kern w:val="0"/>
                      <w:szCs w:val="21"/>
                    </w:rPr>
                  </w:pPr>
                  <w:r>
                    <w:rPr>
                      <w:rFonts w:hint="eastAsia"/>
                      <w:color w:val="auto"/>
                      <w:kern w:val="0"/>
                      <w:szCs w:val="21"/>
                    </w:rPr>
                    <w:t>秦都区</w:t>
                  </w:r>
                </w:p>
              </w:tc>
              <w:tc>
                <w:tcPr>
                  <w:tcW w:w="621" w:type="pct"/>
                  <w:vAlign w:val="center"/>
                </w:tcPr>
                <w:p w14:paraId="62576615">
                  <w:pPr>
                    <w:autoSpaceDE w:val="0"/>
                    <w:autoSpaceDN w:val="0"/>
                    <w:adjustRightInd w:val="0"/>
                    <w:snapToGrid w:val="0"/>
                    <w:jc w:val="center"/>
                    <w:rPr>
                      <w:color w:val="auto"/>
                      <w:kern w:val="0"/>
                      <w:szCs w:val="21"/>
                    </w:rPr>
                  </w:pPr>
                  <w:r>
                    <w:rPr>
                      <w:rFonts w:hint="eastAsia"/>
                      <w:color w:val="auto"/>
                      <w:kern w:val="0"/>
                      <w:szCs w:val="21"/>
                      <w:lang w:val="en-GB" w:eastAsia="zh-TW"/>
                    </w:rPr>
                    <w:t>大气环境</w:t>
                  </w:r>
                  <w:r>
                    <w:rPr>
                      <w:rFonts w:hint="eastAsia"/>
                      <w:color w:val="auto"/>
                      <w:kern w:val="0"/>
                      <w:szCs w:val="21"/>
                    </w:rPr>
                    <w:t>受体敏感重点管控区</w:t>
                  </w:r>
                  <w:r>
                    <w:rPr>
                      <w:rFonts w:hint="eastAsia"/>
                      <w:color w:val="auto"/>
                      <w:kern w:val="0"/>
                      <w:szCs w:val="21"/>
                      <w:lang w:val="en-GB" w:eastAsia="zh-TW"/>
                    </w:rPr>
                    <w:t>、</w:t>
                  </w:r>
                  <w:r>
                    <w:rPr>
                      <w:rFonts w:hint="eastAsia"/>
                      <w:color w:val="auto"/>
                      <w:kern w:val="0"/>
                      <w:szCs w:val="21"/>
                    </w:rPr>
                    <w:t>水环境城镇生活污染重点管控区、高污染燃料禁燃区</w:t>
                  </w:r>
                </w:p>
              </w:tc>
              <w:tc>
                <w:tcPr>
                  <w:tcW w:w="357" w:type="pct"/>
                  <w:vAlign w:val="center"/>
                </w:tcPr>
                <w:p w14:paraId="4DF41689">
                  <w:pPr>
                    <w:autoSpaceDE w:val="0"/>
                    <w:autoSpaceDN w:val="0"/>
                    <w:adjustRightInd w:val="0"/>
                    <w:snapToGrid w:val="0"/>
                    <w:jc w:val="center"/>
                    <w:rPr>
                      <w:color w:val="auto"/>
                      <w:szCs w:val="21"/>
                    </w:rPr>
                  </w:pPr>
                  <w:r>
                    <w:rPr>
                      <w:color w:val="auto"/>
                      <w:szCs w:val="21"/>
                    </w:rPr>
                    <w:t>空间</w:t>
                  </w:r>
                </w:p>
                <w:p w14:paraId="2811569E">
                  <w:pPr>
                    <w:autoSpaceDE w:val="0"/>
                    <w:autoSpaceDN w:val="0"/>
                    <w:adjustRightInd w:val="0"/>
                    <w:snapToGrid w:val="0"/>
                    <w:jc w:val="center"/>
                    <w:rPr>
                      <w:color w:val="auto"/>
                      <w:szCs w:val="21"/>
                    </w:rPr>
                  </w:pPr>
                  <w:r>
                    <w:rPr>
                      <w:color w:val="auto"/>
                      <w:szCs w:val="21"/>
                    </w:rPr>
                    <w:t>布局</w:t>
                  </w:r>
                </w:p>
                <w:p w14:paraId="3C34C4DD">
                  <w:pPr>
                    <w:autoSpaceDE w:val="0"/>
                    <w:autoSpaceDN w:val="0"/>
                    <w:adjustRightInd w:val="0"/>
                    <w:snapToGrid w:val="0"/>
                    <w:jc w:val="center"/>
                    <w:rPr>
                      <w:color w:val="auto"/>
                      <w:szCs w:val="21"/>
                      <w:lang w:val="en-GB" w:eastAsia="zh-TW"/>
                    </w:rPr>
                  </w:pPr>
                  <w:r>
                    <w:rPr>
                      <w:color w:val="auto"/>
                      <w:szCs w:val="21"/>
                    </w:rPr>
                    <w:t>约束</w:t>
                  </w:r>
                </w:p>
              </w:tc>
              <w:tc>
                <w:tcPr>
                  <w:tcW w:w="1865" w:type="pct"/>
                  <w:vAlign w:val="center"/>
                </w:tcPr>
                <w:p w14:paraId="4F71277A">
                  <w:pPr>
                    <w:autoSpaceDE w:val="0"/>
                    <w:autoSpaceDN w:val="0"/>
                    <w:adjustRightInd w:val="0"/>
                    <w:snapToGrid w:val="0"/>
                    <w:rPr>
                      <w:color w:val="auto"/>
                      <w:szCs w:val="21"/>
                      <w:lang w:val="en-GB" w:eastAsia="zh-TW"/>
                    </w:rPr>
                  </w:pPr>
                  <w:r>
                    <w:rPr>
                      <w:rFonts w:hint="eastAsia"/>
                      <w:color w:val="auto"/>
                      <w:szCs w:val="21"/>
                      <w:lang w:val="en-GB" w:eastAsia="zh-TW"/>
                    </w:rPr>
                    <w:t>大气环境布局敏感重点管控区：</w:t>
                  </w:r>
                  <w:r>
                    <w:rPr>
                      <w:color w:val="auto"/>
                      <w:szCs w:val="21"/>
                      <w:lang w:val="en-GB" w:eastAsia="zh-TW"/>
                    </w:rPr>
                    <w:t>1.</w:t>
                  </w:r>
                  <w:r>
                    <w:rPr>
                      <w:rFonts w:hint="eastAsia"/>
                      <w:color w:val="auto"/>
                      <w:szCs w:val="21"/>
                      <w:lang w:val="en-GB" w:eastAsia="zh-TW"/>
                    </w:rPr>
                    <w:t>严格控制新增《陕西省</w:t>
                  </w:r>
                  <w:r>
                    <w:rPr>
                      <w:rFonts w:hint="eastAsia"/>
                      <w:color w:val="auto"/>
                      <w:szCs w:val="21"/>
                      <w:lang w:val="en-GB"/>
                    </w:rPr>
                    <w:t>“</w:t>
                  </w:r>
                  <w:r>
                    <w:rPr>
                      <w:rFonts w:hint="eastAsia"/>
                      <w:color w:val="auto"/>
                      <w:szCs w:val="21"/>
                      <w:lang w:val="en-GB" w:eastAsia="zh-TW"/>
                    </w:rPr>
                    <w:t>两高</w:t>
                  </w:r>
                  <w:r>
                    <w:rPr>
                      <w:rFonts w:hint="eastAsia"/>
                      <w:color w:val="auto"/>
                      <w:szCs w:val="21"/>
                      <w:lang w:val="en-GB"/>
                    </w:rPr>
                    <w:t>”</w:t>
                  </w:r>
                  <w:r>
                    <w:rPr>
                      <w:rFonts w:hint="eastAsia"/>
                      <w:color w:val="auto"/>
                      <w:szCs w:val="21"/>
                      <w:lang w:val="en-GB" w:eastAsia="zh-TW"/>
                    </w:rPr>
                    <w:t>项目管理暂行目录》行业项目（民生等项目除外，后续对</w:t>
                  </w:r>
                  <w:r>
                    <w:rPr>
                      <w:rFonts w:hint="eastAsia"/>
                      <w:color w:val="auto"/>
                      <w:szCs w:val="21"/>
                      <w:lang w:val="en-GB"/>
                    </w:rPr>
                    <w:t>“</w:t>
                  </w:r>
                  <w:r>
                    <w:rPr>
                      <w:rFonts w:hint="eastAsia"/>
                      <w:color w:val="auto"/>
                      <w:szCs w:val="21"/>
                      <w:lang w:val="en-GB" w:eastAsia="zh-TW"/>
                    </w:rPr>
                    <w:t>两高</w:t>
                  </w:r>
                  <w:r>
                    <w:rPr>
                      <w:rFonts w:hint="eastAsia"/>
                      <w:color w:val="auto"/>
                      <w:szCs w:val="21"/>
                      <w:lang w:val="en-GB"/>
                    </w:rPr>
                    <w:t>”</w:t>
                  </w:r>
                  <w:r>
                    <w:rPr>
                      <w:rFonts w:hint="eastAsia"/>
                      <w:color w:val="auto"/>
                      <w:szCs w:val="21"/>
                      <w:lang w:val="en-GB" w:eastAsia="zh-TW"/>
                    </w:rPr>
                    <w:t>范围国家如有新规定的，从其规定）。2.推动重污染企业搬迁入园或依法关闭。</w:t>
                  </w:r>
                </w:p>
              </w:tc>
              <w:tc>
                <w:tcPr>
                  <w:tcW w:w="307" w:type="pct"/>
                  <w:vMerge w:val="restart"/>
                  <w:vAlign w:val="center"/>
                </w:tcPr>
                <w:p w14:paraId="43046151">
                  <w:pPr>
                    <w:autoSpaceDE w:val="0"/>
                    <w:autoSpaceDN w:val="0"/>
                    <w:adjustRightInd w:val="0"/>
                    <w:snapToGrid w:val="0"/>
                    <w:jc w:val="center"/>
                    <w:rPr>
                      <w:color w:val="auto"/>
                      <w:szCs w:val="21"/>
                    </w:rPr>
                  </w:pPr>
                  <w:r>
                    <w:rPr>
                      <w:rFonts w:hint="eastAsia"/>
                      <w:color w:val="auto"/>
                      <w:szCs w:val="21"/>
                    </w:rPr>
                    <w:t>170</w:t>
                  </w:r>
                  <w:r>
                    <w:rPr>
                      <w:color w:val="auto"/>
                      <w:szCs w:val="21"/>
                    </w:rPr>
                    <w:t>m</w:t>
                  </w:r>
                  <w:r>
                    <w:rPr>
                      <w:color w:val="auto"/>
                      <w:szCs w:val="21"/>
                      <w:vertAlign w:val="superscript"/>
                    </w:rPr>
                    <w:t>2</w:t>
                  </w:r>
                </w:p>
              </w:tc>
              <w:tc>
                <w:tcPr>
                  <w:tcW w:w="874" w:type="pct"/>
                  <w:vAlign w:val="center"/>
                </w:tcPr>
                <w:p w14:paraId="1A162CC8">
                  <w:pPr>
                    <w:autoSpaceDE w:val="0"/>
                    <w:autoSpaceDN w:val="0"/>
                    <w:adjustRightInd w:val="0"/>
                    <w:snapToGrid w:val="0"/>
                    <w:jc w:val="center"/>
                    <w:rPr>
                      <w:color w:val="auto"/>
                      <w:kern w:val="0"/>
                      <w:szCs w:val="21"/>
                    </w:rPr>
                  </w:pPr>
                  <w:r>
                    <w:rPr>
                      <w:rFonts w:hint="eastAsia"/>
                      <w:color w:val="auto"/>
                      <w:kern w:val="0"/>
                      <w:szCs w:val="21"/>
                    </w:rPr>
                    <w:t>1、对照</w:t>
                  </w:r>
                  <w:r>
                    <w:rPr>
                      <w:rFonts w:hint="eastAsia"/>
                      <w:color w:val="auto"/>
                      <w:szCs w:val="21"/>
                      <w:lang w:val="en-GB" w:eastAsia="zh-TW"/>
                    </w:rPr>
                    <w:t>《陕西省</w:t>
                  </w:r>
                  <w:r>
                    <w:rPr>
                      <w:rFonts w:hint="eastAsia"/>
                      <w:color w:val="auto"/>
                      <w:szCs w:val="21"/>
                      <w:lang w:val="en-GB"/>
                    </w:rPr>
                    <w:t>“</w:t>
                  </w:r>
                  <w:r>
                    <w:rPr>
                      <w:rFonts w:hint="eastAsia"/>
                      <w:color w:val="auto"/>
                      <w:szCs w:val="21"/>
                      <w:lang w:val="en-GB" w:eastAsia="zh-TW"/>
                    </w:rPr>
                    <w:t>两高</w:t>
                  </w:r>
                  <w:r>
                    <w:rPr>
                      <w:rFonts w:hint="eastAsia"/>
                      <w:color w:val="auto"/>
                      <w:szCs w:val="21"/>
                      <w:lang w:val="en-GB"/>
                    </w:rPr>
                    <w:t>”</w:t>
                  </w:r>
                  <w:r>
                    <w:rPr>
                      <w:rFonts w:hint="eastAsia"/>
                      <w:color w:val="auto"/>
                      <w:szCs w:val="21"/>
                      <w:lang w:val="en-GB" w:eastAsia="zh-TW"/>
                    </w:rPr>
                    <w:t>项目管理暂行目录》</w:t>
                  </w:r>
                  <w:r>
                    <w:rPr>
                      <w:color w:val="auto"/>
                      <w:kern w:val="0"/>
                      <w:szCs w:val="21"/>
                    </w:rPr>
                    <w:t>，</w:t>
                  </w:r>
                  <w:r>
                    <w:rPr>
                      <w:rFonts w:hint="eastAsia"/>
                      <w:color w:val="auto"/>
                      <w:kern w:val="0"/>
                      <w:szCs w:val="21"/>
                    </w:rPr>
                    <w:t>本项目</w:t>
                  </w:r>
                  <w:r>
                    <w:rPr>
                      <w:color w:val="auto"/>
                      <w:kern w:val="0"/>
                      <w:szCs w:val="21"/>
                    </w:rPr>
                    <w:t>不属于</w:t>
                  </w:r>
                  <w:r>
                    <w:rPr>
                      <w:rFonts w:hint="eastAsia"/>
                      <w:color w:val="auto"/>
                      <w:kern w:val="0"/>
                      <w:szCs w:val="21"/>
                    </w:rPr>
                    <w:t>“两高”</w:t>
                  </w:r>
                  <w:r>
                    <w:rPr>
                      <w:color w:val="auto"/>
                      <w:kern w:val="0"/>
                      <w:szCs w:val="21"/>
                    </w:rPr>
                    <w:t>类项目。</w:t>
                  </w:r>
                </w:p>
                <w:p w14:paraId="5FC0ABA7">
                  <w:pPr>
                    <w:autoSpaceDE w:val="0"/>
                    <w:autoSpaceDN w:val="0"/>
                    <w:adjustRightInd w:val="0"/>
                    <w:snapToGrid w:val="0"/>
                    <w:jc w:val="center"/>
                    <w:rPr>
                      <w:color w:val="auto"/>
                      <w:kern w:val="0"/>
                      <w:szCs w:val="21"/>
                    </w:rPr>
                  </w:pPr>
                  <w:r>
                    <w:rPr>
                      <w:rFonts w:hint="eastAsia"/>
                      <w:color w:val="auto"/>
                      <w:kern w:val="0"/>
                      <w:szCs w:val="21"/>
                    </w:rPr>
                    <w:t>2、</w:t>
                  </w:r>
                  <w:r>
                    <w:rPr>
                      <w:color w:val="auto"/>
                      <w:kern w:val="0"/>
                      <w:szCs w:val="21"/>
                    </w:rPr>
                    <w:t>本项目不属于</w:t>
                  </w:r>
                  <w:r>
                    <w:rPr>
                      <w:rFonts w:hint="eastAsia"/>
                      <w:color w:val="auto"/>
                      <w:kern w:val="0"/>
                      <w:szCs w:val="21"/>
                    </w:rPr>
                    <w:t>重污染企业。</w:t>
                  </w:r>
                </w:p>
              </w:tc>
              <w:tc>
                <w:tcPr>
                  <w:tcW w:w="175" w:type="pct"/>
                  <w:vAlign w:val="center"/>
                </w:tcPr>
                <w:p w14:paraId="7D860BF1">
                  <w:pPr>
                    <w:autoSpaceDE w:val="0"/>
                    <w:autoSpaceDN w:val="0"/>
                    <w:adjustRightInd w:val="0"/>
                    <w:snapToGrid w:val="0"/>
                    <w:jc w:val="center"/>
                    <w:rPr>
                      <w:color w:val="auto"/>
                      <w:kern w:val="0"/>
                      <w:szCs w:val="21"/>
                    </w:rPr>
                  </w:pPr>
                  <w:r>
                    <w:rPr>
                      <w:color w:val="auto"/>
                      <w:kern w:val="0"/>
                      <w:szCs w:val="21"/>
                    </w:rPr>
                    <w:t>符合</w:t>
                  </w:r>
                </w:p>
              </w:tc>
            </w:tr>
            <w:tr w14:paraId="11D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5" w:hRule="atLeast"/>
                <w:jc w:val="center"/>
              </w:trPr>
              <w:tc>
                <w:tcPr>
                  <w:tcW w:w="423" w:type="pct"/>
                  <w:vMerge w:val="continue"/>
                  <w:vAlign w:val="center"/>
                </w:tcPr>
                <w:p w14:paraId="7F53CDCA">
                  <w:pPr>
                    <w:autoSpaceDE w:val="0"/>
                    <w:autoSpaceDN w:val="0"/>
                    <w:adjustRightInd w:val="0"/>
                    <w:snapToGrid w:val="0"/>
                    <w:jc w:val="center"/>
                    <w:rPr>
                      <w:color w:val="auto"/>
                      <w:szCs w:val="21"/>
                    </w:rPr>
                  </w:pPr>
                </w:p>
              </w:tc>
              <w:tc>
                <w:tcPr>
                  <w:tcW w:w="184" w:type="pct"/>
                  <w:vMerge w:val="continue"/>
                  <w:vAlign w:val="center"/>
                </w:tcPr>
                <w:p w14:paraId="4D0ACACC">
                  <w:pPr>
                    <w:autoSpaceDE w:val="0"/>
                    <w:autoSpaceDN w:val="0"/>
                    <w:adjustRightInd w:val="0"/>
                    <w:snapToGrid w:val="0"/>
                    <w:jc w:val="center"/>
                    <w:rPr>
                      <w:color w:val="auto"/>
                      <w:szCs w:val="21"/>
                    </w:rPr>
                  </w:pPr>
                </w:p>
              </w:tc>
              <w:tc>
                <w:tcPr>
                  <w:tcW w:w="190" w:type="pct"/>
                  <w:vMerge w:val="continue"/>
                  <w:vAlign w:val="center"/>
                </w:tcPr>
                <w:p w14:paraId="3212DD3C">
                  <w:pPr>
                    <w:autoSpaceDE w:val="0"/>
                    <w:autoSpaceDN w:val="0"/>
                    <w:adjustRightInd w:val="0"/>
                    <w:snapToGrid w:val="0"/>
                    <w:jc w:val="center"/>
                    <w:rPr>
                      <w:color w:val="auto"/>
                      <w:szCs w:val="21"/>
                    </w:rPr>
                  </w:pPr>
                </w:p>
              </w:tc>
              <w:tc>
                <w:tcPr>
                  <w:tcW w:w="621" w:type="pct"/>
                  <w:vMerge w:val="restart"/>
                  <w:vAlign w:val="center"/>
                </w:tcPr>
                <w:p w14:paraId="18BE1A92">
                  <w:pPr>
                    <w:autoSpaceDE w:val="0"/>
                    <w:autoSpaceDN w:val="0"/>
                    <w:adjustRightInd w:val="0"/>
                    <w:snapToGrid w:val="0"/>
                    <w:jc w:val="center"/>
                    <w:rPr>
                      <w:color w:val="auto"/>
                      <w:kern w:val="0"/>
                      <w:szCs w:val="21"/>
                    </w:rPr>
                  </w:pPr>
                  <w:r>
                    <w:rPr>
                      <w:rFonts w:hint="eastAsia"/>
                      <w:color w:val="auto"/>
                      <w:kern w:val="0"/>
                      <w:szCs w:val="21"/>
                    </w:rPr>
                    <w:t>/</w:t>
                  </w:r>
                </w:p>
              </w:tc>
              <w:tc>
                <w:tcPr>
                  <w:tcW w:w="357" w:type="pct"/>
                  <w:vMerge w:val="restart"/>
                  <w:vAlign w:val="center"/>
                </w:tcPr>
                <w:p w14:paraId="500E095D">
                  <w:pPr>
                    <w:autoSpaceDE w:val="0"/>
                    <w:autoSpaceDN w:val="0"/>
                    <w:adjustRightInd w:val="0"/>
                    <w:snapToGrid w:val="0"/>
                    <w:jc w:val="center"/>
                    <w:rPr>
                      <w:color w:val="auto"/>
                      <w:szCs w:val="21"/>
                    </w:rPr>
                  </w:pPr>
                  <w:r>
                    <w:rPr>
                      <w:color w:val="auto"/>
                      <w:szCs w:val="21"/>
                    </w:rPr>
                    <w:t>污染</w:t>
                  </w:r>
                </w:p>
                <w:p w14:paraId="458A02B6">
                  <w:pPr>
                    <w:autoSpaceDE w:val="0"/>
                    <w:autoSpaceDN w:val="0"/>
                    <w:adjustRightInd w:val="0"/>
                    <w:snapToGrid w:val="0"/>
                    <w:jc w:val="center"/>
                    <w:rPr>
                      <w:color w:val="auto"/>
                      <w:szCs w:val="21"/>
                    </w:rPr>
                  </w:pPr>
                  <w:r>
                    <w:rPr>
                      <w:color w:val="auto"/>
                      <w:szCs w:val="21"/>
                    </w:rPr>
                    <w:t>物排</w:t>
                  </w:r>
                </w:p>
                <w:p w14:paraId="5A96D65C">
                  <w:pPr>
                    <w:autoSpaceDE w:val="0"/>
                    <w:autoSpaceDN w:val="0"/>
                    <w:adjustRightInd w:val="0"/>
                    <w:snapToGrid w:val="0"/>
                    <w:jc w:val="center"/>
                    <w:rPr>
                      <w:color w:val="auto"/>
                      <w:szCs w:val="21"/>
                    </w:rPr>
                  </w:pPr>
                  <w:r>
                    <w:rPr>
                      <w:color w:val="auto"/>
                      <w:szCs w:val="21"/>
                    </w:rPr>
                    <w:t>放管</w:t>
                  </w:r>
                </w:p>
                <w:p w14:paraId="67AA63E2">
                  <w:pPr>
                    <w:autoSpaceDE w:val="0"/>
                    <w:autoSpaceDN w:val="0"/>
                    <w:adjustRightInd w:val="0"/>
                    <w:snapToGrid w:val="0"/>
                    <w:jc w:val="center"/>
                    <w:rPr>
                      <w:color w:val="auto"/>
                      <w:szCs w:val="21"/>
                      <w:lang w:val="en-GB" w:eastAsia="zh-TW"/>
                    </w:rPr>
                  </w:pPr>
                  <w:r>
                    <w:rPr>
                      <w:color w:val="auto"/>
                      <w:szCs w:val="21"/>
                    </w:rPr>
                    <w:t>控</w:t>
                  </w:r>
                </w:p>
              </w:tc>
              <w:tc>
                <w:tcPr>
                  <w:tcW w:w="1865" w:type="pct"/>
                  <w:vMerge w:val="restart"/>
                  <w:vAlign w:val="center"/>
                </w:tcPr>
                <w:p w14:paraId="0EC6B47D">
                  <w:pPr>
                    <w:autoSpaceDE w:val="0"/>
                    <w:autoSpaceDN w:val="0"/>
                    <w:adjustRightInd w:val="0"/>
                    <w:snapToGrid w:val="0"/>
                    <w:rPr>
                      <w:color w:val="auto"/>
                      <w:szCs w:val="21"/>
                      <w:lang w:val="en-GB"/>
                    </w:rPr>
                  </w:pPr>
                  <w:r>
                    <w:rPr>
                      <w:rFonts w:hint="eastAsia"/>
                      <w:color w:val="auto"/>
                      <w:szCs w:val="21"/>
                      <w:lang w:val="en-GB"/>
                    </w:rPr>
                    <w:t>大气环境</w:t>
                  </w:r>
                  <w:r>
                    <w:rPr>
                      <w:rFonts w:hint="eastAsia"/>
                      <w:color w:val="auto"/>
                      <w:szCs w:val="21"/>
                    </w:rPr>
                    <w:t>受体</w:t>
                  </w:r>
                  <w:r>
                    <w:rPr>
                      <w:rFonts w:hint="eastAsia"/>
                      <w:color w:val="auto"/>
                      <w:szCs w:val="21"/>
                      <w:lang w:val="en-GB"/>
                    </w:rPr>
                    <w:t>敏感重点管控区：1.城市建成区产生油烟的餐饮服务单位全部安装油烟净化装置并保持正常运行和定期维护。2.持续因地制宜实施“煤改气”、“油改气”、电能、地热、生物质等清洁能源取暖措施。3.鼓励将老旧车辆和非道路移动机械替换为清洁能源车辆。推进新能源或清洁能源汽车使用。4.位于大气污染防治重点区域的汾渭平原，特别排放限值行业（钢铁、水泥、焦化、石化、化工、有色等行业）现有企业全面执行二氧化硫、氮氧化物、颗粒物、挥发性有机物（VOCs）特别排放限值。</w:t>
                  </w:r>
                </w:p>
                <w:p w14:paraId="3A257102">
                  <w:pPr>
                    <w:autoSpaceDE w:val="0"/>
                    <w:autoSpaceDN w:val="0"/>
                    <w:adjustRightInd w:val="0"/>
                    <w:snapToGrid w:val="0"/>
                    <w:rPr>
                      <w:color w:val="auto"/>
                      <w:szCs w:val="21"/>
                      <w:lang w:val="en-GB"/>
                    </w:rPr>
                  </w:pPr>
                  <w:r>
                    <w:rPr>
                      <w:rFonts w:hint="eastAsia"/>
                      <w:color w:val="auto"/>
                      <w:szCs w:val="21"/>
                      <w:lang w:val="en-GB"/>
                    </w:rPr>
                    <w:t>水环境城镇生活污染重点管控区：1.加强城镇污水收集处理设施建设与提标改造。全省黄河流域城镇生活污水处理达到《陕西省黄河流域污水综合排放标准》（DB61/224-2018）排放限值要求。2.城镇新区管网建设及老旧城区管网升级改造中实行雨污分流，鼓励推进初期雨水收集、处理和资源化利用，建设人工湿地水质净化工程，对处理达标后的尾水进一步净化。3.污水处理厂出水用于绿化、农灌等用途的，合理确定管控要求，确保达到相应污水再生利用标准。4.加强城镇污水收集处理设施建设与提标改造，推进渭河南岸西部污水处理厂建设，提升污水处理能力，因地制宜在污水处理厂出水口处建设人工水质净化工程。推进新建污水处理设施与配套管网的同步设计、同步建设、同步投运，加快污水管网建设与雨污分流改造，完成市区老旧城区管网升级改造。</w:t>
                  </w:r>
                </w:p>
              </w:tc>
              <w:tc>
                <w:tcPr>
                  <w:tcW w:w="307" w:type="pct"/>
                  <w:vMerge w:val="continue"/>
                  <w:vAlign w:val="center"/>
                </w:tcPr>
                <w:p w14:paraId="496D1D63">
                  <w:pPr>
                    <w:autoSpaceDE w:val="0"/>
                    <w:autoSpaceDN w:val="0"/>
                    <w:adjustRightInd w:val="0"/>
                    <w:snapToGrid w:val="0"/>
                    <w:jc w:val="center"/>
                    <w:rPr>
                      <w:color w:val="auto"/>
                      <w:szCs w:val="21"/>
                    </w:rPr>
                  </w:pPr>
                </w:p>
              </w:tc>
              <w:tc>
                <w:tcPr>
                  <w:tcW w:w="874" w:type="pct"/>
                  <w:vAlign w:val="center"/>
                </w:tcPr>
                <w:p w14:paraId="7A0D39A0">
                  <w:pPr>
                    <w:autoSpaceDE w:val="0"/>
                    <w:autoSpaceDN w:val="0"/>
                    <w:adjustRightInd w:val="0"/>
                    <w:snapToGrid w:val="0"/>
                    <w:jc w:val="center"/>
                    <w:rPr>
                      <w:color w:val="auto"/>
                      <w:szCs w:val="21"/>
                    </w:rPr>
                  </w:pPr>
                  <w:r>
                    <w:rPr>
                      <w:rFonts w:hint="eastAsia"/>
                      <w:color w:val="auto"/>
                      <w:szCs w:val="21"/>
                    </w:rPr>
                    <w:t>1、本项目不提供食堂；2、本项目以电能为主；3、本项目不涉及老旧车辆和非道路移动机械；4、本项目不属于需执行特别排放限值行业。</w:t>
                  </w:r>
                </w:p>
              </w:tc>
              <w:tc>
                <w:tcPr>
                  <w:tcW w:w="175" w:type="pct"/>
                  <w:vMerge w:val="restart"/>
                  <w:vAlign w:val="center"/>
                </w:tcPr>
                <w:p w14:paraId="6868A715">
                  <w:pPr>
                    <w:autoSpaceDE w:val="0"/>
                    <w:autoSpaceDN w:val="0"/>
                    <w:adjustRightInd w:val="0"/>
                    <w:snapToGrid w:val="0"/>
                    <w:jc w:val="center"/>
                    <w:rPr>
                      <w:color w:val="auto"/>
                      <w:szCs w:val="21"/>
                    </w:rPr>
                  </w:pPr>
                  <w:r>
                    <w:rPr>
                      <w:color w:val="auto"/>
                      <w:kern w:val="0"/>
                      <w:szCs w:val="21"/>
                    </w:rPr>
                    <w:t>符合</w:t>
                  </w:r>
                </w:p>
              </w:tc>
            </w:tr>
            <w:tr w14:paraId="420A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423" w:type="pct"/>
                  <w:vMerge w:val="continue"/>
                  <w:vAlign w:val="center"/>
                </w:tcPr>
                <w:p w14:paraId="51B8084A">
                  <w:pPr>
                    <w:autoSpaceDE w:val="0"/>
                    <w:autoSpaceDN w:val="0"/>
                    <w:adjustRightInd w:val="0"/>
                    <w:snapToGrid w:val="0"/>
                    <w:jc w:val="center"/>
                    <w:rPr>
                      <w:color w:val="auto"/>
                    </w:rPr>
                  </w:pPr>
                </w:p>
              </w:tc>
              <w:tc>
                <w:tcPr>
                  <w:tcW w:w="184" w:type="pct"/>
                  <w:vMerge w:val="continue"/>
                  <w:vAlign w:val="center"/>
                </w:tcPr>
                <w:p w14:paraId="3555ED64">
                  <w:pPr>
                    <w:autoSpaceDE w:val="0"/>
                    <w:autoSpaceDN w:val="0"/>
                    <w:adjustRightInd w:val="0"/>
                    <w:snapToGrid w:val="0"/>
                    <w:jc w:val="center"/>
                    <w:rPr>
                      <w:color w:val="auto"/>
                    </w:rPr>
                  </w:pPr>
                </w:p>
              </w:tc>
              <w:tc>
                <w:tcPr>
                  <w:tcW w:w="190" w:type="pct"/>
                  <w:vMerge w:val="continue"/>
                  <w:vAlign w:val="center"/>
                </w:tcPr>
                <w:p w14:paraId="71CBA86F">
                  <w:pPr>
                    <w:autoSpaceDE w:val="0"/>
                    <w:autoSpaceDN w:val="0"/>
                    <w:adjustRightInd w:val="0"/>
                    <w:snapToGrid w:val="0"/>
                    <w:jc w:val="center"/>
                    <w:rPr>
                      <w:color w:val="auto"/>
                    </w:rPr>
                  </w:pPr>
                </w:p>
              </w:tc>
              <w:tc>
                <w:tcPr>
                  <w:tcW w:w="621" w:type="pct"/>
                  <w:vMerge w:val="continue"/>
                  <w:vAlign w:val="center"/>
                </w:tcPr>
                <w:p w14:paraId="53D2E8A4">
                  <w:pPr>
                    <w:autoSpaceDE w:val="0"/>
                    <w:autoSpaceDN w:val="0"/>
                    <w:adjustRightInd w:val="0"/>
                    <w:snapToGrid w:val="0"/>
                    <w:jc w:val="center"/>
                    <w:rPr>
                      <w:color w:val="auto"/>
                    </w:rPr>
                  </w:pPr>
                </w:p>
              </w:tc>
              <w:tc>
                <w:tcPr>
                  <w:tcW w:w="357" w:type="pct"/>
                  <w:vMerge w:val="continue"/>
                  <w:vAlign w:val="center"/>
                </w:tcPr>
                <w:p w14:paraId="54F57E22">
                  <w:pPr>
                    <w:autoSpaceDE w:val="0"/>
                    <w:autoSpaceDN w:val="0"/>
                    <w:adjustRightInd w:val="0"/>
                    <w:snapToGrid w:val="0"/>
                    <w:jc w:val="center"/>
                    <w:rPr>
                      <w:color w:val="auto"/>
                    </w:rPr>
                  </w:pPr>
                </w:p>
              </w:tc>
              <w:tc>
                <w:tcPr>
                  <w:tcW w:w="1865" w:type="pct"/>
                  <w:vMerge w:val="continue"/>
                  <w:vAlign w:val="center"/>
                </w:tcPr>
                <w:p w14:paraId="37CB8B5F">
                  <w:pPr>
                    <w:autoSpaceDE w:val="0"/>
                    <w:autoSpaceDN w:val="0"/>
                    <w:adjustRightInd w:val="0"/>
                    <w:snapToGrid w:val="0"/>
                    <w:jc w:val="center"/>
                    <w:rPr>
                      <w:color w:val="auto"/>
                    </w:rPr>
                  </w:pPr>
                </w:p>
              </w:tc>
              <w:tc>
                <w:tcPr>
                  <w:tcW w:w="307" w:type="pct"/>
                  <w:vMerge w:val="continue"/>
                  <w:vAlign w:val="center"/>
                </w:tcPr>
                <w:p w14:paraId="568D5D13">
                  <w:pPr>
                    <w:autoSpaceDE w:val="0"/>
                    <w:autoSpaceDN w:val="0"/>
                    <w:adjustRightInd w:val="0"/>
                    <w:snapToGrid w:val="0"/>
                    <w:jc w:val="center"/>
                    <w:rPr>
                      <w:color w:val="auto"/>
                    </w:rPr>
                  </w:pPr>
                </w:p>
              </w:tc>
              <w:tc>
                <w:tcPr>
                  <w:tcW w:w="874" w:type="pct"/>
                  <w:vAlign w:val="center"/>
                </w:tcPr>
                <w:p w14:paraId="5D46F7D0">
                  <w:pPr>
                    <w:autoSpaceDE w:val="0"/>
                    <w:autoSpaceDN w:val="0"/>
                    <w:adjustRightInd w:val="0"/>
                    <w:snapToGrid w:val="0"/>
                    <w:jc w:val="center"/>
                    <w:rPr>
                      <w:color w:val="auto"/>
                      <w:szCs w:val="21"/>
                    </w:rPr>
                  </w:pPr>
                  <w:r>
                    <w:rPr>
                      <w:rFonts w:hint="eastAsia"/>
                      <w:color w:val="auto"/>
                      <w:szCs w:val="21"/>
                    </w:rPr>
                    <w:t>1、本项目废水最终排入沣西新城渭河污水处理厂处理，已</w:t>
                  </w:r>
                  <w:r>
                    <w:rPr>
                      <w:rFonts w:hint="eastAsia"/>
                      <w:color w:val="auto"/>
                      <w:szCs w:val="21"/>
                      <w:lang w:val="en-GB"/>
                    </w:rPr>
                    <w:t>达到《陕西省黄河流域污水综合排放标准》（DB61/224-2018）排放限值要求；</w:t>
                  </w:r>
                  <w:r>
                    <w:rPr>
                      <w:rFonts w:hint="eastAsia"/>
                      <w:color w:val="auto"/>
                      <w:szCs w:val="21"/>
                    </w:rPr>
                    <w:t>2本项目不涉及雨水收集；3、沣西新城渭河污水处理厂出水符合再生利用标准；4、本项目废水依托现有化粪池及地埋式一体化污水处理，污水管网已完成建设。</w:t>
                  </w:r>
                </w:p>
              </w:tc>
              <w:tc>
                <w:tcPr>
                  <w:tcW w:w="175" w:type="pct"/>
                  <w:vMerge w:val="continue"/>
                  <w:vAlign w:val="center"/>
                </w:tcPr>
                <w:p w14:paraId="697DA84F">
                  <w:pPr>
                    <w:autoSpaceDE w:val="0"/>
                    <w:autoSpaceDN w:val="0"/>
                    <w:adjustRightInd w:val="0"/>
                    <w:snapToGrid w:val="0"/>
                    <w:jc w:val="center"/>
                    <w:rPr>
                      <w:color w:val="auto"/>
                      <w:szCs w:val="21"/>
                    </w:rPr>
                  </w:pPr>
                </w:p>
              </w:tc>
            </w:tr>
            <w:tr w14:paraId="7111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23" w:type="pct"/>
                  <w:vMerge w:val="continue"/>
                  <w:vAlign w:val="center"/>
                </w:tcPr>
                <w:p w14:paraId="2AE499BA">
                  <w:pPr>
                    <w:autoSpaceDE w:val="0"/>
                    <w:autoSpaceDN w:val="0"/>
                    <w:adjustRightInd w:val="0"/>
                    <w:snapToGrid w:val="0"/>
                    <w:jc w:val="center"/>
                    <w:rPr>
                      <w:color w:val="auto"/>
                      <w:szCs w:val="21"/>
                    </w:rPr>
                  </w:pPr>
                </w:p>
              </w:tc>
              <w:tc>
                <w:tcPr>
                  <w:tcW w:w="184" w:type="pct"/>
                  <w:vMerge w:val="continue"/>
                  <w:vAlign w:val="center"/>
                </w:tcPr>
                <w:p w14:paraId="1EEA3BD4">
                  <w:pPr>
                    <w:autoSpaceDE w:val="0"/>
                    <w:autoSpaceDN w:val="0"/>
                    <w:adjustRightInd w:val="0"/>
                    <w:snapToGrid w:val="0"/>
                    <w:jc w:val="center"/>
                    <w:rPr>
                      <w:color w:val="auto"/>
                      <w:szCs w:val="21"/>
                    </w:rPr>
                  </w:pPr>
                </w:p>
              </w:tc>
              <w:tc>
                <w:tcPr>
                  <w:tcW w:w="190" w:type="pct"/>
                  <w:vMerge w:val="continue"/>
                  <w:vAlign w:val="center"/>
                </w:tcPr>
                <w:p w14:paraId="1B0603E4">
                  <w:pPr>
                    <w:autoSpaceDE w:val="0"/>
                    <w:autoSpaceDN w:val="0"/>
                    <w:adjustRightInd w:val="0"/>
                    <w:snapToGrid w:val="0"/>
                    <w:jc w:val="center"/>
                    <w:rPr>
                      <w:color w:val="auto"/>
                      <w:szCs w:val="21"/>
                    </w:rPr>
                  </w:pPr>
                </w:p>
              </w:tc>
              <w:tc>
                <w:tcPr>
                  <w:tcW w:w="621" w:type="pct"/>
                  <w:vAlign w:val="center"/>
                </w:tcPr>
                <w:p w14:paraId="50D00D6E">
                  <w:pPr>
                    <w:autoSpaceDE w:val="0"/>
                    <w:autoSpaceDN w:val="0"/>
                    <w:adjustRightInd w:val="0"/>
                    <w:snapToGrid w:val="0"/>
                    <w:jc w:val="center"/>
                    <w:rPr>
                      <w:color w:val="auto"/>
                      <w:szCs w:val="21"/>
                    </w:rPr>
                  </w:pPr>
                  <w:r>
                    <w:rPr>
                      <w:rFonts w:hint="eastAsia"/>
                      <w:color w:val="auto"/>
                      <w:szCs w:val="21"/>
                    </w:rPr>
                    <w:t>/</w:t>
                  </w:r>
                </w:p>
              </w:tc>
              <w:tc>
                <w:tcPr>
                  <w:tcW w:w="357" w:type="pct"/>
                  <w:vAlign w:val="center"/>
                </w:tcPr>
                <w:p w14:paraId="58A0195D">
                  <w:pPr>
                    <w:autoSpaceDE w:val="0"/>
                    <w:autoSpaceDN w:val="0"/>
                    <w:adjustRightInd w:val="0"/>
                    <w:snapToGrid w:val="0"/>
                    <w:jc w:val="center"/>
                    <w:rPr>
                      <w:color w:val="auto"/>
                      <w:szCs w:val="21"/>
                    </w:rPr>
                  </w:pPr>
                  <w:r>
                    <w:rPr>
                      <w:rFonts w:hint="eastAsia"/>
                      <w:color w:val="auto"/>
                      <w:szCs w:val="21"/>
                    </w:rPr>
                    <w:t>环境风险防控</w:t>
                  </w:r>
                </w:p>
              </w:tc>
              <w:tc>
                <w:tcPr>
                  <w:tcW w:w="1865" w:type="pct"/>
                  <w:vAlign w:val="center"/>
                </w:tcPr>
                <w:p w14:paraId="10F9EDEA">
                  <w:pPr>
                    <w:autoSpaceDE w:val="0"/>
                    <w:autoSpaceDN w:val="0"/>
                    <w:adjustRightInd w:val="0"/>
                    <w:snapToGrid w:val="0"/>
                    <w:jc w:val="center"/>
                    <w:rPr>
                      <w:color w:val="auto"/>
                      <w:szCs w:val="21"/>
                    </w:rPr>
                  </w:pPr>
                  <w:r>
                    <w:rPr>
                      <w:rFonts w:hint="eastAsia"/>
                      <w:color w:val="auto"/>
                      <w:szCs w:val="21"/>
                    </w:rPr>
                    <w:t>/</w:t>
                  </w:r>
                </w:p>
              </w:tc>
              <w:tc>
                <w:tcPr>
                  <w:tcW w:w="307" w:type="pct"/>
                  <w:vMerge w:val="continue"/>
                  <w:vAlign w:val="center"/>
                </w:tcPr>
                <w:p w14:paraId="5F28D76A">
                  <w:pPr>
                    <w:autoSpaceDE w:val="0"/>
                    <w:autoSpaceDN w:val="0"/>
                    <w:adjustRightInd w:val="0"/>
                    <w:snapToGrid w:val="0"/>
                    <w:rPr>
                      <w:color w:val="auto"/>
                      <w:szCs w:val="21"/>
                    </w:rPr>
                  </w:pPr>
                </w:p>
              </w:tc>
              <w:tc>
                <w:tcPr>
                  <w:tcW w:w="874" w:type="pct"/>
                  <w:vAlign w:val="center"/>
                </w:tcPr>
                <w:p w14:paraId="3CDCDA32">
                  <w:pPr>
                    <w:autoSpaceDE w:val="0"/>
                    <w:autoSpaceDN w:val="0"/>
                    <w:adjustRightInd w:val="0"/>
                    <w:snapToGrid w:val="0"/>
                    <w:jc w:val="center"/>
                    <w:rPr>
                      <w:color w:val="auto"/>
                      <w:kern w:val="0"/>
                      <w:szCs w:val="21"/>
                    </w:rPr>
                  </w:pPr>
                  <w:r>
                    <w:rPr>
                      <w:rFonts w:hint="eastAsia"/>
                      <w:color w:val="auto"/>
                      <w:kern w:val="0"/>
                      <w:szCs w:val="21"/>
                    </w:rPr>
                    <w:t>/</w:t>
                  </w:r>
                </w:p>
              </w:tc>
              <w:tc>
                <w:tcPr>
                  <w:tcW w:w="175" w:type="pct"/>
                  <w:vAlign w:val="center"/>
                </w:tcPr>
                <w:p w14:paraId="7FAB7E16">
                  <w:pPr>
                    <w:autoSpaceDE w:val="0"/>
                    <w:autoSpaceDN w:val="0"/>
                    <w:adjustRightInd w:val="0"/>
                    <w:snapToGrid w:val="0"/>
                    <w:jc w:val="center"/>
                    <w:rPr>
                      <w:color w:val="auto"/>
                      <w:kern w:val="0"/>
                      <w:szCs w:val="21"/>
                    </w:rPr>
                  </w:pPr>
                  <w:r>
                    <w:rPr>
                      <w:rFonts w:hint="eastAsia"/>
                      <w:color w:val="auto"/>
                      <w:kern w:val="0"/>
                      <w:szCs w:val="21"/>
                    </w:rPr>
                    <w:t>/</w:t>
                  </w:r>
                </w:p>
              </w:tc>
            </w:tr>
            <w:tr w14:paraId="7E70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23" w:type="pct"/>
                  <w:vMerge w:val="continue"/>
                  <w:vAlign w:val="center"/>
                </w:tcPr>
                <w:p w14:paraId="3669E01F">
                  <w:pPr>
                    <w:autoSpaceDE w:val="0"/>
                    <w:autoSpaceDN w:val="0"/>
                    <w:adjustRightInd w:val="0"/>
                    <w:snapToGrid w:val="0"/>
                    <w:jc w:val="center"/>
                    <w:rPr>
                      <w:color w:val="auto"/>
                      <w:szCs w:val="21"/>
                    </w:rPr>
                  </w:pPr>
                </w:p>
              </w:tc>
              <w:tc>
                <w:tcPr>
                  <w:tcW w:w="184" w:type="pct"/>
                  <w:vMerge w:val="continue"/>
                  <w:vAlign w:val="center"/>
                </w:tcPr>
                <w:p w14:paraId="16C7C554">
                  <w:pPr>
                    <w:autoSpaceDE w:val="0"/>
                    <w:autoSpaceDN w:val="0"/>
                    <w:adjustRightInd w:val="0"/>
                    <w:snapToGrid w:val="0"/>
                    <w:jc w:val="center"/>
                    <w:rPr>
                      <w:color w:val="auto"/>
                      <w:szCs w:val="21"/>
                    </w:rPr>
                  </w:pPr>
                </w:p>
              </w:tc>
              <w:tc>
                <w:tcPr>
                  <w:tcW w:w="190" w:type="pct"/>
                  <w:vMerge w:val="continue"/>
                  <w:vAlign w:val="center"/>
                </w:tcPr>
                <w:p w14:paraId="08E9E69C">
                  <w:pPr>
                    <w:autoSpaceDE w:val="0"/>
                    <w:autoSpaceDN w:val="0"/>
                    <w:adjustRightInd w:val="0"/>
                    <w:snapToGrid w:val="0"/>
                    <w:jc w:val="center"/>
                    <w:rPr>
                      <w:color w:val="auto"/>
                      <w:szCs w:val="21"/>
                    </w:rPr>
                  </w:pPr>
                </w:p>
              </w:tc>
              <w:tc>
                <w:tcPr>
                  <w:tcW w:w="621" w:type="pct"/>
                  <w:vAlign w:val="center"/>
                </w:tcPr>
                <w:p w14:paraId="10409FE7">
                  <w:pPr>
                    <w:autoSpaceDE w:val="0"/>
                    <w:autoSpaceDN w:val="0"/>
                    <w:adjustRightInd w:val="0"/>
                    <w:snapToGrid w:val="0"/>
                    <w:jc w:val="center"/>
                    <w:rPr>
                      <w:color w:val="auto"/>
                      <w:szCs w:val="21"/>
                    </w:rPr>
                  </w:pPr>
                  <w:r>
                    <w:rPr>
                      <w:rFonts w:hint="eastAsia"/>
                      <w:color w:val="auto"/>
                      <w:szCs w:val="21"/>
                    </w:rPr>
                    <w:t>/</w:t>
                  </w:r>
                </w:p>
              </w:tc>
              <w:tc>
                <w:tcPr>
                  <w:tcW w:w="357" w:type="pct"/>
                  <w:vAlign w:val="center"/>
                </w:tcPr>
                <w:p w14:paraId="1A43215C">
                  <w:pPr>
                    <w:autoSpaceDE w:val="0"/>
                    <w:autoSpaceDN w:val="0"/>
                    <w:adjustRightInd w:val="0"/>
                    <w:snapToGrid w:val="0"/>
                    <w:jc w:val="center"/>
                    <w:rPr>
                      <w:color w:val="auto"/>
                      <w:szCs w:val="21"/>
                    </w:rPr>
                  </w:pPr>
                  <w:r>
                    <w:rPr>
                      <w:rFonts w:hint="eastAsia"/>
                      <w:color w:val="auto"/>
                      <w:szCs w:val="21"/>
                    </w:rPr>
                    <w:t>资源开发效率要求</w:t>
                  </w:r>
                </w:p>
              </w:tc>
              <w:tc>
                <w:tcPr>
                  <w:tcW w:w="1865" w:type="pct"/>
                  <w:vAlign w:val="center"/>
                </w:tcPr>
                <w:p w14:paraId="307EB043">
                  <w:pPr>
                    <w:autoSpaceDE w:val="0"/>
                    <w:autoSpaceDN w:val="0"/>
                    <w:adjustRightInd w:val="0"/>
                    <w:snapToGrid w:val="0"/>
                    <w:jc w:val="center"/>
                    <w:rPr>
                      <w:color w:val="auto"/>
                      <w:szCs w:val="21"/>
                    </w:rPr>
                  </w:pPr>
                  <w:r>
                    <w:rPr>
                      <w:rFonts w:hint="eastAsia"/>
                      <w:color w:val="auto"/>
                      <w:szCs w:val="21"/>
                    </w:rPr>
                    <w:t>高污染燃料禁燃区：严格禁燃区管控。市区和南六县市全域及北五县市城镇周边划定为高污染燃料禁燃区，禁止销售、使用煤炭及其制品等高污染燃料（35蒸吨及以上燃煤锅炉、火力发电企业、机组及水泥、砖瓦等原料煤使用企业除外）；各县市区全面退出禁燃区内洁净煤加工中心及配送网点，对配送网点及群众存量煤炭全部有偿回收。北五县市非禁燃区内可采用洁净煤或“生物质成型燃料+专用炉具”兜底。加强对直送、网络等方式销售散煤的监管，严厉打击违法销售行为，同时倒查上游企业责任，从源头杜绝散煤销售。</w:t>
                  </w:r>
                </w:p>
              </w:tc>
              <w:tc>
                <w:tcPr>
                  <w:tcW w:w="307" w:type="pct"/>
                  <w:vMerge w:val="continue"/>
                  <w:vAlign w:val="center"/>
                </w:tcPr>
                <w:p w14:paraId="073CBCA8">
                  <w:pPr>
                    <w:autoSpaceDE w:val="0"/>
                    <w:autoSpaceDN w:val="0"/>
                    <w:adjustRightInd w:val="0"/>
                    <w:snapToGrid w:val="0"/>
                    <w:rPr>
                      <w:color w:val="auto"/>
                      <w:szCs w:val="21"/>
                    </w:rPr>
                  </w:pPr>
                </w:p>
              </w:tc>
              <w:tc>
                <w:tcPr>
                  <w:tcW w:w="874" w:type="pct"/>
                  <w:vAlign w:val="center"/>
                </w:tcPr>
                <w:p w14:paraId="401E22FE">
                  <w:pPr>
                    <w:autoSpaceDE w:val="0"/>
                    <w:autoSpaceDN w:val="0"/>
                    <w:adjustRightInd w:val="0"/>
                    <w:snapToGrid w:val="0"/>
                    <w:jc w:val="center"/>
                    <w:rPr>
                      <w:color w:val="auto"/>
                      <w:kern w:val="0"/>
                      <w:szCs w:val="21"/>
                    </w:rPr>
                  </w:pPr>
                  <w:r>
                    <w:rPr>
                      <w:rFonts w:hint="eastAsia"/>
                      <w:color w:val="auto"/>
                      <w:kern w:val="0"/>
                      <w:szCs w:val="21"/>
                    </w:rPr>
                    <w:t>本项目主要能源为电能，不使用高污染燃料。</w:t>
                  </w:r>
                </w:p>
              </w:tc>
              <w:tc>
                <w:tcPr>
                  <w:tcW w:w="175" w:type="pct"/>
                  <w:vAlign w:val="center"/>
                </w:tcPr>
                <w:p w14:paraId="5F313952">
                  <w:pPr>
                    <w:autoSpaceDE w:val="0"/>
                    <w:autoSpaceDN w:val="0"/>
                    <w:adjustRightInd w:val="0"/>
                    <w:snapToGrid w:val="0"/>
                    <w:rPr>
                      <w:color w:val="auto"/>
                      <w:kern w:val="0"/>
                      <w:szCs w:val="21"/>
                    </w:rPr>
                  </w:pPr>
                  <w:r>
                    <w:rPr>
                      <w:rFonts w:hint="eastAsia"/>
                      <w:color w:val="auto"/>
                      <w:kern w:val="0"/>
                      <w:szCs w:val="21"/>
                    </w:rPr>
                    <w:t>符合</w:t>
                  </w:r>
                </w:p>
              </w:tc>
            </w:tr>
          </w:tbl>
          <w:p w14:paraId="4DD3E063">
            <w:pPr>
              <w:spacing w:line="360" w:lineRule="auto"/>
              <w:ind w:firstLine="480" w:firstLineChars="200"/>
              <w:rPr>
                <w:color w:val="auto"/>
              </w:rPr>
            </w:pPr>
            <w:r>
              <w:rPr>
                <w:rFonts w:hint="eastAsia"/>
                <w:bCs/>
                <w:color w:val="auto"/>
                <w:sz w:val="24"/>
              </w:rPr>
              <w:t>③“一说明”：依据“一图”和“一表”结果，论证建设项目符合性的说明。</w:t>
            </w:r>
          </w:p>
          <w:p w14:paraId="54541B0B">
            <w:pPr>
              <w:spacing w:line="360" w:lineRule="auto"/>
              <w:ind w:firstLine="480" w:firstLineChars="200"/>
              <w:rPr>
                <w:color w:val="auto"/>
                <w:kern w:val="0"/>
                <w:sz w:val="24"/>
                <w:szCs w:val="20"/>
              </w:rPr>
            </w:pPr>
            <w:r>
              <w:rPr>
                <w:rFonts w:hint="eastAsia"/>
                <w:color w:val="auto"/>
                <w:sz w:val="24"/>
              </w:rPr>
              <w:t>根据上述“一图”和“一表”的分析结果，</w:t>
            </w:r>
            <w:r>
              <w:rPr>
                <w:color w:val="auto"/>
                <w:sz w:val="24"/>
              </w:rPr>
              <w:t>本项目位于生态环境重点管控单元内。</w:t>
            </w:r>
            <w:r>
              <w:rPr>
                <w:rFonts w:hint="eastAsia"/>
                <w:color w:val="auto"/>
                <w:sz w:val="24"/>
              </w:rPr>
              <w:t>“</w:t>
            </w:r>
            <w:r>
              <w:rPr>
                <w:color w:val="auto"/>
                <w:sz w:val="24"/>
              </w:rPr>
              <w:t>重点管控单元以提升资源利用效率、加强污染物减排治理和环境风险防控为重点，解决突出生态环境问题。</w:t>
            </w:r>
            <w:r>
              <w:rPr>
                <w:rFonts w:hint="eastAsia"/>
                <w:color w:val="auto"/>
                <w:sz w:val="24"/>
              </w:rPr>
              <w:t>”</w:t>
            </w:r>
            <w:r>
              <w:rPr>
                <w:color w:val="auto"/>
                <w:sz w:val="24"/>
              </w:rPr>
              <w:t>本项目各项污染物采取环境治理可行技术进行处理达标后排放，满足重点管控单元防控要求。</w:t>
            </w:r>
          </w:p>
          <w:p w14:paraId="399E501C">
            <w:pPr>
              <w:adjustRightInd w:val="0"/>
              <w:snapToGrid w:val="0"/>
              <w:spacing w:line="360" w:lineRule="auto"/>
              <w:ind w:firstLine="482" w:firstLineChars="200"/>
              <w:rPr>
                <w:b/>
                <w:color w:val="auto"/>
                <w:sz w:val="24"/>
              </w:rPr>
            </w:pPr>
            <w:r>
              <w:rPr>
                <w:rFonts w:hint="eastAsia" w:hAnsi="宋体"/>
                <w:b/>
                <w:bCs/>
                <w:color w:val="auto"/>
                <w:sz w:val="24"/>
              </w:rPr>
              <w:t>3、</w:t>
            </w:r>
            <w:r>
              <w:rPr>
                <w:rFonts w:hint="eastAsia"/>
                <w:b/>
                <w:color w:val="auto"/>
                <w:sz w:val="24"/>
              </w:rPr>
              <w:t>区域环境管控要求符合性分析</w:t>
            </w:r>
          </w:p>
          <w:p w14:paraId="09741738">
            <w:pPr>
              <w:adjustRightInd w:val="0"/>
              <w:snapToGrid w:val="0"/>
              <w:jc w:val="center"/>
              <w:rPr>
                <w:b/>
                <w:color w:val="auto"/>
                <w:szCs w:val="21"/>
              </w:rPr>
            </w:pPr>
            <w:r>
              <w:rPr>
                <w:rFonts w:hint="eastAsia"/>
                <w:b/>
                <w:color w:val="auto"/>
                <w:szCs w:val="21"/>
              </w:rPr>
              <w:t>表1-4   项目范围涉及的生态环境管控单元准入清单</w:t>
            </w:r>
          </w:p>
          <w:tbl>
            <w:tblPr>
              <w:tblStyle w:val="18"/>
              <w:tblW w:w="6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5"/>
              <w:gridCol w:w="286"/>
              <w:gridCol w:w="491"/>
              <w:gridCol w:w="3719"/>
              <w:gridCol w:w="1531"/>
              <w:gridCol w:w="255"/>
            </w:tblGrid>
            <w:tr w14:paraId="2DB0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55" w:type="dxa"/>
                  <w:tcBorders>
                    <w:tl2br w:val="nil"/>
                    <w:tr2bl w:val="nil"/>
                  </w:tcBorders>
                  <w:vAlign w:val="center"/>
                </w:tcPr>
                <w:p w14:paraId="45AB790A">
                  <w:pPr>
                    <w:pStyle w:val="30"/>
                    <w:spacing w:beforeLines="0" w:afterLines="0" w:line="240" w:lineRule="auto"/>
                    <w:rPr>
                      <w:rFonts w:ascii="Times New Roman"/>
                      <w:color w:val="auto"/>
                      <w:szCs w:val="21"/>
                    </w:rPr>
                  </w:pPr>
                  <w:r>
                    <w:rPr>
                      <w:rFonts w:ascii="Times New Roman"/>
                      <w:color w:val="auto"/>
                      <w:szCs w:val="21"/>
                    </w:rPr>
                    <w:t>区县名称</w:t>
                  </w:r>
                </w:p>
              </w:tc>
              <w:tc>
                <w:tcPr>
                  <w:tcW w:w="286" w:type="dxa"/>
                  <w:tcBorders>
                    <w:tl2br w:val="nil"/>
                    <w:tr2bl w:val="nil"/>
                  </w:tcBorders>
                  <w:shd w:val="clear" w:color="auto" w:fill="auto"/>
                  <w:tcMar>
                    <w:left w:w="28" w:type="dxa"/>
                    <w:right w:w="28" w:type="dxa"/>
                  </w:tcMar>
                  <w:vAlign w:val="center"/>
                </w:tcPr>
                <w:p w14:paraId="5E4F493A">
                  <w:pPr>
                    <w:pStyle w:val="30"/>
                    <w:spacing w:beforeLines="0" w:afterLines="0" w:line="240" w:lineRule="auto"/>
                    <w:rPr>
                      <w:rFonts w:ascii="Times New Roman"/>
                      <w:color w:val="auto"/>
                      <w:szCs w:val="21"/>
                    </w:rPr>
                  </w:pPr>
                  <w:r>
                    <w:rPr>
                      <w:rFonts w:ascii="Times New Roman"/>
                      <w:color w:val="auto"/>
                      <w:szCs w:val="21"/>
                    </w:rPr>
                    <w:t>省份</w:t>
                  </w:r>
                </w:p>
              </w:tc>
              <w:tc>
                <w:tcPr>
                  <w:tcW w:w="491" w:type="dxa"/>
                  <w:tcBorders>
                    <w:tl2br w:val="nil"/>
                    <w:tr2bl w:val="nil"/>
                  </w:tcBorders>
                  <w:shd w:val="clear" w:color="auto" w:fill="auto"/>
                  <w:tcMar>
                    <w:left w:w="28" w:type="dxa"/>
                    <w:right w:w="28" w:type="dxa"/>
                  </w:tcMar>
                  <w:vAlign w:val="center"/>
                </w:tcPr>
                <w:p w14:paraId="22B912AF">
                  <w:pPr>
                    <w:pStyle w:val="30"/>
                    <w:spacing w:beforeLines="0" w:afterLines="0" w:line="240" w:lineRule="auto"/>
                    <w:rPr>
                      <w:rFonts w:ascii="Times New Roman"/>
                      <w:color w:val="auto"/>
                      <w:szCs w:val="21"/>
                    </w:rPr>
                  </w:pPr>
                  <w:r>
                    <w:rPr>
                      <w:rFonts w:ascii="Times New Roman"/>
                      <w:color w:val="auto"/>
                      <w:szCs w:val="21"/>
                    </w:rPr>
                    <w:t>管控类别</w:t>
                  </w:r>
                </w:p>
              </w:tc>
              <w:tc>
                <w:tcPr>
                  <w:tcW w:w="3719" w:type="dxa"/>
                  <w:tcBorders>
                    <w:tl2br w:val="nil"/>
                    <w:tr2bl w:val="nil"/>
                  </w:tcBorders>
                  <w:shd w:val="clear" w:color="auto" w:fill="auto"/>
                  <w:vAlign w:val="center"/>
                </w:tcPr>
                <w:p w14:paraId="310E8A88">
                  <w:pPr>
                    <w:pStyle w:val="30"/>
                    <w:spacing w:beforeLines="0" w:afterLines="0" w:line="240" w:lineRule="auto"/>
                    <w:rPr>
                      <w:rFonts w:ascii="Times New Roman"/>
                      <w:color w:val="auto"/>
                      <w:szCs w:val="21"/>
                    </w:rPr>
                  </w:pPr>
                  <w:r>
                    <w:rPr>
                      <w:rFonts w:ascii="Times New Roman"/>
                      <w:color w:val="auto"/>
                      <w:szCs w:val="21"/>
                    </w:rPr>
                    <w:t>管控要求</w:t>
                  </w:r>
                </w:p>
              </w:tc>
              <w:tc>
                <w:tcPr>
                  <w:tcW w:w="1531" w:type="dxa"/>
                  <w:tcBorders>
                    <w:tl2br w:val="nil"/>
                    <w:tr2bl w:val="nil"/>
                  </w:tcBorders>
                  <w:vAlign w:val="center"/>
                </w:tcPr>
                <w:p w14:paraId="15E55DC6">
                  <w:pPr>
                    <w:pStyle w:val="30"/>
                    <w:spacing w:beforeLines="0" w:afterLines="0" w:line="240" w:lineRule="auto"/>
                    <w:rPr>
                      <w:rFonts w:ascii="Times New Roman"/>
                      <w:color w:val="auto"/>
                      <w:szCs w:val="21"/>
                    </w:rPr>
                  </w:pPr>
                  <w:r>
                    <w:rPr>
                      <w:rFonts w:ascii="Times New Roman"/>
                      <w:color w:val="auto"/>
                      <w:szCs w:val="21"/>
                    </w:rPr>
                    <w:t>项目情况</w:t>
                  </w:r>
                </w:p>
              </w:tc>
              <w:tc>
                <w:tcPr>
                  <w:tcW w:w="255" w:type="dxa"/>
                  <w:tcBorders>
                    <w:tl2br w:val="nil"/>
                    <w:tr2bl w:val="nil"/>
                  </w:tcBorders>
                  <w:shd w:val="clear" w:color="auto" w:fill="auto"/>
                  <w:tcMar>
                    <w:left w:w="28" w:type="dxa"/>
                    <w:right w:w="28" w:type="dxa"/>
                  </w:tcMar>
                  <w:vAlign w:val="center"/>
                </w:tcPr>
                <w:p w14:paraId="1B4B2AA8">
                  <w:pPr>
                    <w:pStyle w:val="30"/>
                    <w:spacing w:beforeLines="0" w:afterLines="0" w:line="240" w:lineRule="auto"/>
                    <w:rPr>
                      <w:rFonts w:ascii="Times New Roman"/>
                      <w:color w:val="auto"/>
                      <w:szCs w:val="21"/>
                    </w:rPr>
                  </w:pPr>
                  <w:r>
                    <w:rPr>
                      <w:rFonts w:ascii="Times New Roman"/>
                      <w:color w:val="auto"/>
                      <w:szCs w:val="21"/>
                    </w:rPr>
                    <w:t>符合性</w:t>
                  </w:r>
                </w:p>
              </w:tc>
            </w:tr>
            <w:tr w14:paraId="5E7A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55" w:type="dxa"/>
                  <w:vMerge w:val="restart"/>
                  <w:tcBorders>
                    <w:tl2br w:val="nil"/>
                    <w:tr2bl w:val="nil"/>
                  </w:tcBorders>
                  <w:vAlign w:val="center"/>
                </w:tcPr>
                <w:p w14:paraId="5A847740">
                  <w:pPr>
                    <w:pStyle w:val="30"/>
                    <w:spacing w:beforeLines="0" w:afterLines="0" w:line="240" w:lineRule="auto"/>
                    <w:rPr>
                      <w:rFonts w:ascii="Times New Roman"/>
                      <w:color w:val="auto"/>
                      <w:szCs w:val="21"/>
                    </w:rPr>
                  </w:pPr>
                  <w:r>
                    <w:rPr>
                      <w:rFonts w:ascii="Times New Roman"/>
                      <w:color w:val="auto"/>
                      <w:szCs w:val="21"/>
                    </w:rPr>
                    <w:t>西咸新区</w:t>
                  </w:r>
                </w:p>
              </w:tc>
              <w:tc>
                <w:tcPr>
                  <w:tcW w:w="286" w:type="dxa"/>
                  <w:vMerge w:val="restart"/>
                  <w:tcBorders>
                    <w:tl2br w:val="nil"/>
                    <w:tr2bl w:val="nil"/>
                  </w:tcBorders>
                  <w:shd w:val="clear" w:color="auto" w:fill="auto"/>
                  <w:tcMar>
                    <w:left w:w="28" w:type="dxa"/>
                    <w:right w:w="28" w:type="dxa"/>
                  </w:tcMar>
                  <w:vAlign w:val="center"/>
                </w:tcPr>
                <w:p w14:paraId="26DFABB7">
                  <w:pPr>
                    <w:pStyle w:val="30"/>
                    <w:spacing w:beforeLines="0" w:afterLines="0" w:line="240" w:lineRule="auto"/>
                    <w:jc w:val="both"/>
                    <w:rPr>
                      <w:rFonts w:ascii="Times New Roman"/>
                      <w:color w:val="auto"/>
                      <w:szCs w:val="21"/>
                    </w:rPr>
                  </w:pPr>
                  <w:r>
                    <w:rPr>
                      <w:rFonts w:ascii="Times New Roman"/>
                      <w:color w:val="auto"/>
                      <w:szCs w:val="21"/>
                    </w:rPr>
                    <w:t>陕西省</w:t>
                  </w:r>
                </w:p>
              </w:tc>
              <w:tc>
                <w:tcPr>
                  <w:tcW w:w="491" w:type="dxa"/>
                  <w:tcBorders>
                    <w:tl2br w:val="nil"/>
                    <w:tr2bl w:val="nil"/>
                  </w:tcBorders>
                  <w:shd w:val="clear" w:color="auto" w:fill="auto"/>
                  <w:tcMar>
                    <w:left w:w="28" w:type="dxa"/>
                    <w:right w:w="28" w:type="dxa"/>
                  </w:tcMar>
                  <w:vAlign w:val="center"/>
                </w:tcPr>
                <w:p w14:paraId="6DCB60AC">
                  <w:pPr>
                    <w:pStyle w:val="30"/>
                    <w:spacing w:beforeLines="0" w:afterLines="0" w:line="240" w:lineRule="auto"/>
                    <w:rPr>
                      <w:rFonts w:ascii="Times New Roman"/>
                      <w:bCs/>
                      <w:color w:val="auto"/>
                      <w:szCs w:val="21"/>
                    </w:rPr>
                  </w:pPr>
                  <w:r>
                    <w:rPr>
                      <w:rFonts w:ascii="Times New Roman"/>
                      <w:bCs/>
                      <w:color w:val="auto"/>
                      <w:szCs w:val="21"/>
                    </w:rPr>
                    <w:t>空间布局约束</w:t>
                  </w:r>
                </w:p>
              </w:tc>
              <w:tc>
                <w:tcPr>
                  <w:tcW w:w="3719" w:type="dxa"/>
                  <w:tcBorders>
                    <w:tl2br w:val="nil"/>
                    <w:tr2bl w:val="nil"/>
                  </w:tcBorders>
                  <w:shd w:val="clear" w:color="auto" w:fill="auto"/>
                  <w:vAlign w:val="center"/>
                </w:tcPr>
                <w:p w14:paraId="2E48947B">
                  <w:pPr>
                    <w:pStyle w:val="30"/>
                    <w:spacing w:beforeLines="0" w:afterLines="0" w:line="240" w:lineRule="auto"/>
                    <w:jc w:val="left"/>
                    <w:rPr>
                      <w:rFonts w:ascii="Times New Roman"/>
                      <w:bCs/>
                      <w:color w:val="auto"/>
                      <w:szCs w:val="21"/>
                    </w:rPr>
                  </w:pPr>
                  <w:r>
                    <w:rPr>
                      <w:rFonts w:ascii="Times New Roman"/>
                      <w:bCs/>
                      <w:color w:val="auto"/>
                      <w:szCs w:val="21"/>
                    </w:rPr>
                    <w:t>1.执行国家法律法规对自然保护区、风景名胜区、森林公园、地质公园、世界自然和文化遗产、重要湿地、重要水源地等法定保护地的禁止性和限制性要求。</w:t>
                  </w:r>
                </w:p>
                <w:p w14:paraId="3174FF09">
                  <w:pPr>
                    <w:pStyle w:val="30"/>
                    <w:spacing w:beforeLines="0" w:afterLines="0" w:line="240" w:lineRule="auto"/>
                    <w:jc w:val="left"/>
                    <w:rPr>
                      <w:rFonts w:ascii="Times New Roman"/>
                      <w:bCs/>
                      <w:color w:val="auto"/>
                      <w:szCs w:val="21"/>
                    </w:rPr>
                  </w:pPr>
                  <w:r>
                    <w:rPr>
                      <w:rFonts w:ascii="Times New Roman"/>
                      <w:bCs/>
                      <w:color w:val="auto"/>
                      <w:szCs w:val="21"/>
                    </w:rPr>
                    <w:t>2.城市建成区内现有钢铁、有色金属、造纸、印染、原料药制造、化工等污染严重企业须有序搬迁、改造入园（区）或依法关闭。</w:t>
                  </w:r>
                </w:p>
                <w:p w14:paraId="7068D9A1">
                  <w:pPr>
                    <w:pStyle w:val="30"/>
                    <w:spacing w:beforeLines="0" w:afterLines="0" w:line="240" w:lineRule="auto"/>
                    <w:jc w:val="left"/>
                    <w:rPr>
                      <w:rFonts w:ascii="Times New Roman"/>
                      <w:bCs/>
                      <w:color w:val="auto"/>
                      <w:szCs w:val="21"/>
                    </w:rPr>
                  </w:pPr>
                  <w:r>
                    <w:rPr>
                      <w:rFonts w:ascii="Times New Roman"/>
                      <w:bCs/>
                      <w:color w:val="auto"/>
                      <w:szCs w:val="21"/>
                    </w:rPr>
                    <w:t>3.禁止在居民区、学校、医疗和养老机构等周边新建、扩建有色金属冶炼、焦化等行业企业；结合推进新型城镇化、产业结构调整和化解过剩产能等，有序搬迁或依法关闭对土壤造成严重污染的现有企业。</w:t>
                  </w:r>
                </w:p>
                <w:p w14:paraId="0171DBC5">
                  <w:pPr>
                    <w:pStyle w:val="30"/>
                    <w:spacing w:beforeLines="0" w:afterLines="0" w:line="240" w:lineRule="auto"/>
                    <w:jc w:val="left"/>
                    <w:rPr>
                      <w:rFonts w:ascii="Times New Roman"/>
                      <w:bCs/>
                      <w:color w:val="auto"/>
                      <w:szCs w:val="21"/>
                    </w:rPr>
                  </w:pPr>
                  <w:r>
                    <w:rPr>
                      <w:rFonts w:ascii="Times New Roman"/>
                      <w:bCs/>
                      <w:color w:val="auto"/>
                      <w:szCs w:val="21"/>
                    </w:rPr>
                    <w:t>4执行《市场准入负面清单（2019年版）》。</w:t>
                  </w:r>
                </w:p>
                <w:p w14:paraId="0808C5CC">
                  <w:pPr>
                    <w:pStyle w:val="30"/>
                    <w:spacing w:beforeLines="0" w:afterLines="0" w:line="240" w:lineRule="auto"/>
                    <w:jc w:val="left"/>
                    <w:rPr>
                      <w:rFonts w:ascii="Times New Roman"/>
                      <w:bCs/>
                      <w:color w:val="auto"/>
                      <w:szCs w:val="21"/>
                    </w:rPr>
                  </w:pPr>
                  <w:r>
                    <w:rPr>
                      <w:rFonts w:ascii="Times New Roman"/>
                      <w:bCs/>
                      <w:color w:val="auto"/>
                      <w:szCs w:val="21"/>
                    </w:rPr>
                    <w:t>5执行《产业结构调整指导目录（2019年本）》。</w:t>
                  </w:r>
                </w:p>
              </w:tc>
              <w:tc>
                <w:tcPr>
                  <w:tcW w:w="1531" w:type="dxa"/>
                  <w:tcBorders>
                    <w:tl2br w:val="nil"/>
                    <w:tr2bl w:val="nil"/>
                  </w:tcBorders>
                  <w:vAlign w:val="center"/>
                </w:tcPr>
                <w:p w14:paraId="54F0D5B8">
                  <w:pPr>
                    <w:pStyle w:val="30"/>
                    <w:numPr>
                      <w:ilvl w:val="0"/>
                      <w:numId w:val="1"/>
                    </w:numPr>
                    <w:spacing w:beforeLines="0" w:afterLines="0" w:line="240" w:lineRule="auto"/>
                    <w:rPr>
                      <w:rFonts w:ascii="Times New Roman"/>
                      <w:color w:val="auto"/>
                      <w:szCs w:val="21"/>
                    </w:rPr>
                  </w:pPr>
                  <w:r>
                    <w:rPr>
                      <w:rFonts w:hint="eastAsia" w:ascii="Times New Roman"/>
                      <w:color w:val="auto"/>
                      <w:szCs w:val="21"/>
                    </w:rPr>
                    <w:t>本项目</w:t>
                  </w:r>
                  <w:r>
                    <w:rPr>
                      <w:rFonts w:ascii="Times New Roman"/>
                      <w:color w:val="auto"/>
                      <w:szCs w:val="21"/>
                    </w:rPr>
                    <w:t>不在名胜古迹</w:t>
                  </w:r>
                  <w:r>
                    <w:rPr>
                      <w:rFonts w:hint="eastAsia" w:ascii="Times New Roman"/>
                      <w:color w:val="auto"/>
                      <w:szCs w:val="21"/>
                    </w:rPr>
                    <w:t>、</w:t>
                  </w:r>
                  <w:r>
                    <w:rPr>
                      <w:rFonts w:ascii="Times New Roman"/>
                      <w:color w:val="auto"/>
                      <w:szCs w:val="21"/>
                    </w:rPr>
                    <w:t>自然保护区、饮用水源保护区</w:t>
                  </w:r>
                  <w:r>
                    <w:rPr>
                      <w:rFonts w:hint="eastAsia" w:ascii="Times New Roman"/>
                      <w:color w:val="auto"/>
                      <w:szCs w:val="21"/>
                    </w:rPr>
                    <w:t>等法定保护地</w:t>
                  </w:r>
                  <w:r>
                    <w:rPr>
                      <w:rFonts w:ascii="Times New Roman"/>
                      <w:color w:val="auto"/>
                      <w:szCs w:val="21"/>
                    </w:rPr>
                    <w:t>范围内</w:t>
                  </w:r>
                  <w:r>
                    <w:rPr>
                      <w:rFonts w:hint="eastAsia" w:ascii="Times New Roman"/>
                      <w:color w:val="auto"/>
                      <w:szCs w:val="21"/>
                    </w:rPr>
                    <w:t>。</w:t>
                  </w:r>
                </w:p>
                <w:p w14:paraId="6893B4DA">
                  <w:pPr>
                    <w:pStyle w:val="30"/>
                    <w:numPr>
                      <w:ilvl w:val="0"/>
                      <w:numId w:val="1"/>
                    </w:numPr>
                    <w:spacing w:beforeLines="0" w:afterLines="0" w:line="240" w:lineRule="auto"/>
                    <w:rPr>
                      <w:rFonts w:ascii="Times New Roman"/>
                      <w:color w:val="auto"/>
                      <w:szCs w:val="21"/>
                    </w:rPr>
                  </w:pPr>
                  <w:r>
                    <w:rPr>
                      <w:rFonts w:hint="eastAsia" w:ascii="Times New Roman"/>
                      <w:color w:val="auto"/>
                      <w:szCs w:val="21"/>
                    </w:rPr>
                    <w:t>本项目不属于污染严重企业。</w:t>
                  </w:r>
                </w:p>
                <w:p w14:paraId="74C3093D">
                  <w:pPr>
                    <w:pStyle w:val="30"/>
                    <w:numPr>
                      <w:ilvl w:val="0"/>
                      <w:numId w:val="1"/>
                    </w:numPr>
                    <w:spacing w:beforeLines="0" w:afterLines="0" w:line="240" w:lineRule="auto"/>
                    <w:rPr>
                      <w:rFonts w:ascii="Times New Roman"/>
                      <w:color w:val="auto"/>
                      <w:szCs w:val="21"/>
                    </w:rPr>
                  </w:pPr>
                  <w:r>
                    <w:rPr>
                      <w:rFonts w:hint="eastAsia" w:ascii="Times New Roman"/>
                      <w:color w:val="auto"/>
                      <w:szCs w:val="21"/>
                    </w:rPr>
                    <w:t>本项目不属于禁止新建、扩建的会造成严重污染的企业。</w:t>
                  </w:r>
                </w:p>
                <w:p w14:paraId="6EF25FC1">
                  <w:pPr>
                    <w:pStyle w:val="30"/>
                    <w:numPr>
                      <w:ilvl w:val="0"/>
                      <w:numId w:val="1"/>
                    </w:numPr>
                    <w:spacing w:beforeLines="0" w:afterLines="0" w:line="240" w:lineRule="auto"/>
                    <w:rPr>
                      <w:rFonts w:ascii="Times New Roman"/>
                      <w:color w:val="auto"/>
                      <w:szCs w:val="21"/>
                    </w:rPr>
                  </w:pPr>
                  <w:r>
                    <w:rPr>
                      <w:rFonts w:ascii="Times New Roman"/>
                      <w:color w:val="auto"/>
                      <w:szCs w:val="21"/>
                    </w:rPr>
                    <w:t>本项目不属于《市场准入负面清单（2022年版）》中禁止或许可准入类。</w:t>
                  </w:r>
                </w:p>
                <w:p w14:paraId="5398E38C">
                  <w:pPr>
                    <w:pStyle w:val="30"/>
                    <w:numPr>
                      <w:ilvl w:val="0"/>
                      <w:numId w:val="1"/>
                    </w:numPr>
                    <w:spacing w:beforeLines="0" w:afterLines="0" w:line="240" w:lineRule="auto"/>
                    <w:rPr>
                      <w:rFonts w:ascii="Times New Roman"/>
                      <w:color w:val="auto"/>
                      <w:szCs w:val="21"/>
                    </w:rPr>
                  </w:pPr>
                  <w:r>
                    <w:rPr>
                      <w:rFonts w:ascii="Times New Roman"/>
                      <w:color w:val="auto"/>
                      <w:szCs w:val="21"/>
                    </w:rPr>
                    <w:t>本项目不属于《产业结构调整指导目录（20</w:t>
                  </w:r>
                  <w:r>
                    <w:rPr>
                      <w:rFonts w:hint="eastAsia" w:ascii="Times New Roman"/>
                      <w:color w:val="auto"/>
                      <w:szCs w:val="21"/>
                    </w:rPr>
                    <w:t>24</w:t>
                  </w:r>
                  <w:r>
                    <w:rPr>
                      <w:rFonts w:ascii="Times New Roman"/>
                      <w:color w:val="auto"/>
                      <w:szCs w:val="21"/>
                    </w:rPr>
                    <w:t>年本）》规定的</w:t>
                  </w:r>
                  <w:r>
                    <w:rPr>
                      <w:rFonts w:hint="eastAsia" w:ascii="Times New Roman"/>
                      <w:color w:val="auto"/>
                      <w:szCs w:val="21"/>
                    </w:rPr>
                    <w:t>“</w:t>
                  </w:r>
                  <w:r>
                    <w:rPr>
                      <w:rFonts w:ascii="Times New Roman"/>
                      <w:color w:val="auto"/>
                      <w:szCs w:val="21"/>
                    </w:rPr>
                    <w:t>鼓励类</w:t>
                  </w:r>
                  <w:r>
                    <w:rPr>
                      <w:rFonts w:hint="eastAsia" w:ascii="Times New Roman"/>
                      <w:color w:val="auto"/>
                      <w:szCs w:val="21"/>
                    </w:rPr>
                    <w:t>”</w:t>
                  </w:r>
                  <w:r>
                    <w:rPr>
                      <w:rFonts w:ascii="Times New Roman"/>
                      <w:color w:val="auto"/>
                      <w:szCs w:val="21"/>
                    </w:rPr>
                    <w:t>、</w:t>
                  </w:r>
                  <w:r>
                    <w:rPr>
                      <w:rFonts w:hint="eastAsia" w:ascii="Times New Roman"/>
                      <w:color w:val="auto"/>
                      <w:szCs w:val="21"/>
                    </w:rPr>
                    <w:t>“</w:t>
                  </w:r>
                  <w:r>
                    <w:rPr>
                      <w:rFonts w:ascii="Times New Roman"/>
                      <w:color w:val="auto"/>
                      <w:szCs w:val="21"/>
                    </w:rPr>
                    <w:t>限制类</w:t>
                  </w:r>
                  <w:r>
                    <w:rPr>
                      <w:rFonts w:hint="eastAsia" w:ascii="Times New Roman"/>
                      <w:color w:val="auto"/>
                      <w:szCs w:val="21"/>
                    </w:rPr>
                    <w:t>”</w:t>
                  </w:r>
                  <w:r>
                    <w:rPr>
                      <w:rFonts w:ascii="Times New Roman"/>
                      <w:color w:val="auto"/>
                      <w:szCs w:val="21"/>
                    </w:rPr>
                    <w:t>和</w:t>
                  </w:r>
                  <w:r>
                    <w:rPr>
                      <w:rFonts w:hint="eastAsia" w:ascii="Times New Roman"/>
                      <w:color w:val="auto"/>
                      <w:szCs w:val="21"/>
                    </w:rPr>
                    <w:t>“</w:t>
                  </w:r>
                  <w:r>
                    <w:rPr>
                      <w:rFonts w:ascii="Times New Roman"/>
                      <w:color w:val="auto"/>
                      <w:szCs w:val="21"/>
                    </w:rPr>
                    <w:t>淘汰类</w:t>
                  </w:r>
                  <w:r>
                    <w:rPr>
                      <w:rFonts w:hint="eastAsia" w:ascii="Times New Roman"/>
                      <w:color w:val="auto"/>
                      <w:szCs w:val="21"/>
                    </w:rPr>
                    <w:t>”</w:t>
                  </w:r>
                  <w:r>
                    <w:rPr>
                      <w:rFonts w:ascii="Times New Roman"/>
                      <w:color w:val="auto"/>
                      <w:szCs w:val="21"/>
                    </w:rPr>
                    <w:t>项目。</w:t>
                  </w:r>
                </w:p>
              </w:tc>
              <w:tc>
                <w:tcPr>
                  <w:tcW w:w="255" w:type="dxa"/>
                  <w:tcBorders>
                    <w:tl2br w:val="nil"/>
                    <w:tr2bl w:val="nil"/>
                  </w:tcBorders>
                  <w:shd w:val="clear" w:color="auto" w:fill="auto"/>
                  <w:tcMar>
                    <w:left w:w="28" w:type="dxa"/>
                    <w:right w:w="28" w:type="dxa"/>
                  </w:tcMar>
                  <w:vAlign w:val="center"/>
                </w:tcPr>
                <w:p w14:paraId="2B5E5F4B">
                  <w:pPr>
                    <w:pStyle w:val="30"/>
                    <w:spacing w:beforeLines="0" w:afterLines="0" w:line="240" w:lineRule="auto"/>
                    <w:rPr>
                      <w:rFonts w:ascii="Times New Roman"/>
                      <w:bCs/>
                      <w:color w:val="auto"/>
                      <w:szCs w:val="21"/>
                    </w:rPr>
                  </w:pPr>
                  <w:r>
                    <w:rPr>
                      <w:rFonts w:ascii="Times New Roman"/>
                      <w:bCs/>
                      <w:color w:val="auto"/>
                      <w:szCs w:val="21"/>
                    </w:rPr>
                    <w:t>符合</w:t>
                  </w:r>
                </w:p>
              </w:tc>
            </w:tr>
            <w:tr w14:paraId="09A0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55" w:type="dxa"/>
                  <w:vMerge w:val="continue"/>
                  <w:tcBorders>
                    <w:tl2br w:val="nil"/>
                    <w:tr2bl w:val="nil"/>
                  </w:tcBorders>
                  <w:vAlign w:val="center"/>
                </w:tcPr>
                <w:p w14:paraId="1F3CBDC3">
                  <w:pPr>
                    <w:pStyle w:val="30"/>
                    <w:spacing w:beforeLines="0" w:afterLines="0" w:line="240" w:lineRule="auto"/>
                    <w:rPr>
                      <w:rFonts w:ascii="Times New Roman"/>
                      <w:color w:val="auto"/>
                      <w:szCs w:val="21"/>
                    </w:rPr>
                  </w:pPr>
                </w:p>
              </w:tc>
              <w:tc>
                <w:tcPr>
                  <w:tcW w:w="286" w:type="dxa"/>
                  <w:vMerge w:val="continue"/>
                  <w:tcBorders>
                    <w:tl2br w:val="nil"/>
                    <w:tr2bl w:val="nil"/>
                  </w:tcBorders>
                  <w:shd w:val="clear" w:color="auto" w:fill="auto"/>
                  <w:tcMar>
                    <w:left w:w="28" w:type="dxa"/>
                    <w:right w:w="28" w:type="dxa"/>
                  </w:tcMar>
                  <w:vAlign w:val="center"/>
                </w:tcPr>
                <w:p w14:paraId="7848B010">
                  <w:pPr>
                    <w:pStyle w:val="30"/>
                    <w:spacing w:beforeLines="0" w:afterLines="0" w:line="240" w:lineRule="auto"/>
                    <w:rPr>
                      <w:rFonts w:ascii="Times New Roman"/>
                      <w:color w:val="auto"/>
                      <w:szCs w:val="21"/>
                    </w:rPr>
                  </w:pPr>
                </w:p>
              </w:tc>
              <w:tc>
                <w:tcPr>
                  <w:tcW w:w="491" w:type="dxa"/>
                  <w:tcBorders>
                    <w:tl2br w:val="nil"/>
                    <w:tr2bl w:val="nil"/>
                  </w:tcBorders>
                  <w:shd w:val="clear" w:color="auto" w:fill="auto"/>
                  <w:tcMar>
                    <w:left w:w="28" w:type="dxa"/>
                    <w:right w:w="28" w:type="dxa"/>
                  </w:tcMar>
                  <w:vAlign w:val="center"/>
                </w:tcPr>
                <w:p w14:paraId="179747EE">
                  <w:pPr>
                    <w:pStyle w:val="30"/>
                    <w:spacing w:beforeLines="0" w:afterLines="0" w:line="240" w:lineRule="auto"/>
                    <w:rPr>
                      <w:rFonts w:ascii="Times New Roman"/>
                      <w:bCs/>
                      <w:color w:val="auto"/>
                      <w:szCs w:val="21"/>
                    </w:rPr>
                  </w:pPr>
                  <w:r>
                    <w:rPr>
                      <w:rFonts w:ascii="Times New Roman"/>
                      <w:bCs/>
                      <w:color w:val="auto"/>
                      <w:szCs w:val="21"/>
                    </w:rPr>
                    <w:t>污染物排放管控</w:t>
                  </w:r>
                </w:p>
              </w:tc>
              <w:tc>
                <w:tcPr>
                  <w:tcW w:w="3719" w:type="dxa"/>
                  <w:tcBorders>
                    <w:tl2br w:val="nil"/>
                    <w:tr2bl w:val="nil"/>
                  </w:tcBorders>
                  <w:shd w:val="clear" w:color="auto" w:fill="auto"/>
                  <w:vAlign w:val="center"/>
                </w:tcPr>
                <w:p w14:paraId="21AF4184">
                  <w:pPr>
                    <w:pStyle w:val="30"/>
                    <w:spacing w:beforeLines="0" w:afterLines="0" w:line="240" w:lineRule="auto"/>
                    <w:jc w:val="left"/>
                    <w:rPr>
                      <w:rFonts w:ascii="Times New Roman"/>
                      <w:bCs/>
                      <w:color w:val="auto"/>
                      <w:szCs w:val="21"/>
                    </w:rPr>
                  </w:pPr>
                  <w:r>
                    <w:rPr>
                      <w:rFonts w:ascii="Times New Roman"/>
                      <w:bCs/>
                      <w:color w:val="auto"/>
                      <w:szCs w:val="21"/>
                    </w:rPr>
                    <w:t>1、禁止新建燃煤集中供热站；有序淘汰放不达标小火电机组；不再新建35蒸吨以下的燃煤锅炉；65蒸吨及以上燃煤锅炉全部完成节能改造；10万千瓦及以上燃煤火电机组全部实现超低排放。</w:t>
                  </w:r>
                </w:p>
                <w:p w14:paraId="5B712670">
                  <w:pPr>
                    <w:pStyle w:val="30"/>
                    <w:spacing w:beforeLines="0" w:afterLines="0" w:line="240" w:lineRule="auto"/>
                    <w:jc w:val="left"/>
                    <w:rPr>
                      <w:rFonts w:ascii="Times New Roman"/>
                      <w:bCs/>
                      <w:color w:val="auto"/>
                      <w:szCs w:val="21"/>
                    </w:rPr>
                  </w:pPr>
                  <w:r>
                    <w:rPr>
                      <w:rFonts w:ascii="Times New Roman"/>
                      <w:bCs/>
                      <w:color w:val="auto"/>
                      <w:szCs w:val="21"/>
                    </w:rPr>
                    <w:t>2.工业集聚区内工业废水必须经预处理达到集中处理要求，方可进入污水集中处理设施。</w:t>
                  </w:r>
                </w:p>
                <w:p w14:paraId="1EDC8D74">
                  <w:pPr>
                    <w:pStyle w:val="30"/>
                    <w:spacing w:beforeLines="0" w:afterLines="0" w:line="240" w:lineRule="auto"/>
                    <w:jc w:val="left"/>
                    <w:rPr>
                      <w:rFonts w:ascii="Times New Roman"/>
                      <w:bCs/>
                      <w:color w:val="auto"/>
                      <w:szCs w:val="21"/>
                    </w:rPr>
                  </w:pPr>
                  <w:r>
                    <w:rPr>
                      <w:rFonts w:ascii="Times New Roman"/>
                      <w:bCs/>
                      <w:color w:val="auto"/>
                      <w:szCs w:val="21"/>
                    </w:rPr>
                    <w:t>3.黄河流域城镇污水处理设施执行《黄河流域（陕西段）污水综合排放标准》；汉江、丹江流域城镇污水处理设施执行《汉丹江流域（陕西段）重点行业水污染物排放限值》。</w:t>
                  </w:r>
                </w:p>
                <w:p w14:paraId="0E2B4ACC">
                  <w:pPr>
                    <w:pStyle w:val="30"/>
                    <w:spacing w:beforeLines="0" w:afterLines="0" w:line="240" w:lineRule="auto"/>
                    <w:jc w:val="left"/>
                    <w:rPr>
                      <w:rFonts w:ascii="Times New Roman"/>
                      <w:bCs/>
                      <w:color w:val="auto"/>
                      <w:szCs w:val="21"/>
                    </w:rPr>
                  </w:pPr>
                  <w:r>
                    <w:rPr>
                      <w:rFonts w:ascii="Times New Roman"/>
                      <w:bCs/>
                      <w:color w:val="auto"/>
                      <w:szCs w:val="21"/>
                    </w:rPr>
                    <w:t>4.新建、改建、扩建规模化畜禽养殖场（小区）要实施雨污分流、粪便污水资源化利用。</w:t>
                  </w:r>
                </w:p>
                <w:p w14:paraId="2DE13BAB">
                  <w:pPr>
                    <w:pStyle w:val="30"/>
                    <w:spacing w:beforeLines="0" w:afterLines="0" w:line="240" w:lineRule="auto"/>
                    <w:jc w:val="left"/>
                    <w:rPr>
                      <w:rFonts w:ascii="Times New Roman"/>
                      <w:bCs/>
                      <w:color w:val="auto"/>
                      <w:szCs w:val="21"/>
                    </w:rPr>
                  </w:pPr>
                  <w:r>
                    <w:rPr>
                      <w:rFonts w:ascii="Times New Roman"/>
                      <w:bCs/>
                      <w:color w:val="auto"/>
                      <w:szCs w:val="21"/>
                    </w:rPr>
                    <w:t>5.产生废石（废渣）的矿山开发、选矿及废渣综合利用企业必须建设规范的堆场，对矿坑废水、选矿废水、堆场淋溶水、冲洗废水、生活污水等进行全收集、全处理。</w:t>
                  </w:r>
                </w:p>
                <w:p w14:paraId="34BAD481">
                  <w:pPr>
                    <w:pStyle w:val="30"/>
                    <w:spacing w:beforeLines="0" w:afterLines="0" w:line="240" w:lineRule="auto"/>
                    <w:jc w:val="left"/>
                    <w:rPr>
                      <w:rFonts w:ascii="Times New Roman"/>
                      <w:bCs/>
                      <w:color w:val="auto"/>
                      <w:szCs w:val="21"/>
                    </w:rPr>
                  </w:pPr>
                  <w:r>
                    <w:rPr>
                      <w:rFonts w:ascii="Times New Roman"/>
                      <w:bCs/>
                      <w:color w:val="auto"/>
                      <w:szCs w:val="21"/>
                    </w:rPr>
                    <w:t>6严禁采用渗井、废坑、废矿井或净水稀释等手段排放有毒、有害废水。存放含有毒、有害物质的废水、废液的淋浸池、贮存池、沉淀池必须采取防腐、防渗漏、防流失等措施。</w:t>
                  </w:r>
                </w:p>
                <w:p w14:paraId="7E773A57">
                  <w:pPr>
                    <w:pStyle w:val="30"/>
                    <w:numPr>
                      <w:ilvl w:val="0"/>
                      <w:numId w:val="2"/>
                    </w:numPr>
                    <w:spacing w:beforeLines="0" w:afterLines="0" w:line="240" w:lineRule="auto"/>
                    <w:jc w:val="left"/>
                    <w:rPr>
                      <w:rFonts w:ascii="Times New Roman"/>
                      <w:bCs/>
                      <w:color w:val="auto"/>
                      <w:szCs w:val="21"/>
                    </w:rPr>
                  </w:pPr>
                  <w:r>
                    <w:rPr>
                      <w:rFonts w:ascii="Times New Roman"/>
                      <w:bCs/>
                      <w:color w:val="auto"/>
                      <w:szCs w:val="21"/>
                    </w:rPr>
                    <w:t>西安市鄠邑区，宝鸡市凤翔县、凤县，咸阳市礼泉县，渭南市潼关县，汉中市略阳县、宁强县、勉县，安康市汉滨区、旬阳市，商洛市商州区、镇安县、洛南县等13个矿产资源开发利用活动集中的县（区）执行《重有色金属冶炼业铅、锌工业污染物排放标准》（GB25466）中的水污染物总锌、总铜、总铅、总镉、总镍、总砷、总汞、总铬特别排放限值；《电镀污染物排放标准》（GB21900）中的水污染物总铬、六价铬、总镍、总镉、总银、总铅、总汞、总锌、总铜、总铁、总铝、石油类特别排放限值；《电池工业污染物排放标准》（GB30484</w:t>
                  </w:r>
                </w:p>
                <w:p w14:paraId="3F0627DF">
                  <w:pPr>
                    <w:pStyle w:val="30"/>
                    <w:spacing w:beforeLines="0" w:afterLines="0" w:line="240" w:lineRule="auto"/>
                    <w:jc w:val="left"/>
                    <w:rPr>
                      <w:rFonts w:ascii="Times New Roman"/>
                      <w:bCs/>
                      <w:color w:val="auto"/>
                      <w:szCs w:val="21"/>
                    </w:rPr>
                  </w:pPr>
                  <w:r>
                    <w:rPr>
                      <w:rFonts w:ascii="Times New Roman"/>
                      <w:bCs/>
                      <w:color w:val="auto"/>
                      <w:szCs w:val="21"/>
                    </w:rPr>
                    <w:t>）中的水污染物总锌、总锰、总汞、总银、总铅、总镉、总镍、总钴特别排放限值。</w:t>
                  </w:r>
                </w:p>
              </w:tc>
              <w:tc>
                <w:tcPr>
                  <w:tcW w:w="1531" w:type="dxa"/>
                  <w:tcBorders>
                    <w:tl2br w:val="nil"/>
                    <w:tr2bl w:val="nil"/>
                  </w:tcBorders>
                  <w:vAlign w:val="center"/>
                </w:tcPr>
                <w:p w14:paraId="3AD2D598">
                  <w:pPr>
                    <w:pStyle w:val="30"/>
                    <w:numPr>
                      <w:ilvl w:val="0"/>
                      <w:numId w:val="3"/>
                    </w:numPr>
                    <w:spacing w:beforeLines="0" w:afterLines="0" w:line="240" w:lineRule="auto"/>
                    <w:rPr>
                      <w:rFonts w:ascii="Times New Roman"/>
                      <w:bCs/>
                      <w:color w:val="auto"/>
                      <w:szCs w:val="21"/>
                    </w:rPr>
                  </w:pPr>
                  <w:r>
                    <w:rPr>
                      <w:rFonts w:hint="eastAsia" w:ascii="Times New Roman"/>
                      <w:bCs/>
                      <w:color w:val="auto"/>
                      <w:szCs w:val="21"/>
                    </w:rPr>
                    <w:t>本项目不属于燃煤集中供热站。</w:t>
                  </w:r>
                </w:p>
                <w:p w14:paraId="6A34710C">
                  <w:pPr>
                    <w:pStyle w:val="30"/>
                    <w:numPr>
                      <w:ilvl w:val="0"/>
                      <w:numId w:val="3"/>
                    </w:numPr>
                    <w:spacing w:beforeLines="0" w:afterLines="0" w:line="240" w:lineRule="auto"/>
                    <w:rPr>
                      <w:rFonts w:ascii="Times New Roman"/>
                      <w:bCs/>
                      <w:color w:val="auto"/>
                      <w:szCs w:val="21"/>
                    </w:rPr>
                  </w:pPr>
                  <w:r>
                    <w:rPr>
                      <w:rFonts w:hint="eastAsia" w:ascii="Times New Roman"/>
                      <w:bCs/>
                      <w:color w:val="auto"/>
                      <w:szCs w:val="21"/>
                    </w:rPr>
                    <w:t>本项目废水</w:t>
                  </w:r>
                  <w:r>
                    <w:rPr>
                      <w:rFonts w:hint="eastAsia" w:ascii="Times New Roman"/>
                      <w:color w:val="auto"/>
                      <w:szCs w:val="21"/>
                      <w:lang w:bidi="ar"/>
                    </w:rPr>
                    <w:t>依托</w:t>
                  </w:r>
                  <w:r>
                    <w:rPr>
                      <w:rFonts w:ascii="Times New Roman"/>
                      <w:color w:val="auto"/>
                      <w:szCs w:val="21"/>
                      <w:lang w:bidi="ar"/>
                    </w:rPr>
                    <w:t>西安生漆涂料研究所化粪池及地埋式一体化污水处理设施处理后经市政管网排入沣西新城渭河污水处理厂处理。</w:t>
                  </w:r>
                </w:p>
                <w:p w14:paraId="4F055DA3">
                  <w:pPr>
                    <w:numPr>
                      <w:ilvl w:val="0"/>
                      <w:numId w:val="3"/>
                    </w:numPr>
                    <w:rPr>
                      <w:bCs/>
                      <w:color w:val="auto"/>
                      <w:szCs w:val="21"/>
                    </w:rPr>
                  </w:pPr>
                  <w:r>
                    <w:rPr>
                      <w:color w:val="auto"/>
                      <w:szCs w:val="21"/>
                      <w:lang w:bidi="ar"/>
                    </w:rPr>
                    <w:t>沣西新城渭河污水处理厂</w:t>
                  </w:r>
                  <w:r>
                    <w:rPr>
                      <w:rFonts w:hint="eastAsia"/>
                      <w:color w:val="auto"/>
                      <w:szCs w:val="21"/>
                      <w:lang w:bidi="ar"/>
                    </w:rPr>
                    <w:t>满足《</w:t>
                  </w:r>
                  <w:r>
                    <w:rPr>
                      <w:bCs/>
                      <w:color w:val="auto"/>
                      <w:szCs w:val="21"/>
                    </w:rPr>
                    <w:t>黄河流域（陕西段）污水综合排放标准》</w:t>
                  </w:r>
                  <w:r>
                    <w:rPr>
                      <w:rFonts w:hint="eastAsia"/>
                      <w:bCs/>
                      <w:color w:val="auto"/>
                      <w:szCs w:val="21"/>
                    </w:rPr>
                    <w:t>限值要求。</w:t>
                  </w:r>
                </w:p>
                <w:p w14:paraId="5021EA34">
                  <w:pPr>
                    <w:numPr>
                      <w:ilvl w:val="0"/>
                      <w:numId w:val="3"/>
                    </w:numPr>
                    <w:rPr>
                      <w:bCs/>
                      <w:color w:val="auto"/>
                      <w:szCs w:val="21"/>
                    </w:rPr>
                  </w:pPr>
                  <w:r>
                    <w:rPr>
                      <w:rFonts w:hint="eastAsia"/>
                      <w:bCs/>
                      <w:color w:val="auto"/>
                      <w:szCs w:val="21"/>
                    </w:rPr>
                    <w:t>本项目不属于畜禽养殖厂。</w:t>
                  </w:r>
                </w:p>
                <w:p w14:paraId="188C16BA">
                  <w:pPr>
                    <w:numPr>
                      <w:ilvl w:val="0"/>
                      <w:numId w:val="3"/>
                    </w:numPr>
                    <w:rPr>
                      <w:bCs/>
                      <w:color w:val="auto"/>
                      <w:szCs w:val="21"/>
                    </w:rPr>
                  </w:pPr>
                  <w:r>
                    <w:rPr>
                      <w:rFonts w:hint="eastAsia"/>
                      <w:bCs/>
                      <w:color w:val="auto"/>
                      <w:szCs w:val="21"/>
                    </w:rPr>
                    <w:t>本项目不涉及堆场。</w:t>
                  </w:r>
                </w:p>
                <w:p w14:paraId="1DAFA02E">
                  <w:pPr>
                    <w:numPr>
                      <w:ilvl w:val="0"/>
                      <w:numId w:val="3"/>
                    </w:numPr>
                    <w:rPr>
                      <w:bCs/>
                      <w:color w:val="auto"/>
                      <w:szCs w:val="21"/>
                    </w:rPr>
                  </w:pPr>
                  <w:r>
                    <w:rPr>
                      <w:rFonts w:hint="eastAsia"/>
                      <w:bCs/>
                      <w:color w:val="auto"/>
                      <w:szCs w:val="21"/>
                    </w:rPr>
                    <w:t>本项目不排放有毒、有害废水。</w:t>
                  </w:r>
                </w:p>
                <w:p w14:paraId="50BAE9B6">
                  <w:pPr>
                    <w:numPr>
                      <w:ilvl w:val="0"/>
                      <w:numId w:val="3"/>
                    </w:numPr>
                    <w:rPr>
                      <w:bCs/>
                      <w:color w:val="auto"/>
                      <w:szCs w:val="21"/>
                    </w:rPr>
                  </w:pPr>
                  <w:r>
                    <w:rPr>
                      <w:rFonts w:hint="eastAsia"/>
                      <w:bCs/>
                      <w:color w:val="auto"/>
                      <w:szCs w:val="21"/>
                    </w:rPr>
                    <w:t>本项目不</w:t>
                  </w:r>
                  <w:r>
                    <w:rPr>
                      <w:rFonts w:hint="eastAsia"/>
                      <w:bCs/>
                      <w:color w:val="auto"/>
                      <w:szCs w:val="21"/>
                      <w:lang w:val="en-US" w:eastAsia="zh-CN"/>
                    </w:rPr>
                    <w:t>涉及</w:t>
                  </w:r>
                  <w:r>
                    <w:rPr>
                      <w:rFonts w:hint="eastAsia"/>
                      <w:bCs/>
                      <w:color w:val="auto"/>
                      <w:szCs w:val="21"/>
                    </w:rPr>
                    <w:t>矿产资源开发利用。</w:t>
                  </w:r>
                </w:p>
              </w:tc>
              <w:tc>
                <w:tcPr>
                  <w:tcW w:w="255" w:type="dxa"/>
                  <w:tcBorders>
                    <w:tl2br w:val="nil"/>
                    <w:tr2bl w:val="nil"/>
                  </w:tcBorders>
                  <w:shd w:val="clear" w:color="auto" w:fill="auto"/>
                  <w:tcMar>
                    <w:left w:w="28" w:type="dxa"/>
                    <w:right w:w="28" w:type="dxa"/>
                  </w:tcMar>
                  <w:vAlign w:val="center"/>
                </w:tcPr>
                <w:p w14:paraId="78E1CDCB">
                  <w:pPr>
                    <w:pStyle w:val="30"/>
                    <w:spacing w:beforeLines="0" w:afterLines="0" w:line="240" w:lineRule="auto"/>
                    <w:rPr>
                      <w:rFonts w:ascii="Times New Roman"/>
                      <w:bCs/>
                      <w:color w:val="auto"/>
                      <w:szCs w:val="21"/>
                    </w:rPr>
                  </w:pPr>
                  <w:r>
                    <w:rPr>
                      <w:rFonts w:ascii="Times New Roman"/>
                      <w:bCs/>
                      <w:color w:val="auto"/>
                      <w:szCs w:val="21"/>
                    </w:rPr>
                    <w:t>符合</w:t>
                  </w:r>
                </w:p>
              </w:tc>
            </w:tr>
            <w:tr w14:paraId="3006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55" w:type="dxa"/>
                  <w:vMerge w:val="continue"/>
                  <w:tcBorders>
                    <w:tl2br w:val="nil"/>
                    <w:tr2bl w:val="nil"/>
                  </w:tcBorders>
                  <w:vAlign w:val="center"/>
                </w:tcPr>
                <w:p w14:paraId="7E08BE2C">
                  <w:pPr>
                    <w:pStyle w:val="30"/>
                    <w:spacing w:beforeLines="0" w:afterLines="0" w:line="240" w:lineRule="auto"/>
                    <w:rPr>
                      <w:rFonts w:ascii="Times New Roman"/>
                      <w:color w:val="auto"/>
                      <w:szCs w:val="21"/>
                    </w:rPr>
                  </w:pPr>
                </w:p>
              </w:tc>
              <w:tc>
                <w:tcPr>
                  <w:tcW w:w="286" w:type="dxa"/>
                  <w:vMerge w:val="continue"/>
                  <w:tcBorders>
                    <w:tl2br w:val="nil"/>
                    <w:tr2bl w:val="nil"/>
                  </w:tcBorders>
                  <w:shd w:val="clear" w:color="auto" w:fill="auto"/>
                  <w:tcMar>
                    <w:left w:w="28" w:type="dxa"/>
                    <w:right w:w="28" w:type="dxa"/>
                  </w:tcMar>
                  <w:vAlign w:val="center"/>
                </w:tcPr>
                <w:p w14:paraId="3074AB73">
                  <w:pPr>
                    <w:pStyle w:val="30"/>
                    <w:spacing w:beforeLines="0" w:afterLines="0" w:line="240" w:lineRule="auto"/>
                    <w:rPr>
                      <w:rFonts w:ascii="Times New Roman"/>
                      <w:color w:val="auto"/>
                      <w:szCs w:val="21"/>
                    </w:rPr>
                  </w:pPr>
                </w:p>
              </w:tc>
              <w:tc>
                <w:tcPr>
                  <w:tcW w:w="491" w:type="dxa"/>
                  <w:tcBorders>
                    <w:tl2br w:val="nil"/>
                    <w:tr2bl w:val="nil"/>
                  </w:tcBorders>
                  <w:shd w:val="clear" w:color="auto" w:fill="auto"/>
                  <w:tcMar>
                    <w:left w:w="28" w:type="dxa"/>
                    <w:right w:w="28" w:type="dxa"/>
                  </w:tcMar>
                  <w:vAlign w:val="center"/>
                </w:tcPr>
                <w:p w14:paraId="06E23239">
                  <w:pPr>
                    <w:pStyle w:val="30"/>
                    <w:spacing w:beforeLines="0" w:afterLines="0" w:line="240" w:lineRule="auto"/>
                    <w:jc w:val="left"/>
                    <w:rPr>
                      <w:rFonts w:ascii="Times New Roman"/>
                      <w:bCs/>
                      <w:color w:val="auto"/>
                      <w:szCs w:val="21"/>
                    </w:rPr>
                  </w:pPr>
                  <w:r>
                    <w:rPr>
                      <w:rFonts w:ascii="Times New Roman"/>
                      <w:bCs/>
                      <w:color w:val="auto"/>
                      <w:szCs w:val="21"/>
                    </w:rPr>
                    <w:t>环境风险</w:t>
                  </w:r>
                </w:p>
              </w:tc>
              <w:tc>
                <w:tcPr>
                  <w:tcW w:w="3719" w:type="dxa"/>
                  <w:tcBorders>
                    <w:tl2br w:val="nil"/>
                    <w:tr2bl w:val="nil"/>
                  </w:tcBorders>
                  <w:shd w:val="clear" w:color="auto" w:fill="auto"/>
                  <w:vAlign w:val="center"/>
                </w:tcPr>
                <w:p w14:paraId="2EAD6736">
                  <w:pPr>
                    <w:pStyle w:val="30"/>
                    <w:spacing w:beforeLines="0" w:afterLines="0" w:line="240" w:lineRule="auto"/>
                    <w:jc w:val="left"/>
                    <w:rPr>
                      <w:rFonts w:ascii="Times New Roman"/>
                      <w:bCs/>
                      <w:color w:val="auto"/>
                      <w:szCs w:val="21"/>
                    </w:rPr>
                  </w:pPr>
                  <w:r>
                    <w:rPr>
                      <w:rFonts w:ascii="Times New Roman"/>
                      <w:bCs/>
                      <w:color w:val="auto"/>
                      <w:szCs w:val="21"/>
                    </w:rPr>
                    <w:t>1.重点加强饮用水源地、化工企业、工业园区、陕北原油管道、陕南尾矿库等领域的环境风险防控。</w:t>
                  </w:r>
                </w:p>
                <w:p w14:paraId="4D5D466D">
                  <w:pPr>
                    <w:pStyle w:val="30"/>
                    <w:spacing w:beforeLines="0" w:afterLines="0" w:line="240" w:lineRule="auto"/>
                    <w:jc w:val="left"/>
                    <w:rPr>
                      <w:rFonts w:ascii="Times New Roman"/>
                      <w:bCs/>
                      <w:color w:val="auto"/>
                      <w:szCs w:val="21"/>
                    </w:rPr>
                  </w:pPr>
                  <w:r>
                    <w:rPr>
                      <w:rFonts w:ascii="Times New Roman"/>
                      <w:bCs/>
                      <w:color w:val="auto"/>
                      <w:szCs w:val="21"/>
                    </w:rPr>
                    <w:t>2.渭河、延河、无定河、汉江、丹江、嘉陵江等六条主要河流干流沿岸，要严格控制石油加工、化学原料和化学制品制造、医药制造、化学纤维制造、有色金属冶炼、纺织印染等项目，合理布局生产装置及危险化学品仓储等设施。</w:t>
                  </w:r>
                </w:p>
              </w:tc>
              <w:tc>
                <w:tcPr>
                  <w:tcW w:w="1531" w:type="dxa"/>
                  <w:tcBorders>
                    <w:tl2br w:val="nil"/>
                    <w:tr2bl w:val="nil"/>
                  </w:tcBorders>
                  <w:vAlign w:val="center"/>
                </w:tcPr>
                <w:p w14:paraId="3A875C70">
                  <w:pPr>
                    <w:pStyle w:val="30"/>
                    <w:spacing w:beforeLines="0" w:afterLines="0" w:line="240" w:lineRule="auto"/>
                    <w:rPr>
                      <w:rFonts w:ascii="Times New Roman"/>
                      <w:color w:val="auto"/>
                      <w:szCs w:val="21"/>
                    </w:rPr>
                  </w:pPr>
                  <w:r>
                    <w:rPr>
                      <w:rFonts w:hint="eastAsia" w:ascii="Times New Roman"/>
                      <w:color w:val="auto"/>
                      <w:szCs w:val="21"/>
                    </w:rPr>
                    <w:t>1、本项目不属于</w:t>
                  </w:r>
                  <w:r>
                    <w:rPr>
                      <w:rFonts w:ascii="Times New Roman"/>
                      <w:bCs/>
                      <w:color w:val="auto"/>
                      <w:szCs w:val="21"/>
                    </w:rPr>
                    <w:t>饮用水源地、化工企业、工业园区、陕北原油管道、陕南尾矿库等领域</w:t>
                  </w:r>
                  <w:r>
                    <w:rPr>
                      <w:rFonts w:hint="eastAsia" w:ascii="Times New Roman"/>
                      <w:color w:val="auto"/>
                      <w:szCs w:val="21"/>
                    </w:rPr>
                    <w:t>。</w:t>
                  </w:r>
                </w:p>
                <w:p w14:paraId="0E63AC33">
                  <w:pPr>
                    <w:pStyle w:val="30"/>
                    <w:spacing w:beforeLines="0" w:afterLines="0" w:line="240" w:lineRule="auto"/>
                    <w:rPr>
                      <w:rFonts w:ascii="Times New Roman"/>
                      <w:bCs/>
                      <w:color w:val="auto"/>
                      <w:szCs w:val="21"/>
                    </w:rPr>
                  </w:pPr>
                  <w:r>
                    <w:rPr>
                      <w:rFonts w:hint="eastAsia" w:ascii="Times New Roman"/>
                      <w:color w:val="auto"/>
                      <w:szCs w:val="21"/>
                    </w:rPr>
                    <w:t>2、本项目不属于</w:t>
                  </w:r>
                  <w:r>
                    <w:rPr>
                      <w:rFonts w:ascii="Times New Roman"/>
                      <w:bCs/>
                      <w:color w:val="auto"/>
                      <w:szCs w:val="21"/>
                    </w:rPr>
                    <w:t>石油加工、化学原料和化学制品制造、医药制造、化学纤维制造、有色金属冶炼、纺织印染等项目，</w:t>
                  </w:r>
                  <w:r>
                    <w:rPr>
                      <w:rFonts w:hint="eastAsia" w:ascii="Times New Roman"/>
                      <w:bCs/>
                      <w:color w:val="auto"/>
                      <w:szCs w:val="21"/>
                    </w:rPr>
                    <w:t>各类研发试剂均储存于库房</w:t>
                  </w:r>
                  <w:r>
                    <w:rPr>
                      <w:rFonts w:ascii="Times New Roman"/>
                      <w:bCs/>
                      <w:color w:val="auto"/>
                      <w:szCs w:val="21"/>
                    </w:rPr>
                    <w:t>，并严格管理。</w:t>
                  </w:r>
                </w:p>
              </w:tc>
              <w:tc>
                <w:tcPr>
                  <w:tcW w:w="255" w:type="dxa"/>
                  <w:tcBorders>
                    <w:tl2br w:val="nil"/>
                    <w:tr2bl w:val="nil"/>
                  </w:tcBorders>
                  <w:shd w:val="clear" w:color="auto" w:fill="auto"/>
                  <w:tcMar>
                    <w:left w:w="28" w:type="dxa"/>
                    <w:right w:w="28" w:type="dxa"/>
                  </w:tcMar>
                  <w:vAlign w:val="center"/>
                </w:tcPr>
                <w:p w14:paraId="20D1E9E2">
                  <w:pPr>
                    <w:pStyle w:val="30"/>
                    <w:spacing w:beforeLines="0" w:afterLines="0" w:line="240" w:lineRule="auto"/>
                    <w:rPr>
                      <w:rFonts w:ascii="Times New Roman"/>
                      <w:bCs/>
                      <w:color w:val="auto"/>
                      <w:szCs w:val="21"/>
                    </w:rPr>
                  </w:pPr>
                  <w:r>
                    <w:rPr>
                      <w:rFonts w:ascii="Times New Roman"/>
                      <w:bCs/>
                      <w:color w:val="auto"/>
                      <w:szCs w:val="21"/>
                    </w:rPr>
                    <w:t>符合</w:t>
                  </w:r>
                </w:p>
              </w:tc>
            </w:tr>
            <w:tr w14:paraId="6518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55" w:type="dxa"/>
                  <w:vMerge w:val="continue"/>
                  <w:tcBorders>
                    <w:tl2br w:val="nil"/>
                    <w:tr2bl w:val="nil"/>
                  </w:tcBorders>
                  <w:vAlign w:val="center"/>
                </w:tcPr>
                <w:p w14:paraId="7E2886BB">
                  <w:pPr>
                    <w:pStyle w:val="30"/>
                    <w:spacing w:beforeLines="0" w:afterLines="0" w:line="240" w:lineRule="auto"/>
                    <w:rPr>
                      <w:rFonts w:ascii="Times New Roman"/>
                      <w:color w:val="auto"/>
                      <w:szCs w:val="21"/>
                    </w:rPr>
                  </w:pPr>
                </w:p>
              </w:tc>
              <w:tc>
                <w:tcPr>
                  <w:tcW w:w="286" w:type="dxa"/>
                  <w:vMerge w:val="continue"/>
                  <w:tcBorders>
                    <w:tl2br w:val="nil"/>
                    <w:tr2bl w:val="nil"/>
                  </w:tcBorders>
                  <w:shd w:val="clear" w:color="auto" w:fill="auto"/>
                  <w:tcMar>
                    <w:left w:w="28" w:type="dxa"/>
                    <w:right w:w="28" w:type="dxa"/>
                  </w:tcMar>
                  <w:vAlign w:val="center"/>
                </w:tcPr>
                <w:p w14:paraId="73C5A2D3">
                  <w:pPr>
                    <w:pStyle w:val="30"/>
                    <w:spacing w:beforeLines="0" w:afterLines="0" w:line="240" w:lineRule="auto"/>
                    <w:rPr>
                      <w:rFonts w:ascii="Times New Roman"/>
                      <w:color w:val="auto"/>
                      <w:szCs w:val="21"/>
                    </w:rPr>
                  </w:pPr>
                </w:p>
              </w:tc>
              <w:tc>
                <w:tcPr>
                  <w:tcW w:w="491" w:type="dxa"/>
                  <w:tcBorders>
                    <w:tl2br w:val="nil"/>
                    <w:tr2bl w:val="nil"/>
                  </w:tcBorders>
                  <w:shd w:val="clear" w:color="auto" w:fill="auto"/>
                  <w:tcMar>
                    <w:left w:w="28" w:type="dxa"/>
                    <w:right w:w="28" w:type="dxa"/>
                  </w:tcMar>
                  <w:vAlign w:val="center"/>
                </w:tcPr>
                <w:p w14:paraId="00047244">
                  <w:pPr>
                    <w:pStyle w:val="30"/>
                    <w:spacing w:beforeLines="0" w:afterLines="0" w:line="240" w:lineRule="auto"/>
                    <w:rPr>
                      <w:rFonts w:ascii="Times New Roman"/>
                      <w:bCs/>
                      <w:color w:val="auto"/>
                      <w:szCs w:val="21"/>
                    </w:rPr>
                  </w:pPr>
                  <w:r>
                    <w:rPr>
                      <w:rFonts w:ascii="Times New Roman"/>
                      <w:bCs/>
                      <w:color w:val="auto"/>
                      <w:szCs w:val="21"/>
                    </w:rPr>
                    <w:t>资源开发效率要求</w:t>
                  </w:r>
                </w:p>
              </w:tc>
              <w:tc>
                <w:tcPr>
                  <w:tcW w:w="3719" w:type="dxa"/>
                  <w:tcBorders>
                    <w:tl2br w:val="nil"/>
                    <w:tr2bl w:val="nil"/>
                  </w:tcBorders>
                  <w:shd w:val="clear" w:color="auto" w:fill="auto"/>
                  <w:vAlign w:val="center"/>
                </w:tcPr>
                <w:p w14:paraId="45A046B0">
                  <w:pPr>
                    <w:widowControl/>
                    <w:adjustRightInd w:val="0"/>
                    <w:snapToGrid w:val="0"/>
                    <w:jc w:val="left"/>
                    <w:rPr>
                      <w:bCs/>
                      <w:color w:val="auto"/>
                      <w:szCs w:val="21"/>
                    </w:rPr>
                  </w:pPr>
                  <w:r>
                    <w:rPr>
                      <w:bCs/>
                      <w:color w:val="auto"/>
                      <w:szCs w:val="21"/>
                    </w:rPr>
                    <w:t>1.2020年大型发电集团单位供电二氧化碳排放水平控制在550克/千瓦时以内。</w:t>
                  </w:r>
                </w:p>
                <w:p w14:paraId="30C49951">
                  <w:pPr>
                    <w:widowControl/>
                    <w:adjustRightInd w:val="0"/>
                    <w:snapToGrid w:val="0"/>
                    <w:jc w:val="left"/>
                    <w:rPr>
                      <w:bCs/>
                      <w:color w:val="auto"/>
                      <w:szCs w:val="21"/>
                    </w:rPr>
                  </w:pPr>
                  <w:r>
                    <w:rPr>
                      <w:bCs/>
                      <w:color w:val="auto"/>
                      <w:szCs w:val="21"/>
                    </w:rPr>
                    <w:t>2.2020年全省万元国内生产总值用水量、万元工业增加值用水量比2013年的55.59立方米、32.43立方米分别下降15%、13%以上。</w:t>
                  </w:r>
                </w:p>
                <w:p w14:paraId="013A95CA">
                  <w:pPr>
                    <w:widowControl/>
                    <w:adjustRightInd w:val="0"/>
                    <w:snapToGrid w:val="0"/>
                    <w:jc w:val="left"/>
                    <w:rPr>
                      <w:bCs/>
                      <w:color w:val="auto"/>
                      <w:szCs w:val="21"/>
                    </w:rPr>
                  </w:pPr>
                  <w:r>
                    <w:rPr>
                      <w:bCs/>
                      <w:color w:val="auto"/>
                      <w:szCs w:val="21"/>
                    </w:rPr>
                    <w:t>3.2020年电力、钢铁、纺织、造纸、石油石化、化工、食品发酵等高耗水行业达到先进定额标准。</w:t>
                  </w:r>
                </w:p>
                <w:p w14:paraId="3F91264C">
                  <w:pPr>
                    <w:widowControl/>
                    <w:adjustRightInd w:val="0"/>
                    <w:snapToGrid w:val="0"/>
                    <w:jc w:val="left"/>
                    <w:rPr>
                      <w:bCs/>
                      <w:color w:val="auto"/>
                      <w:szCs w:val="21"/>
                    </w:rPr>
                  </w:pPr>
                  <w:r>
                    <w:rPr>
                      <w:bCs/>
                      <w:color w:val="auto"/>
                      <w:szCs w:val="21"/>
                    </w:rPr>
                    <w:t>4.2020年陕北、关中地区城市再生水利用率达20%以上。</w:t>
                  </w:r>
                </w:p>
                <w:p w14:paraId="3E770921">
                  <w:pPr>
                    <w:widowControl/>
                    <w:adjustRightInd w:val="0"/>
                    <w:snapToGrid w:val="0"/>
                    <w:jc w:val="left"/>
                    <w:rPr>
                      <w:bCs/>
                      <w:color w:val="auto"/>
                      <w:szCs w:val="21"/>
                    </w:rPr>
                  </w:pPr>
                  <w:r>
                    <w:rPr>
                      <w:bCs/>
                      <w:color w:val="auto"/>
                      <w:szCs w:val="21"/>
                    </w:rPr>
                    <w:t>5.严格限制高耗水行业发展，提高水资源利用水平；严禁挤占生态用水。</w:t>
                  </w:r>
                </w:p>
                <w:p w14:paraId="77A5FBEB">
                  <w:pPr>
                    <w:widowControl/>
                    <w:adjustRightInd w:val="0"/>
                    <w:snapToGrid w:val="0"/>
                    <w:jc w:val="left"/>
                    <w:rPr>
                      <w:bCs/>
                      <w:color w:val="auto"/>
                      <w:szCs w:val="21"/>
                    </w:rPr>
                  </w:pPr>
                  <w:r>
                    <w:rPr>
                      <w:bCs/>
                      <w:color w:val="auto"/>
                      <w:szCs w:val="21"/>
                    </w:rPr>
                    <w:t>6.对已接近或达到用水总量指标的地区，限制和停止审批新增取水。</w:t>
                  </w:r>
                </w:p>
                <w:p w14:paraId="35BE6AC5">
                  <w:pPr>
                    <w:widowControl/>
                    <w:adjustRightInd w:val="0"/>
                    <w:snapToGrid w:val="0"/>
                    <w:jc w:val="left"/>
                    <w:rPr>
                      <w:bCs/>
                      <w:color w:val="auto"/>
                      <w:szCs w:val="21"/>
                    </w:rPr>
                  </w:pPr>
                  <w:r>
                    <w:rPr>
                      <w:bCs/>
                      <w:color w:val="auto"/>
                      <w:szCs w:val="21"/>
                    </w:rPr>
                    <w:t>7.煤炭矿区的补充用水、周边地区生产和生态用水应优先使用矿井水，洗煤废水闭路循环不外排。</w:t>
                  </w:r>
                </w:p>
                <w:p w14:paraId="6512DFE8">
                  <w:pPr>
                    <w:widowControl/>
                    <w:adjustRightInd w:val="0"/>
                    <w:snapToGrid w:val="0"/>
                    <w:jc w:val="left"/>
                    <w:rPr>
                      <w:bCs/>
                      <w:color w:val="auto"/>
                      <w:szCs w:val="21"/>
                    </w:rPr>
                  </w:pPr>
                  <w:r>
                    <w:rPr>
                      <w:bCs/>
                      <w:color w:val="auto"/>
                      <w:szCs w:val="21"/>
                    </w:rPr>
                    <w:t>8.具备使用再生水条件但未充分利用的钢铁、火电、化工、制浆造纸、印染等项目，不得批准其新增取水许可。</w:t>
                  </w:r>
                </w:p>
                <w:p w14:paraId="2024A70B">
                  <w:pPr>
                    <w:widowControl/>
                    <w:adjustRightInd w:val="0"/>
                    <w:snapToGrid w:val="0"/>
                    <w:jc w:val="left"/>
                    <w:rPr>
                      <w:bCs/>
                      <w:color w:val="auto"/>
                      <w:szCs w:val="21"/>
                    </w:rPr>
                  </w:pPr>
                  <w:r>
                    <w:rPr>
                      <w:bCs/>
                      <w:color w:val="auto"/>
                      <w:szCs w:val="21"/>
                    </w:rPr>
                    <w:t>9.在地面沉降、地裂缝、岩溶塌陷等地质灾害易发区开发利用地下水，应进行地质灾害危险性评估。</w:t>
                  </w:r>
                </w:p>
                <w:p w14:paraId="392909B8">
                  <w:pPr>
                    <w:widowControl/>
                    <w:adjustRightInd w:val="0"/>
                    <w:snapToGrid w:val="0"/>
                    <w:jc w:val="left"/>
                    <w:rPr>
                      <w:bCs/>
                      <w:color w:val="auto"/>
                      <w:szCs w:val="21"/>
                    </w:rPr>
                  </w:pPr>
                  <w:r>
                    <w:rPr>
                      <w:bCs/>
                      <w:color w:val="auto"/>
                      <w:szCs w:val="21"/>
                    </w:rPr>
                    <w:t>10.断流河流所在流域范围、地下水降落漏斗范围内不得新增工业企业用水规模。</w:t>
                  </w:r>
                </w:p>
                <w:p w14:paraId="76669E93">
                  <w:pPr>
                    <w:widowControl/>
                    <w:adjustRightInd w:val="0"/>
                    <w:snapToGrid w:val="0"/>
                    <w:jc w:val="left"/>
                    <w:rPr>
                      <w:bCs/>
                      <w:color w:val="auto"/>
                      <w:szCs w:val="21"/>
                    </w:rPr>
                  </w:pPr>
                  <w:r>
                    <w:rPr>
                      <w:bCs/>
                      <w:color w:val="auto"/>
                      <w:szCs w:val="21"/>
                    </w:rPr>
                    <w:t>11.地下水超采区内禁止工农业生产及服务业新增取用地下水。</w:t>
                  </w:r>
                </w:p>
                <w:p w14:paraId="59DE5939">
                  <w:pPr>
                    <w:widowControl/>
                    <w:adjustRightInd w:val="0"/>
                    <w:snapToGrid w:val="0"/>
                    <w:jc w:val="left"/>
                    <w:rPr>
                      <w:bCs/>
                      <w:color w:val="auto"/>
                      <w:szCs w:val="21"/>
                    </w:rPr>
                  </w:pPr>
                  <w:r>
                    <w:rPr>
                      <w:bCs/>
                      <w:color w:val="auto"/>
                      <w:szCs w:val="21"/>
                    </w:rPr>
                    <w:t>12延河、无定河总体生态水量不低于天然径流量的30%。</w:t>
                  </w:r>
                </w:p>
              </w:tc>
              <w:tc>
                <w:tcPr>
                  <w:tcW w:w="1531" w:type="dxa"/>
                  <w:tcBorders>
                    <w:tl2br w:val="nil"/>
                    <w:tr2bl w:val="nil"/>
                  </w:tcBorders>
                  <w:vAlign w:val="center"/>
                </w:tcPr>
                <w:p w14:paraId="4211C83B">
                  <w:pPr>
                    <w:pStyle w:val="30"/>
                    <w:numPr>
                      <w:ilvl w:val="0"/>
                      <w:numId w:val="4"/>
                    </w:numPr>
                    <w:spacing w:beforeLines="0" w:afterLines="0" w:line="240" w:lineRule="auto"/>
                    <w:jc w:val="both"/>
                    <w:rPr>
                      <w:rFonts w:ascii="Times New Roman"/>
                      <w:color w:val="auto"/>
                      <w:szCs w:val="21"/>
                    </w:rPr>
                  </w:pPr>
                  <w:r>
                    <w:rPr>
                      <w:rFonts w:hint="eastAsia" w:ascii="Times New Roman"/>
                      <w:color w:val="auto"/>
                      <w:szCs w:val="21"/>
                    </w:rPr>
                    <w:t>本项目不涉及</w:t>
                  </w:r>
                  <w:r>
                    <w:rPr>
                      <w:rFonts w:ascii="Times New Roman"/>
                      <w:color w:val="auto"/>
                      <w:szCs w:val="21"/>
                    </w:rPr>
                    <w:t>。</w:t>
                  </w:r>
                </w:p>
                <w:p w14:paraId="20E16565">
                  <w:pPr>
                    <w:numPr>
                      <w:ilvl w:val="0"/>
                      <w:numId w:val="4"/>
                    </w:numPr>
                    <w:rPr>
                      <w:color w:val="auto"/>
                      <w:szCs w:val="21"/>
                    </w:rPr>
                  </w:pPr>
                  <w:r>
                    <w:rPr>
                      <w:rFonts w:hint="eastAsia"/>
                      <w:color w:val="auto"/>
                      <w:szCs w:val="21"/>
                    </w:rPr>
                    <w:t>本项目不涉及。</w:t>
                  </w:r>
                </w:p>
                <w:p w14:paraId="631482E8">
                  <w:pPr>
                    <w:numPr>
                      <w:ilvl w:val="0"/>
                      <w:numId w:val="4"/>
                    </w:numPr>
                    <w:rPr>
                      <w:color w:val="auto"/>
                      <w:szCs w:val="21"/>
                    </w:rPr>
                  </w:pPr>
                  <w:r>
                    <w:rPr>
                      <w:rFonts w:hint="eastAsia"/>
                      <w:color w:val="auto"/>
                      <w:szCs w:val="21"/>
                    </w:rPr>
                    <w:t>本项目不属于高耗水行业。</w:t>
                  </w:r>
                </w:p>
                <w:p w14:paraId="4981B375">
                  <w:pPr>
                    <w:numPr>
                      <w:ilvl w:val="0"/>
                      <w:numId w:val="4"/>
                    </w:numPr>
                    <w:rPr>
                      <w:color w:val="auto"/>
                      <w:szCs w:val="21"/>
                    </w:rPr>
                  </w:pPr>
                  <w:r>
                    <w:rPr>
                      <w:rFonts w:hint="eastAsia"/>
                      <w:color w:val="auto"/>
                      <w:szCs w:val="21"/>
                    </w:rPr>
                    <w:t>本项目废水最终排入沣西新城渭河污水处理厂。</w:t>
                  </w:r>
                </w:p>
                <w:p w14:paraId="5CB6C02E">
                  <w:pPr>
                    <w:numPr>
                      <w:ilvl w:val="0"/>
                      <w:numId w:val="4"/>
                    </w:numPr>
                    <w:rPr>
                      <w:color w:val="auto"/>
                      <w:szCs w:val="21"/>
                    </w:rPr>
                  </w:pPr>
                  <w:r>
                    <w:rPr>
                      <w:rFonts w:hint="eastAsia"/>
                      <w:color w:val="auto"/>
                      <w:szCs w:val="21"/>
                    </w:rPr>
                    <w:t>本项目不属于高耗水行业。</w:t>
                  </w:r>
                </w:p>
                <w:p w14:paraId="0144161A">
                  <w:pPr>
                    <w:numPr>
                      <w:ilvl w:val="0"/>
                      <w:numId w:val="4"/>
                    </w:numPr>
                    <w:rPr>
                      <w:color w:val="auto"/>
                      <w:szCs w:val="21"/>
                    </w:rPr>
                  </w:pPr>
                  <w:r>
                    <w:rPr>
                      <w:rFonts w:hint="eastAsia"/>
                      <w:color w:val="auto"/>
                      <w:szCs w:val="21"/>
                    </w:rPr>
                    <w:t>本项目依托现有供水管网。</w:t>
                  </w:r>
                </w:p>
                <w:p w14:paraId="7DCB8FE2">
                  <w:pPr>
                    <w:numPr>
                      <w:ilvl w:val="0"/>
                      <w:numId w:val="4"/>
                    </w:numPr>
                    <w:rPr>
                      <w:color w:val="auto"/>
                      <w:szCs w:val="21"/>
                    </w:rPr>
                  </w:pPr>
                  <w:r>
                    <w:rPr>
                      <w:rFonts w:hint="eastAsia"/>
                      <w:color w:val="auto"/>
                      <w:szCs w:val="21"/>
                    </w:rPr>
                    <w:t>本项目不属于煤炭矿区。</w:t>
                  </w:r>
                </w:p>
                <w:p w14:paraId="0F7DA8B8">
                  <w:pPr>
                    <w:numPr>
                      <w:ilvl w:val="0"/>
                      <w:numId w:val="4"/>
                    </w:numPr>
                    <w:rPr>
                      <w:color w:val="auto"/>
                      <w:szCs w:val="21"/>
                    </w:rPr>
                  </w:pPr>
                  <w:r>
                    <w:rPr>
                      <w:rFonts w:hint="eastAsia"/>
                      <w:color w:val="auto"/>
                      <w:szCs w:val="21"/>
                    </w:rPr>
                    <w:t>本项目不涉及。</w:t>
                  </w:r>
                </w:p>
                <w:p w14:paraId="2F59F407">
                  <w:pPr>
                    <w:numPr>
                      <w:ilvl w:val="0"/>
                      <w:numId w:val="4"/>
                    </w:numPr>
                    <w:rPr>
                      <w:color w:val="auto"/>
                      <w:szCs w:val="21"/>
                    </w:rPr>
                  </w:pPr>
                  <w:r>
                    <w:rPr>
                      <w:rFonts w:hint="eastAsia"/>
                      <w:color w:val="auto"/>
                      <w:szCs w:val="21"/>
                    </w:rPr>
                    <w:t>本项目依托</w:t>
                  </w:r>
                  <w:r>
                    <w:rPr>
                      <w:rFonts w:hint="eastAsia"/>
                      <w:bCs/>
                      <w:color w:val="auto"/>
                      <w:szCs w:val="21"/>
                    </w:rPr>
                    <w:t>现有供水管网。</w:t>
                  </w:r>
                </w:p>
                <w:p w14:paraId="0CAA39B3">
                  <w:pPr>
                    <w:numPr>
                      <w:ilvl w:val="0"/>
                      <w:numId w:val="4"/>
                    </w:numPr>
                    <w:rPr>
                      <w:color w:val="auto"/>
                      <w:szCs w:val="21"/>
                    </w:rPr>
                  </w:pPr>
                  <w:r>
                    <w:rPr>
                      <w:rFonts w:hint="eastAsia"/>
                      <w:bCs/>
                      <w:color w:val="auto"/>
                      <w:szCs w:val="21"/>
                    </w:rPr>
                    <w:t>本项目不</w:t>
                  </w:r>
                  <w:r>
                    <w:rPr>
                      <w:rFonts w:hint="eastAsia"/>
                      <w:bCs/>
                      <w:color w:val="auto"/>
                      <w:szCs w:val="21"/>
                      <w:lang w:val="en-US" w:eastAsia="zh-CN"/>
                    </w:rPr>
                    <w:t>涉及</w:t>
                  </w:r>
                  <w:r>
                    <w:rPr>
                      <w:rFonts w:hint="eastAsia"/>
                      <w:bCs/>
                      <w:color w:val="auto"/>
                      <w:szCs w:val="21"/>
                    </w:rPr>
                    <w:t>。</w:t>
                  </w:r>
                </w:p>
                <w:p w14:paraId="51480D2A">
                  <w:pPr>
                    <w:numPr>
                      <w:ilvl w:val="0"/>
                      <w:numId w:val="4"/>
                    </w:numPr>
                    <w:rPr>
                      <w:color w:val="auto"/>
                      <w:szCs w:val="21"/>
                    </w:rPr>
                  </w:pPr>
                  <w:r>
                    <w:rPr>
                      <w:rFonts w:hint="eastAsia"/>
                      <w:bCs/>
                      <w:color w:val="auto"/>
                      <w:szCs w:val="21"/>
                    </w:rPr>
                    <w:t>本项目不涉及取用地下水。</w:t>
                  </w:r>
                </w:p>
                <w:p w14:paraId="02A11531">
                  <w:pPr>
                    <w:numPr>
                      <w:ilvl w:val="0"/>
                      <w:numId w:val="4"/>
                    </w:numPr>
                    <w:rPr>
                      <w:color w:val="auto"/>
                      <w:szCs w:val="21"/>
                    </w:rPr>
                  </w:pPr>
                  <w:r>
                    <w:rPr>
                      <w:rFonts w:hint="eastAsia"/>
                      <w:bCs/>
                      <w:color w:val="auto"/>
                      <w:szCs w:val="21"/>
                    </w:rPr>
                    <w:t>本项目不涉及。</w:t>
                  </w:r>
                </w:p>
              </w:tc>
              <w:tc>
                <w:tcPr>
                  <w:tcW w:w="255" w:type="dxa"/>
                  <w:tcBorders>
                    <w:tl2br w:val="nil"/>
                    <w:tr2bl w:val="nil"/>
                  </w:tcBorders>
                  <w:shd w:val="clear" w:color="auto" w:fill="auto"/>
                  <w:tcMar>
                    <w:left w:w="28" w:type="dxa"/>
                    <w:right w:w="28" w:type="dxa"/>
                  </w:tcMar>
                  <w:vAlign w:val="center"/>
                </w:tcPr>
                <w:p w14:paraId="3F3B682F">
                  <w:pPr>
                    <w:pStyle w:val="30"/>
                    <w:spacing w:beforeLines="0" w:afterLines="0" w:line="240" w:lineRule="auto"/>
                    <w:rPr>
                      <w:rFonts w:ascii="Times New Roman"/>
                      <w:bCs/>
                      <w:color w:val="auto"/>
                      <w:szCs w:val="21"/>
                    </w:rPr>
                  </w:pPr>
                  <w:r>
                    <w:rPr>
                      <w:rFonts w:ascii="Times New Roman"/>
                      <w:bCs/>
                      <w:color w:val="auto"/>
                      <w:szCs w:val="21"/>
                    </w:rPr>
                    <w:t>符合</w:t>
                  </w:r>
                </w:p>
              </w:tc>
            </w:tr>
          </w:tbl>
          <w:p w14:paraId="7E4CA313">
            <w:pPr>
              <w:spacing w:line="360" w:lineRule="auto"/>
              <w:ind w:firstLine="482" w:firstLineChars="200"/>
              <w:rPr>
                <w:color w:val="auto"/>
                <w:kern w:val="0"/>
                <w:sz w:val="24"/>
              </w:rPr>
            </w:pPr>
            <w:r>
              <w:rPr>
                <w:rFonts w:hint="eastAsia" w:hAnsi="宋体"/>
                <w:b/>
                <w:bCs/>
                <w:color w:val="auto"/>
                <w:sz w:val="24"/>
              </w:rPr>
              <w:t>4、</w:t>
            </w:r>
            <w:r>
              <w:rPr>
                <w:rFonts w:hAnsi="宋体"/>
                <w:b/>
                <w:bCs/>
                <w:color w:val="auto"/>
                <w:sz w:val="24"/>
              </w:rPr>
              <w:t>与相关环保政策符合性分析</w:t>
            </w:r>
          </w:p>
          <w:p w14:paraId="5D190251">
            <w:pPr>
              <w:spacing w:line="360" w:lineRule="auto"/>
              <w:ind w:firstLine="480"/>
              <w:rPr>
                <w:color w:val="auto"/>
                <w:sz w:val="24"/>
              </w:rPr>
            </w:pPr>
            <w:r>
              <w:rPr>
                <w:color w:val="auto"/>
                <w:sz w:val="24"/>
              </w:rPr>
              <w:t>本项目与相关规划、政策的相符性分析见表</w:t>
            </w:r>
            <w:r>
              <w:rPr>
                <w:rFonts w:hint="eastAsia"/>
                <w:color w:val="auto"/>
                <w:sz w:val="24"/>
              </w:rPr>
              <w:t>1-5</w:t>
            </w:r>
            <w:r>
              <w:rPr>
                <w:color w:val="auto"/>
                <w:sz w:val="24"/>
              </w:rPr>
              <w:t>。</w:t>
            </w:r>
          </w:p>
          <w:p w14:paraId="237AC55A">
            <w:pPr>
              <w:autoSpaceDE w:val="0"/>
              <w:autoSpaceDN w:val="0"/>
              <w:jc w:val="center"/>
              <w:rPr>
                <w:b/>
                <w:color w:val="auto"/>
                <w:szCs w:val="21"/>
              </w:rPr>
            </w:pPr>
            <w:r>
              <w:rPr>
                <w:b/>
                <w:color w:val="auto"/>
                <w:szCs w:val="21"/>
              </w:rPr>
              <w:t>表</w:t>
            </w:r>
            <w:r>
              <w:rPr>
                <w:rFonts w:hint="eastAsia"/>
                <w:b/>
                <w:color w:val="auto"/>
                <w:szCs w:val="21"/>
              </w:rPr>
              <w:t xml:space="preserve">1-5   </w:t>
            </w:r>
            <w:r>
              <w:rPr>
                <w:b/>
                <w:color w:val="auto"/>
                <w:szCs w:val="21"/>
              </w:rPr>
              <w:t>本项目</w:t>
            </w:r>
            <w:r>
              <w:rPr>
                <w:rFonts w:hint="eastAsia"/>
                <w:b/>
                <w:color w:val="auto"/>
                <w:szCs w:val="21"/>
              </w:rPr>
              <w:t>与相关规划、政策</w:t>
            </w:r>
            <w:r>
              <w:rPr>
                <w:b/>
                <w:color w:val="auto"/>
                <w:szCs w:val="21"/>
              </w:rPr>
              <w:t>符合性分析</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6"/>
              <w:gridCol w:w="3318"/>
              <w:gridCol w:w="1390"/>
              <w:gridCol w:w="665"/>
            </w:tblGrid>
            <w:tr w14:paraId="53DE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48" w:type="pct"/>
                  <w:vAlign w:val="center"/>
                </w:tcPr>
                <w:p w14:paraId="37F1E510">
                  <w:pPr>
                    <w:jc w:val="center"/>
                    <w:rPr>
                      <w:rFonts w:eastAsiaTheme="majorEastAsia"/>
                      <w:color w:val="auto"/>
                      <w:kern w:val="21"/>
                      <w:szCs w:val="21"/>
                    </w:rPr>
                  </w:pPr>
                  <w:r>
                    <w:rPr>
                      <w:rFonts w:eastAsiaTheme="majorEastAsia"/>
                      <w:color w:val="auto"/>
                      <w:kern w:val="21"/>
                      <w:szCs w:val="21"/>
                    </w:rPr>
                    <w:t>文件</w:t>
                  </w:r>
                </w:p>
              </w:tc>
              <w:tc>
                <w:tcPr>
                  <w:tcW w:w="2440" w:type="pct"/>
                  <w:vAlign w:val="center"/>
                </w:tcPr>
                <w:p w14:paraId="55ED68B5">
                  <w:pPr>
                    <w:jc w:val="center"/>
                    <w:rPr>
                      <w:rFonts w:eastAsiaTheme="majorEastAsia"/>
                      <w:color w:val="auto"/>
                      <w:kern w:val="21"/>
                      <w:szCs w:val="21"/>
                    </w:rPr>
                  </w:pPr>
                  <w:r>
                    <w:rPr>
                      <w:rFonts w:eastAsiaTheme="majorEastAsia"/>
                      <w:color w:val="auto"/>
                      <w:kern w:val="21"/>
                      <w:szCs w:val="21"/>
                    </w:rPr>
                    <w:t>政策要求</w:t>
                  </w:r>
                </w:p>
              </w:tc>
              <w:tc>
                <w:tcPr>
                  <w:tcW w:w="1022" w:type="pct"/>
                  <w:vAlign w:val="center"/>
                </w:tcPr>
                <w:p w14:paraId="0FD6D60D">
                  <w:pPr>
                    <w:jc w:val="center"/>
                    <w:rPr>
                      <w:rFonts w:eastAsiaTheme="majorEastAsia"/>
                      <w:color w:val="auto"/>
                      <w:kern w:val="21"/>
                      <w:szCs w:val="21"/>
                    </w:rPr>
                  </w:pPr>
                  <w:r>
                    <w:rPr>
                      <w:rFonts w:eastAsiaTheme="majorEastAsia"/>
                      <w:color w:val="auto"/>
                      <w:kern w:val="21"/>
                      <w:szCs w:val="21"/>
                    </w:rPr>
                    <w:t>本项目情况</w:t>
                  </w:r>
                </w:p>
              </w:tc>
              <w:tc>
                <w:tcPr>
                  <w:tcW w:w="489" w:type="pct"/>
                  <w:vAlign w:val="center"/>
                </w:tcPr>
                <w:p w14:paraId="3FDE7296">
                  <w:pPr>
                    <w:jc w:val="center"/>
                    <w:rPr>
                      <w:rFonts w:eastAsiaTheme="majorEastAsia"/>
                      <w:color w:val="auto"/>
                      <w:kern w:val="21"/>
                      <w:szCs w:val="21"/>
                    </w:rPr>
                  </w:pPr>
                  <w:r>
                    <w:rPr>
                      <w:rFonts w:eastAsiaTheme="majorEastAsia"/>
                      <w:color w:val="auto"/>
                      <w:kern w:val="21"/>
                      <w:szCs w:val="21"/>
                    </w:rPr>
                    <w:t>相符性</w:t>
                  </w:r>
                </w:p>
              </w:tc>
            </w:tr>
            <w:tr w14:paraId="1C0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048" w:type="pct"/>
                  <w:vMerge w:val="restart"/>
                  <w:vAlign w:val="center"/>
                </w:tcPr>
                <w:p w14:paraId="21474AED">
                  <w:pPr>
                    <w:jc w:val="center"/>
                    <w:rPr>
                      <w:rFonts w:eastAsiaTheme="majorEastAsia"/>
                      <w:b/>
                      <w:bCs/>
                      <w:color w:val="auto"/>
                      <w:szCs w:val="21"/>
                    </w:rPr>
                  </w:pPr>
                  <w:r>
                    <w:rPr>
                      <w:rFonts w:eastAsiaTheme="majorEastAsia"/>
                      <w:color w:val="auto"/>
                      <w:kern w:val="21"/>
                      <w:szCs w:val="21"/>
                      <w:lang w:val="en"/>
                    </w:rPr>
                    <w:t>《陕西省</w:t>
                  </w:r>
                  <w:r>
                    <w:rPr>
                      <w:rFonts w:hint="eastAsia" w:eastAsiaTheme="majorEastAsia"/>
                      <w:color w:val="auto"/>
                      <w:kern w:val="21"/>
                      <w:szCs w:val="21"/>
                      <w:lang w:val="en"/>
                    </w:rPr>
                    <w:t>”</w:t>
                  </w:r>
                  <w:r>
                    <w:rPr>
                      <w:rFonts w:eastAsiaTheme="majorEastAsia"/>
                      <w:color w:val="auto"/>
                      <w:kern w:val="21"/>
                      <w:szCs w:val="21"/>
                      <w:lang w:val="en"/>
                    </w:rPr>
                    <w:t>十四五</w:t>
                  </w:r>
                  <w:r>
                    <w:rPr>
                      <w:rFonts w:hint="eastAsia" w:eastAsiaTheme="majorEastAsia"/>
                      <w:color w:val="auto"/>
                      <w:kern w:val="21"/>
                      <w:szCs w:val="21"/>
                      <w:lang w:val="en"/>
                    </w:rPr>
                    <w:t>”</w:t>
                  </w:r>
                  <w:r>
                    <w:rPr>
                      <w:rFonts w:eastAsiaTheme="majorEastAsia"/>
                      <w:color w:val="auto"/>
                      <w:kern w:val="21"/>
                      <w:szCs w:val="21"/>
                      <w:lang w:val="en"/>
                    </w:rPr>
                    <w:t>生态环境保护规划》（陕政办发〔2021〕25号）</w:t>
                  </w:r>
                </w:p>
              </w:tc>
              <w:tc>
                <w:tcPr>
                  <w:tcW w:w="2440" w:type="pct"/>
                  <w:vAlign w:val="center"/>
                </w:tcPr>
                <w:p w14:paraId="47122F87">
                  <w:pPr>
                    <w:rPr>
                      <w:rFonts w:eastAsiaTheme="majorEastAsia"/>
                      <w:color w:val="auto"/>
                      <w:kern w:val="21"/>
                      <w:szCs w:val="21"/>
                    </w:rPr>
                  </w:pPr>
                  <w:r>
                    <w:rPr>
                      <w:rFonts w:eastAsiaTheme="majorEastAsia"/>
                      <w:color w:val="auto"/>
                      <w:szCs w:val="21"/>
                    </w:rPr>
                    <w:t>促进产业结构转型升级。严格能耗、环保、质量、安全、技术等综合标准，以钢铁、煤炭、水泥、电解铝、平板玻璃等行业为重点，依法依规淘汰落后产能。以钢铁、煤炭、煤电等行业和领域为重点。</w:t>
                  </w:r>
                </w:p>
              </w:tc>
              <w:tc>
                <w:tcPr>
                  <w:tcW w:w="1022" w:type="pct"/>
                  <w:vAlign w:val="center"/>
                </w:tcPr>
                <w:p w14:paraId="1FB6282F">
                  <w:pPr>
                    <w:rPr>
                      <w:rFonts w:eastAsiaTheme="majorEastAsia"/>
                      <w:color w:val="auto"/>
                      <w:kern w:val="21"/>
                      <w:szCs w:val="21"/>
                    </w:rPr>
                  </w:pPr>
                  <w:r>
                    <w:rPr>
                      <w:rFonts w:eastAsiaTheme="majorEastAsia"/>
                      <w:color w:val="auto"/>
                      <w:szCs w:val="21"/>
                    </w:rPr>
                    <w:t>本项目主要进行工程和技术研究和试验发展，不属于钢铁、煤炭、水泥、电解铝、平板玻璃等重点行业，不涉及淘汰落后产能。</w:t>
                  </w:r>
                </w:p>
              </w:tc>
              <w:tc>
                <w:tcPr>
                  <w:tcW w:w="489" w:type="pct"/>
                  <w:vAlign w:val="center"/>
                </w:tcPr>
                <w:p w14:paraId="2A305A42">
                  <w:pPr>
                    <w:jc w:val="center"/>
                    <w:rPr>
                      <w:rFonts w:eastAsiaTheme="majorEastAsia"/>
                      <w:color w:val="auto"/>
                      <w:kern w:val="21"/>
                      <w:szCs w:val="21"/>
                    </w:rPr>
                  </w:pPr>
                  <w:r>
                    <w:rPr>
                      <w:rFonts w:eastAsiaTheme="majorEastAsia"/>
                      <w:color w:val="auto"/>
                      <w:szCs w:val="21"/>
                    </w:rPr>
                    <w:t>符合</w:t>
                  </w:r>
                </w:p>
              </w:tc>
            </w:tr>
            <w:tr w14:paraId="4177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048" w:type="pct"/>
                  <w:vMerge w:val="continue"/>
                  <w:vAlign w:val="center"/>
                </w:tcPr>
                <w:p w14:paraId="2E4620C1">
                  <w:pPr>
                    <w:jc w:val="center"/>
                    <w:rPr>
                      <w:rFonts w:eastAsiaTheme="majorEastAsia"/>
                      <w:color w:val="auto"/>
                      <w:szCs w:val="21"/>
                    </w:rPr>
                  </w:pPr>
                </w:p>
              </w:tc>
              <w:tc>
                <w:tcPr>
                  <w:tcW w:w="2440" w:type="pct"/>
                  <w:shd w:val="clear" w:color="auto" w:fill="auto"/>
                  <w:vAlign w:val="center"/>
                </w:tcPr>
                <w:p w14:paraId="536346EE">
                  <w:pPr>
                    <w:jc w:val="center"/>
                    <w:rPr>
                      <w:rFonts w:eastAsiaTheme="majorEastAsia"/>
                      <w:color w:val="auto"/>
                      <w:kern w:val="21"/>
                      <w:szCs w:val="21"/>
                      <w:lang w:val="en-GB"/>
                    </w:rPr>
                  </w:pPr>
                  <w:r>
                    <w:rPr>
                      <w:rFonts w:eastAsiaTheme="majorEastAsia"/>
                      <w:bCs/>
                      <w:color w:val="auto"/>
                      <w:kern w:val="0"/>
                      <w:szCs w:val="21"/>
                      <w:lang w:val="en-GB"/>
                    </w:rPr>
                    <w:t>深化落实环评制度。不断健全环境影响评价等生态源头预防体系，对重点区域、重点流域、重点行业依法开展规划环境影响影响评价，严格建设项目生态环境准入。</w:t>
                  </w:r>
                </w:p>
              </w:tc>
              <w:tc>
                <w:tcPr>
                  <w:tcW w:w="1022" w:type="pct"/>
                  <w:shd w:val="clear" w:color="auto" w:fill="auto"/>
                  <w:vAlign w:val="center"/>
                </w:tcPr>
                <w:p w14:paraId="22A508DB">
                  <w:pPr>
                    <w:jc w:val="center"/>
                    <w:rPr>
                      <w:rFonts w:eastAsiaTheme="majorEastAsia"/>
                      <w:color w:val="auto"/>
                      <w:kern w:val="21"/>
                      <w:szCs w:val="21"/>
                      <w:lang w:val="en-GB"/>
                    </w:rPr>
                  </w:pPr>
                  <w:r>
                    <w:rPr>
                      <w:rFonts w:eastAsiaTheme="majorEastAsia"/>
                      <w:bCs/>
                      <w:color w:val="auto"/>
                      <w:kern w:val="0"/>
                      <w:szCs w:val="21"/>
                      <w:lang w:val="en-GB"/>
                    </w:rPr>
                    <w:t>本项目位于陕西省西咸新区沣西新城秀雅路995号西安生漆涂料研究所五号楼，租用</w:t>
                  </w:r>
                  <w:r>
                    <w:rPr>
                      <w:rFonts w:eastAsiaTheme="majorEastAsia"/>
                      <w:bCs/>
                      <w:color w:val="auto"/>
                      <w:kern w:val="0"/>
                      <w:szCs w:val="21"/>
                    </w:rPr>
                    <w:t>已建成厂房</w:t>
                  </w:r>
                  <w:r>
                    <w:rPr>
                      <w:rFonts w:eastAsiaTheme="majorEastAsia"/>
                      <w:bCs/>
                      <w:color w:val="auto"/>
                      <w:kern w:val="0"/>
                      <w:szCs w:val="21"/>
                      <w:lang w:val="en-GB"/>
                    </w:rPr>
                    <w:t>，本项目现正依法办理环评手续。</w:t>
                  </w:r>
                </w:p>
              </w:tc>
              <w:tc>
                <w:tcPr>
                  <w:tcW w:w="489" w:type="pct"/>
                  <w:shd w:val="clear" w:color="auto" w:fill="auto"/>
                  <w:vAlign w:val="center"/>
                </w:tcPr>
                <w:p w14:paraId="30517EB8">
                  <w:pPr>
                    <w:jc w:val="center"/>
                    <w:rPr>
                      <w:rFonts w:eastAsiaTheme="majorEastAsia"/>
                      <w:color w:val="auto"/>
                      <w:kern w:val="21"/>
                      <w:szCs w:val="21"/>
                      <w:lang w:val="en-GB"/>
                    </w:rPr>
                  </w:pPr>
                  <w:r>
                    <w:rPr>
                      <w:rFonts w:eastAsiaTheme="majorEastAsia"/>
                      <w:color w:val="auto"/>
                      <w:kern w:val="0"/>
                      <w:szCs w:val="21"/>
                    </w:rPr>
                    <w:t>符合</w:t>
                  </w:r>
                </w:p>
              </w:tc>
            </w:tr>
            <w:tr w14:paraId="02D7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Merge w:val="restart"/>
                  <w:vAlign w:val="center"/>
                </w:tcPr>
                <w:p w14:paraId="193D0FBE">
                  <w:pPr>
                    <w:jc w:val="center"/>
                    <w:rPr>
                      <w:rFonts w:eastAsiaTheme="majorEastAsia"/>
                      <w:color w:val="auto"/>
                      <w:szCs w:val="21"/>
                    </w:rPr>
                  </w:pPr>
                  <w:r>
                    <w:rPr>
                      <w:rFonts w:eastAsiaTheme="majorEastAsia"/>
                      <w:color w:val="auto"/>
                      <w:kern w:val="21"/>
                      <w:szCs w:val="21"/>
                    </w:rPr>
                    <w:t>《西安市人民政府关于印发</w:t>
                  </w:r>
                  <w:r>
                    <w:rPr>
                      <w:rFonts w:hint="eastAsia" w:eastAsiaTheme="majorEastAsia"/>
                      <w:color w:val="auto"/>
                      <w:kern w:val="21"/>
                      <w:szCs w:val="21"/>
                    </w:rPr>
                    <w:t>“</w:t>
                  </w:r>
                  <w:r>
                    <w:rPr>
                      <w:rFonts w:eastAsiaTheme="majorEastAsia"/>
                      <w:color w:val="auto"/>
                      <w:kern w:val="21"/>
                      <w:szCs w:val="21"/>
                    </w:rPr>
                    <w:t>十四五</w:t>
                  </w:r>
                  <w:r>
                    <w:rPr>
                      <w:rFonts w:hint="eastAsia" w:eastAsiaTheme="majorEastAsia"/>
                      <w:color w:val="auto"/>
                      <w:kern w:val="21"/>
                      <w:szCs w:val="21"/>
                    </w:rPr>
                    <w:t>”</w:t>
                  </w:r>
                  <w:r>
                    <w:rPr>
                      <w:rFonts w:eastAsiaTheme="majorEastAsia"/>
                      <w:color w:val="auto"/>
                      <w:kern w:val="21"/>
                      <w:szCs w:val="21"/>
                    </w:rPr>
                    <w:t>生态环境保护规划的通知》（市政发〔2021〕21号）</w:t>
                  </w:r>
                </w:p>
              </w:tc>
              <w:tc>
                <w:tcPr>
                  <w:tcW w:w="2440" w:type="pct"/>
                  <w:vAlign w:val="center"/>
                </w:tcPr>
                <w:p w14:paraId="56919B27">
                  <w:pPr>
                    <w:pStyle w:val="10"/>
                    <w:spacing w:line="240" w:lineRule="auto"/>
                    <w:ind w:left="0" w:right="0"/>
                    <w:rPr>
                      <w:rFonts w:eastAsiaTheme="majorEastAsia"/>
                      <w:color w:val="auto"/>
                      <w:sz w:val="21"/>
                      <w:szCs w:val="21"/>
                    </w:rPr>
                  </w:pPr>
                  <w:r>
                    <w:rPr>
                      <w:rFonts w:eastAsiaTheme="majorEastAsia"/>
                      <w:b w:val="0"/>
                      <w:color w:val="auto"/>
                      <w:kern w:val="21"/>
                      <w:sz w:val="21"/>
                      <w:szCs w:val="21"/>
                    </w:rPr>
                    <w:t>强化VOCs综合整治。将挥发性有机物纳入污染物排放总量控制体系，有效减少重点污染源、全社会挥发性有机物和NOx排放总量。</w:t>
                  </w:r>
                </w:p>
              </w:tc>
              <w:tc>
                <w:tcPr>
                  <w:tcW w:w="1022" w:type="pct"/>
                  <w:vAlign w:val="center"/>
                </w:tcPr>
                <w:p w14:paraId="2AFA0AAD">
                  <w:pPr>
                    <w:jc w:val="center"/>
                    <w:rPr>
                      <w:rFonts w:eastAsiaTheme="majorEastAsia"/>
                      <w:color w:val="auto"/>
                      <w:szCs w:val="21"/>
                    </w:rPr>
                  </w:pPr>
                  <w:r>
                    <w:rPr>
                      <w:rFonts w:eastAsiaTheme="majorEastAsia"/>
                      <w:color w:val="auto"/>
                      <w:kern w:val="21"/>
                      <w:szCs w:val="21"/>
                    </w:rPr>
                    <w:t>本项目挥发性有机物已按照要求纳入污染物排放总量控制体系。</w:t>
                  </w:r>
                </w:p>
              </w:tc>
              <w:tc>
                <w:tcPr>
                  <w:tcW w:w="489" w:type="pct"/>
                  <w:vAlign w:val="center"/>
                </w:tcPr>
                <w:p w14:paraId="55784AB7">
                  <w:pPr>
                    <w:jc w:val="center"/>
                    <w:rPr>
                      <w:rFonts w:eastAsiaTheme="majorEastAsia"/>
                      <w:color w:val="auto"/>
                      <w:szCs w:val="21"/>
                    </w:rPr>
                  </w:pPr>
                  <w:r>
                    <w:rPr>
                      <w:rFonts w:eastAsiaTheme="majorEastAsia"/>
                      <w:color w:val="auto"/>
                      <w:kern w:val="21"/>
                      <w:szCs w:val="21"/>
                    </w:rPr>
                    <w:t>符合</w:t>
                  </w:r>
                </w:p>
              </w:tc>
            </w:tr>
            <w:tr w14:paraId="6B1E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Merge w:val="continue"/>
                  <w:vAlign w:val="center"/>
                </w:tcPr>
                <w:p w14:paraId="13F33ACD">
                  <w:pPr>
                    <w:jc w:val="center"/>
                    <w:rPr>
                      <w:rFonts w:eastAsiaTheme="majorEastAsia"/>
                      <w:color w:val="auto"/>
                      <w:szCs w:val="21"/>
                    </w:rPr>
                  </w:pPr>
                </w:p>
              </w:tc>
              <w:tc>
                <w:tcPr>
                  <w:tcW w:w="2440" w:type="pct"/>
                  <w:vAlign w:val="center"/>
                </w:tcPr>
                <w:p w14:paraId="752375EE">
                  <w:pPr>
                    <w:pStyle w:val="10"/>
                    <w:adjustRightInd w:val="0"/>
                    <w:snapToGrid w:val="0"/>
                    <w:spacing w:line="240" w:lineRule="auto"/>
                    <w:ind w:left="0" w:right="0"/>
                    <w:rPr>
                      <w:rFonts w:eastAsiaTheme="majorEastAsia"/>
                      <w:color w:val="auto"/>
                      <w:sz w:val="21"/>
                      <w:szCs w:val="21"/>
                    </w:rPr>
                  </w:pPr>
                  <w:r>
                    <w:rPr>
                      <w:rFonts w:eastAsiaTheme="majorEastAsia"/>
                      <w:b w:val="0"/>
                      <w:color w:val="auto"/>
                      <w:kern w:val="21"/>
                      <w:sz w:val="21"/>
                      <w:szCs w:val="21"/>
                    </w:rPr>
                    <w:t>建立完善重点行业源头、过程和末端VOCs全过程控制体系，实施VOCs总量控制。严格落实产品强制标准中VOCs含量限值；引导企业加强对含VOCs物料的存储、转移和输送等环节的全方位密闭管理，以及对设备与管线组件泄漏、敞开液面逸散以及工艺过程等方面的全过程精细化管控，实现VOCs排放量明显下降。</w:t>
                  </w:r>
                </w:p>
              </w:tc>
              <w:tc>
                <w:tcPr>
                  <w:tcW w:w="1022" w:type="pct"/>
                  <w:vAlign w:val="center"/>
                </w:tcPr>
                <w:p w14:paraId="6C7029CA">
                  <w:pPr>
                    <w:adjustRightInd w:val="0"/>
                    <w:snapToGrid w:val="0"/>
                    <w:jc w:val="center"/>
                    <w:rPr>
                      <w:rFonts w:eastAsiaTheme="majorEastAsia"/>
                      <w:color w:val="auto"/>
                      <w:szCs w:val="21"/>
                    </w:rPr>
                  </w:pPr>
                  <w:r>
                    <w:rPr>
                      <w:rFonts w:eastAsiaTheme="majorEastAsia"/>
                      <w:color w:val="auto"/>
                      <w:kern w:val="21"/>
                      <w:szCs w:val="21"/>
                    </w:rPr>
                    <w:t>项目有机废气通风橱收集经</w:t>
                  </w:r>
                  <w:r>
                    <w:rPr>
                      <w:rFonts w:hint="eastAsia" w:eastAsiaTheme="majorEastAsia"/>
                      <w:color w:val="auto"/>
                      <w:kern w:val="21"/>
                      <w:szCs w:val="21"/>
                    </w:rPr>
                    <w:t>“</w:t>
                  </w:r>
                  <w:r>
                    <w:rPr>
                      <w:rFonts w:eastAsiaTheme="majorEastAsia"/>
                      <w:color w:val="auto"/>
                      <w:kern w:val="21"/>
                      <w:szCs w:val="21"/>
                    </w:rPr>
                    <w:t>活性炭吸附装置</w:t>
                  </w:r>
                  <w:r>
                    <w:rPr>
                      <w:rFonts w:hint="eastAsia" w:eastAsiaTheme="majorEastAsia"/>
                      <w:color w:val="auto"/>
                      <w:kern w:val="21"/>
                      <w:szCs w:val="21"/>
                    </w:rPr>
                    <w:t>”</w:t>
                  </w:r>
                  <w:r>
                    <w:rPr>
                      <w:rFonts w:eastAsiaTheme="majorEastAsia"/>
                      <w:color w:val="auto"/>
                      <w:kern w:val="21"/>
                      <w:szCs w:val="21"/>
                    </w:rPr>
                    <w:t>处理后由23m高DA001排气筒高空排放。</w:t>
                  </w:r>
                </w:p>
              </w:tc>
              <w:tc>
                <w:tcPr>
                  <w:tcW w:w="489" w:type="pct"/>
                  <w:vAlign w:val="center"/>
                </w:tcPr>
                <w:p w14:paraId="26000DD1">
                  <w:pPr>
                    <w:adjustRightInd w:val="0"/>
                    <w:snapToGrid w:val="0"/>
                    <w:jc w:val="center"/>
                    <w:rPr>
                      <w:rFonts w:eastAsiaTheme="majorEastAsia"/>
                      <w:color w:val="auto"/>
                      <w:szCs w:val="21"/>
                    </w:rPr>
                  </w:pPr>
                  <w:r>
                    <w:rPr>
                      <w:rFonts w:eastAsiaTheme="majorEastAsia"/>
                      <w:color w:val="auto"/>
                      <w:kern w:val="21"/>
                      <w:szCs w:val="21"/>
                    </w:rPr>
                    <w:t>符合</w:t>
                  </w:r>
                </w:p>
              </w:tc>
            </w:tr>
            <w:tr w14:paraId="46ED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Align w:val="center"/>
                </w:tcPr>
                <w:p w14:paraId="15B4C482">
                  <w:pPr>
                    <w:jc w:val="center"/>
                    <w:rPr>
                      <w:rFonts w:eastAsiaTheme="majorEastAsia"/>
                      <w:color w:val="auto"/>
                      <w:szCs w:val="21"/>
                    </w:rPr>
                  </w:pPr>
                  <w:r>
                    <w:rPr>
                      <w:rFonts w:eastAsiaTheme="majorEastAsia"/>
                      <w:color w:val="auto"/>
                      <w:szCs w:val="21"/>
                    </w:rPr>
                    <w:t>陕西省西咸新区开发建设管理委员会关于印发《西咸新区</w:t>
                  </w:r>
                  <w:r>
                    <w:rPr>
                      <w:rFonts w:hint="eastAsia" w:eastAsiaTheme="majorEastAsia"/>
                      <w:color w:val="auto"/>
                      <w:szCs w:val="21"/>
                    </w:rPr>
                    <w:t>“</w:t>
                  </w:r>
                  <w:r>
                    <w:rPr>
                      <w:rFonts w:eastAsiaTheme="majorEastAsia"/>
                      <w:color w:val="auto"/>
                      <w:szCs w:val="21"/>
                    </w:rPr>
                    <w:t>十四五</w:t>
                  </w:r>
                  <w:r>
                    <w:rPr>
                      <w:rFonts w:hint="eastAsia" w:eastAsiaTheme="majorEastAsia"/>
                      <w:color w:val="auto"/>
                      <w:szCs w:val="21"/>
                    </w:rPr>
                    <w:t>”</w:t>
                  </w:r>
                  <w:r>
                    <w:rPr>
                      <w:rFonts w:eastAsiaTheme="majorEastAsia"/>
                      <w:color w:val="auto"/>
                      <w:szCs w:val="21"/>
                    </w:rPr>
                    <w:t>生态环境保护规划》的通知（陕西咸发</w:t>
                  </w:r>
                  <w:r>
                    <w:rPr>
                      <w:rFonts w:eastAsiaTheme="majorEastAsia"/>
                      <w:color w:val="auto"/>
                      <w:kern w:val="21"/>
                      <w:szCs w:val="21"/>
                      <w:lang w:val="en"/>
                    </w:rPr>
                    <w:t>〔2021〕</w:t>
                  </w:r>
                  <w:r>
                    <w:rPr>
                      <w:rFonts w:eastAsiaTheme="majorEastAsia"/>
                      <w:color w:val="auto"/>
                      <w:szCs w:val="21"/>
                    </w:rPr>
                    <w:t>4号）</w:t>
                  </w:r>
                </w:p>
              </w:tc>
              <w:tc>
                <w:tcPr>
                  <w:tcW w:w="2440" w:type="pct"/>
                  <w:vAlign w:val="center"/>
                </w:tcPr>
                <w:p w14:paraId="52E35CB5">
                  <w:pPr>
                    <w:rPr>
                      <w:rFonts w:eastAsiaTheme="majorEastAsia"/>
                      <w:color w:val="auto"/>
                      <w:szCs w:val="21"/>
                    </w:rPr>
                  </w:pPr>
                  <w:r>
                    <w:rPr>
                      <w:rFonts w:eastAsiaTheme="majorEastAsia"/>
                      <w:color w:val="auto"/>
                      <w:szCs w:val="21"/>
                    </w:rPr>
                    <w:t>实施重点领域VOCs综合治理。</w:t>
                  </w:r>
                </w:p>
                <w:p w14:paraId="77686F68">
                  <w:pPr>
                    <w:rPr>
                      <w:rFonts w:eastAsiaTheme="majorEastAsia"/>
                      <w:color w:val="auto"/>
                      <w:kern w:val="21"/>
                      <w:szCs w:val="21"/>
                    </w:rPr>
                  </w:pPr>
                  <w:r>
                    <w:rPr>
                      <w:rFonts w:eastAsiaTheme="majorEastAsia"/>
                      <w:color w:val="auto"/>
                      <w:szCs w:val="21"/>
                    </w:rPr>
                    <w:t>建立石化、化工、工业涂装、包装印刷等重点行业及工业园区的源头替代、过程控制和末端治理全过程治理体系，实施VOCs排放总量控制。全面落实《挥发性有机物无组织排放控制标准》要求，加强含VOCs物料密闭管理。生产、销售和使用的涂料、油墨、胶黏剂和清洗剂等产品达到VOCs含量限值要求。将全面使用符合国家要求的低VOCs含量原辅材料的企业纳入正面清单和政府绿色采购清单，重点行业企业依法安装VOCs在线监测设施并联网。</w:t>
                  </w:r>
                </w:p>
              </w:tc>
              <w:tc>
                <w:tcPr>
                  <w:tcW w:w="1022" w:type="pct"/>
                  <w:vAlign w:val="center"/>
                </w:tcPr>
                <w:p w14:paraId="7C86D8F2">
                  <w:pPr>
                    <w:rPr>
                      <w:rFonts w:eastAsiaTheme="majorEastAsia"/>
                      <w:color w:val="auto"/>
                      <w:kern w:val="21"/>
                      <w:szCs w:val="21"/>
                    </w:rPr>
                  </w:pPr>
                  <w:r>
                    <w:rPr>
                      <w:rFonts w:eastAsiaTheme="majorEastAsia"/>
                      <w:color w:val="auto"/>
                      <w:szCs w:val="21"/>
                    </w:rPr>
                    <w:t>本项目主要为工程和技术研究和试验发展，产生的VOCs</w:t>
                  </w:r>
                  <w:r>
                    <w:rPr>
                      <w:rFonts w:eastAsiaTheme="majorEastAsia"/>
                      <w:color w:val="auto"/>
                      <w:kern w:val="21"/>
                      <w:szCs w:val="21"/>
                    </w:rPr>
                    <w:t>通风橱收集经</w:t>
                  </w:r>
                  <w:r>
                    <w:rPr>
                      <w:rFonts w:hint="eastAsia" w:eastAsiaTheme="majorEastAsia"/>
                      <w:color w:val="auto"/>
                      <w:kern w:val="21"/>
                      <w:szCs w:val="21"/>
                    </w:rPr>
                    <w:t>“</w:t>
                  </w:r>
                  <w:r>
                    <w:rPr>
                      <w:rFonts w:eastAsiaTheme="majorEastAsia"/>
                      <w:color w:val="auto"/>
                      <w:kern w:val="21"/>
                      <w:szCs w:val="21"/>
                    </w:rPr>
                    <w:t>活性炭吸附装置</w:t>
                  </w:r>
                  <w:r>
                    <w:rPr>
                      <w:rFonts w:hint="eastAsia" w:eastAsiaTheme="majorEastAsia"/>
                      <w:color w:val="auto"/>
                      <w:kern w:val="21"/>
                      <w:szCs w:val="21"/>
                    </w:rPr>
                    <w:t>”</w:t>
                  </w:r>
                  <w:r>
                    <w:rPr>
                      <w:rFonts w:eastAsiaTheme="majorEastAsia"/>
                      <w:color w:val="auto"/>
                      <w:kern w:val="21"/>
                      <w:szCs w:val="21"/>
                    </w:rPr>
                    <w:t>处理后由23m高DA001排气筒高空排放</w:t>
                  </w:r>
                  <w:r>
                    <w:rPr>
                      <w:rFonts w:eastAsiaTheme="majorEastAsia"/>
                      <w:color w:val="auto"/>
                      <w:szCs w:val="21"/>
                    </w:rPr>
                    <w:t>。</w:t>
                  </w:r>
                </w:p>
              </w:tc>
              <w:tc>
                <w:tcPr>
                  <w:tcW w:w="489" w:type="pct"/>
                  <w:vAlign w:val="center"/>
                </w:tcPr>
                <w:p w14:paraId="5C3DB8F8">
                  <w:pPr>
                    <w:jc w:val="center"/>
                    <w:rPr>
                      <w:rFonts w:eastAsiaTheme="majorEastAsia"/>
                      <w:color w:val="auto"/>
                      <w:kern w:val="21"/>
                      <w:szCs w:val="21"/>
                    </w:rPr>
                  </w:pPr>
                  <w:r>
                    <w:rPr>
                      <w:rFonts w:eastAsiaTheme="majorEastAsia"/>
                      <w:color w:val="auto"/>
                      <w:szCs w:val="21"/>
                    </w:rPr>
                    <w:t>符合</w:t>
                  </w:r>
                </w:p>
              </w:tc>
            </w:tr>
            <w:tr w14:paraId="114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Merge w:val="restart"/>
                  <w:vAlign w:val="center"/>
                </w:tcPr>
                <w:p w14:paraId="2F06E6E5">
                  <w:pPr>
                    <w:jc w:val="center"/>
                    <w:rPr>
                      <w:rFonts w:eastAsiaTheme="majorEastAsia"/>
                      <w:b/>
                      <w:bCs/>
                      <w:color w:val="auto"/>
                      <w:szCs w:val="21"/>
                    </w:rPr>
                  </w:pPr>
                  <w:r>
                    <w:rPr>
                      <w:rFonts w:eastAsiaTheme="majorEastAsia"/>
                      <w:color w:val="auto"/>
                      <w:szCs w:val="21"/>
                    </w:rPr>
                    <w:t>国务院关于印发《空气质量持续改善行动计划》的通知（国发〔2023〕24号）</w:t>
                  </w:r>
                </w:p>
              </w:tc>
              <w:tc>
                <w:tcPr>
                  <w:tcW w:w="2440" w:type="pct"/>
                  <w:vAlign w:val="center"/>
                </w:tcPr>
                <w:p w14:paraId="36D49990">
                  <w:pPr>
                    <w:pStyle w:val="10"/>
                    <w:spacing w:line="240" w:lineRule="auto"/>
                    <w:ind w:left="0" w:right="0"/>
                    <w:rPr>
                      <w:rFonts w:eastAsiaTheme="majorEastAsia"/>
                      <w:b w:val="0"/>
                      <w:color w:val="auto"/>
                      <w:kern w:val="21"/>
                      <w:sz w:val="21"/>
                      <w:szCs w:val="21"/>
                    </w:rPr>
                  </w:pPr>
                  <w:r>
                    <w:rPr>
                      <w:rFonts w:eastAsiaTheme="majorEastAsia"/>
                      <w:b w:val="0"/>
                      <w:color w:val="auto"/>
                      <w:kern w:val="21"/>
                      <w:sz w:val="21"/>
                      <w:szCs w:val="21"/>
                    </w:rPr>
                    <w:t>新改扩建项目严格落实国家产业规划、产业政策、生态环境分区管控方案、规划环评、项目环评、节能审查、产能置换、重点污染物总量控制、污染物排放区域削减、碳排放达峰目标等相关要求，原则上采用清洁运输方式。</w:t>
                  </w:r>
                </w:p>
              </w:tc>
              <w:tc>
                <w:tcPr>
                  <w:tcW w:w="1022" w:type="pct"/>
                  <w:vAlign w:val="center"/>
                </w:tcPr>
                <w:p w14:paraId="1513EFE6">
                  <w:pPr>
                    <w:jc w:val="center"/>
                    <w:rPr>
                      <w:rFonts w:eastAsiaTheme="majorEastAsia"/>
                      <w:color w:val="auto"/>
                      <w:kern w:val="21"/>
                      <w:szCs w:val="21"/>
                    </w:rPr>
                  </w:pPr>
                  <w:r>
                    <w:rPr>
                      <w:rFonts w:eastAsiaTheme="majorEastAsia"/>
                      <w:color w:val="auto"/>
                      <w:kern w:val="21"/>
                      <w:szCs w:val="21"/>
                    </w:rPr>
                    <w:t>本项目为新建，严格落实国家及地方相关产业政策及规划。</w:t>
                  </w:r>
                </w:p>
              </w:tc>
              <w:tc>
                <w:tcPr>
                  <w:tcW w:w="489" w:type="pct"/>
                  <w:vAlign w:val="center"/>
                </w:tcPr>
                <w:p w14:paraId="38E70214">
                  <w:pPr>
                    <w:jc w:val="center"/>
                    <w:rPr>
                      <w:rFonts w:eastAsiaTheme="majorEastAsia"/>
                      <w:color w:val="auto"/>
                      <w:kern w:val="21"/>
                      <w:szCs w:val="21"/>
                    </w:rPr>
                  </w:pPr>
                  <w:r>
                    <w:rPr>
                      <w:rFonts w:eastAsiaTheme="majorEastAsia"/>
                      <w:color w:val="auto"/>
                      <w:kern w:val="21"/>
                      <w:szCs w:val="21"/>
                    </w:rPr>
                    <w:t>符合</w:t>
                  </w:r>
                </w:p>
              </w:tc>
            </w:tr>
            <w:tr w14:paraId="15DD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Merge w:val="continue"/>
                  <w:vAlign w:val="center"/>
                </w:tcPr>
                <w:p w14:paraId="7F903F3F">
                  <w:pPr>
                    <w:jc w:val="center"/>
                    <w:rPr>
                      <w:rFonts w:eastAsiaTheme="majorEastAsia"/>
                      <w:color w:val="auto"/>
                      <w:szCs w:val="21"/>
                    </w:rPr>
                  </w:pPr>
                </w:p>
              </w:tc>
              <w:tc>
                <w:tcPr>
                  <w:tcW w:w="2440" w:type="pct"/>
                  <w:vAlign w:val="center"/>
                </w:tcPr>
                <w:p w14:paraId="5BD75CB4">
                  <w:pPr>
                    <w:jc w:val="center"/>
                    <w:rPr>
                      <w:rFonts w:eastAsiaTheme="majorEastAsia"/>
                      <w:color w:val="auto"/>
                      <w:kern w:val="21"/>
                      <w:szCs w:val="21"/>
                    </w:rPr>
                  </w:pPr>
                  <w:r>
                    <w:rPr>
                      <w:rFonts w:eastAsiaTheme="majorEastAsia"/>
                      <w:color w:val="auto"/>
                      <w:kern w:val="21"/>
                      <w:szCs w:val="21"/>
                    </w:rPr>
                    <w:t>严禁新增钢铁产能。推行钢铁、焦化、烧结一体化布局，大幅减少独立焦化、烧结、球团和热轧企业及工序，淘汰落后煤炭洗选产能；有序引导高炉—转炉长流程炼钢转型为电炉短流程炼钢。</w:t>
                  </w:r>
                </w:p>
              </w:tc>
              <w:tc>
                <w:tcPr>
                  <w:tcW w:w="1022" w:type="pct"/>
                  <w:vAlign w:val="center"/>
                </w:tcPr>
                <w:p w14:paraId="700C594D">
                  <w:pPr>
                    <w:jc w:val="center"/>
                    <w:rPr>
                      <w:rFonts w:eastAsiaTheme="majorEastAsia"/>
                      <w:color w:val="auto"/>
                      <w:kern w:val="21"/>
                      <w:szCs w:val="21"/>
                    </w:rPr>
                  </w:pPr>
                  <w:r>
                    <w:rPr>
                      <w:rFonts w:eastAsiaTheme="majorEastAsia"/>
                      <w:color w:val="auto"/>
                      <w:kern w:val="21"/>
                      <w:szCs w:val="21"/>
                    </w:rPr>
                    <w:t>本项目</w:t>
                  </w:r>
                  <w:r>
                    <w:rPr>
                      <w:rFonts w:eastAsiaTheme="majorEastAsia"/>
                      <w:color w:val="auto"/>
                      <w:szCs w:val="21"/>
                    </w:rPr>
                    <w:t>主要进行工程和技术研究和试验发展</w:t>
                  </w:r>
                  <w:r>
                    <w:rPr>
                      <w:rFonts w:eastAsiaTheme="majorEastAsia"/>
                      <w:color w:val="auto"/>
                      <w:kern w:val="21"/>
                      <w:szCs w:val="21"/>
                    </w:rPr>
                    <w:t>，不属于严禁新增的产能。</w:t>
                  </w:r>
                </w:p>
              </w:tc>
              <w:tc>
                <w:tcPr>
                  <w:tcW w:w="489" w:type="pct"/>
                  <w:vAlign w:val="center"/>
                </w:tcPr>
                <w:p w14:paraId="24CADF1A">
                  <w:pPr>
                    <w:jc w:val="center"/>
                    <w:rPr>
                      <w:rFonts w:eastAsiaTheme="majorEastAsia"/>
                      <w:color w:val="auto"/>
                      <w:kern w:val="21"/>
                      <w:szCs w:val="21"/>
                    </w:rPr>
                  </w:pPr>
                  <w:r>
                    <w:rPr>
                      <w:rFonts w:eastAsiaTheme="majorEastAsia"/>
                      <w:color w:val="auto"/>
                      <w:kern w:val="21"/>
                      <w:szCs w:val="21"/>
                    </w:rPr>
                    <w:t>符合</w:t>
                  </w:r>
                </w:p>
              </w:tc>
            </w:tr>
            <w:tr w14:paraId="6B59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jc w:val="center"/>
              </w:trPr>
              <w:tc>
                <w:tcPr>
                  <w:tcW w:w="1048" w:type="pct"/>
                  <w:vAlign w:val="center"/>
                </w:tcPr>
                <w:p w14:paraId="7534560E">
                  <w:pPr>
                    <w:jc w:val="center"/>
                    <w:rPr>
                      <w:rFonts w:eastAsiaTheme="majorEastAsia"/>
                      <w:color w:val="auto"/>
                      <w:szCs w:val="21"/>
                    </w:rPr>
                  </w:pPr>
                  <w:r>
                    <w:rPr>
                      <w:rFonts w:eastAsiaTheme="majorEastAsia"/>
                      <w:color w:val="auto"/>
                      <w:szCs w:val="21"/>
                    </w:rPr>
                    <w:t>陕西省关于贯彻落实《空气质量持续改善行动计划》的实施意见</w:t>
                  </w:r>
                  <w:r>
                    <w:rPr>
                      <w:rFonts w:eastAsiaTheme="majorEastAsia"/>
                      <w:color w:val="auto"/>
                      <w:szCs w:val="21"/>
                      <w:lang w:val="en"/>
                    </w:rPr>
                    <w:t>（</w:t>
                  </w:r>
                  <w:r>
                    <w:rPr>
                      <w:rFonts w:eastAsiaTheme="majorEastAsia"/>
                      <w:color w:val="auto"/>
                      <w:szCs w:val="21"/>
                    </w:rPr>
                    <w:t>2024-2025年）</w:t>
                  </w:r>
                </w:p>
              </w:tc>
              <w:tc>
                <w:tcPr>
                  <w:tcW w:w="2440" w:type="pct"/>
                  <w:vAlign w:val="center"/>
                </w:tcPr>
                <w:p w14:paraId="73D6430E">
                  <w:pPr>
                    <w:widowControl/>
                    <w:numPr>
                      <w:ilvl w:val="0"/>
                      <w:numId w:val="5"/>
                    </w:numPr>
                    <w:adjustRightInd w:val="0"/>
                    <w:spacing w:line="312" w:lineRule="atLeast"/>
                    <w:jc w:val="center"/>
                    <w:textAlignment w:val="baseline"/>
                    <w:rPr>
                      <w:rFonts w:eastAsiaTheme="majorEastAsia"/>
                      <w:color w:val="auto"/>
                      <w:szCs w:val="21"/>
                    </w:rPr>
                  </w:pPr>
                  <w:r>
                    <w:rPr>
                      <w:rFonts w:eastAsiaTheme="majorEastAsia"/>
                      <w:color w:val="auto"/>
                      <w:szCs w:val="21"/>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1022" w:type="pct"/>
                  <w:vAlign w:val="center"/>
                </w:tcPr>
                <w:p w14:paraId="7DD7668B">
                  <w:pPr>
                    <w:adjustRightInd w:val="0"/>
                    <w:spacing w:line="312" w:lineRule="atLeast"/>
                    <w:textAlignment w:val="baseline"/>
                    <w:rPr>
                      <w:rFonts w:eastAsiaTheme="majorEastAsia"/>
                      <w:b/>
                      <w:bCs/>
                      <w:color w:val="auto"/>
                      <w:szCs w:val="21"/>
                    </w:rPr>
                  </w:pPr>
                  <w:r>
                    <w:rPr>
                      <w:rFonts w:eastAsiaTheme="majorEastAsia"/>
                      <w:color w:val="auto"/>
                      <w:kern w:val="0"/>
                      <w:szCs w:val="21"/>
                    </w:rPr>
                    <w:t>按照《陕西省</w:t>
                  </w:r>
                  <w:r>
                    <w:rPr>
                      <w:rFonts w:hint="eastAsia" w:eastAsiaTheme="majorEastAsia"/>
                      <w:color w:val="auto"/>
                      <w:kern w:val="0"/>
                      <w:szCs w:val="21"/>
                    </w:rPr>
                    <w:t>“</w:t>
                  </w:r>
                  <w:r>
                    <w:rPr>
                      <w:rFonts w:eastAsiaTheme="majorEastAsia"/>
                      <w:color w:val="auto"/>
                      <w:kern w:val="0"/>
                      <w:szCs w:val="21"/>
                    </w:rPr>
                    <w:t>两高</w:t>
                  </w:r>
                  <w:r>
                    <w:rPr>
                      <w:rFonts w:hint="eastAsia" w:eastAsiaTheme="majorEastAsia"/>
                      <w:color w:val="auto"/>
                      <w:kern w:val="0"/>
                      <w:szCs w:val="21"/>
                    </w:rPr>
                    <w:t>”</w:t>
                  </w:r>
                  <w:r>
                    <w:rPr>
                      <w:rFonts w:eastAsiaTheme="majorEastAsia"/>
                      <w:color w:val="auto"/>
                      <w:kern w:val="0"/>
                      <w:szCs w:val="21"/>
                    </w:rPr>
                    <w:t>项目管理暂行目录》，本项目不属于</w:t>
                  </w:r>
                  <w:r>
                    <w:rPr>
                      <w:rFonts w:hint="eastAsia" w:eastAsiaTheme="majorEastAsia"/>
                      <w:color w:val="auto"/>
                      <w:kern w:val="0"/>
                      <w:szCs w:val="21"/>
                    </w:rPr>
                    <w:t>“</w:t>
                  </w:r>
                  <w:r>
                    <w:rPr>
                      <w:rFonts w:eastAsiaTheme="majorEastAsia"/>
                      <w:color w:val="auto"/>
                      <w:kern w:val="0"/>
                      <w:szCs w:val="21"/>
                    </w:rPr>
                    <w:t>两高</w:t>
                  </w:r>
                  <w:r>
                    <w:rPr>
                      <w:rFonts w:hint="eastAsia" w:eastAsiaTheme="majorEastAsia"/>
                      <w:color w:val="auto"/>
                      <w:kern w:val="0"/>
                      <w:szCs w:val="21"/>
                    </w:rPr>
                    <w:t>”</w:t>
                  </w:r>
                  <w:r>
                    <w:rPr>
                      <w:rFonts w:eastAsiaTheme="majorEastAsia"/>
                      <w:color w:val="auto"/>
                      <w:kern w:val="0"/>
                      <w:szCs w:val="21"/>
                    </w:rPr>
                    <w:t>项目。</w:t>
                  </w:r>
                </w:p>
              </w:tc>
              <w:tc>
                <w:tcPr>
                  <w:tcW w:w="489" w:type="pct"/>
                  <w:vAlign w:val="center"/>
                </w:tcPr>
                <w:p w14:paraId="4B85E971">
                  <w:pPr>
                    <w:jc w:val="center"/>
                    <w:rPr>
                      <w:rFonts w:eastAsiaTheme="majorEastAsia"/>
                      <w:b/>
                      <w:bCs/>
                      <w:color w:val="auto"/>
                      <w:szCs w:val="21"/>
                    </w:rPr>
                  </w:pPr>
                  <w:r>
                    <w:rPr>
                      <w:rFonts w:eastAsiaTheme="majorEastAsia"/>
                      <w:color w:val="auto"/>
                      <w:kern w:val="21"/>
                      <w:szCs w:val="21"/>
                    </w:rPr>
                    <w:t>符合</w:t>
                  </w:r>
                </w:p>
              </w:tc>
            </w:tr>
            <w:tr w14:paraId="4CC8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Merge w:val="restart"/>
                  <w:vAlign w:val="center"/>
                </w:tcPr>
                <w:p w14:paraId="61A2CC72">
                  <w:pPr>
                    <w:jc w:val="center"/>
                    <w:rPr>
                      <w:rFonts w:eastAsiaTheme="majorEastAsia"/>
                      <w:b/>
                      <w:bCs/>
                      <w:color w:val="auto"/>
                      <w:szCs w:val="21"/>
                    </w:rPr>
                  </w:pPr>
                  <w:r>
                    <w:rPr>
                      <w:rFonts w:eastAsiaTheme="majorEastAsia"/>
                      <w:color w:val="auto"/>
                      <w:szCs w:val="21"/>
                    </w:rPr>
                    <w:t>《陕西省大气污染治理专项行动方案（2023-2027年）》（陕发〔2023〕4号）</w:t>
                  </w:r>
                </w:p>
              </w:tc>
              <w:tc>
                <w:tcPr>
                  <w:tcW w:w="2440" w:type="pct"/>
                  <w:vAlign w:val="center"/>
                </w:tcPr>
                <w:p w14:paraId="3D8A1D3D">
                  <w:pPr>
                    <w:pStyle w:val="10"/>
                    <w:spacing w:line="240" w:lineRule="auto"/>
                    <w:ind w:left="0" w:right="0"/>
                    <w:rPr>
                      <w:rFonts w:eastAsiaTheme="majorEastAsia"/>
                      <w:bCs/>
                      <w:color w:val="auto"/>
                      <w:sz w:val="21"/>
                      <w:szCs w:val="21"/>
                    </w:rPr>
                  </w:pPr>
                  <w:r>
                    <w:rPr>
                      <w:rFonts w:eastAsiaTheme="majorEastAsia"/>
                      <w:b w:val="0"/>
                      <w:color w:val="auto"/>
                      <w:kern w:val="21"/>
                      <w:sz w:val="21"/>
                      <w:szCs w:val="21"/>
                    </w:rPr>
                    <w:t>关中地区严禁新增钢铁、焦化、水泥熟料、平板玻璃、电解铝、氧化铝、煤化工产能，合理控制煤制油气产能规模，严控新增炼油产能。</w:t>
                  </w:r>
                </w:p>
              </w:tc>
              <w:tc>
                <w:tcPr>
                  <w:tcW w:w="1022" w:type="pct"/>
                  <w:vAlign w:val="center"/>
                </w:tcPr>
                <w:p w14:paraId="76906F3E">
                  <w:pPr>
                    <w:jc w:val="center"/>
                    <w:rPr>
                      <w:rFonts w:eastAsiaTheme="majorEastAsia"/>
                      <w:b/>
                      <w:bCs/>
                      <w:color w:val="auto"/>
                      <w:szCs w:val="21"/>
                    </w:rPr>
                  </w:pPr>
                  <w:r>
                    <w:rPr>
                      <w:rFonts w:eastAsiaTheme="majorEastAsia"/>
                      <w:color w:val="auto"/>
                      <w:kern w:val="21"/>
                      <w:szCs w:val="21"/>
                    </w:rPr>
                    <w:t>本项目不属于严禁新增的产能。</w:t>
                  </w:r>
                </w:p>
              </w:tc>
              <w:tc>
                <w:tcPr>
                  <w:tcW w:w="489" w:type="pct"/>
                  <w:vAlign w:val="center"/>
                </w:tcPr>
                <w:p w14:paraId="1E08A5AC">
                  <w:pPr>
                    <w:jc w:val="center"/>
                    <w:rPr>
                      <w:rFonts w:eastAsiaTheme="majorEastAsia"/>
                      <w:b/>
                      <w:bCs/>
                      <w:color w:val="auto"/>
                      <w:szCs w:val="21"/>
                    </w:rPr>
                  </w:pPr>
                  <w:r>
                    <w:rPr>
                      <w:rFonts w:eastAsiaTheme="majorEastAsia"/>
                      <w:color w:val="auto"/>
                      <w:kern w:val="21"/>
                      <w:szCs w:val="21"/>
                    </w:rPr>
                    <w:t>符合</w:t>
                  </w:r>
                </w:p>
              </w:tc>
            </w:tr>
            <w:tr w14:paraId="0371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Merge w:val="continue"/>
                  <w:vAlign w:val="center"/>
                </w:tcPr>
                <w:p w14:paraId="3FFB6E32">
                  <w:pPr>
                    <w:jc w:val="center"/>
                    <w:rPr>
                      <w:rFonts w:eastAsiaTheme="majorEastAsia"/>
                      <w:color w:val="auto"/>
                      <w:szCs w:val="21"/>
                    </w:rPr>
                  </w:pPr>
                </w:p>
              </w:tc>
              <w:tc>
                <w:tcPr>
                  <w:tcW w:w="2440" w:type="pct"/>
                  <w:vAlign w:val="center"/>
                </w:tcPr>
                <w:p w14:paraId="2BBF3F9E">
                  <w:pPr>
                    <w:jc w:val="center"/>
                    <w:rPr>
                      <w:rFonts w:eastAsiaTheme="majorEastAsia"/>
                      <w:b/>
                      <w:bCs/>
                      <w:color w:val="auto"/>
                      <w:szCs w:val="21"/>
                    </w:rPr>
                  </w:pPr>
                  <w:r>
                    <w:rPr>
                      <w:rFonts w:eastAsiaTheme="majorEastAsia"/>
                      <w:color w:val="auto"/>
                      <w:kern w:val="21"/>
                      <w:szCs w:val="21"/>
                    </w:rPr>
                    <w:t>关中地区市辖区及开发区范围内新、改、扩建涉气重点行业企业应达到环保绩效A级、绩效引领水平，西安市、咸阳市、渭南市的其他区域应达到环保绩效B级及以上水平。</w:t>
                  </w:r>
                </w:p>
              </w:tc>
              <w:tc>
                <w:tcPr>
                  <w:tcW w:w="1022" w:type="pct"/>
                  <w:vAlign w:val="center"/>
                </w:tcPr>
                <w:p w14:paraId="62F866DD">
                  <w:pPr>
                    <w:wordWrap w:val="0"/>
                    <w:jc w:val="center"/>
                    <w:rPr>
                      <w:rFonts w:eastAsiaTheme="majorEastAsia"/>
                      <w:b/>
                      <w:bCs/>
                      <w:color w:val="auto"/>
                      <w:szCs w:val="21"/>
                    </w:rPr>
                  </w:pPr>
                  <w:r>
                    <w:rPr>
                      <w:rFonts w:eastAsiaTheme="majorEastAsia"/>
                      <w:color w:val="auto"/>
                      <w:kern w:val="21"/>
                      <w:szCs w:val="21"/>
                    </w:rPr>
                    <w:t>本项目不属于重点行业，研发室配套设置废气处理措施。</w:t>
                  </w:r>
                </w:p>
              </w:tc>
              <w:tc>
                <w:tcPr>
                  <w:tcW w:w="489" w:type="pct"/>
                  <w:vAlign w:val="center"/>
                </w:tcPr>
                <w:p w14:paraId="6E8F1DA6">
                  <w:pPr>
                    <w:jc w:val="center"/>
                    <w:rPr>
                      <w:rFonts w:eastAsiaTheme="majorEastAsia"/>
                      <w:b/>
                      <w:bCs/>
                      <w:color w:val="auto"/>
                      <w:szCs w:val="21"/>
                    </w:rPr>
                  </w:pPr>
                  <w:r>
                    <w:rPr>
                      <w:rFonts w:eastAsiaTheme="majorEastAsia"/>
                      <w:color w:val="auto"/>
                      <w:kern w:val="21"/>
                      <w:szCs w:val="21"/>
                    </w:rPr>
                    <w:t>符合</w:t>
                  </w:r>
                </w:p>
              </w:tc>
            </w:tr>
            <w:tr w14:paraId="52D8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48" w:type="pct"/>
                  <w:vAlign w:val="center"/>
                </w:tcPr>
                <w:p w14:paraId="2FE3DDAB">
                  <w:pPr>
                    <w:adjustRightInd w:val="0"/>
                    <w:snapToGrid w:val="0"/>
                    <w:jc w:val="center"/>
                    <w:rPr>
                      <w:rFonts w:eastAsiaTheme="majorEastAsia"/>
                      <w:color w:val="auto"/>
                      <w:szCs w:val="21"/>
                    </w:rPr>
                  </w:pPr>
                  <w:r>
                    <w:rPr>
                      <w:rFonts w:eastAsiaTheme="majorEastAsia"/>
                      <w:color w:val="auto"/>
                      <w:szCs w:val="21"/>
                    </w:rPr>
                    <w:t>《</w:t>
                  </w:r>
                  <w:r>
                    <w:rPr>
                      <w:color w:val="auto"/>
                    </w:rPr>
                    <w:fldChar w:fldCharType="begin"/>
                  </w:r>
                  <w:r>
                    <w:rPr>
                      <w:color w:val="auto"/>
                    </w:rPr>
                    <w:instrText xml:space="preserve"> HYPERLINK "https://www.baidu.com/link?url=gaxLMb1LtFBAQf2Ezoa9cG8iPfp76qeWuZFdBsSPay154HfWb61CDzIXapEvypunNh8JYLF51peMwpHSX4n2y-BuhjBAVH8j-CYqxSg_DCMYNngKztLyucewvkCziWCm&amp;wd=&amp;eqid=afa55508002cdc3c000000066683cc75" \t "https://www.baidu.com/_blank" </w:instrText>
                  </w:r>
                  <w:r>
                    <w:rPr>
                      <w:color w:val="auto"/>
                    </w:rPr>
                    <w:fldChar w:fldCharType="separate"/>
                  </w:r>
                  <w:r>
                    <w:rPr>
                      <w:rFonts w:eastAsiaTheme="majorEastAsia"/>
                      <w:color w:val="auto"/>
                      <w:szCs w:val="21"/>
                    </w:rPr>
                    <w:t>陕西省固体废物污染环境防治条例</w:t>
                  </w:r>
                  <w:r>
                    <w:rPr>
                      <w:rFonts w:eastAsiaTheme="majorEastAsia"/>
                      <w:color w:val="auto"/>
                      <w:szCs w:val="21"/>
                    </w:rPr>
                    <w:fldChar w:fldCharType="end"/>
                  </w:r>
                  <w:r>
                    <w:rPr>
                      <w:rFonts w:eastAsiaTheme="majorEastAsia"/>
                      <w:color w:val="auto"/>
                      <w:szCs w:val="21"/>
                    </w:rPr>
                    <w:t>》</w:t>
                  </w:r>
                </w:p>
              </w:tc>
              <w:tc>
                <w:tcPr>
                  <w:tcW w:w="2440" w:type="pct"/>
                  <w:vAlign w:val="center"/>
                </w:tcPr>
                <w:p w14:paraId="53BBB9E5">
                  <w:pPr>
                    <w:adjustRightInd w:val="0"/>
                    <w:snapToGrid w:val="0"/>
                    <w:jc w:val="center"/>
                    <w:rPr>
                      <w:rFonts w:eastAsiaTheme="majorEastAsia"/>
                      <w:color w:val="auto"/>
                      <w:kern w:val="21"/>
                      <w:szCs w:val="21"/>
                    </w:rPr>
                  </w:pPr>
                  <w:r>
                    <w:rPr>
                      <w:rFonts w:eastAsiaTheme="majorEastAsia"/>
                      <w:color w:val="auto"/>
                      <w:szCs w:val="21"/>
                    </w:rPr>
                    <w:t>产生危险废物的单位应当按照危险废物产生、贮存、利用、处置管理流程建立台账，如实记载产生危险废物的种类、数量、流向、贮存、利用、处置等信息。危险废物台账应当至少保存十年，企业重组、改制的，由承继企业接管保存；企业破产、倒闭的，应当将危险废物台账移交当地生态环境行政主管部门保存。</w:t>
                  </w:r>
                </w:p>
              </w:tc>
              <w:tc>
                <w:tcPr>
                  <w:tcW w:w="1022" w:type="pct"/>
                  <w:vAlign w:val="center"/>
                </w:tcPr>
                <w:p w14:paraId="63D758B0">
                  <w:pPr>
                    <w:wordWrap w:val="0"/>
                    <w:adjustRightInd w:val="0"/>
                    <w:snapToGrid w:val="0"/>
                    <w:jc w:val="center"/>
                    <w:rPr>
                      <w:rFonts w:eastAsiaTheme="majorEastAsia"/>
                      <w:color w:val="auto"/>
                      <w:kern w:val="21"/>
                      <w:szCs w:val="21"/>
                    </w:rPr>
                  </w:pPr>
                  <w:r>
                    <w:rPr>
                      <w:rFonts w:eastAsiaTheme="majorEastAsia"/>
                      <w:color w:val="auto"/>
                      <w:kern w:val="21"/>
                      <w:szCs w:val="21"/>
                    </w:rPr>
                    <w:t>要求建设单位按要求做好台账记录，并至少保存十年。</w:t>
                  </w:r>
                </w:p>
              </w:tc>
              <w:tc>
                <w:tcPr>
                  <w:tcW w:w="489" w:type="pct"/>
                  <w:vAlign w:val="center"/>
                </w:tcPr>
                <w:p w14:paraId="57723140">
                  <w:pPr>
                    <w:wordWrap w:val="0"/>
                    <w:adjustRightInd w:val="0"/>
                    <w:snapToGrid w:val="0"/>
                    <w:jc w:val="center"/>
                    <w:rPr>
                      <w:rFonts w:eastAsiaTheme="majorEastAsia"/>
                      <w:color w:val="auto"/>
                      <w:kern w:val="21"/>
                      <w:szCs w:val="21"/>
                    </w:rPr>
                  </w:pPr>
                  <w:r>
                    <w:rPr>
                      <w:rFonts w:eastAsiaTheme="majorEastAsia"/>
                      <w:color w:val="auto"/>
                      <w:kern w:val="21"/>
                      <w:szCs w:val="21"/>
                    </w:rPr>
                    <w:t>符合</w:t>
                  </w:r>
                </w:p>
              </w:tc>
            </w:tr>
            <w:tr w14:paraId="113D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048" w:type="pct"/>
                  <w:vMerge w:val="restart"/>
                  <w:vAlign w:val="center"/>
                </w:tcPr>
                <w:p w14:paraId="4FC9A7E2">
                  <w:pPr>
                    <w:adjustRightInd w:val="0"/>
                    <w:snapToGrid w:val="0"/>
                    <w:jc w:val="center"/>
                    <w:rPr>
                      <w:rFonts w:eastAsiaTheme="majorEastAsia"/>
                      <w:color w:val="auto"/>
                      <w:szCs w:val="21"/>
                    </w:rPr>
                  </w:pPr>
                  <w:r>
                    <w:rPr>
                      <w:rFonts w:eastAsiaTheme="majorEastAsia"/>
                      <w:color w:val="auto"/>
                      <w:szCs w:val="21"/>
                    </w:rPr>
                    <w:t>中共西安市委 西安市人民政府关于印发《西安市大气污染治理专项行动方案（2023-2027年）》的通知</w:t>
                  </w:r>
                </w:p>
              </w:tc>
              <w:tc>
                <w:tcPr>
                  <w:tcW w:w="2440" w:type="pct"/>
                  <w:vAlign w:val="center"/>
                </w:tcPr>
                <w:p w14:paraId="063A7B12">
                  <w:pPr>
                    <w:adjustRightInd w:val="0"/>
                    <w:snapToGrid w:val="0"/>
                    <w:jc w:val="center"/>
                    <w:rPr>
                      <w:rFonts w:eastAsiaTheme="majorEastAsia"/>
                      <w:color w:val="auto"/>
                      <w:szCs w:val="21"/>
                    </w:rPr>
                  </w:pPr>
                  <w:r>
                    <w:rPr>
                      <w:rFonts w:eastAsiaTheme="majorEastAsia"/>
                      <w:color w:val="auto"/>
                      <w:szCs w:val="21"/>
                      <w:shd w:val="clear" w:color="auto" w:fill="FFFFFF"/>
                    </w:rPr>
                    <w:t>深入开展</w:t>
                  </w:r>
                  <w:r>
                    <w:rPr>
                      <w:rFonts w:hint="eastAsia" w:eastAsiaTheme="majorEastAsia"/>
                      <w:color w:val="auto"/>
                      <w:szCs w:val="21"/>
                      <w:shd w:val="clear" w:color="auto" w:fill="FFFFFF"/>
                    </w:rPr>
                    <w:t>“</w:t>
                  </w:r>
                  <w:r>
                    <w:rPr>
                      <w:rFonts w:eastAsiaTheme="majorEastAsia"/>
                      <w:color w:val="auto"/>
                      <w:szCs w:val="21"/>
                      <w:shd w:val="clear" w:color="auto" w:fill="FFFFFF"/>
                    </w:rPr>
                    <w:t>创A升B减C清D</w:t>
                  </w:r>
                  <w:r>
                    <w:rPr>
                      <w:rFonts w:hint="eastAsia" w:eastAsiaTheme="majorEastAsia"/>
                      <w:color w:val="auto"/>
                      <w:szCs w:val="21"/>
                      <w:shd w:val="clear" w:color="auto" w:fill="FFFFFF"/>
                    </w:rPr>
                    <w:t>”</w:t>
                  </w:r>
                  <w:r>
                    <w:rPr>
                      <w:rFonts w:eastAsiaTheme="majorEastAsia"/>
                      <w:color w:val="auto"/>
                      <w:szCs w:val="21"/>
                      <w:shd w:val="clear" w:color="auto" w:fill="FFFFFF"/>
                    </w:rPr>
                    <w:t>活动。提升重点行业绩效分级B级及以上和引领性企业占比，聚焦重点涉气企业，兼顾企业数量和质量，重点行业头部企业、排放大户要率先升级。</w:t>
                  </w:r>
                </w:p>
              </w:tc>
              <w:tc>
                <w:tcPr>
                  <w:tcW w:w="1022" w:type="pct"/>
                  <w:vAlign w:val="center"/>
                </w:tcPr>
                <w:p w14:paraId="0C901F95">
                  <w:pPr>
                    <w:wordWrap w:val="0"/>
                    <w:adjustRightInd w:val="0"/>
                    <w:snapToGrid w:val="0"/>
                    <w:jc w:val="center"/>
                    <w:rPr>
                      <w:rFonts w:eastAsiaTheme="majorEastAsia"/>
                      <w:color w:val="auto"/>
                      <w:kern w:val="21"/>
                      <w:szCs w:val="21"/>
                    </w:rPr>
                  </w:pPr>
                  <w:r>
                    <w:rPr>
                      <w:rFonts w:eastAsiaTheme="majorEastAsia"/>
                      <w:color w:val="auto"/>
                      <w:kern w:val="21"/>
                      <w:szCs w:val="21"/>
                    </w:rPr>
                    <w:t>本项目为新建，不属于重点行业，废气均经过收集处理后达标排放。</w:t>
                  </w:r>
                </w:p>
              </w:tc>
              <w:tc>
                <w:tcPr>
                  <w:tcW w:w="489" w:type="pct"/>
                  <w:vAlign w:val="center"/>
                </w:tcPr>
                <w:p w14:paraId="101859E5">
                  <w:pPr>
                    <w:adjustRightInd w:val="0"/>
                    <w:snapToGrid w:val="0"/>
                    <w:jc w:val="center"/>
                    <w:rPr>
                      <w:rFonts w:eastAsiaTheme="majorEastAsia"/>
                      <w:color w:val="auto"/>
                      <w:kern w:val="21"/>
                      <w:szCs w:val="21"/>
                    </w:rPr>
                  </w:pPr>
                  <w:r>
                    <w:rPr>
                      <w:rFonts w:eastAsiaTheme="majorEastAsia"/>
                      <w:color w:val="auto"/>
                      <w:kern w:val="21"/>
                      <w:szCs w:val="21"/>
                    </w:rPr>
                    <w:t>符合</w:t>
                  </w:r>
                </w:p>
              </w:tc>
            </w:tr>
            <w:tr w14:paraId="55E0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48" w:type="pct"/>
                  <w:vMerge w:val="continue"/>
                  <w:vAlign w:val="center"/>
                </w:tcPr>
                <w:p w14:paraId="78BCF144">
                  <w:pPr>
                    <w:wordWrap w:val="0"/>
                    <w:adjustRightInd w:val="0"/>
                    <w:snapToGrid w:val="0"/>
                    <w:jc w:val="center"/>
                    <w:rPr>
                      <w:rFonts w:eastAsiaTheme="majorEastAsia"/>
                      <w:color w:val="auto"/>
                      <w:szCs w:val="21"/>
                    </w:rPr>
                  </w:pPr>
                </w:p>
              </w:tc>
              <w:tc>
                <w:tcPr>
                  <w:tcW w:w="2440" w:type="pct"/>
                  <w:vAlign w:val="center"/>
                </w:tcPr>
                <w:p w14:paraId="0380B1FF">
                  <w:pPr>
                    <w:adjustRightInd w:val="0"/>
                    <w:snapToGrid w:val="0"/>
                    <w:jc w:val="center"/>
                    <w:rPr>
                      <w:rFonts w:eastAsiaTheme="majorEastAsia"/>
                      <w:color w:val="auto"/>
                      <w:szCs w:val="21"/>
                    </w:rPr>
                  </w:pPr>
                  <w:r>
                    <w:rPr>
                      <w:rFonts w:eastAsiaTheme="majorEastAsia"/>
                      <w:color w:val="auto"/>
                      <w:szCs w:val="21"/>
                      <w:shd w:val="clear" w:color="auto" w:fill="FFFFFF"/>
                    </w:rPr>
                    <w:t>强化涉活性炭VOCs处理工艺治理。动态更新挥发性有机物治理设施台账，开展简易低挥发性有机物治理设施整治、涉活性炭挥发性有机物处理工艺专项整治行动，强化挥发性有机物无组织排放整治，确保达到相关标准要求。新建项目不再采用单一低温等离子、光氧化、光催化等治理技术，非水溶性挥发性有机物废气不再采用单一喷淋吸收方式处理。</w:t>
                  </w:r>
                </w:p>
              </w:tc>
              <w:tc>
                <w:tcPr>
                  <w:tcW w:w="1022" w:type="pct"/>
                  <w:vAlign w:val="center"/>
                </w:tcPr>
                <w:p w14:paraId="7B393383">
                  <w:pPr>
                    <w:wordWrap w:val="0"/>
                    <w:adjustRightInd w:val="0"/>
                    <w:snapToGrid w:val="0"/>
                    <w:jc w:val="center"/>
                    <w:rPr>
                      <w:rFonts w:eastAsiaTheme="majorEastAsia"/>
                      <w:color w:val="auto"/>
                      <w:szCs w:val="21"/>
                    </w:rPr>
                  </w:pPr>
                  <w:r>
                    <w:rPr>
                      <w:rFonts w:eastAsiaTheme="majorEastAsia"/>
                      <w:color w:val="auto"/>
                      <w:kern w:val="21"/>
                      <w:szCs w:val="21"/>
                    </w:rPr>
                    <w:t>本项目废气经</w:t>
                  </w:r>
                  <w:r>
                    <w:rPr>
                      <w:rFonts w:hint="eastAsia" w:eastAsiaTheme="majorEastAsia"/>
                      <w:color w:val="auto"/>
                      <w:kern w:val="21"/>
                      <w:szCs w:val="21"/>
                    </w:rPr>
                    <w:t>“</w:t>
                  </w:r>
                  <w:r>
                    <w:rPr>
                      <w:rFonts w:eastAsiaTheme="majorEastAsia"/>
                      <w:color w:val="auto"/>
                      <w:kern w:val="21"/>
                      <w:szCs w:val="21"/>
                    </w:rPr>
                    <w:t>活性炭吸附装置</w:t>
                  </w:r>
                  <w:r>
                    <w:rPr>
                      <w:rFonts w:hint="eastAsia" w:eastAsiaTheme="majorEastAsia"/>
                      <w:color w:val="auto"/>
                      <w:kern w:val="21"/>
                      <w:szCs w:val="21"/>
                    </w:rPr>
                    <w:t>”</w:t>
                  </w:r>
                  <w:r>
                    <w:rPr>
                      <w:rFonts w:eastAsiaTheme="majorEastAsia"/>
                      <w:color w:val="auto"/>
                      <w:kern w:val="21"/>
                      <w:szCs w:val="21"/>
                    </w:rPr>
                    <w:t>处理后由23m高DA001排气筒高空排放，不属于单一低温等离子、光氧化、光催化等治理技术。</w:t>
                  </w:r>
                </w:p>
              </w:tc>
              <w:tc>
                <w:tcPr>
                  <w:tcW w:w="489" w:type="pct"/>
                  <w:vAlign w:val="center"/>
                </w:tcPr>
                <w:p w14:paraId="5C7A2B6A">
                  <w:pPr>
                    <w:adjustRightInd w:val="0"/>
                    <w:snapToGrid w:val="0"/>
                    <w:jc w:val="center"/>
                    <w:rPr>
                      <w:rFonts w:eastAsiaTheme="majorEastAsia"/>
                      <w:color w:val="auto"/>
                      <w:szCs w:val="21"/>
                    </w:rPr>
                  </w:pPr>
                  <w:r>
                    <w:rPr>
                      <w:rFonts w:eastAsiaTheme="majorEastAsia"/>
                      <w:color w:val="auto"/>
                      <w:kern w:val="21"/>
                      <w:szCs w:val="21"/>
                    </w:rPr>
                    <w:t>符合</w:t>
                  </w:r>
                </w:p>
              </w:tc>
            </w:tr>
            <w:tr w14:paraId="4EFF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Align w:val="center"/>
                </w:tcPr>
                <w:p w14:paraId="1BF7AD2D">
                  <w:pPr>
                    <w:adjustRightInd w:val="0"/>
                    <w:snapToGrid w:val="0"/>
                    <w:jc w:val="center"/>
                    <w:rPr>
                      <w:rFonts w:eastAsiaTheme="majorEastAsia"/>
                      <w:color w:val="auto"/>
                      <w:szCs w:val="21"/>
                    </w:rPr>
                  </w:pPr>
                  <w:r>
                    <w:rPr>
                      <w:rFonts w:eastAsiaTheme="majorEastAsia"/>
                      <w:color w:val="auto"/>
                      <w:szCs w:val="21"/>
                    </w:rPr>
                    <w:t>《西安市人民政府办公厅关于印发大气污染治理专项行动2024年工作方案的通知》（市政办函〔2024〕25号）</w:t>
                  </w:r>
                </w:p>
              </w:tc>
              <w:tc>
                <w:tcPr>
                  <w:tcW w:w="2440" w:type="pct"/>
                  <w:vAlign w:val="center"/>
                </w:tcPr>
                <w:p w14:paraId="07BB6A72">
                  <w:pPr>
                    <w:adjustRightInd w:val="0"/>
                    <w:snapToGrid w:val="0"/>
                    <w:jc w:val="center"/>
                    <w:rPr>
                      <w:rFonts w:eastAsiaTheme="majorEastAsia"/>
                      <w:color w:val="auto"/>
                      <w:szCs w:val="21"/>
                    </w:rPr>
                  </w:pPr>
                  <w:r>
                    <w:rPr>
                      <w:rFonts w:eastAsiaTheme="majorEastAsia"/>
                      <w:color w:val="auto"/>
                      <w:szCs w:val="21"/>
                    </w:rPr>
                    <w:t>严格新、改、扩建涉气重点行业绩效评级限制条件。各区、开发区范围内新改扩建涉气重点行业企业应达到环保绩效A级、绩效引领性水平，周至县、蓝田县应达到环保绩效B级及以上水平。</w:t>
                  </w:r>
                </w:p>
              </w:tc>
              <w:tc>
                <w:tcPr>
                  <w:tcW w:w="1022" w:type="pct"/>
                  <w:vAlign w:val="center"/>
                </w:tcPr>
                <w:p w14:paraId="3BEF5BC0">
                  <w:pPr>
                    <w:wordWrap w:val="0"/>
                    <w:adjustRightInd w:val="0"/>
                    <w:snapToGrid w:val="0"/>
                    <w:jc w:val="center"/>
                    <w:rPr>
                      <w:rFonts w:eastAsiaTheme="majorEastAsia"/>
                      <w:color w:val="auto"/>
                      <w:szCs w:val="21"/>
                    </w:rPr>
                  </w:pPr>
                  <w:r>
                    <w:rPr>
                      <w:rFonts w:eastAsiaTheme="majorEastAsia"/>
                      <w:color w:val="auto"/>
                      <w:kern w:val="21"/>
                      <w:szCs w:val="21"/>
                    </w:rPr>
                    <w:t>本项目不属于重点行业，研发室配套设置废气</w:t>
                  </w:r>
                  <w:r>
                    <w:rPr>
                      <w:rFonts w:hint="eastAsia" w:eastAsiaTheme="majorEastAsia"/>
                      <w:color w:val="auto"/>
                      <w:kern w:val="21"/>
                      <w:szCs w:val="21"/>
                      <w:lang w:val="en-US" w:eastAsia="zh-CN"/>
                    </w:rPr>
                    <w:t>收集</w:t>
                  </w:r>
                  <w:r>
                    <w:rPr>
                      <w:rFonts w:eastAsiaTheme="majorEastAsia"/>
                      <w:color w:val="auto"/>
                      <w:kern w:val="21"/>
                      <w:szCs w:val="21"/>
                    </w:rPr>
                    <w:t>处理措施，</w:t>
                  </w:r>
                  <w:r>
                    <w:rPr>
                      <w:rFonts w:eastAsiaTheme="majorEastAsia"/>
                      <w:color w:val="auto"/>
                      <w:szCs w:val="21"/>
                    </w:rPr>
                    <w:t>废气经处理后达标</w:t>
                  </w:r>
                  <w:r>
                    <w:rPr>
                      <w:rFonts w:eastAsiaTheme="majorEastAsia"/>
                      <w:color w:val="auto"/>
                      <w:kern w:val="21"/>
                      <w:szCs w:val="21"/>
                    </w:rPr>
                    <w:t>。</w:t>
                  </w:r>
                </w:p>
              </w:tc>
              <w:tc>
                <w:tcPr>
                  <w:tcW w:w="489" w:type="pct"/>
                  <w:vAlign w:val="center"/>
                </w:tcPr>
                <w:p w14:paraId="689FA166">
                  <w:pPr>
                    <w:wordWrap w:val="0"/>
                    <w:adjustRightInd w:val="0"/>
                    <w:snapToGrid w:val="0"/>
                    <w:jc w:val="center"/>
                    <w:rPr>
                      <w:rFonts w:eastAsiaTheme="majorEastAsia"/>
                      <w:color w:val="auto"/>
                      <w:szCs w:val="21"/>
                    </w:rPr>
                  </w:pPr>
                  <w:r>
                    <w:rPr>
                      <w:rFonts w:eastAsiaTheme="majorEastAsia"/>
                      <w:color w:val="auto"/>
                      <w:kern w:val="21"/>
                      <w:szCs w:val="21"/>
                    </w:rPr>
                    <w:t>符合</w:t>
                  </w:r>
                </w:p>
              </w:tc>
            </w:tr>
            <w:tr w14:paraId="0B74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Merge w:val="restart"/>
                  <w:vAlign w:val="center"/>
                </w:tcPr>
                <w:p w14:paraId="445A4FAD">
                  <w:pPr>
                    <w:wordWrap w:val="0"/>
                    <w:adjustRightInd w:val="0"/>
                    <w:snapToGrid w:val="0"/>
                    <w:jc w:val="center"/>
                    <w:rPr>
                      <w:rFonts w:eastAsiaTheme="majorEastAsia"/>
                      <w:color w:val="auto"/>
                      <w:szCs w:val="21"/>
                    </w:rPr>
                  </w:pPr>
                  <w:r>
                    <w:rPr>
                      <w:rFonts w:eastAsiaTheme="majorEastAsia"/>
                      <w:color w:val="auto"/>
                      <w:szCs w:val="21"/>
                    </w:rPr>
                    <w:t>《西安市人民政府关于印发西安市空气质量达标规划（2023-2030年）的通知》（市政发〔2023〕10号）</w:t>
                  </w:r>
                </w:p>
              </w:tc>
              <w:tc>
                <w:tcPr>
                  <w:tcW w:w="2440" w:type="pct"/>
                  <w:vAlign w:val="center"/>
                </w:tcPr>
                <w:p w14:paraId="57AF78DD">
                  <w:pPr>
                    <w:wordWrap w:val="0"/>
                    <w:adjustRightInd w:val="0"/>
                    <w:snapToGrid w:val="0"/>
                    <w:jc w:val="center"/>
                    <w:rPr>
                      <w:rFonts w:eastAsiaTheme="majorEastAsia"/>
                      <w:color w:val="auto"/>
                      <w:szCs w:val="21"/>
                    </w:rPr>
                  </w:pPr>
                  <w:r>
                    <w:rPr>
                      <w:rFonts w:eastAsiaTheme="majorEastAsia"/>
                      <w:color w:val="auto"/>
                      <w:szCs w:val="21"/>
                    </w:rPr>
                    <w:t>根据国土空间规划分区和用途管制，实施</w:t>
                  </w:r>
                  <w:r>
                    <w:rPr>
                      <w:rFonts w:hint="eastAsia" w:eastAsiaTheme="majorEastAsia"/>
                      <w:color w:val="auto"/>
                      <w:szCs w:val="21"/>
                    </w:rPr>
                    <w:t>“</w:t>
                  </w:r>
                  <w:r>
                    <w:rPr>
                      <w:rFonts w:eastAsiaTheme="majorEastAsia"/>
                      <w:color w:val="auto"/>
                      <w:szCs w:val="21"/>
                    </w:rPr>
                    <w:t>三线一单</w:t>
                  </w:r>
                  <w:r>
                    <w:rPr>
                      <w:rFonts w:hint="eastAsia" w:eastAsiaTheme="majorEastAsia"/>
                      <w:color w:val="auto"/>
                      <w:szCs w:val="21"/>
                    </w:rPr>
                    <w:t>”</w:t>
                  </w:r>
                  <w:r>
                    <w:rPr>
                      <w:rFonts w:eastAsiaTheme="majorEastAsia"/>
                      <w:color w:val="auto"/>
                      <w:szCs w:val="21"/>
                    </w:rPr>
                    <w:t>（生态保护红线、环境质量底线、资源利用上线和生态环境准入清单）生态环境分区管控制度。</w:t>
                  </w:r>
                </w:p>
              </w:tc>
              <w:tc>
                <w:tcPr>
                  <w:tcW w:w="1022" w:type="pct"/>
                  <w:vAlign w:val="center"/>
                </w:tcPr>
                <w:p w14:paraId="01BC8809">
                  <w:pPr>
                    <w:wordWrap w:val="0"/>
                    <w:adjustRightInd w:val="0"/>
                    <w:snapToGrid w:val="0"/>
                    <w:jc w:val="center"/>
                    <w:rPr>
                      <w:rFonts w:eastAsiaTheme="majorEastAsia"/>
                      <w:color w:val="auto"/>
                      <w:szCs w:val="21"/>
                    </w:rPr>
                  </w:pPr>
                  <w:r>
                    <w:rPr>
                      <w:rFonts w:eastAsiaTheme="majorEastAsia"/>
                      <w:color w:val="auto"/>
                      <w:kern w:val="21"/>
                      <w:szCs w:val="21"/>
                    </w:rPr>
                    <w:t>项目符合</w:t>
                  </w:r>
                  <w:r>
                    <w:rPr>
                      <w:rFonts w:hint="eastAsia" w:eastAsiaTheme="majorEastAsia"/>
                      <w:color w:val="auto"/>
                      <w:kern w:val="21"/>
                      <w:szCs w:val="21"/>
                    </w:rPr>
                    <w:t>“</w:t>
                  </w:r>
                  <w:r>
                    <w:rPr>
                      <w:rFonts w:eastAsiaTheme="majorEastAsia"/>
                      <w:color w:val="auto"/>
                      <w:kern w:val="21"/>
                      <w:szCs w:val="21"/>
                    </w:rPr>
                    <w:t>三线一单</w:t>
                  </w:r>
                  <w:r>
                    <w:rPr>
                      <w:rFonts w:hint="eastAsia" w:eastAsiaTheme="majorEastAsia"/>
                      <w:color w:val="auto"/>
                      <w:kern w:val="21"/>
                      <w:szCs w:val="21"/>
                    </w:rPr>
                    <w:t>”</w:t>
                  </w:r>
                  <w:r>
                    <w:rPr>
                      <w:rFonts w:eastAsiaTheme="majorEastAsia"/>
                      <w:color w:val="auto"/>
                      <w:kern w:val="21"/>
                      <w:szCs w:val="21"/>
                    </w:rPr>
                    <w:t>生态环境分区管控中的相关要求。</w:t>
                  </w:r>
                </w:p>
              </w:tc>
              <w:tc>
                <w:tcPr>
                  <w:tcW w:w="489" w:type="pct"/>
                  <w:vAlign w:val="center"/>
                </w:tcPr>
                <w:p w14:paraId="38BB7B44">
                  <w:pPr>
                    <w:adjustRightInd w:val="0"/>
                    <w:snapToGrid w:val="0"/>
                    <w:jc w:val="center"/>
                    <w:rPr>
                      <w:rFonts w:eastAsiaTheme="majorEastAsia"/>
                      <w:color w:val="auto"/>
                      <w:szCs w:val="21"/>
                    </w:rPr>
                  </w:pPr>
                  <w:r>
                    <w:rPr>
                      <w:rFonts w:eastAsiaTheme="majorEastAsia"/>
                      <w:color w:val="auto"/>
                      <w:kern w:val="21"/>
                      <w:szCs w:val="21"/>
                    </w:rPr>
                    <w:t>符合</w:t>
                  </w:r>
                </w:p>
              </w:tc>
            </w:tr>
            <w:tr w14:paraId="2727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Merge w:val="continue"/>
                  <w:vAlign w:val="center"/>
                </w:tcPr>
                <w:p w14:paraId="15A34D55">
                  <w:pPr>
                    <w:adjustRightInd w:val="0"/>
                    <w:snapToGrid w:val="0"/>
                    <w:jc w:val="center"/>
                    <w:rPr>
                      <w:rFonts w:eastAsiaTheme="majorEastAsia"/>
                      <w:color w:val="auto"/>
                      <w:szCs w:val="21"/>
                    </w:rPr>
                  </w:pPr>
                </w:p>
              </w:tc>
              <w:tc>
                <w:tcPr>
                  <w:tcW w:w="2440" w:type="pct"/>
                  <w:vAlign w:val="center"/>
                </w:tcPr>
                <w:p w14:paraId="34DA7545">
                  <w:pPr>
                    <w:adjustRightInd w:val="0"/>
                    <w:snapToGrid w:val="0"/>
                    <w:jc w:val="center"/>
                    <w:rPr>
                      <w:rFonts w:eastAsiaTheme="majorEastAsia"/>
                      <w:color w:val="auto"/>
                      <w:szCs w:val="21"/>
                    </w:rPr>
                  </w:pPr>
                  <w:r>
                    <w:rPr>
                      <w:rFonts w:eastAsiaTheme="majorEastAsia"/>
                      <w:color w:val="auto"/>
                      <w:szCs w:val="21"/>
                    </w:rPr>
                    <w:t>新建项目不再采用单一低温等离子、光氧化、光催化等治理技术，非水溶性VOCs废气不再采用单一喷淋吸收方式处理。严格新改扩建涉气重点行业绩效评级限制条件，各区县、开发区范围内新改扩建涉气重点行业企业应达到环保绩效A级、绩效引领性水平，周至县、蓝田县应达到环保绩效B级及以上水平。督促指导企业落实重污染天气重点行业绩效分级技术指南要求。</w:t>
                  </w:r>
                </w:p>
              </w:tc>
              <w:tc>
                <w:tcPr>
                  <w:tcW w:w="1022" w:type="pct"/>
                  <w:vAlign w:val="center"/>
                </w:tcPr>
                <w:p w14:paraId="3BD1A52B">
                  <w:pPr>
                    <w:wordWrap w:val="0"/>
                    <w:adjustRightInd w:val="0"/>
                    <w:snapToGrid w:val="0"/>
                    <w:jc w:val="center"/>
                    <w:rPr>
                      <w:rFonts w:eastAsiaTheme="majorEastAsia"/>
                      <w:color w:val="auto"/>
                      <w:szCs w:val="21"/>
                    </w:rPr>
                  </w:pPr>
                  <w:r>
                    <w:rPr>
                      <w:rFonts w:eastAsiaTheme="majorEastAsia"/>
                      <w:color w:val="auto"/>
                      <w:kern w:val="21"/>
                      <w:szCs w:val="21"/>
                    </w:rPr>
                    <w:t>本项目不属于重点行业，研发室配套设置废气</w:t>
                  </w:r>
                  <w:r>
                    <w:rPr>
                      <w:rFonts w:hint="eastAsia" w:eastAsiaTheme="majorEastAsia"/>
                      <w:color w:val="auto"/>
                      <w:kern w:val="21"/>
                      <w:szCs w:val="21"/>
                      <w:lang w:val="en-US" w:eastAsia="zh-CN"/>
                    </w:rPr>
                    <w:t>收集</w:t>
                  </w:r>
                  <w:r>
                    <w:rPr>
                      <w:rFonts w:eastAsiaTheme="majorEastAsia"/>
                      <w:color w:val="auto"/>
                      <w:kern w:val="21"/>
                      <w:szCs w:val="21"/>
                    </w:rPr>
                    <w:t>处理措施，</w:t>
                  </w:r>
                  <w:r>
                    <w:rPr>
                      <w:rFonts w:eastAsiaTheme="majorEastAsia"/>
                      <w:color w:val="auto"/>
                      <w:szCs w:val="21"/>
                    </w:rPr>
                    <w:t>废气经处理后达标</w:t>
                  </w:r>
                  <w:r>
                    <w:rPr>
                      <w:rFonts w:eastAsiaTheme="majorEastAsia"/>
                      <w:color w:val="auto"/>
                      <w:kern w:val="21"/>
                      <w:szCs w:val="21"/>
                    </w:rPr>
                    <w:t>。</w:t>
                  </w:r>
                </w:p>
              </w:tc>
              <w:tc>
                <w:tcPr>
                  <w:tcW w:w="489" w:type="pct"/>
                  <w:vAlign w:val="center"/>
                </w:tcPr>
                <w:p w14:paraId="74BA38F0">
                  <w:pPr>
                    <w:wordWrap w:val="0"/>
                    <w:adjustRightInd w:val="0"/>
                    <w:snapToGrid w:val="0"/>
                    <w:jc w:val="center"/>
                    <w:rPr>
                      <w:rFonts w:eastAsiaTheme="majorEastAsia"/>
                      <w:color w:val="auto"/>
                      <w:szCs w:val="21"/>
                    </w:rPr>
                  </w:pPr>
                  <w:r>
                    <w:rPr>
                      <w:rFonts w:eastAsiaTheme="majorEastAsia"/>
                      <w:color w:val="auto"/>
                      <w:kern w:val="21"/>
                      <w:szCs w:val="21"/>
                    </w:rPr>
                    <w:t>符合</w:t>
                  </w:r>
                </w:p>
              </w:tc>
            </w:tr>
            <w:tr w14:paraId="4242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048" w:type="pct"/>
                  <w:vAlign w:val="center"/>
                </w:tcPr>
                <w:p w14:paraId="25CDB2BD">
                  <w:pPr>
                    <w:jc w:val="center"/>
                    <w:rPr>
                      <w:rFonts w:eastAsiaTheme="majorEastAsia"/>
                      <w:color w:val="auto"/>
                      <w:szCs w:val="21"/>
                    </w:rPr>
                  </w:pPr>
                  <w:r>
                    <w:rPr>
                      <w:rFonts w:eastAsiaTheme="majorEastAsia"/>
                      <w:color w:val="auto"/>
                      <w:szCs w:val="21"/>
                    </w:rPr>
                    <w:t>《西咸新区大气污染治理专项行动方案（2023-2027年）》（陕西咸党发〔2023〕4 号）</w:t>
                  </w:r>
                </w:p>
              </w:tc>
              <w:tc>
                <w:tcPr>
                  <w:tcW w:w="2440" w:type="pct"/>
                  <w:vAlign w:val="center"/>
                </w:tcPr>
                <w:p w14:paraId="5F4EC03E">
                  <w:pPr>
                    <w:rPr>
                      <w:rFonts w:eastAsiaTheme="majorEastAsia"/>
                      <w:color w:val="auto"/>
                      <w:kern w:val="21"/>
                      <w:szCs w:val="21"/>
                    </w:rPr>
                  </w:pPr>
                  <w:r>
                    <w:rPr>
                      <w:rFonts w:eastAsiaTheme="majorEastAsia"/>
                      <w:color w:val="auto"/>
                      <w:szCs w:val="21"/>
                    </w:rPr>
                    <w:t>严格新、改、扩建涉气重点行业绩效评级限制条件。新区范围内新、改、扩建涉气重点行业企业应达到环保绩效A级、绩效引领性水平。</w:t>
                  </w:r>
                </w:p>
              </w:tc>
              <w:tc>
                <w:tcPr>
                  <w:tcW w:w="1022" w:type="pct"/>
                  <w:vAlign w:val="center"/>
                </w:tcPr>
                <w:p w14:paraId="6B320494">
                  <w:pPr>
                    <w:rPr>
                      <w:rFonts w:eastAsiaTheme="majorEastAsia"/>
                      <w:color w:val="auto"/>
                      <w:kern w:val="21"/>
                      <w:szCs w:val="21"/>
                    </w:rPr>
                  </w:pPr>
                  <w:r>
                    <w:rPr>
                      <w:rFonts w:eastAsiaTheme="majorEastAsia"/>
                      <w:color w:val="auto"/>
                      <w:szCs w:val="21"/>
                    </w:rPr>
                    <w:t>本项目主要进行工程和技术研究和试验发展，不属于涉气重点行业。</w:t>
                  </w:r>
                </w:p>
              </w:tc>
              <w:tc>
                <w:tcPr>
                  <w:tcW w:w="489" w:type="pct"/>
                  <w:vAlign w:val="center"/>
                </w:tcPr>
                <w:p w14:paraId="78E69DD8">
                  <w:pPr>
                    <w:jc w:val="center"/>
                    <w:rPr>
                      <w:rFonts w:eastAsiaTheme="majorEastAsia"/>
                      <w:color w:val="auto"/>
                      <w:kern w:val="21"/>
                      <w:szCs w:val="21"/>
                    </w:rPr>
                  </w:pPr>
                  <w:r>
                    <w:rPr>
                      <w:rFonts w:eastAsiaTheme="majorEastAsia"/>
                      <w:color w:val="auto"/>
                      <w:szCs w:val="21"/>
                    </w:rPr>
                    <w:t>相符</w:t>
                  </w:r>
                </w:p>
              </w:tc>
            </w:tr>
            <w:tr w14:paraId="38F5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048" w:type="pct"/>
                  <w:vAlign w:val="center"/>
                </w:tcPr>
                <w:p w14:paraId="076510AF">
                  <w:pPr>
                    <w:jc w:val="center"/>
                    <w:rPr>
                      <w:rFonts w:eastAsiaTheme="majorEastAsia"/>
                      <w:color w:val="auto"/>
                      <w:szCs w:val="21"/>
                    </w:rPr>
                  </w:pPr>
                  <w:r>
                    <w:rPr>
                      <w:rFonts w:eastAsiaTheme="majorEastAsia"/>
                      <w:color w:val="auto"/>
                      <w:szCs w:val="21"/>
                    </w:rPr>
                    <w:t>关</w:t>
                  </w:r>
                  <w:bookmarkStart w:id="1" w:name="OLE_LINK49"/>
                  <w:r>
                    <w:rPr>
                      <w:rFonts w:eastAsiaTheme="majorEastAsia"/>
                      <w:color w:val="auto"/>
                      <w:szCs w:val="21"/>
                    </w:rPr>
                    <w:t>于</w:t>
                  </w:r>
                  <w:bookmarkEnd w:id="1"/>
                  <w:r>
                    <w:rPr>
                      <w:rFonts w:eastAsiaTheme="majorEastAsia"/>
                      <w:color w:val="auto"/>
                      <w:szCs w:val="21"/>
                    </w:rPr>
                    <w:t>印发</w:t>
                  </w:r>
                  <w:bookmarkStart w:id="2" w:name="OLE_LINK91"/>
                  <w:r>
                    <w:rPr>
                      <w:rFonts w:eastAsiaTheme="majorEastAsia"/>
                      <w:color w:val="auto"/>
                      <w:szCs w:val="21"/>
                    </w:rPr>
                    <w:t>《西咸新区大气污染治理专项行动2024年工作方案》的通知（陕西咸党政办函〔2024〕21号）</w:t>
                  </w:r>
                  <w:bookmarkEnd w:id="2"/>
                </w:p>
              </w:tc>
              <w:tc>
                <w:tcPr>
                  <w:tcW w:w="2440" w:type="pct"/>
                  <w:vAlign w:val="center"/>
                </w:tcPr>
                <w:p w14:paraId="4B3DCA29">
                  <w:pPr>
                    <w:rPr>
                      <w:rFonts w:eastAsiaTheme="majorEastAsia"/>
                      <w:color w:val="auto"/>
                      <w:szCs w:val="21"/>
                    </w:rPr>
                  </w:pPr>
                  <w:r>
                    <w:rPr>
                      <w:rFonts w:eastAsiaTheme="majorEastAsia"/>
                      <w:color w:val="auto"/>
                      <w:szCs w:val="21"/>
                    </w:rPr>
                    <w:t>严格新、改、扩建涉气重点行业绩效评级限制条件。新区范围内新、改、扩建涉气重点行业企业应达到环保绩效A级、绩效引领性水平。</w:t>
                  </w:r>
                </w:p>
              </w:tc>
              <w:tc>
                <w:tcPr>
                  <w:tcW w:w="1022" w:type="pct"/>
                  <w:vAlign w:val="center"/>
                </w:tcPr>
                <w:p w14:paraId="1C8176C4">
                  <w:pPr>
                    <w:rPr>
                      <w:rFonts w:eastAsiaTheme="majorEastAsia"/>
                      <w:color w:val="auto"/>
                      <w:szCs w:val="21"/>
                    </w:rPr>
                  </w:pPr>
                  <w:r>
                    <w:rPr>
                      <w:rFonts w:eastAsiaTheme="majorEastAsia"/>
                      <w:color w:val="auto"/>
                      <w:szCs w:val="21"/>
                    </w:rPr>
                    <w:t>本项目主要进行工程和技术研究和试验发展，不属于涉气重点行业。</w:t>
                  </w:r>
                </w:p>
              </w:tc>
              <w:tc>
                <w:tcPr>
                  <w:tcW w:w="489" w:type="pct"/>
                  <w:vAlign w:val="center"/>
                </w:tcPr>
                <w:p w14:paraId="2DB5F7F3">
                  <w:pPr>
                    <w:jc w:val="center"/>
                    <w:rPr>
                      <w:rFonts w:eastAsiaTheme="majorEastAsia"/>
                      <w:color w:val="auto"/>
                      <w:szCs w:val="21"/>
                    </w:rPr>
                  </w:pPr>
                  <w:r>
                    <w:rPr>
                      <w:rFonts w:eastAsiaTheme="majorEastAsia"/>
                      <w:color w:val="auto"/>
                      <w:szCs w:val="21"/>
                    </w:rPr>
                    <w:t>相符</w:t>
                  </w:r>
                </w:p>
              </w:tc>
            </w:tr>
            <w:tr w14:paraId="4B67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1048" w:type="pct"/>
                  <w:vAlign w:val="center"/>
                </w:tcPr>
                <w:p w14:paraId="4CDF1AE3">
                  <w:pPr>
                    <w:jc w:val="center"/>
                    <w:rPr>
                      <w:rFonts w:eastAsiaTheme="majorEastAsia"/>
                      <w:color w:val="auto"/>
                      <w:szCs w:val="21"/>
                    </w:rPr>
                  </w:pPr>
                  <w:r>
                    <w:rPr>
                      <w:rFonts w:eastAsiaTheme="majorEastAsia"/>
                      <w:color w:val="auto"/>
                      <w:szCs w:val="21"/>
                    </w:rPr>
                    <w:t>《西咸新区沣西新城大气污染治理专项行动方案（2023~2027）》</w:t>
                  </w:r>
                </w:p>
              </w:tc>
              <w:tc>
                <w:tcPr>
                  <w:tcW w:w="2440" w:type="pct"/>
                  <w:vAlign w:val="center"/>
                </w:tcPr>
                <w:p w14:paraId="261742AB">
                  <w:pPr>
                    <w:rPr>
                      <w:rFonts w:eastAsiaTheme="majorEastAsia"/>
                      <w:color w:val="auto"/>
                      <w:kern w:val="21"/>
                      <w:szCs w:val="21"/>
                    </w:rPr>
                  </w:pPr>
                  <w:r>
                    <w:rPr>
                      <w:rFonts w:eastAsiaTheme="majorEastAsia"/>
                      <w:color w:val="auto"/>
                      <w:szCs w:val="21"/>
                    </w:rPr>
                    <w:t>强化涉活性炭VOCs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单一低温等离子、光氧化、光催化等治理技术，非水溶性VOCs废气不再采用单一喷淋吸收方式处理</w:t>
                  </w:r>
                </w:p>
              </w:tc>
              <w:tc>
                <w:tcPr>
                  <w:tcW w:w="1022" w:type="pct"/>
                  <w:vAlign w:val="center"/>
                </w:tcPr>
                <w:p w14:paraId="6565698B">
                  <w:pPr>
                    <w:jc w:val="center"/>
                    <w:rPr>
                      <w:rFonts w:eastAsiaTheme="majorEastAsia"/>
                      <w:color w:val="auto"/>
                      <w:kern w:val="21"/>
                      <w:szCs w:val="21"/>
                    </w:rPr>
                  </w:pPr>
                  <w:r>
                    <w:rPr>
                      <w:rFonts w:eastAsiaTheme="majorEastAsia"/>
                      <w:color w:val="auto"/>
                      <w:spacing w:val="-6"/>
                      <w:szCs w:val="21"/>
                    </w:rPr>
                    <w:t>本项目研发室废气</w:t>
                  </w:r>
                  <w:r>
                    <w:rPr>
                      <w:rFonts w:eastAsiaTheme="majorEastAsia"/>
                      <w:color w:val="auto"/>
                      <w:kern w:val="21"/>
                      <w:szCs w:val="21"/>
                    </w:rPr>
                    <w:t>经</w:t>
                  </w:r>
                  <w:r>
                    <w:rPr>
                      <w:rFonts w:hint="eastAsia" w:eastAsiaTheme="majorEastAsia"/>
                      <w:color w:val="auto"/>
                      <w:kern w:val="21"/>
                      <w:szCs w:val="21"/>
                    </w:rPr>
                    <w:t>“</w:t>
                  </w:r>
                  <w:r>
                    <w:rPr>
                      <w:rFonts w:eastAsiaTheme="majorEastAsia"/>
                      <w:color w:val="auto"/>
                      <w:kern w:val="21"/>
                      <w:szCs w:val="21"/>
                    </w:rPr>
                    <w:t>活性炭吸附装置</w:t>
                  </w:r>
                  <w:r>
                    <w:rPr>
                      <w:rFonts w:hint="eastAsia" w:eastAsiaTheme="majorEastAsia"/>
                      <w:color w:val="auto"/>
                      <w:kern w:val="21"/>
                      <w:szCs w:val="21"/>
                    </w:rPr>
                    <w:t>”</w:t>
                  </w:r>
                  <w:r>
                    <w:rPr>
                      <w:rFonts w:eastAsiaTheme="majorEastAsia"/>
                      <w:color w:val="auto"/>
                      <w:kern w:val="21"/>
                      <w:szCs w:val="21"/>
                    </w:rPr>
                    <w:t>处理后由23m高DA001排气筒高空排放</w:t>
                  </w:r>
                  <w:r>
                    <w:rPr>
                      <w:rFonts w:eastAsiaTheme="majorEastAsia"/>
                      <w:color w:val="auto"/>
                      <w:spacing w:val="-6"/>
                      <w:szCs w:val="21"/>
                    </w:rPr>
                    <w:t>，满足《制药工业大气污染物排放标准》（GB37823-2019）</w:t>
                  </w:r>
                  <w:r>
                    <w:rPr>
                      <w:rFonts w:eastAsiaTheme="majorEastAsia"/>
                      <w:color w:val="auto"/>
                      <w:szCs w:val="21"/>
                    </w:rPr>
                    <w:t>中相关标准。</w:t>
                  </w:r>
                </w:p>
              </w:tc>
              <w:tc>
                <w:tcPr>
                  <w:tcW w:w="489" w:type="pct"/>
                  <w:vAlign w:val="center"/>
                </w:tcPr>
                <w:p w14:paraId="7E8EE803">
                  <w:pPr>
                    <w:pStyle w:val="44"/>
                    <w:jc w:val="center"/>
                    <w:rPr>
                      <w:rFonts w:ascii="Times New Roman" w:hAnsi="Times New Roman" w:cs="Times New Roman" w:eastAsiaTheme="majorEastAsia"/>
                      <w:color w:val="auto"/>
                      <w:kern w:val="21"/>
                      <w:sz w:val="21"/>
                      <w:szCs w:val="21"/>
                    </w:rPr>
                  </w:pPr>
                  <w:r>
                    <w:rPr>
                      <w:rFonts w:ascii="Times New Roman" w:hAnsi="Times New Roman" w:cs="Times New Roman" w:eastAsiaTheme="majorEastAsia"/>
                      <w:color w:val="auto"/>
                      <w:sz w:val="21"/>
                      <w:szCs w:val="21"/>
                    </w:rPr>
                    <w:t>符合</w:t>
                  </w:r>
                </w:p>
              </w:tc>
            </w:tr>
            <w:tr w14:paraId="26CA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1048" w:type="pct"/>
                  <w:vMerge w:val="restart"/>
                  <w:vAlign w:val="center"/>
                </w:tcPr>
                <w:p w14:paraId="6513235E">
                  <w:pPr>
                    <w:adjustRightInd w:val="0"/>
                    <w:snapToGrid w:val="0"/>
                    <w:jc w:val="center"/>
                    <w:rPr>
                      <w:rFonts w:eastAsiaTheme="majorEastAsia"/>
                      <w:color w:val="auto"/>
                      <w:szCs w:val="21"/>
                    </w:rPr>
                  </w:pPr>
                  <w:r>
                    <w:rPr>
                      <w:rFonts w:eastAsiaTheme="majorEastAsia"/>
                      <w:color w:val="auto"/>
                      <w:szCs w:val="21"/>
                    </w:rPr>
                    <w:t>《陕西省噪声污染防治行动计划》（2023-2025年）</w:t>
                  </w:r>
                </w:p>
              </w:tc>
              <w:tc>
                <w:tcPr>
                  <w:tcW w:w="2440" w:type="pct"/>
                  <w:vAlign w:val="center"/>
                </w:tcPr>
                <w:p w14:paraId="2A40C3FD">
                  <w:pPr>
                    <w:adjustRightInd w:val="0"/>
                    <w:snapToGrid w:val="0"/>
                    <w:jc w:val="center"/>
                    <w:rPr>
                      <w:rFonts w:eastAsiaTheme="majorEastAsia"/>
                      <w:color w:val="auto"/>
                      <w:szCs w:val="21"/>
                    </w:rPr>
                  </w:pPr>
                  <w:r>
                    <w:rPr>
                      <w:rFonts w:eastAsiaTheme="majorEastAsia"/>
                      <w:color w:val="auto"/>
                      <w:szCs w:val="21"/>
                    </w:rPr>
                    <w:t>严格落实噪声污染防治要求。切实加强规划环评工作，充分考虑区域开发等规划内容产生的噪声对声环境质量的影响。可能产生噪声污染的新改扩建项目应当依法开展环评，符合相关规划环评管控要求。建设项目的噪声污染防治设施应当与主体工程同时设计、同时施工、同时投产使用。督促建设单位依法开展竣工环境保护验收，加大事中事后监管力度，确保各项措施落地见效。以项目环评审批、排污许可管理、竣工环保验收等为抓手，严格落实噪声污染防治措施，加大重点行业建设项目环评文件和</w:t>
                  </w:r>
                  <w:r>
                    <w:rPr>
                      <w:rFonts w:hint="eastAsia" w:eastAsiaTheme="majorEastAsia"/>
                      <w:color w:val="auto"/>
                      <w:szCs w:val="21"/>
                    </w:rPr>
                    <w:t>“</w:t>
                  </w:r>
                  <w:r>
                    <w:rPr>
                      <w:rFonts w:eastAsiaTheme="majorEastAsia"/>
                      <w:color w:val="auto"/>
                      <w:szCs w:val="21"/>
                    </w:rPr>
                    <w:t>三同时</w:t>
                  </w:r>
                  <w:r>
                    <w:rPr>
                      <w:rFonts w:hint="eastAsia" w:eastAsiaTheme="majorEastAsia"/>
                      <w:color w:val="auto"/>
                      <w:szCs w:val="21"/>
                    </w:rPr>
                    <w:t>”</w:t>
                  </w:r>
                  <w:r>
                    <w:rPr>
                      <w:rFonts w:eastAsiaTheme="majorEastAsia"/>
                      <w:color w:val="auto"/>
                      <w:szCs w:val="21"/>
                    </w:rPr>
                    <w:t>验收噪声部分的核查抽查力度。</w:t>
                  </w:r>
                </w:p>
              </w:tc>
              <w:tc>
                <w:tcPr>
                  <w:tcW w:w="1022" w:type="pct"/>
                  <w:vAlign w:val="center"/>
                </w:tcPr>
                <w:p w14:paraId="11AB7789">
                  <w:pPr>
                    <w:wordWrap w:val="0"/>
                    <w:adjustRightInd w:val="0"/>
                    <w:snapToGrid w:val="0"/>
                    <w:jc w:val="center"/>
                    <w:rPr>
                      <w:rFonts w:eastAsiaTheme="majorEastAsia"/>
                      <w:color w:val="auto"/>
                      <w:kern w:val="21"/>
                      <w:szCs w:val="21"/>
                    </w:rPr>
                  </w:pPr>
                  <w:r>
                    <w:rPr>
                      <w:rFonts w:eastAsiaTheme="majorEastAsia"/>
                      <w:color w:val="auto"/>
                      <w:kern w:val="21"/>
                      <w:szCs w:val="21"/>
                    </w:rPr>
                    <w:t>本项目为新建，</w:t>
                  </w:r>
                  <w:r>
                    <w:rPr>
                      <w:rFonts w:eastAsiaTheme="majorEastAsia"/>
                      <w:bCs/>
                      <w:color w:val="auto"/>
                      <w:kern w:val="0"/>
                      <w:szCs w:val="21"/>
                      <w:lang w:val="en-GB"/>
                    </w:rPr>
                    <w:t>现正依法办理环评手续，</w:t>
                  </w:r>
                  <w:r>
                    <w:rPr>
                      <w:rFonts w:eastAsiaTheme="majorEastAsia"/>
                      <w:color w:val="auto"/>
                      <w:kern w:val="21"/>
                      <w:szCs w:val="21"/>
                    </w:rPr>
                    <w:t>高噪声设备主要为风机及泵类等，经</w:t>
                  </w:r>
                  <w:r>
                    <w:rPr>
                      <w:rFonts w:eastAsiaTheme="majorEastAsia"/>
                      <w:color w:val="auto"/>
                      <w:szCs w:val="21"/>
                    </w:rPr>
                    <w:t>基础减振，厂房隔声、软连接等措施后对周围环境影响较小；要求建设项目噪声防治设施与主体工程同时设计、同时施工、同时投产使用</w:t>
                  </w:r>
                  <w:r>
                    <w:rPr>
                      <w:rFonts w:eastAsiaTheme="majorEastAsia"/>
                      <w:color w:val="auto"/>
                      <w:kern w:val="21"/>
                      <w:szCs w:val="21"/>
                    </w:rPr>
                    <w:t>。</w:t>
                  </w:r>
                </w:p>
              </w:tc>
              <w:tc>
                <w:tcPr>
                  <w:tcW w:w="489" w:type="pct"/>
                  <w:vAlign w:val="center"/>
                </w:tcPr>
                <w:p w14:paraId="7A158634">
                  <w:pPr>
                    <w:wordWrap w:val="0"/>
                    <w:adjustRightInd w:val="0"/>
                    <w:snapToGrid w:val="0"/>
                    <w:jc w:val="center"/>
                    <w:rPr>
                      <w:rFonts w:eastAsiaTheme="majorEastAsia"/>
                      <w:color w:val="auto"/>
                      <w:kern w:val="21"/>
                      <w:szCs w:val="21"/>
                    </w:rPr>
                  </w:pPr>
                  <w:r>
                    <w:rPr>
                      <w:rFonts w:eastAsiaTheme="majorEastAsia"/>
                      <w:color w:val="auto"/>
                      <w:kern w:val="21"/>
                      <w:szCs w:val="21"/>
                    </w:rPr>
                    <w:t>符合</w:t>
                  </w:r>
                </w:p>
              </w:tc>
            </w:tr>
            <w:tr w14:paraId="199E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1048" w:type="pct"/>
                  <w:vMerge w:val="continue"/>
                  <w:vAlign w:val="center"/>
                </w:tcPr>
                <w:p w14:paraId="3D920220">
                  <w:pPr>
                    <w:wordWrap w:val="0"/>
                    <w:adjustRightInd w:val="0"/>
                    <w:snapToGrid w:val="0"/>
                    <w:jc w:val="center"/>
                    <w:rPr>
                      <w:rFonts w:eastAsiaTheme="majorEastAsia"/>
                      <w:color w:val="auto"/>
                      <w:szCs w:val="21"/>
                    </w:rPr>
                  </w:pPr>
                </w:p>
              </w:tc>
              <w:tc>
                <w:tcPr>
                  <w:tcW w:w="2440" w:type="pct"/>
                  <w:vAlign w:val="center"/>
                </w:tcPr>
                <w:p w14:paraId="25685DE4">
                  <w:pPr>
                    <w:wordWrap w:val="0"/>
                    <w:adjustRightInd w:val="0"/>
                    <w:snapToGrid w:val="0"/>
                    <w:jc w:val="center"/>
                    <w:rPr>
                      <w:rFonts w:eastAsiaTheme="majorEastAsia"/>
                      <w:color w:val="auto"/>
                      <w:szCs w:val="21"/>
                    </w:rPr>
                  </w:pPr>
                  <w:r>
                    <w:rPr>
                      <w:rFonts w:eastAsiaTheme="majorEastAsia"/>
                      <w:color w:val="auto"/>
                      <w:szCs w:val="21"/>
                    </w:rPr>
                    <w:t>落实工业噪声过程控制。噪声排放工业企业切实落实噪声污染防治措施，开展工业噪声达标专项整治，严肃查处工业企业噪声超标排放行为，加强厂区内固定设备、运输工具、货物装卸和试车线等声源噪声管理，避免突发噪声扰民。</w:t>
                  </w:r>
                </w:p>
              </w:tc>
              <w:tc>
                <w:tcPr>
                  <w:tcW w:w="1022" w:type="pct"/>
                  <w:vAlign w:val="center"/>
                </w:tcPr>
                <w:p w14:paraId="2FE6CC9F">
                  <w:pPr>
                    <w:wordWrap w:val="0"/>
                    <w:adjustRightInd w:val="0"/>
                    <w:snapToGrid w:val="0"/>
                    <w:jc w:val="center"/>
                    <w:rPr>
                      <w:rFonts w:eastAsiaTheme="majorEastAsia"/>
                      <w:color w:val="auto"/>
                      <w:szCs w:val="21"/>
                    </w:rPr>
                  </w:pPr>
                  <w:r>
                    <w:rPr>
                      <w:rFonts w:eastAsiaTheme="majorEastAsia"/>
                      <w:color w:val="auto"/>
                      <w:szCs w:val="21"/>
                    </w:rPr>
                    <w:t>本项目选用低噪声设备，采取基础减振、厂房隔声，风机等高噪声设备增加软连接，以避免对周边敏感点产生影响。</w:t>
                  </w:r>
                </w:p>
              </w:tc>
              <w:tc>
                <w:tcPr>
                  <w:tcW w:w="489" w:type="pct"/>
                  <w:vAlign w:val="center"/>
                </w:tcPr>
                <w:p w14:paraId="4444AC9B">
                  <w:pPr>
                    <w:wordWrap w:val="0"/>
                    <w:adjustRightInd w:val="0"/>
                    <w:snapToGrid w:val="0"/>
                    <w:jc w:val="center"/>
                    <w:rPr>
                      <w:rFonts w:eastAsiaTheme="majorEastAsia"/>
                      <w:color w:val="auto"/>
                      <w:szCs w:val="21"/>
                    </w:rPr>
                  </w:pPr>
                  <w:r>
                    <w:rPr>
                      <w:rFonts w:eastAsiaTheme="majorEastAsia"/>
                      <w:color w:val="auto"/>
                      <w:szCs w:val="21"/>
                    </w:rPr>
                    <w:t>符合</w:t>
                  </w:r>
                </w:p>
              </w:tc>
            </w:tr>
            <w:tr w14:paraId="0D41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1048" w:type="pct"/>
                  <w:shd w:val="clear" w:color="auto" w:fill="auto"/>
                  <w:vAlign w:val="center"/>
                </w:tcPr>
                <w:p w14:paraId="70217519">
                  <w:pPr>
                    <w:adjustRightInd w:val="0"/>
                    <w:snapToGrid w:val="0"/>
                    <w:jc w:val="center"/>
                    <w:rPr>
                      <w:rFonts w:eastAsiaTheme="majorEastAsia"/>
                      <w:color w:val="auto"/>
                      <w:szCs w:val="21"/>
                    </w:rPr>
                  </w:pPr>
                  <w:r>
                    <w:rPr>
                      <w:rFonts w:eastAsiaTheme="majorEastAsia"/>
                      <w:color w:val="auto"/>
                      <w:szCs w:val="21"/>
                    </w:rPr>
                    <w:t>《陕西省生态环境厅关于进一步加强关中地区涉气重点行业项目环评管理的通知》（陕环环评函〔2023〕76号）</w:t>
                  </w:r>
                </w:p>
              </w:tc>
              <w:tc>
                <w:tcPr>
                  <w:tcW w:w="2440" w:type="pct"/>
                  <w:shd w:val="clear" w:color="auto" w:fill="auto"/>
                  <w:vAlign w:val="center"/>
                </w:tcPr>
                <w:p w14:paraId="4E963D23">
                  <w:pPr>
                    <w:adjustRightInd w:val="0"/>
                    <w:snapToGrid w:val="0"/>
                    <w:jc w:val="center"/>
                    <w:rPr>
                      <w:rFonts w:eastAsiaTheme="majorEastAsia"/>
                      <w:color w:val="auto"/>
                      <w:szCs w:val="21"/>
                    </w:rPr>
                  </w:pPr>
                  <w:r>
                    <w:rPr>
                      <w:rFonts w:eastAsiaTheme="majorEastAsia"/>
                      <w:color w:val="auto"/>
                      <w:szCs w:val="21"/>
                    </w:rPr>
                    <w:t>关中地区涉气重点行业项目范围为生态环境部确定的39个重点行业的新改扩建项目，涉及关中各市（区）辖区及开发区范围内的应达到环保绩效A级、绩效引领性水平要求，西安市、咸阳市、渭南市的其他区域应达到环保绩效B级及以上要求。</w:t>
                  </w:r>
                </w:p>
              </w:tc>
              <w:tc>
                <w:tcPr>
                  <w:tcW w:w="1022" w:type="pct"/>
                  <w:vAlign w:val="center"/>
                </w:tcPr>
                <w:p w14:paraId="74B447B2">
                  <w:pPr>
                    <w:wordWrap w:val="0"/>
                    <w:jc w:val="center"/>
                    <w:rPr>
                      <w:rFonts w:eastAsiaTheme="majorEastAsia"/>
                      <w:color w:val="auto"/>
                      <w:kern w:val="21"/>
                      <w:szCs w:val="21"/>
                    </w:rPr>
                  </w:pPr>
                  <w:r>
                    <w:rPr>
                      <w:rFonts w:eastAsiaTheme="majorEastAsia"/>
                      <w:color w:val="auto"/>
                      <w:szCs w:val="21"/>
                    </w:rPr>
                    <w:t>本项目主要进行工程和技术研究和试验发展，不属于涉气重点行业。</w:t>
                  </w:r>
                </w:p>
              </w:tc>
              <w:tc>
                <w:tcPr>
                  <w:tcW w:w="489" w:type="pct"/>
                  <w:vAlign w:val="center"/>
                </w:tcPr>
                <w:p w14:paraId="432F6BA7">
                  <w:pPr>
                    <w:jc w:val="center"/>
                    <w:rPr>
                      <w:rFonts w:eastAsiaTheme="majorEastAsia"/>
                      <w:color w:val="auto"/>
                      <w:szCs w:val="21"/>
                    </w:rPr>
                  </w:pPr>
                  <w:r>
                    <w:rPr>
                      <w:rFonts w:eastAsiaTheme="majorEastAsia"/>
                      <w:color w:val="auto"/>
                      <w:kern w:val="21"/>
                      <w:szCs w:val="21"/>
                    </w:rPr>
                    <w:t>符合</w:t>
                  </w:r>
                </w:p>
              </w:tc>
            </w:tr>
            <w:tr w14:paraId="1CF9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048" w:type="pct"/>
                  <w:vMerge w:val="restart"/>
                  <w:shd w:val="clear" w:color="auto" w:fill="auto"/>
                  <w:vAlign w:val="center"/>
                </w:tcPr>
                <w:p w14:paraId="2F652400">
                  <w:pPr>
                    <w:adjustRightInd w:val="0"/>
                    <w:snapToGrid w:val="0"/>
                    <w:jc w:val="center"/>
                    <w:rPr>
                      <w:rFonts w:eastAsiaTheme="majorEastAsia"/>
                      <w:color w:val="auto"/>
                      <w:szCs w:val="21"/>
                    </w:rPr>
                  </w:pPr>
                  <w:r>
                    <w:rPr>
                      <w:rFonts w:eastAsiaTheme="majorEastAsia"/>
                      <w:color w:val="auto"/>
                      <w:szCs w:val="21"/>
                    </w:rPr>
                    <w:t>《西安市生态环境局办公室关于加强涉气项目环境影响评价管理的通知》（市环办发〔2023〕47号）</w:t>
                  </w:r>
                </w:p>
              </w:tc>
              <w:tc>
                <w:tcPr>
                  <w:tcW w:w="2440" w:type="pct"/>
                  <w:shd w:val="clear" w:color="auto" w:fill="auto"/>
                  <w:vAlign w:val="center"/>
                </w:tcPr>
                <w:p w14:paraId="5622F1E2">
                  <w:pPr>
                    <w:adjustRightInd w:val="0"/>
                    <w:snapToGrid w:val="0"/>
                    <w:jc w:val="center"/>
                    <w:rPr>
                      <w:rFonts w:eastAsiaTheme="majorEastAsia"/>
                      <w:color w:val="auto"/>
                      <w:szCs w:val="21"/>
                    </w:rPr>
                  </w:pPr>
                  <w:r>
                    <w:rPr>
                      <w:rFonts w:eastAsiaTheme="majorEastAsia"/>
                      <w:color w:val="auto"/>
                      <w:kern w:val="0"/>
                      <w:szCs w:val="21"/>
                    </w:rPr>
                    <w:t>全面提升涉气重点行业企业治污减排水平。各区（县）、开发区范围内新改扩建涉气重点行业项目应达到环保绩效A级、绩效引领性水平，周至县、蓝田县应达到环保绩效B级及以上水平。</w:t>
                  </w:r>
                </w:p>
              </w:tc>
              <w:tc>
                <w:tcPr>
                  <w:tcW w:w="1022" w:type="pct"/>
                  <w:vAlign w:val="center"/>
                </w:tcPr>
                <w:p w14:paraId="15A65BCC">
                  <w:pPr>
                    <w:wordWrap w:val="0"/>
                    <w:jc w:val="center"/>
                    <w:rPr>
                      <w:rFonts w:eastAsiaTheme="majorEastAsia"/>
                      <w:color w:val="auto"/>
                      <w:szCs w:val="21"/>
                    </w:rPr>
                  </w:pPr>
                  <w:r>
                    <w:rPr>
                      <w:rFonts w:eastAsiaTheme="majorEastAsia"/>
                      <w:color w:val="auto"/>
                      <w:kern w:val="21"/>
                      <w:szCs w:val="21"/>
                    </w:rPr>
                    <w:t>本项目为新建，不属于重点行业，废气均经过收集处理后达标排放。</w:t>
                  </w:r>
                </w:p>
              </w:tc>
              <w:tc>
                <w:tcPr>
                  <w:tcW w:w="489" w:type="pct"/>
                  <w:vAlign w:val="center"/>
                </w:tcPr>
                <w:p w14:paraId="2A1C5BC8">
                  <w:pPr>
                    <w:jc w:val="center"/>
                    <w:rPr>
                      <w:rFonts w:eastAsiaTheme="majorEastAsia"/>
                      <w:color w:val="auto"/>
                      <w:kern w:val="21"/>
                      <w:szCs w:val="21"/>
                    </w:rPr>
                  </w:pPr>
                  <w:r>
                    <w:rPr>
                      <w:rFonts w:eastAsiaTheme="majorEastAsia"/>
                      <w:color w:val="auto"/>
                      <w:kern w:val="21"/>
                      <w:szCs w:val="21"/>
                    </w:rPr>
                    <w:t>符合</w:t>
                  </w:r>
                </w:p>
              </w:tc>
            </w:tr>
            <w:tr w14:paraId="033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1048" w:type="pct"/>
                  <w:vMerge w:val="continue"/>
                  <w:shd w:val="clear" w:color="auto" w:fill="auto"/>
                  <w:vAlign w:val="center"/>
                </w:tcPr>
                <w:p w14:paraId="34D76A27">
                  <w:pPr>
                    <w:jc w:val="center"/>
                    <w:rPr>
                      <w:rFonts w:eastAsiaTheme="majorEastAsia"/>
                      <w:color w:val="auto"/>
                      <w:szCs w:val="21"/>
                    </w:rPr>
                  </w:pPr>
                </w:p>
              </w:tc>
              <w:tc>
                <w:tcPr>
                  <w:tcW w:w="2440" w:type="pct"/>
                  <w:shd w:val="clear" w:color="auto" w:fill="auto"/>
                  <w:vAlign w:val="center"/>
                </w:tcPr>
                <w:p w14:paraId="471025FF">
                  <w:pPr>
                    <w:rPr>
                      <w:rFonts w:eastAsiaTheme="majorEastAsia"/>
                      <w:color w:val="auto"/>
                      <w:szCs w:val="21"/>
                    </w:rPr>
                  </w:pPr>
                  <w:r>
                    <w:rPr>
                      <w:rFonts w:eastAsiaTheme="majorEastAsia"/>
                      <w:color w:val="auto"/>
                      <w:szCs w:val="21"/>
                    </w:rPr>
                    <w:t>①严格落实法律法规、政策标准要求，强化</w:t>
                  </w:r>
                  <w:r>
                    <w:rPr>
                      <w:rFonts w:hint="eastAsia" w:eastAsiaTheme="majorEastAsia"/>
                      <w:color w:val="auto"/>
                      <w:szCs w:val="21"/>
                    </w:rPr>
                    <w:t>“</w:t>
                  </w:r>
                  <w:r>
                    <w:rPr>
                      <w:rFonts w:eastAsiaTheme="majorEastAsia"/>
                      <w:color w:val="auto"/>
                      <w:szCs w:val="21"/>
                    </w:rPr>
                    <w:t>三线一单</w:t>
                  </w:r>
                  <w:r>
                    <w:rPr>
                      <w:rFonts w:hint="eastAsia" w:eastAsiaTheme="majorEastAsia"/>
                      <w:color w:val="auto"/>
                      <w:szCs w:val="21"/>
                    </w:rPr>
                    <w:t>”</w:t>
                  </w:r>
                  <w:r>
                    <w:rPr>
                      <w:rFonts w:eastAsiaTheme="majorEastAsia"/>
                      <w:color w:val="auto"/>
                      <w:szCs w:val="21"/>
                    </w:rPr>
                    <w:t>生态环境分区管控落地，发挥规划环评和总量指标的制约作用；</w:t>
                  </w:r>
                </w:p>
                <w:p w14:paraId="518E7A95">
                  <w:pPr>
                    <w:adjustRightInd w:val="0"/>
                    <w:snapToGrid w:val="0"/>
                    <w:jc w:val="center"/>
                    <w:rPr>
                      <w:rFonts w:eastAsiaTheme="majorEastAsia"/>
                      <w:color w:val="auto"/>
                      <w:szCs w:val="21"/>
                    </w:rPr>
                  </w:pPr>
                  <w:r>
                    <w:rPr>
                      <w:rFonts w:eastAsiaTheme="majorEastAsia"/>
                      <w:color w:val="auto"/>
                      <w:szCs w:val="21"/>
                    </w:rPr>
                    <w:t>②新建项目不再采用低温等离子、光氧化、光催化等单一处理方式，非水溶性挥发性有机物废气不再采用喷淋吸收方式处理，采用活性炭吸附技术，其中颗粒碳碘吸附值不低于800mg/g或四氯化碳吸附率不低于60%，蜂窝活性炭碘吸附值不低于600mg/g或四氯化碳吸附率不低于30%，按设计要求足量添加、定期更换。</w:t>
                  </w:r>
                </w:p>
              </w:tc>
              <w:tc>
                <w:tcPr>
                  <w:tcW w:w="1022" w:type="pct"/>
                  <w:shd w:val="clear" w:color="auto" w:fill="auto"/>
                  <w:vAlign w:val="center"/>
                </w:tcPr>
                <w:p w14:paraId="620182E3">
                  <w:pPr>
                    <w:wordWrap w:val="0"/>
                    <w:jc w:val="center"/>
                    <w:rPr>
                      <w:rFonts w:eastAsiaTheme="majorEastAsia"/>
                      <w:color w:val="auto"/>
                      <w:szCs w:val="21"/>
                    </w:rPr>
                  </w:pPr>
                  <w:r>
                    <w:rPr>
                      <w:rFonts w:hint="eastAsia" w:eastAsiaTheme="majorEastAsia"/>
                      <w:color w:val="FF0000"/>
                      <w:szCs w:val="21"/>
                      <w:lang w:val="en-US" w:eastAsia="zh-CN"/>
                    </w:rPr>
                    <w:t>本项目需选用碘吸附值符合要求的活性炭吸附床</w:t>
                  </w:r>
                  <w:r>
                    <w:rPr>
                      <w:rFonts w:hint="eastAsia" w:eastAsiaTheme="majorEastAsia"/>
                      <w:color w:val="FF0000"/>
                      <w:szCs w:val="21"/>
                      <w:lang w:eastAsia="zh-CN"/>
                    </w:rPr>
                    <w:t>，</w:t>
                  </w:r>
                  <w:r>
                    <w:rPr>
                      <w:rFonts w:hint="eastAsia" w:eastAsiaTheme="majorEastAsia"/>
                      <w:color w:val="FF0000"/>
                      <w:szCs w:val="21"/>
                      <w:lang w:val="en-US" w:eastAsia="zh-CN"/>
                    </w:rPr>
                    <w:t>并按</w:t>
                  </w:r>
                  <w:r>
                    <w:rPr>
                      <w:rFonts w:eastAsiaTheme="majorEastAsia"/>
                      <w:color w:val="FF0000"/>
                      <w:szCs w:val="21"/>
                    </w:rPr>
                    <w:t>设计要求足量添加、定期更换。</w:t>
                  </w:r>
                </w:p>
              </w:tc>
              <w:tc>
                <w:tcPr>
                  <w:tcW w:w="489" w:type="pct"/>
                  <w:shd w:val="clear" w:color="auto" w:fill="auto"/>
                  <w:vAlign w:val="center"/>
                </w:tcPr>
                <w:p w14:paraId="6F0739B8">
                  <w:pPr>
                    <w:jc w:val="center"/>
                    <w:rPr>
                      <w:rFonts w:eastAsiaTheme="majorEastAsia"/>
                      <w:color w:val="auto"/>
                      <w:kern w:val="21"/>
                      <w:szCs w:val="21"/>
                    </w:rPr>
                  </w:pPr>
                  <w:r>
                    <w:rPr>
                      <w:rFonts w:eastAsiaTheme="majorEastAsia"/>
                      <w:color w:val="auto"/>
                      <w:kern w:val="21"/>
                      <w:szCs w:val="21"/>
                    </w:rPr>
                    <w:t>符合</w:t>
                  </w:r>
                </w:p>
              </w:tc>
            </w:tr>
            <w:tr w14:paraId="2E9D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1048" w:type="pct"/>
                  <w:vMerge w:val="restart"/>
                  <w:vAlign w:val="center"/>
                </w:tcPr>
                <w:p w14:paraId="0636B35B">
                  <w:pPr>
                    <w:jc w:val="center"/>
                    <w:rPr>
                      <w:rFonts w:eastAsiaTheme="majorEastAsia"/>
                      <w:color w:val="auto"/>
                      <w:szCs w:val="21"/>
                    </w:rPr>
                  </w:pPr>
                  <w:r>
                    <w:rPr>
                      <w:rFonts w:eastAsiaTheme="majorEastAsia"/>
                      <w:color w:val="auto"/>
                      <w:szCs w:val="21"/>
                    </w:rPr>
                    <w:t>《西安市挥发性有机物污染整治专项实施方案》</w:t>
                  </w:r>
                </w:p>
              </w:tc>
              <w:tc>
                <w:tcPr>
                  <w:tcW w:w="2440" w:type="pct"/>
                  <w:vAlign w:val="center"/>
                </w:tcPr>
                <w:p w14:paraId="7B8B5F8E">
                  <w:pPr>
                    <w:jc w:val="center"/>
                    <w:rPr>
                      <w:rFonts w:eastAsiaTheme="majorEastAsia"/>
                      <w:color w:val="auto"/>
                      <w:szCs w:val="21"/>
                    </w:rPr>
                  </w:pPr>
                  <w:r>
                    <w:rPr>
                      <w:rFonts w:eastAsiaTheme="majorEastAsia"/>
                      <w:color w:val="auto"/>
                      <w:kern w:val="21"/>
                      <w:szCs w:val="21"/>
                    </w:rPr>
                    <w:t>新建项目不再采用低温等离子、光氧化、光催化等单一处理方式，非水溶性挥发性有机物废气不再采用喷淋吸收方式处理。</w:t>
                  </w:r>
                </w:p>
              </w:tc>
              <w:tc>
                <w:tcPr>
                  <w:tcW w:w="1022" w:type="pct"/>
                  <w:vAlign w:val="center"/>
                </w:tcPr>
                <w:p w14:paraId="2CDDD5F2">
                  <w:pPr>
                    <w:wordWrap w:val="0"/>
                    <w:adjustRightInd w:val="0"/>
                    <w:snapToGrid w:val="0"/>
                    <w:jc w:val="center"/>
                    <w:rPr>
                      <w:rFonts w:eastAsiaTheme="majorEastAsia"/>
                      <w:color w:val="auto"/>
                      <w:szCs w:val="21"/>
                    </w:rPr>
                  </w:pPr>
                  <w:r>
                    <w:rPr>
                      <w:rFonts w:eastAsiaTheme="majorEastAsia"/>
                      <w:color w:val="auto"/>
                      <w:kern w:val="21"/>
                      <w:szCs w:val="21"/>
                    </w:rPr>
                    <w:t>本项目挥发性有机物废气经</w:t>
                  </w:r>
                  <w:r>
                    <w:rPr>
                      <w:rFonts w:hint="eastAsia" w:eastAsiaTheme="majorEastAsia"/>
                      <w:color w:val="auto"/>
                      <w:kern w:val="21"/>
                      <w:szCs w:val="21"/>
                    </w:rPr>
                    <w:t>“</w:t>
                  </w:r>
                  <w:r>
                    <w:rPr>
                      <w:rFonts w:eastAsiaTheme="majorEastAsia"/>
                      <w:color w:val="auto"/>
                      <w:kern w:val="21"/>
                      <w:szCs w:val="21"/>
                    </w:rPr>
                    <w:t>活性炭吸附装置</w:t>
                  </w:r>
                  <w:r>
                    <w:rPr>
                      <w:rFonts w:hint="eastAsia" w:eastAsiaTheme="majorEastAsia"/>
                      <w:color w:val="auto"/>
                      <w:kern w:val="21"/>
                      <w:szCs w:val="21"/>
                    </w:rPr>
                    <w:t>”</w:t>
                  </w:r>
                  <w:r>
                    <w:rPr>
                      <w:rFonts w:eastAsiaTheme="majorEastAsia"/>
                      <w:color w:val="auto"/>
                      <w:kern w:val="21"/>
                      <w:szCs w:val="21"/>
                    </w:rPr>
                    <w:t>处理后由23m高DA001排气筒高空排放，不属于单一低温等离子、光氧化、光催化等治理技术。</w:t>
                  </w:r>
                </w:p>
              </w:tc>
              <w:tc>
                <w:tcPr>
                  <w:tcW w:w="489" w:type="pct"/>
                  <w:vAlign w:val="center"/>
                </w:tcPr>
                <w:p w14:paraId="556569EC">
                  <w:pPr>
                    <w:adjustRightInd w:val="0"/>
                    <w:snapToGrid w:val="0"/>
                    <w:jc w:val="center"/>
                    <w:rPr>
                      <w:rFonts w:eastAsiaTheme="majorEastAsia"/>
                      <w:color w:val="auto"/>
                      <w:kern w:val="21"/>
                      <w:szCs w:val="21"/>
                    </w:rPr>
                  </w:pPr>
                  <w:r>
                    <w:rPr>
                      <w:rFonts w:eastAsiaTheme="majorEastAsia"/>
                      <w:color w:val="auto"/>
                      <w:kern w:val="21"/>
                      <w:szCs w:val="21"/>
                    </w:rPr>
                    <w:t>符合</w:t>
                  </w:r>
                </w:p>
              </w:tc>
            </w:tr>
            <w:tr w14:paraId="7775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1048" w:type="pct"/>
                  <w:vMerge w:val="continue"/>
                  <w:vAlign w:val="center"/>
                </w:tcPr>
                <w:p w14:paraId="67A191CD">
                  <w:pPr>
                    <w:jc w:val="center"/>
                    <w:rPr>
                      <w:rFonts w:eastAsiaTheme="majorEastAsia"/>
                      <w:color w:val="auto"/>
                      <w:szCs w:val="21"/>
                    </w:rPr>
                  </w:pPr>
                </w:p>
              </w:tc>
              <w:tc>
                <w:tcPr>
                  <w:tcW w:w="2440" w:type="pct"/>
                  <w:vAlign w:val="center"/>
                </w:tcPr>
                <w:p w14:paraId="3C636500">
                  <w:pPr>
                    <w:jc w:val="center"/>
                    <w:rPr>
                      <w:rFonts w:eastAsiaTheme="majorEastAsia"/>
                      <w:color w:val="auto"/>
                      <w:szCs w:val="21"/>
                    </w:rPr>
                  </w:pPr>
                  <w:r>
                    <w:rPr>
                      <w:rFonts w:eastAsiaTheme="majorEastAsia"/>
                      <w:color w:val="auto"/>
                      <w:kern w:val="21"/>
                      <w:szCs w:val="21"/>
                    </w:rPr>
                    <w:t>采用活性炭吸附技术的，其中颗粒碳碘吸附值不低于800mg/g或四氯化碳吸附率不低于60%，蜂窝活性炭碘吸附值不低于600mg/g或四氯化碳吸附率不低于30%，按设计要求足量添加，定期更换，动态更新挥发性有机物治理设施台账。</w:t>
                  </w:r>
                </w:p>
              </w:tc>
              <w:tc>
                <w:tcPr>
                  <w:tcW w:w="1022" w:type="pct"/>
                  <w:vAlign w:val="center"/>
                </w:tcPr>
                <w:p w14:paraId="4C2690AF">
                  <w:pPr>
                    <w:wordWrap w:val="0"/>
                    <w:jc w:val="center"/>
                    <w:rPr>
                      <w:rFonts w:eastAsiaTheme="majorEastAsia"/>
                      <w:color w:val="auto"/>
                      <w:szCs w:val="21"/>
                    </w:rPr>
                  </w:pPr>
                  <w:r>
                    <w:rPr>
                      <w:rFonts w:hint="eastAsia" w:eastAsiaTheme="majorEastAsia"/>
                      <w:color w:val="FF0000"/>
                      <w:szCs w:val="21"/>
                      <w:lang w:val="en-US" w:eastAsia="zh-CN"/>
                    </w:rPr>
                    <w:t>本项目需选用碘吸附值符合要求的活性炭吸附床</w:t>
                  </w:r>
                  <w:r>
                    <w:rPr>
                      <w:rFonts w:hint="eastAsia" w:eastAsiaTheme="majorEastAsia"/>
                      <w:color w:val="FF0000"/>
                      <w:szCs w:val="21"/>
                      <w:lang w:eastAsia="zh-CN"/>
                    </w:rPr>
                    <w:t>，</w:t>
                  </w:r>
                  <w:r>
                    <w:rPr>
                      <w:rFonts w:hint="eastAsia" w:eastAsiaTheme="majorEastAsia"/>
                      <w:color w:val="FF0000"/>
                      <w:szCs w:val="21"/>
                      <w:lang w:val="en-US" w:eastAsia="zh-CN"/>
                    </w:rPr>
                    <w:t>并按</w:t>
                  </w:r>
                  <w:r>
                    <w:rPr>
                      <w:rFonts w:eastAsiaTheme="majorEastAsia"/>
                      <w:color w:val="FF0000"/>
                      <w:szCs w:val="21"/>
                    </w:rPr>
                    <w:t>设计要求足量添加、定期更换。</w:t>
                  </w:r>
                </w:p>
              </w:tc>
              <w:tc>
                <w:tcPr>
                  <w:tcW w:w="489" w:type="pct"/>
                  <w:vAlign w:val="center"/>
                </w:tcPr>
                <w:p w14:paraId="7E8961B0">
                  <w:pPr>
                    <w:jc w:val="center"/>
                    <w:rPr>
                      <w:rFonts w:eastAsiaTheme="majorEastAsia"/>
                      <w:color w:val="auto"/>
                      <w:szCs w:val="21"/>
                    </w:rPr>
                  </w:pPr>
                  <w:r>
                    <w:rPr>
                      <w:rFonts w:eastAsiaTheme="majorEastAsia"/>
                      <w:color w:val="auto"/>
                      <w:kern w:val="21"/>
                      <w:szCs w:val="21"/>
                    </w:rPr>
                    <w:t>符合</w:t>
                  </w:r>
                </w:p>
              </w:tc>
            </w:tr>
          </w:tbl>
          <w:p w14:paraId="73DB59B0">
            <w:pPr>
              <w:spacing w:line="360" w:lineRule="auto"/>
              <w:ind w:firstLine="482" w:firstLineChars="200"/>
              <w:rPr>
                <w:b/>
                <w:bCs/>
                <w:color w:val="auto"/>
                <w:kern w:val="0"/>
                <w:sz w:val="24"/>
                <w:szCs w:val="20"/>
              </w:rPr>
            </w:pPr>
            <w:r>
              <w:rPr>
                <w:rFonts w:hint="eastAsia"/>
                <w:b/>
                <w:bCs/>
                <w:color w:val="auto"/>
                <w:kern w:val="0"/>
                <w:sz w:val="24"/>
                <w:szCs w:val="20"/>
              </w:rPr>
              <w:t>4、</w:t>
            </w:r>
            <w:r>
              <w:rPr>
                <w:b/>
                <w:bCs/>
                <w:color w:val="auto"/>
                <w:kern w:val="0"/>
                <w:sz w:val="24"/>
                <w:szCs w:val="20"/>
              </w:rPr>
              <w:t>选址合理性分析</w:t>
            </w:r>
          </w:p>
          <w:p w14:paraId="410CA7F4">
            <w:pPr>
              <w:spacing w:line="360" w:lineRule="auto"/>
              <w:ind w:firstLine="480" w:firstLineChars="200"/>
              <w:rPr>
                <w:color w:val="auto"/>
                <w:kern w:val="0"/>
                <w:sz w:val="24"/>
                <w:szCs w:val="20"/>
                <w:highlight w:val="yellow"/>
              </w:rPr>
            </w:pPr>
            <w:r>
              <w:rPr>
                <w:color w:val="auto"/>
                <w:kern w:val="0"/>
                <w:sz w:val="24"/>
                <w:szCs w:val="20"/>
              </w:rPr>
              <w:t>①</w:t>
            </w:r>
            <w:r>
              <w:rPr>
                <w:rFonts w:hint="eastAsia"/>
                <w:color w:val="auto"/>
                <w:kern w:val="0"/>
                <w:sz w:val="24"/>
                <w:szCs w:val="20"/>
              </w:rPr>
              <w:t>用地分析：</w:t>
            </w:r>
            <w:r>
              <w:rPr>
                <w:color w:val="auto"/>
                <w:kern w:val="0"/>
                <w:sz w:val="24"/>
                <w:szCs w:val="20"/>
              </w:rPr>
              <w:t>本项目位于</w:t>
            </w:r>
            <w:r>
              <w:rPr>
                <w:rFonts w:hint="eastAsia"/>
                <w:color w:val="auto"/>
                <w:kern w:val="0"/>
                <w:sz w:val="24"/>
                <w:szCs w:val="20"/>
              </w:rPr>
              <w:t>陕西省西咸新区沣西新城秀雅路995号西安生漆涂料研究所五号楼</w:t>
            </w:r>
            <w:r>
              <w:rPr>
                <w:color w:val="auto"/>
                <w:kern w:val="0"/>
                <w:sz w:val="24"/>
                <w:szCs w:val="20"/>
              </w:rPr>
              <w:t>，</w:t>
            </w:r>
            <w:r>
              <w:rPr>
                <w:rFonts w:hint="eastAsia"/>
                <w:color w:val="auto"/>
                <w:kern w:val="0"/>
                <w:sz w:val="24"/>
                <w:szCs w:val="20"/>
              </w:rPr>
              <w:t>项目用地</w:t>
            </w:r>
            <w:r>
              <w:rPr>
                <w:rFonts w:hint="eastAsia"/>
                <w:color w:val="auto"/>
                <w:kern w:val="0"/>
                <w:sz w:val="24"/>
                <w:szCs w:val="20"/>
                <w:lang w:val="en-US" w:eastAsia="zh-CN"/>
              </w:rPr>
              <w:t>规划</w:t>
            </w:r>
            <w:r>
              <w:rPr>
                <w:rFonts w:hint="eastAsia"/>
                <w:color w:val="auto"/>
                <w:kern w:val="0"/>
                <w:sz w:val="24"/>
                <w:szCs w:val="20"/>
              </w:rPr>
              <w:t>为工业用地</w:t>
            </w:r>
            <w:r>
              <w:rPr>
                <w:rFonts w:hint="eastAsia"/>
                <w:color w:val="auto"/>
                <w:sz w:val="24"/>
                <w:szCs w:val="32"/>
              </w:rPr>
              <w:t>（附图5）</w:t>
            </w:r>
            <w:r>
              <w:rPr>
                <w:rFonts w:hint="eastAsia"/>
                <w:color w:val="auto"/>
                <w:kern w:val="0"/>
                <w:sz w:val="24"/>
                <w:szCs w:val="20"/>
              </w:rPr>
              <w:t>，</w:t>
            </w:r>
            <w:r>
              <w:rPr>
                <w:color w:val="auto"/>
                <w:kern w:val="0"/>
                <w:sz w:val="24"/>
                <w:szCs w:val="20"/>
              </w:rPr>
              <w:t>租赁协议见附件</w:t>
            </w:r>
            <w:r>
              <w:rPr>
                <w:rFonts w:hint="eastAsia"/>
                <w:color w:val="auto"/>
                <w:kern w:val="0"/>
                <w:sz w:val="24"/>
                <w:szCs w:val="20"/>
              </w:rPr>
              <w:t>4</w:t>
            </w:r>
            <w:r>
              <w:rPr>
                <w:color w:val="auto"/>
                <w:kern w:val="0"/>
                <w:sz w:val="24"/>
                <w:szCs w:val="20"/>
              </w:rPr>
              <w:t>。</w:t>
            </w:r>
            <w:r>
              <w:rPr>
                <w:rFonts w:hint="eastAsia"/>
                <w:color w:val="FF0000"/>
                <w:kern w:val="0"/>
                <w:sz w:val="24"/>
                <w:szCs w:val="20"/>
              </w:rPr>
              <w:t>西安生漆涂料研究所五号楼</w:t>
            </w:r>
            <w:r>
              <w:rPr>
                <w:rFonts w:hint="eastAsia"/>
                <w:color w:val="FF0000"/>
                <w:kern w:val="0"/>
                <w:sz w:val="24"/>
                <w:szCs w:val="20"/>
                <w:lang w:val="en-US" w:eastAsia="zh-CN"/>
              </w:rPr>
              <w:t>四层本项目办公室对面为西安新诺化学科技有限公司，一层、二层及三层其他办公室均空置</w:t>
            </w:r>
            <w:r>
              <w:rPr>
                <w:rFonts w:hint="eastAsia"/>
                <w:color w:val="auto"/>
                <w:kern w:val="0"/>
                <w:sz w:val="24"/>
                <w:szCs w:val="20"/>
                <w:lang w:val="en-US" w:eastAsia="zh-CN"/>
              </w:rPr>
              <w:t>；</w:t>
            </w:r>
            <w:r>
              <w:rPr>
                <w:rFonts w:hint="eastAsia"/>
                <w:color w:val="auto"/>
                <w:kern w:val="0"/>
                <w:sz w:val="24"/>
                <w:szCs w:val="20"/>
              </w:rPr>
              <w:t>西安生漆涂料研究所西侧为西安气象大数据应用中心、南侧为光储一体化新能源汽车服务中心、东侧为陕西省医疗器械质量监督检验院、北侧为沣景路，</w:t>
            </w:r>
            <w:r>
              <w:rPr>
                <w:rFonts w:hint="eastAsia"/>
                <w:color w:val="auto"/>
                <w:sz w:val="24"/>
              </w:rPr>
              <w:t>交通便利</w:t>
            </w:r>
            <w:r>
              <w:rPr>
                <w:color w:val="auto"/>
                <w:kern w:val="0"/>
                <w:sz w:val="24"/>
                <w:szCs w:val="20"/>
              </w:rPr>
              <w:t>。</w:t>
            </w:r>
          </w:p>
          <w:p w14:paraId="1D940E97">
            <w:pPr>
              <w:spacing w:line="360" w:lineRule="auto"/>
              <w:ind w:firstLine="480" w:firstLineChars="200"/>
              <w:rPr>
                <w:color w:val="auto"/>
                <w:kern w:val="0"/>
                <w:sz w:val="24"/>
                <w:szCs w:val="20"/>
              </w:rPr>
            </w:pPr>
            <w:r>
              <w:rPr>
                <w:color w:val="auto"/>
                <w:kern w:val="0"/>
                <w:sz w:val="24"/>
                <w:szCs w:val="20"/>
              </w:rPr>
              <w:t>②</w:t>
            </w:r>
            <w:r>
              <w:rPr>
                <w:rFonts w:hint="eastAsia"/>
                <w:color w:val="auto"/>
                <w:kern w:val="0"/>
                <w:sz w:val="24"/>
                <w:szCs w:val="20"/>
              </w:rPr>
              <w:t>公辅</w:t>
            </w:r>
            <w:r>
              <w:rPr>
                <w:color w:val="auto"/>
                <w:kern w:val="0"/>
                <w:sz w:val="24"/>
                <w:szCs w:val="20"/>
              </w:rPr>
              <w:t>设施分析：本项目</w:t>
            </w:r>
            <w:r>
              <w:rPr>
                <w:rFonts w:hint="eastAsia"/>
                <w:color w:val="auto"/>
                <w:kern w:val="0"/>
                <w:sz w:val="24"/>
                <w:szCs w:val="20"/>
              </w:rPr>
              <w:t>陕西省西咸新区沣西新城秀雅路995号西安生漆涂料研究所五号楼</w:t>
            </w:r>
            <w:r>
              <w:rPr>
                <w:rFonts w:hint="eastAsia"/>
                <w:color w:val="auto"/>
                <w:sz w:val="24"/>
              </w:rPr>
              <w:t>，给水、用电均依托西安生漆涂料研究所现有供水及供电管网供给，</w:t>
            </w:r>
            <w:r>
              <w:rPr>
                <w:rFonts w:hint="eastAsia"/>
                <w:bCs/>
                <w:color w:val="auto"/>
                <w:sz w:val="24"/>
              </w:rPr>
              <w:t>生活污水、设备及仪器清洗废水、实验平台及车间清洗废水依托</w:t>
            </w:r>
            <w:r>
              <w:rPr>
                <w:rFonts w:hint="eastAsia"/>
                <w:color w:val="auto"/>
                <w:kern w:val="0"/>
                <w:sz w:val="24"/>
              </w:rPr>
              <w:t>西安生漆涂料研究所</w:t>
            </w:r>
            <w:r>
              <w:rPr>
                <w:rFonts w:hint="eastAsia"/>
                <w:bCs/>
                <w:color w:val="auto"/>
                <w:sz w:val="24"/>
              </w:rPr>
              <w:t>化粪池（50m</w:t>
            </w:r>
            <w:r>
              <w:rPr>
                <w:rFonts w:hint="eastAsia"/>
                <w:bCs/>
                <w:color w:val="auto"/>
                <w:sz w:val="24"/>
                <w:vertAlign w:val="superscript"/>
              </w:rPr>
              <w:t>3</w:t>
            </w:r>
            <w:r>
              <w:rPr>
                <w:rFonts w:hint="eastAsia"/>
                <w:bCs/>
                <w:color w:val="auto"/>
                <w:sz w:val="24"/>
              </w:rPr>
              <w:t>）及地埋式一体化污水处理设施（10m</w:t>
            </w:r>
            <w:r>
              <w:rPr>
                <w:rFonts w:hint="eastAsia"/>
                <w:bCs/>
                <w:color w:val="auto"/>
                <w:sz w:val="24"/>
                <w:vertAlign w:val="superscript"/>
              </w:rPr>
              <w:t>3</w:t>
            </w:r>
            <w:r>
              <w:rPr>
                <w:rFonts w:hint="eastAsia"/>
                <w:bCs/>
                <w:color w:val="auto"/>
                <w:sz w:val="24"/>
              </w:rPr>
              <w:t>/d）处理后经市政管网排入沣西新城渭河污水处理厂处理</w:t>
            </w:r>
            <w:r>
              <w:rPr>
                <w:color w:val="auto"/>
                <w:kern w:val="0"/>
                <w:sz w:val="24"/>
              </w:rPr>
              <w:t>。</w:t>
            </w:r>
            <w:r>
              <w:rPr>
                <w:color w:val="auto"/>
                <w:kern w:val="0"/>
                <w:sz w:val="24"/>
                <w:szCs w:val="20"/>
              </w:rPr>
              <w:t>由此分析，本项目</w:t>
            </w:r>
            <w:r>
              <w:rPr>
                <w:rFonts w:hint="eastAsia"/>
                <w:color w:val="auto"/>
                <w:kern w:val="0"/>
                <w:sz w:val="24"/>
                <w:szCs w:val="20"/>
              </w:rPr>
              <w:t>公</w:t>
            </w:r>
            <w:r>
              <w:rPr>
                <w:color w:val="auto"/>
                <w:kern w:val="0"/>
                <w:sz w:val="24"/>
                <w:szCs w:val="20"/>
              </w:rPr>
              <w:t>用工程均依托可行，满足生产需要。</w:t>
            </w:r>
          </w:p>
          <w:p w14:paraId="54006D41">
            <w:pPr>
              <w:spacing w:line="360" w:lineRule="auto"/>
              <w:ind w:firstLine="480" w:firstLineChars="200"/>
              <w:rPr>
                <w:color w:val="auto"/>
                <w:kern w:val="0"/>
                <w:sz w:val="24"/>
                <w:szCs w:val="20"/>
              </w:rPr>
            </w:pPr>
            <w:r>
              <w:rPr>
                <w:color w:val="auto"/>
                <w:kern w:val="0"/>
                <w:sz w:val="24"/>
                <w:szCs w:val="20"/>
              </w:rPr>
              <w:t>③污染物</w:t>
            </w:r>
            <w:r>
              <w:rPr>
                <w:color w:val="auto"/>
                <w:kern w:val="0"/>
                <w:sz w:val="24"/>
              </w:rPr>
              <w:t>影响分析：</w:t>
            </w:r>
            <w:r>
              <w:rPr>
                <w:rFonts w:hint="eastAsia"/>
                <w:color w:val="auto"/>
                <w:kern w:val="0"/>
                <w:sz w:val="24"/>
              </w:rPr>
              <w:t>研发室废气经“活性炭吸附装置”处理后经23m高DA001排气筒排放；</w:t>
            </w:r>
            <w:r>
              <w:rPr>
                <w:rFonts w:hint="eastAsia"/>
                <w:color w:val="auto"/>
                <w:sz w:val="24"/>
              </w:rPr>
              <w:t>废水依托</w:t>
            </w:r>
            <w:r>
              <w:rPr>
                <w:rFonts w:hint="eastAsia"/>
                <w:color w:val="auto"/>
                <w:kern w:val="0"/>
                <w:sz w:val="24"/>
              </w:rPr>
              <w:t>西安生漆涂料研究所</w:t>
            </w:r>
            <w:r>
              <w:rPr>
                <w:rFonts w:hint="eastAsia"/>
                <w:bCs/>
                <w:color w:val="auto"/>
                <w:sz w:val="24"/>
              </w:rPr>
              <w:t>化粪池及地埋式一体化污水处理设施处理后经市政管网排入沣西新城渭河污水处理厂处理</w:t>
            </w:r>
            <w:r>
              <w:rPr>
                <w:rFonts w:hint="eastAsia"/>
                <w:color w:val="auto"/>
                <w:kern w:val="0"/>
                <w:sz w:val="24"/>
                <w:szCs w:val="22"/>
              </w:rPr>
              <w:t>；</w:t>
            </w:r>
            <w:r>
              <w:rPr>
                <w:color w:val="auto"/>
                <w:kern w:val="0"/>
                <w:sz w:val="24"/>
                <w:szCs w:val="22"/>
              </w:rPr>
              <w:t>项目</w:t>
            </w:r>
            <w:r>
              <w:rPr>
                <w:rFonts w:hint="eastAsia"/>
                <w:color w:val="auto"/>
                <w:kern w:val="0"/>
                <w:sz w:val="24"/>
                <w:szCs w:val="22"/>
              </w:rPr>
              <w:t>优先选用低噪声设备，</w:t>
            </w:r>
            <w:r>
              <w:rPr>
                <w:color w:val="auto"/>
                <w:kern w:val="0"/>
                <w:sz w:val="24"/>
                <w:szCs w:val="22"/>
              </w:rPr>
              <w:t>高噪声设</w:t>
            </w:r>
            <w:r>
              <w:rPr>
                <w:color w:val="auto"/>
                <w:kern w:val="0"/>
                <w:sz w:val="24"/>
                <w:szCs w:val="20"/>
              </w:rPr>
              <w:t>备安装基础</w:t>
            </w:r>
            <w:r>
              <w:rPr>
                <w:rFonts w:hint="eastAsia"/>
                <w:color w:val="auto"/>
                <w:kern w:val="0"/>
                <w:sz w:val="24"/>
                <w:szCs w:val="20"/>
              </w:rPr>
              <w:t>减振</w:t>
            </w:r>
            <w:r>
              <w:rPr>
                <w:color w:val="auto"/>
                <w:kern w:val="0"/>
                <w:sz w:val="24"/>
                <w:szCs w:val="20"/>
              </w:rPr>
              <w:t>、隔声降噪等措施；生活垃圾分类收集，定期由环卫部门</w:t>
            </w:r>
            <w:r>
              <w:rPr>
                <w:rFonts w:hint="eastAsia"/>
                <w:color w:val="auto"/>
                <w:kern w:val="0"/>
                <w:sz w:val="24"/>
                <w:szCs w:val="20"/>
              </w:rPr>
              <w:t>处置；废包装材料拆包后直接外售处理，不在研发室内暂存；废试剂瓶及玻璃器皿、实验室废液、初洗废水、固态实验废物、废活性炭、废手套及抹布等分类收集暂存于</w:t>
            </w:r>
            <w:r>
              <w:rPr>
                <w:rFonts w:hint="eastAsia"/>
                <w:color w:val="auto"/>
                <w:kern w:val="0"/>
                <w:sz w:val="24"/>
                <w:szCs w:val="20"/>
                <w:lang w:eastAsia="zh-CN"/>
              </w:rPr>
              <w:t>危废贮存库</w:t>
            </w:r>
            <w:r>
              <w:rPr>
                <w:rFonts w:hint="eastAsia"/>
                <w:color w:val="auto"/>
                <w:kern w:val="0"/>
                <w:sz w:val="24"/>
                <w:szCs w:val="20"/>
              </w:rPr>
              <w:t>交由有资质单位处置。</w:t>
            </w:r>
            <w:r>
              <w:rPr>
                <w:color w:val="auto"/>
                <w:kern w:val="0"/>
                <w:sz w:val="24"/>
                <w:szCs w:val="20"/>
              </w:rPr>
              <w:t>采取以上措施后，项目</w:t>
            </w:r>
            <w:r>
              <w:rPr>
                <w:bCs/>
                <w:color w:val="auto"/>
                <w:kern w:val="0"/>
                <w:sz w:val="24"/>
                <w:szCs w:val="20"/>
              </w:rPr>
              <w:t>产生的</w:t>
            </w:r>
            <w:r>
              <w:rPr>
                <w:rFonts w:hint="eastAsia"/>
                <w:bCs/>
                <w:color w:val="auto"/>
                <w:kern w:val="0"/>
                <w:sz w:val="24"/>
                <w:szCs w:val="20"/>
              </w:rPr>
              <w:t>废气、</w:t>
            </w:r>
            <w:r>
              <w:rPr>
                <w:bCs/>
                <w:color w:val="auto"/>
                <w:kern w:val="0"/>
                <w:sz w:val="24"/>
                <w:szCs w:val="20"/>
              </w:rPr>
              <w:t>废水、噪声和固体废物等方面环境影响，均能实现达标排放和合理处置。</w:t>
            </w:r>
          </w:p>
          <w:p w14:paraId="2F6C2B82">
            <w:pPr>
              <w:spacing w:line="360" w:lineRule="auto"/>
              <w:ind w:firstLine="480" w:firstLineChars="200"/>
              <w:jc w:val="left"/>
              <w:rPr>
                <w:color w:val="auto"/>
                <w:kern w:val="0"/>
                <w:sz w:val="24"/>
              </w:rPr>
            </w:pPr>
            <w:r>
              <w:rPr>
                <w:rFonts w:hint="eastAsia" w:ascii="宋体" w:hAnsi="宋体" w:cs="宋体"/>
                <w:color w:val="auto"/>
                <w:kern w:val="0"/>
                <w:sz w:val="24"/>
                <w:szCs w:val="20"/>
              </w:rPr>
              <w:t>④</w:t>
            </w:r>
            <w:r>
              <w:rPr>
                <w:color w:val="auto"/>
                <w:kern w:val="0"/>
                <w:sz w:val="24"/>
                <w:szCs w:val="20"/>
              </w:rPr>
              <w:t>周围制约因素分析：项目建成后</w:t>
            </w:r>
            <w:r>
              <w:rPr>
                <w:rFonts w:hint="eastAsia"/>
                <w:color w:val="auto"/>
                <w:kern w:val="0"/>
                <w:sz w:val="24"/>
                <w:szCs w:val="20"/>
              </w:rPr>
              <w:t>废气、</w:t>
            </w:r>
            <w:r>
              <w:rPr>
                <w:bCs/>
                <w:color w:val="auto"/>
                <w:kern w:val="0"/>
                <w:sz w:val="24"/>
                <w:szCs w:val="20"/>
              </w:rPr>
              <w:t>废水、噪声和固体废物在采用相应的污染防治措施后，均能实现达标排放和合理处置</w:t>
            </w:r>
            <w:r>
              <w:rPr>
                <w:rFonts w:hint="eastAsia"/>
                <w:color w:val="auto"/>
                <w:kern w:val="0"/>
                <w:sz w:val="24"/>
                <w:szCs w:val="20"/>
              </w:rPr>
              <w:t>，</w:t>
            </w:r>
            <w:r>
              <w:rPr>
                <w:color w:val="auto"/>
                <w:kern w:val="0"/>
                <w:sz w:val="24"/>
                <w:szCs w:val="20"/>
              </w:rPr>
              <w:t>项目周边无500m范围内无饮用水源保护区、自然保护区和重要渔业水域等环境</w:t>
            </w:r>
            <w:r>
              <w:rPr>
                <w:rFonts w:hint="eastAsia"/>
                <w:color w:val="auto"/>
                <w:kern w:val="0"/>
                <w:sz w:val="24"/>
              </w:rPr>
              <w:t>，</w:t>
            </w:r>
            <w:r>
              <w:rPr>
                <w:color w:val="auto"/>
                <w:kern w:val="0"/>
                <w:sz w:val="24"/>
                <w:szCs w:val="20"/>
              </w:rPr>
              <w:t>故本项目的建设不存在制约因素。</w:t>
            </w:r>
          </w:p>
          <w:p w14:paraId="63CDEC59">
            <w:pPr>
              <w:adjustRightInd w:val="0"/>
              <w:spacing w:line="360" w:lineRule="auto"/>
              <w:ind w:firstLine="480" w:firstLineChars="200"/>
              <w:rPr>
                <w:color w:val="auto"/>
                <w:kern w:val="0"/>
                <w:sz w:val="24"/>
                <w:szCs w:val="20"/>
              </w:rPr>
            </w:pPr>
            <w:r>
              <w:rPr>
                <w:color w:val="auto"/>
                <w:kern w:val="0"/>
                <w:sz w:val="24"/>
                <w:szCs w:val="22"/>
              </w:rPr>
              <w:t>因此，从环境保护角度分析，本项目选址合理。</w:t>
            </w:r>
          </w:p>
          <w:p w14:paraId="1B91E989">
            <w:pPr>
              <w:pStyle w:val="26"/>
              <w:spacing w:line="360" w:lineRule="auto"/>
              <w:rPr>
                <w:rFonts w:ascii="Times New Roman" w:cs="Times New Roman"/>
                <w:color w:val="auto"/>
                <w:szCs w:val="21"/>
              </w:rPr>
            </w:pPr>
          </w:p>
          <w:p w14:paraId="73743252">
            <w:pPr>
              <w:pStyle w:val="26"/>
              <w:spacing w:line="360" w:lineRule="auto"/>
              <w:rPr>
                <w:rFonts w:ascii="Times New Roman" w:cs="Times New Roman"/>
                <w:color w:val="auto"/>
                <w:szCs w:val="21"/>
              </w:rPr>
            </w:pPr>
          </w:p>
          <w:p w14:paraId="039002EE">
            <w:pPr>
              <w:pStyle w:val="26"/>
              <w:spacing w:line="360" w:lineRule="auto"/>
              <w:rPr>
                <w:rFonts w:ascii="Times New Roman" w:cs="Times New Roman"/>
                <w:color w:val="auto"/>
                <w:szCs w:val="21"/>
              </w:rPr>
            </w:pPr>
          </w:p>
          <w:p w14:paraId="6064F08F">
            <w:pPr>
              <w:pStyle w:val="26"/>
              <w:spacing w:line="360" w:lineRule="auto"/>
              <w:rPr>
                <w:rFonts w:ascii="Times New Roman" w:cs="Times New Roman"/>
                <w:color w:val="auto"/>
                <w:szCs w:val="21"/>
              </w:rPr>
            </w:pPr>
          </w:p>
          <w:p w14:paraId="174D1335">
            <w:pPr>
              <w:pStyle w:val="26"/>
              <w:spacing w:line="360" w:lineRule="auto"/>
              <w:rPr>
                <w:rFonts w:ascii="Times New Roman" w:cs="Times New Roman"/>
                <w:color w:val="auto"/>
                <w:szCs w:val="21"/>
              </w:rPr>
            </w:pPr>
          </w:p>
          <w:p w14:paraId="6CF6C886">
            <w:pPr>
              <w:pStyle w:val="26"/>
              <w:spacing w:line="360" w:lineRule="auto"/>
              <w:rPr>
                <w:rFonts w:ascii="Times New Roman" w:cs="Times New Roman"/>
                <w:color w:val="auto"/>
                <w:szCs w:val="21"/>
              </w:rPr>
            </w:pPr>
          </w:p>
          <w:p w14:paraId="41D4B9FE">
            <w:pPr>
              <w:pStyle w:val="26"/>
              <w:spacing w:line="360" w:lineRule="auto"/>
              <w:rPr>
                <w:rFonts w:ascii="Times New Roman" w:cs="Times New Roman"/>
                <w:color w:val="auto"/>
                <w:szCs w:val="21"/>
              </w:rPr>
            </w:pPr>
          </w:p>
          <w:p w14:paraId="47655F9F">
            <w:pPr>
              <w:pStyle w:val="26"/>
              <w:spacing w:line="360" w:lineRule="auto"/>
              <w:rPr>
                <w:rFonts w:ascii="Times New Roman" w:cs="Times New Roman"/>
                <w:color w:val="auto"/>
                <w:szCs w:val="21"/>
              </w:rPr>
            </w:pPr>
          </w:p>
          <w:p w14:paraId="111A1B06">
            <w:pPr>
              <w:pStyle w:val="26"/>
              <w:spacing w:line="360" w:lineRule="auto"/>
              <w:rPr>
                <w:rFonts w:ascii="Times New Roman" w:cs="Times New Roman"/>
                <w:color w:val="auto"/>
                <w:szCs w:val="21"/>
              </w:rPr>
            </w:pPr>
          </w:p>
          <w:p w14:paraId="72907116">
            <w:pPr>
              <w:pStyle w:val="26"/>
              <w:spacing w:line="360" w:lineRule="auto"/>
              <w:rPr>
                <w:rFonts w:ascii="Times New Roman" w:cs="Times New Roman"/>
                <w:color w:val="auto"/>
                <w:szCs w:val="21"/>
              </w:rPr>
            </w:pPr>
          </w:p>
          <w:p w14:paraId="0003D70D">
            <w:pPr>
              <w:pStyle w:val="26"/>
              <w:spacing w:line="360" w:lineRule="auto"/>
              <w:rPr>
                <w:rFonts w:ascii="Times New Roman" w:cs="Times New Roman"/>
                <w:color w:val="auto"/>
                <w:szCs w:val="21"/>
              </w:rPr>
            </w:pPr>
          </w:p>
          <w:p w14:paraId="32C59071">
            <w:pPr>
              <w:pStyle w:val="26"/>
              <w:spacing w:line="360" w:lineRule="auto"/>
              <w:rPr>
                <w:rFonts w:ascii="Times New Roman" w:cs="Times New Roman"/>
                <w:color w:val="auto"/>
                <w:szCs w:val="21"/>
              </w:rPr>
            </w:pPr>
          </w:p>
          <w:p w14:paraId="2BF981DC">
            <w:pPr>
              <w:pStyle w:val="26"/>
              <w:spacing w:line="360" w:lineRule="auto"/>
              <w:rPr>
                <w:rFonts w:ascii="Times New Roman" w:cs="Times New Roman"/>
                <w:color w:val="auto"/>
                <w:szCs w:val="21"/>
              </w:rPr>
            </w:pPr>
          </w:p>
          <w:p w14:paraId="78F4F59A">
            <w:pPr>
              <w:pStyle w:val="26"/>
              <w:spacing w:line="360" w:lineRule="auto"/>
              <w:rPr>
                <w:rFonts w:ascii="Times New Roman" w:cs="Times New Roman"/>
                <w:color w:val="auto"/>
                <w:szCs w:val="21"/>
              </w:rPr>
            </w:pPr>
          </w:p>
          <w:p w14:paraId="0F2A89EC">
            <w:pPr>
              <w:pStyle w:val="26"/>
              <w:spacing w:line="360" w:lineRule="auto"/>
              <w:rPr>
                <w:rFonts w:ascii="Times New Roman" w:cs="Times New Roman"/>
                <w:color w:val="auto"/>
                <w:szCs w:val="21"/>
              </w:rPr>
            </w:pPr>
          </w:p>
          <w:p w14:paraId="0C0010E2">
            <w:pPr>
              <w:pStyle w:val="26"/>
              <w:spacing w:line="360" w:lineRule="auto"/>
              <w:rPr>
                <w:rFonts w:ascii="Times New Roman" w:cs="Times New Roman"/>
                <w:color w:val="auto"/>
                <w:szCs w:val="21"/>
              </w:rPr>
            </w:pPr>
          </w:p>
          <w:p w14:paraId="3A32858E">
            <w:pPr>
              <w:pStyle w:val="26"/>
              <w:spacing w:line="360" w:lineRule="auto"/>
              <w:rPr>
                <w:rFonts w:ascii="Times New Roman" w:cs="Times New Roman"/>
                <w:color w:val="auto"/>
                <w:szCs w:val="21"/>
              </w:rPr>
            </w:pPr>
          </w:p>
          <w:p w14:paraId="4618D55D">
            <w:pPr>
              <w:pStyle w:val="26"/>
              <w:spacing w:line="360" w:lineRule="auto"/>
              <w:rPr>
                <w:rFonts w:ascii="Times New Roman" w:cs="Times New Roman"/>
                <w:color w:val="auto"/>
                <w:szCs w:val="21"/>
              </w:rPr>
            </w:pPr>
          </w:p>
          <w:p w14:paraId="06C717A4">
            <w:pPr>
              <w:pStyle w:val="26"/>
              <w:spacing w:line="360" w:lineRule="auto"/>
              <w:rPr>
                <w:rFonts w:ascii="Times New Roman" w:cs="Times New Roman"/>
                <w:color w:val="auto"/>
                <w:szCs w:val="21"/>
              </w:rPr>
            </w:pPr>
          </w:p>
          <w:p w14:paraId="5A859C7C">
            <w:pPr>
              <w:pStyle w:val="26"/>
              <w:spacing w:line="360" w:lineRule="auto"/>
              <w:rPr>
                <w:rFonts w:ascii="Times New Roman" w:cs="Times New Roman"/>
                <w:color w:val="auto"/>
                <w:szCs w:val="21"/>
              </w:rPr>
            </w:pPr>
          </w:p>
          <w:p w14:paraId="66C604B7">
            <w:pPr>
              <w:pStyle w:val="26"/>
              <w:spacing w:line="360" w:lineRule="auto"/>
              <w:rPr>
                <w:rFonts w:ascii="Times New Roman" w:cs="Times New Roman"/>
                <w:color w:val="auto"/>
                <w:szCs w:val="21"/>
              </w:rPr>
            </w:pPr>
          </w:p>
          <w:p w14:paraId="6350B18B">
            <w:pPr>
              <w:pStyle w:val="26"/>
              <w:spacing w:line="360" w:lineRule="auto"/>
              <w:rPr>
                <w:rFonts w:ascii="Times New Roman" w:cs="Times New Roman"/>
                <w:color w:val="auto"/>
                <w:szCs w:val="21"/>
              </w:rPr>
            </w:pPr>
          </w:p>
          <w:p w14:paraId="2A06E6C1">
            <w:pPr>
              <w:pStyle w:val="26"/>
              <w:spacing w:line="360" w:lineRule="auto"/>
              <w:rPr>
                <w:rFonts w:ascii="Times New Roman" w:cs="Times New Roman"/>
                <w:color w:val="auto"/>
                <w:szCs w:val="21"/>
              </w:rPr>
            </w:pPr>
          </w:p>
          <w:p w14:paraId="2B95D091">
            <w:pPr>
              <w:pStyle w:val="26"/>
              <w:spacing w:line="360" w:lineRule="auto"/>
              <w:rPr>
                <w:rFonts w:ascii="Times New Roman" w:cs="Times New Roman"/>
                <w:color w:val="auto"/>
                <w:szCs w:val="21"/>
              </w:rPr>
            </w:pPr>
          </w:p>
          <w:p w14:paraId="52775E92">
            <w:pPr>
              <w:pStyle w:val="26"/>
              <w:spacing w:line="360" w:lineRule="auto"/>
              <w:rPr>
                <w:rFonts w:ascii="Times New Roman" w:cs="Times New Roman"/>
                <w:color w:val="auto"/>
                <w:szCs w:val="21"/>
              </w:rPr>
            </w:pPr>
          </w:p>
          <w:p w14:paraId="6FEC591E">
            <w:pPr>
              <w:pStyle w:val="26"/>
              <w:spacing w:line="360" w:lineRule="auto"/>
              <w:rPr>
                <w:rFonts w:ascii="Times New Roman" w:cs="Times New Roman"/>
                <w:color w:val="auto"/>
                <w:szCs w:val="21"/>
              </w:rPr>
            </w:pPr>
          </w:p>
          <w:p w14:paraId="74A13A15">
            <w:pPr>
              <w:pStyle w:val="26"/>
              <w:spacing w:line="360" w:lineRule="auto"/>
              <w:rPr>
                <w:rFonts w:ascii="Times New Roman" w:cs="Times New Roman"/>
                <w:color w:val="auto"/>
                <w:szCs w:val="21"/>
              </w:rPr>
            </w:pPr>
          </w:p>
          <w:p w14:paraId="5FE677C5">
            <w:pPr>
              <w:pStyle w:val="26"/>
              <w:spacing w:line="360" w:lineRule="auto"/>
              <w:rPr>
                <w:rFonts w:ascii="Times New Roman" w:cs="Times New Roman"/>
                <w:color w:val="auto"/>
                <w:szCs w:val="21"/>
              </w:rPr>
            </w:pPr>
          </w:p>
          <w:p w14:paraId="793166F7">
            <w:pPr>
              <w:pStyle w:val="26"/>
              <w:spacing w:line="360" w:lineRule="auto"/>
              <w:rPr>
                <w:rFonts w:ascii="Times New Roman" w:cs="Times New Roman"/>
                <w:color w:val="auto"/>
                <w:szCs w:val="21"/>
              </w:rPr>
            </w:pPr>
          </w:p>
          <w:p w14:paraId="3B9DB5C0">
            <w:pPr>
              <w:pStyle w:val="26"/>
              <w:rPr>
                <w:rFonts w:ascii="Times New Roman" w:cs="Times New Roman"/>
                <w:color w:val="auto"/>
                <w:szCs w:val="21"/>
              </w:rPr>
            </w:pPr>
          </w:p>
        </w:tc>
      </w:tr>
    </w:tbl>
    <w:p w14:paraId="5ED2057C">
      <w:pPr>
        <w:spacing w:line="360" w:lineRule="auto"/>
        <w:outlineLvl w:val="0"/>
        <w:rPr>
          <w:rFonts w:eastAsia="黑体"/>
          <w:color w:val="auto"/>
          <w:sz w:val="30"/>
        </w:rPr>
        <w:sectPr>
          <w:footerReference r:id="rId4" w:type="default"/>
          <w:pgSz w:w="11906" w:h="16838"/>
          <w:pgMar w:top="1701" w:right="1531" w:bottom="1701" w:left="1531" w:header="851" w:footer="1077" w:gutter="0"/>
          <w:pgNumType w:fmt="numberInDash" w:start="1"/>
          <w:cols w:space="720" w:num="1"/>
          <w:docGrid w:linePitch="312" w:charSpace="0"/>
        </w:sectPr>
      </w:pPr>
    </w:p>
    <w:p w14:paraId="66487194">
      <w:pPr>
        <w:widowControl/>
        <w:spacing w:before="100" w:beforeAutospacing="1" w:after="100" w:afterAutospacing="1"/>
        <w:jc w:val="center"/>
        <w:outlineLvl w:val="0"/>
        <w:rPr>
          <w:rFonts w:eastAsia="黑体"/>
          <w:snapToGrid w:val="0"/>
          <w:color w:val="auto"/>
          <w:kern w:val="0"/>
          <w:sz w:val="30"/>
          <w:szCs w:val="30"/>
        </w:rPr>
      </w:pPr>
      <w:r>
        <w:rPr>
          <w:rFonts w:eastAsia="黑体"/>
          <w:snapToGrid w:val="0"/>
          <w:color w:val="auto"/>
          <w:kern w:val="0"/>
          <w:sz w:val="30"/>
          <w:szCs w:val="30"/>
        </w:rPr>
        <w:t>二、建设项目工程分析</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606"/>
      </w:tblGrid>
      <w:tr w14:paraId="77EB5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73" w:type="dxa"/>
            <w:vAlign w:val="center"/>
          </w:tcPr>
          <w:p w14:paraId="043A2D2F">
            <w:pPr>
              <w:widowControl/>
              <w:adjustRightInd w:val="0"/>
              <w:snapToGrid w:val="0"/>
              <w:jc w:val="center"/>
              <w:rPr>
                <w:color w:val="auto"/>
                <w:kern w:val="0"/>
                <w:szCs w:val="21"/>
              </w:rPr>
            </w:pPr>
            <w:r>
              <w:rPr>
                <w:color w:val="auto"/>
                <w:kern w:val="0"/>
                <w:sz w:val="24"/>
              </w:rPr>
              <w:t>建设内容</w:t>
            </w:r>
          </w:p>
        </w:tc>
        <w:tc>
          <w:tcPr>
            <w:tcW w:w="8587" w:type="dxa"/>
          </w:tcPr>
          <w:p w14:paraId="46E42590">
            <w:pPr>
              <w:spacing w:line="360" w:lineRule="auto"/>
              <w:ind w:firstLine="482" w:firstLineChars="200"/>
              <w:rPr>
                <w:b/>
                <w:color w:val="auto"/>
                <w:kern w:val="0"/>
                <w:sz w:val="24"/>
                <w:szCs w:val="20"/>
              </w:rPr>
            </w:pPr>
            <w:r>
              <w:rPr>
                <w:b/>
                <w:color w:val="auto"/>
                <w:kern w:val="0"/>
                <w:sz w:val="24"/>
                <w:szCs w:val="20"/>
              </w:rPr>
              <w:t>1</w:t>
            </w:r>
            <w:r>
              <w:rPr>
                <w:rFonts w:hint="eastAsia"/>
                <w:b/>
                <w:color w:val="auto"/>
                <w:kern w:val="0"/>
                <w:sz w:val="24"/>
                <w:szCs w:val="20"/>
              </w:rPr>
              <w:t>、</w:t>
            </w:r>
            <w:r>
              <w:rPr>
                <w:b/>
                <w:color w:val="auto"/>
                <w:kern w:val="0"/>
                <w:sz w:val="24"/>
                <w:szCs w:val="20"/>
              </w:rPr>
              <w:t>工程内容及规模</w:t>
            </w:r>
          </w:p>
          <w:p w14:paraId="3981D5B6">
            <w:pPr>
              <w:spacing w:line="360" w:lineRule="auto"/>
              <w:ind w:firstLine="480" w:firstLineChars="200"/>
              <w:rPr>
                <w:color w:val="auto"/>
                <w:kern w:val="0"/>
                <w:sz w:val="24"/>
              </w:rPr>
            </w:pPr>
            <w:r>
              <w:rPr>
                <w:color w:val="auto"/>
                <w:kern w:val="0"/>
                <w:sz w:val="24"/>
                <w:szCs w:val="20"/>
              </w:rPr>
              <w:t>项目名</w:t>
            </w:r>
            <w:r>
              <w:rPr>
                <w:color w:val="auto"/>
                <w:kern w:val="0"/>
                <w:sz w:val="24"/>
              </w:rPr>
              <w:t>称：</w:t>
            </w:r>
            <w:r>
              <w:rPr>
                <w:rFonts w:hint="eastAsia"/>
                <w:color w:val="auto"/>
                <w:kern w:val="0"/>
                <w:sz w:val="24"/>
              </w:rPr>
              <w:t>研发实验室建设项目</w:t>
            </w:r>
          </w:p>
          <w:p w14:paraId="44F07D23">
            <w:pPr>
              <w:spacing w:line="360" w:lineRule="auto"/>
              <w:ind w:firstLine="480" w:firstLineChars="200"/>
              <w:rPr>
                <w:color w:val="auto"/>
                <w:kern w:val="0"/>
                <w:sz w:val="24"/>
              </w:rPr>
            </w:pPr>
            <w:r>
              <w:rPr>
                <w:color w:val="auto"/>
                <w:kern w:val="0"/>
                <w:sz w:val="24"/>
              </w:rPr>
              <w:t>建设地点：</w:t>
            </w:r>
            <w:r>
              <w:rPr>
                <w:rFonts w:hint="eastAsia"/>
                <w:color w:val="auto"/>
                <w:kern w:val="0"/>
                <w:sz w:val="24"/>
              </w:rPr>
              <w:t>陕西省西咸新区沣西新城秀雅路995号西安生漆涂料研究所五号楼</w:t>
            </w:r>
          </w:p>
          <w:p w14:paraId="58FD6F45">
            <w:pPr>
              <w:spacing w:line="360" w:lineRule="auto"/>
              <w:ind w:firstLine="480" w:firstLineChars="200"/>
              <w:rPr>
                <w:color w:val="auto"/>
                <w:kern w:val="0"/>
                <w:sz w:val="24"/>
              </w:rPr>
            </w:pPr>
            <w:r>
              <w:rPr>
                <w:color w:val="auto"/>
                <w:kern w:val="0"/>
                <w:sz w:val="24"/>
              </w:rPr>
              <w:t>建设性质：</w:t>
            </w:r>
            <w:r>
              <w:rPr>
                <w:rFonts w:hint="eastAsia"/>
                <w:color w:val="auto"/>
                <w:kern w:val="0"/>
                <w:sz w:val="24"/>
              </w:rPr>
              <w:t>新建</w:t>
            </w:r>
          </w:p>
          <w:p w14:paraId="0DA295D1">
            <w:pPr>
              <w:spacing w:line="360" w:lineRule="auto"/>
              <w:ind w:firstLine="480" w:firstLineChars="200"/>
              <w:rPr>
                <w:color w:val="auto"/>
                <w:kern w:val="0"/>
                <w:sz w:val="24"/>
              </w:rPr>
            </w:pPr>
            <w:r>
              <w:rPr>
                <w:color w:val="auto"/>
                <w:kern w:val="0"/>
                <w:sz w:val="24"/>
              </w:rPr>
              <w:t>建设单位：</w:t>
            </w:r>
            <w:r>
              <w:rPr>
                <w:rFonts w:hint="eastAsia"/>
                <w:color w:val="auto"/>
                <w:kern w:val="0"/>
                <w:sz w:val="24"/>
              </w:rPr>
              <w:t>陕西先氟领创科技有限公司</w:t>
            </w:r>
          </w:p>
          <w:p w14:paraId="315A2E0C">
            <w:pPr>
              <w:spacing w:line="360" w:lineRule="auto"/>
              <w:ind w:firstLine="480" w:firstLineChars="200"/>
              <w:rPr>
                <w:color w:val="auto"/>
                <w:kern w:val="0"/>
                <w:sz w:val="24"/>
              </w:rPr>
            </w:pPr>
            <w:r>
              <w:rPr>
                <w:color w:val="auto"/>
                <w:kern w:val="0"/>
                <w:sz w:val="24"/>
              </w:rPr>
              <w:t>建设内容：项目租赁</w:t>
            </w:r>
            <w:r>
              <w:rPr>
                <w:rFonts w:hint="eastAsia"/>
                <w:color w:val="auto"/>
                <w:kern w:val="0"/>
                <w:sz w:val="24"/>
              </w:rPr>
              <w:t>西咸新区沣西新城秀雅路995号西安生漆涂料研究所五号楼</w:t>
            </w:r>
            <w:r>
              <w:rPr>
                <w:rFonts w:hint="eastAsia"/>
                <w:color w:val="auto"/>
                <w:kern w:val="0"/>
                <w:sz w:val="24"/>
                <w:lang w:val="en-US" w:eastAsia="zh-CN"/>
              </w:rPr>
              <w:t>三层及四层</w:t>
            </w:r>
            <w:r>
              <w:rPr>
                <w:rFonts w:hint="eastAsia"/>
                <w:color w:val="auto"/>
                <w:kern w:val="0"/>
                <w:sz w:val="24"/>
              </w:rPr>
              <w:t>。</w:t>
            </w:r>
            <w:r>
              <w:rPr>
                <w:color w:val="auto"/>
                <w:kern w:val="0"/>
                <w:sz w:val="24"/>
              </w:rPr>
              <w:t>建成后主要</w:t>
            </w:r>
            <w:r>
              <w:rPr>
                <w:rFonts w:hint="eastAsia"/>
                <w:color w:val="auto"/>
                <w:kern w:val="0"/>
                <w:sz w:val="24"/>
              </w:rPr>
              <w:t>进行</w:t>
            </w:r>
            <w:r>
              <w:rPr>
                <w:color w:val="auto"/>
                <w:kern w:val="0"/>
                <w:sz w:val="24"/>
              </w:rPr>
              <w:t>医药中间体合成、光刻胶中间体合成、有机小分子</w:t>
            </w:r>
            <w:r>
              <w:rPr>
                <w:rFonts w:hint="eastAsia"/>
                <w:color w:val="auto"/>
                <w:kern w:val="0"/>
                <w:sz w:val="24"/>
              </w:rPr>
              <w:t>合成的研发</w:t>
            </w:r>
            <w:r>
              <w:rPr>
                <w:color w:val="auto"/>
                <w:kern w:val="0"/>
                <w:sz w:val="24"/>
              </w:rPr>
              <w:t>，不涉及产能、规格。主要设备有：</w:t>
            </w:r>
            <w:r>
              <w:rPr>
                <w:rFonts w:hint="eastAsia"/>
                <w:color w:val="auto"/>
                <w:kern w:val="0"/>
                <w:sz w:val="24"/>
              </w:rPr>
              <w:t>气相色谱仪、旋转蒸发仪、紫外可见分光光度计、各类</w:t>
            </w:r>
            <w:r>
              <w:rPr>
                <w:color w:val="auto"/>
                <w:kern w:val="0"/>
                <w:sz w:val="24"/>
              </w:rPr>
              <w:t>反应瓶</w:t>
            </w:r>
            <w:r>
              <w:rPr>
                <w:rFonts w:hint="eastAsia"/>
                <w:color w:val="auto"/>
                <w:kern w:val="0"/>
                <w:sz w:val="24"/>
              </w:rPr>
              <w:t>及研发检测</w:t>
            </w:r>
            <w:r>
              <w:rPr>
                <w:color w:val="auto"/>
                <w:kern w:val="0"/>
                <w:sz w:val="24"/>
              </w:rPr>
              <w:t>分析设备</w:t>
            </w:r>
            <w:r>
              <w:rPr>
                <w:rFonts w:hint="eastAsia"/>
                <w:color w:val="auto"/>
                <w:kern w:val="0"/>
                <w:sz w:val="24"/>
              </w:rPr>
              <w:t>/</w:t>
            </w:r>
            <w:r>
              <w:rPr>
                <w:color w:val="auto"/>
                <w:kern w:val="0"/>
                <w:sz w:val="24"/>
              </w:rPr>
              <w:t>仪器若干。</w:t>
            </w:r>
          </w:p>
          <w:p w14:paraId="6BA541E5">
            <w:pPr>
              <w:spacing w:line="360" w:lineRule="auto"/>
              <w:ind w:firstLine="480" w:firstLineChars="200"/>
              <w:rPr>
                <w:color w:val="auto"/>
                <w:kern w:val="0"/>
                <w:sz w:val="24"/>
              </w:rPr>
            </w:pPr>
            <w:r>
              <w:rPr>
                <w:color w:val="auto"/>
                <w:kern w:val="0"/>
                <w:sz w:val="24"/>
              </w:rPr>
              <w:t>总投资：</w:t>
            </w:r>
            <w:r>
              <w:rPr>
                <w:rFonts w:hint="eastAsia"/>
                <w:color w:val="auto"/>
                <w:kern w:val="0"/>
                <w:sz w:val="24"/>
              </w:rPr>
              <w:t>30</w:t>
            </w:r>
            <w:r>
              <w:rPr>
                <w:color w:val="auto"/>
                <w:kern w:val="0"/>
                <w:sz w:val="24"/>
              </w:rPr>
              <w:t>万元，全部为企业自筹。</w:t>
            </w:r>
          </w:p>
          <w:p w14:paraId="3DDDEF98">
            <w:pPr>
              <w:spacing w:line="360" w:lineRule="auto"/>
              <w:ind w:firstLine="480" w:firstLineChars="200"/>
              <w:contextualSpacing/>
              <w:rPr>
                <w:color w:val="auto"/>
                <w:kern w:val="0"/>
                <w:sz w:val="24"/>
                <w:szCs w:val="20"/>
              </w:rPr>
            </w:pPr>
            <w:r>
              <w:rPr>
                <w:color w:val="auto"/>
                <w:kern w:val="0"/>
                <w:sz w:val="24"/>
                <w:szCs w:val="20"/>
              </w:rPr>
              <w:t>（1）地理位置</w:t>
            </w:r>
          </w:p>
          <w:p w14:paraId="063D685F">
            <w:pPr>
              <w:spacing w:line="360" w:lineRule="auto"/>
              <w:ind w:firstLine="480" w:firstLineChars="200"/>
              <w:contextualSpacing/>
              <w:rPr>
                <w:b/>
                <w:color w:val="auto"/>
                <w:kern w:val="0"/>
                <w:sz w:val="24"/>
                <w:szCs w:val="20"/>
                <w:lang w:eastAsia="zh-TW"/>
              </w:rPr>
            </w:pPr>
            <w:r>
              <w:rPr>
                <w:color w:val="auto"/>
                <w:kern w:val="0"/>
                <w:sz w:val="24"/>
                <w:szCs w:val="20"/>
              </w:rPr>
              <w:t>本项目位于</w:t>
            </w:r>
            <w:r>
              <w:rPr>
                <w:rFonts w:hint="eastAsia"/>
                <w:color w:val="auto"/>
                <w:kern w:val="0"/>
                <w:sz w:val="24"/>
              </w:rPr>
              <w:t>陕西省西咸新区沣西新城秀雅路995号西安生漆涂料研究所五号楼</w:t>
            </w:r>
            <w:r>
              <w:rPr>
                <w:color w:val="auto"/>
                <w:kern w:val="0"/>
                <w:sz w:val="24"/>
                <w:szCs w:val="20"/>
              </w:rPr>
              <w:t>，厂房所在地中心坐标为E10</w:t>
            </w:r>
            <w:r>
              <w:rPr>
                <w:rFonts w:hint="eastAsia"/>
                <w:color w:val="auto"/>
                <w:kern w:val="0"/>
                <w:sz w:val="24"/>
                <w:szCs w:val="20"/>
              </w:rPr>
              <w:t>8</w:t>
            </w:r>
            <w:r>
              <w:rPr>
                <w:color w:val="auto"/>
                <w:kern w:val="0"/>
                <w:sz w:val="24"/>
                <w:szCs w:val="20"/>
              </w:rPr>
              <w:t>°</w:t>
            </w:r>
            <w:r>
              <w:rPr>
                <w:rFonts w:hint="eastAsia"/>
                <w:color w:val="auto"/>
                <w:kern w:val="0"/>
                <w:sz w:val="24"/>
                <w:szCs w:val="20"/>
              </w:rPr>
              <w:t>41</w:t>
            </w:r>
            <w:r>
              <w:rPr>
                <w:color w:val="auto"/>
                <w:kern w:val="0"/>
                <w:sz w:val="24"/>
                <w:szCs w:val="20"/>
              </w:rPr>
              <w:t>′</w:t>
            </w:r>
            <w:r>
              <w:rPr>
                <w:rFonts w:hint="eastAsia"/>
                <w:color w:val="auto"/>
                <w:kern w:val="0"/>
                <w:sz w:val="24"/>
                <w:szCs w:val="20"/>
              </w:rPr>
              <w:t>57.424</w:t>
            </w:r>
            <w:r>
              <w:rPr>
                <w:color w:val="auto"/>
                <w:kern w:val="0"/>
                <w:sz w:val="24"/>
                <w:szCs w:val="20"/>
              </w:rPr>
              <w:t>″，N34°</w:t>
            </w:r>
            <w:r>
              <w:rPr>
                <w:rFonts w:hint="eastAsia"/>
                <w:color w:val="auto"/>
                <w:kern w:val="0"/>
                <w:sz w:val="24"/>
                <w:szCs w:val="20"/>
              </w:rPr>
              <w:t>17</w:t>
            </w:r>
            <w:r>
              <w:rPr>
                <w:color w:val="auto"/>
                <w:kern w:val="0"/>
                <w:sz w:val="24"/>
                <w:szCs w:val="20"/>
              </w:rPr>
              <w:t>′</w:t>
            </w:r>
            <w:r>
              <w:rPr>
                <w:rFonts w:hint="eastAsia"/>
                <w:color w:val="auto"/>
                <w:kern w:val="0"/>
                <w:sz w:val="24"/>
                <w:szCs w:val="20"/>
              </w:rPr>
              <w:t>22.603</w:t>
            </w:r>
            <w:r>
              <w:rPr>
                <w:color w:val="auto"/>
                <w:kern w:val="0"/>
                <w:sz w:val="24"/>
                <w:szCs w:val="20"/>
              </w:rPr>
              <w:t>″，具体地理位置见附图1。</w:t>
            </w:r>
            <w:r>
              <w:rPr>
                <w:rFonts w:hint="eastAsia"/>
                <w:color w:val="auto"/>
                <w:kern w:val="0"/>
                <w:sz w:val="24"/>
                <w:szCs w:val="20"/>
              </w:rPr>
              <w:t>项目</w:t>
            </w:r>
            <w:r>
              <w:rPr>
                <w:rFonts w:hint="eastAsia"/>
                <w:color w:val="auto"/>
                <w:kern w:val="0"/>
                <w:sz w:val="24"/>
              </w:rPr>
              <w:t>研发室及库房占地面积1</w:t>
            </w:r>
            <w:r>
              <w:rPr>
                <w:rFonts w:hint="eastAsia"/>
                <w:color w:val="auto"/>
                <w:kern w:val="0"/>
                <w:sz w:val="24"/>
                <w:lang w:val="en-US" w:eastAsia="zh-CN"/>
              </w:rPr>
              <w:t>7</w:t>
            </w:r>
            <w:r>
              <w:rPr>
                <w:rFonts w:hint="eastAsia"/>
                <w:color w:val="auto"/>
                <w:kern w:val="0"/>
                <w:sz w:val="24"/>
              </w:rPr>
              <w:t>0m</w:t>
            </w:r>
            <w:r>
              <w:rPr>
                <w:rFonts w:hint="eastAsia"/>
                <w:color w:val="auto"/>
                <w:kern w:val="0"/>
                <w:sz w:val="24"/>
                <w:vertAlign w:val="superscript"/>
              </w:rPr>
              <w:t>2</w:t>
            </w:r>
            <w:r>
              <w:rPr>
                <w:rFonts w:hint="eastAsia"/>
                <w:color w:val="auto"/>
                <w:kern w:val="0"/>
                <w:sz w:val="24"/>
              </w:rPr>
              <w:t>，办公区占地面积50m</w:t>
            </w:r>
            <w:r>
              <w:rPr>
                <w:rFonts w:hint="eastAsia"/>
                <w:color w:val="auto"/>
                <w:kern w:val="0"/>
                <w:sz w:val="24"/>
                <w:vertAlign w:val="superscript"/>
              </w:rPr>
              <w:t>2</w:t>
            </w:r>
            <w:r>
              <w:rPr>
                <w:rFonts w:hint="eastAsia"/>
                <w:color w:val="auto"/>
                <w:kern w:val="0"/>
                <w:sz w:val="24"/>
                <w:szCs w:val="20"/>
              </w:rPr>
              <w:t>，</w:t>
            </w:r>
            <w:r>
              <w:rPr>
                <w:color w:val="auto"/>
                <w:kern w:val="0"/>
                <w:sz w:val="24"/>
                <w:szCs w:val="20"/>
              </w:rPr>
              <w:t>具体四邻关系见附图2。</w:t>
            </w:r>
          </w:p>
          <w:p w14:paraId="7CD9C94B">
            <w:pPr>
              <w:spacing w:line="360" w:lineRule="auto"/>
              <w:ind w:firstLine="480" w:firstLineChars="200"/>
              <w:rPr>
                <w:color w:val="auto"/>
                <w:kern w:val="0"/>
                <w:sz w:val="24"/>
                <w:szCs w:val="20"/>
              </w:rPr>
            </w:pPr>
            <w:r>
              <w:rPr>
                <w:color w:val="auto"/>
                <w:kern w:val="0"/>
                <w:sz w:val="24"/>
                <w:szCs w:val="20"/>
              </w:rPr>
              <w:t>（2）工程内容</w:t>
            </w:r>
          </w:p>
          <w:p w14:paraId="4A0C38B5">
            <w:pPr>
              <w:spacing w:line="360" w:lineRule="auto"/>
              <w:ind w:firstLine="480" w:firstLineChars="200"/>
              <w:rPr>
                <w:color w:val="auto"/>
                <w:kern w:val="0"/>
                <w:sz w:val="24"/>
              </w:rPr>
            </w:pPr>
            <w:r>
              <w:rPr>
                <w:rFonts w:hint="eastAsia"/>
                <w:color w:val="auto"/>
                <w:kern w:val="0"/>
                <w:sz w:val="24"/>
                <w:szCs w:val="20"/>
              </w:rPr>
              <w:t>本项目租赁</w:t>
            </w:r>
            <w:r>
              <w:rPr>
                <w:rFonts w:hint="eastAsia"/>
                <w:color w:val="auto"/>
                <w:kern w:val="0"/>
                <w:sz w:val="24"/>
              </w:rPr>
              <w:t>陕西省西咸新区沣西新城秀雅路995号西安生漆涂料研究所五号楼</w:t>
            </w:r>
            <w:r>
              <w:rPr>
                <w:rFonts w:hint="eastAsia"/>
                <w:color w:val="auto"/>
                <w:kern w:val="0"/>
                <w:sz w:val="24"/>
                <w:lang w:val="en-US" w:eastAsia="zh-CN"/>
              </w:rPr>
              <w:t>三</w:t>
            </w:r>
            <w:r>
              <w:rPr>
                <w:rFonts w:hint="eastAsia"/>
                <w:color w:val="FF0000"/>
                <w:kern w:val="0"/>
                <w:sz w:val="24"/>
                <w:lang w:val="en-US" w:eastAsia="zh-CN"/>
              </w:rPr>
              <w:t>层及四层</w:t>
            </w:r>
            <w:r>
              <w:rPr>
                <w:rFonts w:hint="eastAsia"/>
                <w:color w:val="FF0000"/>
                <w:kern w:val="0"/>
                <w:sz w:val="24"/>
              </w:rPr>
              <w:t>，研发室</w:t>
            </w:r>
            <w:r>
              <w:rPr>
                <w:rFonts w:hint="eastAsia"/>
                <w:color w:val="FF0000"/>
                <w:kern w:val="0"/>
                <w:sz w:val="24"/>
                <w:lang w:val="en-US" w:eastAsia="zh-CN"/>
              </w:rPr>
              <w:t>及库房位于三层，</w:t>
            </w:r>
            <w:r>
              <w:rPr>
                <w:rFonts w:hint="eastAsia"/>
                <w:color w:val="FF0000"/>
                <w:kern w:val="0"/>
                <w:sz w:val="24"/>
              </w:rPr>
              <w:t>占地面积约</w:t>
            </w:r>
            <w:r>
              <w:rPr>
                <w:rFonts w:hint="eastAsia"/>
                <w:color w:val="FF0000"/>
                <w:kern w:val="0"/>
                <w:sz w:val="24"/>
                <w:lang w:val="en-US" w:eastAsia="zh-CN"/>
              </w:rPr>
              <w:t>17</w:t>
            </w:r>
            <w:r>
              <w:rPr>
                <w:rFonts w:hint="eastAsia"/>
                <w:color w:val="FF0000"/>
                <w:kern w:val="0"/>
                <w:sz w:val="24"/>
              </w:rPr>
              <w:t>0m</w:t>
            </w:r>
            <w:r>
              <w:rPr>
                <w:rFonts w:hint="eastAsia"/>
                <w:color w:val="FF0000"/>
                <w:kern w:val="0"/>
                <w:sz w:val="24"/>
                <w:vertAlign w:val="superscript"/>
              </w:rPr>
              <w:t>2</w:t>
            </w:r>
            <w:r>
              <w:rPr>
                <w:rFonts w:hint="eastAsia"/>
                <w:color w:val="FF0000"/>
                <w:kern w:val="0"/>
                <w:sz w:val="24"/>
              </w:rPr>
              <w:t>，办公室</w:t>
            </w:r>
            <w:r>
              <w:rPr>
                <w:rFonts w:hint="eastAsia"/>
                <w:color w:val="FF0000"/>
                <w:kern w:val="0"/>
                <w:sz w:val="24"/>
                <w:lang w:val="en-US" w:eastAsia="zh-CN"/>
              </w:rPr>
              <w:t>位于四层，</w:t>
            </w:r>
            <w:r>
              <w:rPr>
                <w:rFonts w:hint="eastAsia"/>
                <w:color w:val="FF0000"/>
                <w:kern w:val="0"/>
                <w:sz w:val="24"/>
              </w:rPr>
              <w:t>占地面积约50m</w:t>
            </w:r>
            <w:r>
              <w:rPr>
                <w:rFonts w:hint="eastAsia"/>
                <w:color w:val="FF0000"/>
                <w:kern w:val="0"/>
                <w:sz w:val="24"/>
                <w:vertAlign w:val="superscript"/>
              </w:rPr>
              <w:t>2</w:t>
            </w:r>
            <w:r>
              <w:rPr>
                <w:rFonts w:hint="eastAsia"/>
                <w:color w:val="FF0000"/>
                <w:kern w:val="0"/>
                <w:sz w:val="24"/>
              </w:rPr>
              <w:t>。</w:t>
            </w:r>
          </w:p>
          <w:p w14:paraId="51E85856">
            <w:pPr>
              <w:spacing w:line="360" w:lineRule="auto"/>
              <w:ind w:firstLine="480" w:firstLineChars="200"/>
              <w:rPr>
                <w:b/>
                <w:color w:val="auto"/>
                <w:kern w:val="0"/>
                <w:sz w:val="24"/>
                <w:szCs w:val="21"/>
              </w:rPr>
            </w:pPr>
            <w:r>
              <w:rPr>
                <w:color w:val="auto"/>
                <w:kern w:val="0"/>
                <w:sz w:val="24"/>
                <w:szCs w:val="20"/>
              </w:rPr>
              <w:t>项目建设内容</w:t>
            </w:r>
            <w:r>
              <w:rPr>
                <w:bCs/>
                <w:color w:val="auto"/>
                <w:kern w:val="0"/>
                <w:sz w:val="24"/>
                <w:szCs w:val="20"/>
              </w:rPr>
              <w:t>详见表</w:t>
            </w:r>
            <w:r>
              <w:rPr>
                <w:rFonts w:hint="eastAsia"/>
                <w:bCs/>
                <w:color w:val="auto"/>
                <w:kern w:val="0"/>
                <w:sz w:val="24"/>
                <w:szCs w:val="20"/>
              </w:rPr>
              <w:t>2-1</w:t>
            </w:r>
            <w:r>
              <w:rPr>
                <w:bCs/>
                <w:color w:val="auto"/>
                <w:kern w:val="0"/>
                <w:sz w:val="24"/>
                <w:szCs w:val="20"/>
              </w:rPr>
              <w:t>。</w:t>
            </w:r>
          </w:p>
          <w:p w14:paraId="5991BA40">
            <w:pPr>
              <w:autoSpaceDE w:val="0"/>
              <w:autoSpaceDN w:val="0"/>
              <w:jc w:val="center"/>
              <w:rPr>
                <w:b/>
                <w:color w:val="auto"/>
                <w:szCs w:val="21"/>
              </w:rPr>
            </w:pPr>
            <w:r>
              <w:rPr>
                <w:b/>
                <w:color w:val="auto"/>
                <w:szCs w:val="21"/>
              </w:rPr>
              <w:t>表</w:t>
            </w:r>
            <w:r>
              <w:rPr>
                <w:rFonts w:hint="eastAsia"/>
                <w:b/>
                <w:color w:val="auto"/>
                <w:szCs w:val="21"/>
              </w:rPr>
              <w:t xml:space="preserve">2-1   </w:t>
            </w:r>
            <w:r>
              <w:rPr>
                <w:b/>
                <w:color w:val="auto"/>
                <w:szCs w:val="21"/>
              </w:rPr>
              <w:t>建设项目组成</w:t>
            </w:r>
          </w:p>
          <w:tbl>
            <w:tblPr>
              <w:tblStyle w:val="1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81"/>
              <w:gridCol w:w="521"/>
              <w:gridCol w:w="979"/>
              <w:gridCol w:w="4356"/>
              <w:gridCol w:w="1280"/>
              <w:gridCol w:w="621"/>
            </w:tblGrid>
            <w:tr w14:paraId="3714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81" w:type="dxa"/>
                  <w:tcBorders>
                    <w:tl2br w:val="nil"/>
                    <w:tr2bl w:val="nil"/>
                  </w:tcBorders>
                  <w:vAlign w:val="center"/>
                </w:tcPr>
                <w:p w14:paraId="46A30F61">
                  <w:pPr>
                    <w:contextualSpacing/>
                    <w:jc w:val="center"/>
                    <w:rPr>
                      <w:color w:val="auto"/>
                      <w:sz w:val="21"/>
                      <w:szCs w:val="21"/>
                    </w:rPr>
                  </w:pPr>
                  <w:r>
                    <w:rPr>
                      <w:color w:val="auto"/>
                      <w:kern w:val="0"/>
                      <w:sz w:val="21"/>
                      <w:szCs w:val="21"/>
                    </w:rPr>
                    <w:t>工程类别</w:t>
                  </w:r>
                </w:p>
              </w:tc>
              <w:tc>
                <w:tcPr>
                  <w:tcW w:w="1500" w:type="dxa"/>
                  <w:gridSpan w:val="2"/>
                  <w:tcBorders>
                    <w:tl2br w:val="nil"/>
                    <w:tr2bl w:val="nil"/>
                  </w:tcBorders>
                  <w:vAlign w:val="center"/>
                </w:tcPr>
                <w:p w14:paraId="7891C5D1">
                  <w:pPr>
                    <w:contextualSpacing/>
                    <w:jc w:val="center"/>
                    <w:rPr>
                      <w:color w:val="auto"/>
                      <w:sz w:val="21"/>
                      <w:szCs w:val="21"/>
                    </w:rPr>
                  </w:pPr>
                  <w:r>
                    <w:rPr>
                      <w:color w:val="auto"/>
                      <w:kern w:val="0"/>
                      <w:sz w:val="21"/>
                      <w:szCs w:val="21"/>
                    </w:rPr>
                    <w:t>工程名称</w:t>
                  </w:r>
                </w:p>
              </w:tc>
              <w:tc>
                <w:tcPr>
                  <w:tcW w:w="5636" w:type="dxa"/>
                  <w:gridSpan w:val="2"/>
                  <w:tcBorders>
                    <w:tl2br w:val="nil"/>
                    <w:tr2bl w:val="nil"/>
                  </w:tcBorders>
                  <w:vAlign w:val="center"/>
                </w:tcPr>
                <w:p w14:paraId="0B5ECB01">
                  <w:pPr>
                    <w:jc w:val="center"/>
                    <w:rPr>
                      <w:color w:val="auto"/>
                      <w:sz w:val="21"/>
                      <w:szCs w:val="21"/>
                    </w:rPr>
                  </w:pPr>
                  <w:r>
                    <w:rPr>
                      <w:color w:val="auto"/>
                      <w:sz w:val="21"/>
                      <w:szCs w:val="21"/>
                    </w:rPr>
                    <w:t>建设内容及其规模</w:t>
                  </w:r>
                </w:p>
              </w:tc>
              <w:tc>
                <w:tcPr>
                  <w:tcW w:w="621" w:type="dxa"/>
                  <w:tcBorders>
                    <w:tl2br w:val="nil"/>
                    <w:tr2bl w:val="nil"/>
                  </w:tcBorders>
                  <w:vAlign w:val="center"/>
                </w:tcPr>
                <w:p w14:paraId="4E9EA461">
                  <w:pPr>
                    <w:jc w:val="center"/>
                    <w:rPr>
                      <w:color w:val="auto"/>
                      <w:sz w:val="21"/>
                      <w:szCs w:val="21"/>
                    </w:rPr>
                  </w:pPr>
                  <w:r>
                    <w:rPr>
                      <w:color w:val="auto"/>
                      <w:sz w:val="21"/>
                      <w:szCs w:val="21"/>
                    </w:rPr>
                    <w:t>备注</w:t>
                  </w:r>
                </w:p>
              </w:tc>
            </w:tr>
            <w:tr w14:paraId="7BAD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 w:hRule="atLeast"/>
                <w:jc w:val="center"/>
              </w:trPr>
              <w:tc>
                <w:tcPr>
                  <w:tcW w:w="581" w:type="dxa"/>
                  <w:tcBorders>
                    <w:tl2br w:val="nil"/>
                    <w:tr2bl w:val="nil"/>
                  </w:tcBorders>
                  <w:vAlign w:val="center"/>
                </w:tcPr>
                <w:p w14:paraId="38F5FBD8">
                  <w:pPr>
                    <w:jc w:val="center"/>
                    <w:rPr>
                      <w:color w:val="auto"/>
                      <w:sz w:val="21"/>
                      <w:szCs w:val="21"/>
                    </w:rPr>
                  </w:pPr>
                  <w:r>
                    <w:rPr>
                      <w:color w:val="auto"/>
                      <w:sz w:val="21"/>
                      <w:szCs w:val="21"/>
                    </w:rPr>
                    <w:t>主体工程</w:t>
                  </w:r>
                </w:p>
              </w:tc>
              <w:tc>
                <w:tcPr>
                  <w:tcW w:w="1500" w:type="dxa"/>
                  <w:gridSpan w:val="2"/>
                  <w:tcBorders>
                    <w:tl2br w:val="nil"/>
                    <w:tr2bl w:val="nil"/>
                  </w:tcBorders>
                  <w:vAlign w:val="center"/>
                </w:tcPr>
                <w:p w14:paraId="4FCB6F06">
                  <w:pPr>
                    <w:jc w:val="center"/>
                    <w:rPr>
                      <w:color w:val="auto"/>
                      <w:sz w:val="21"/>
                      <w:szCs w:val="21"/>
                    </w:rPr>
                  </w:pPr>
                  <w:r>
                    <w:rPr>
                      <w:rFonts w:hint="eastAsia"/>
                      <w:color w:val="auto"/>
                      <w:sz w:val="21"/>
                      <w:szCs w:val="21"/>
                    </w:rPr>
                    <w:t>研发室</w:t>
                  </w:r>
                </w:p>
              </w:tc>
              <w:tc>
                <w:tcPr>
                  <w:tcW w:w="5636" w:type="dxa"/>
                  <w:gridSpan w:val="2"/>
                  <w:tcBorders>
                    <w:tl2br w:val="nil"/>
                    <w:tr2bl w:val="nil"/>
                  </w:tcBorders>
                  <w:vAlign w:val="center"/>
                </w:tcPr>
                <w:p w14:paraId="4A6F260D">
                  <w:pPr>
                    <w:rPr>
                      <w:color w:val="auto"/>
                      <w:sz w:val="21"/>
                      <w:szCs w:val="21"/>
                    </w:rPr>
                  </w:pPr>
                  <w:r>
                    <w:rPr>
                      <w:rFonts w:hint="eastAsia"/>
                      <w:color w:val="auto"/>
                      <w:sz w:val="21"/>
                      <w:szCs w:val="21"/>
                    </w:rPr>
                    <w:t>位于西安生漆涂料研究所五号楼</w:t>
                  </w:r>
                  <w:r>
                    <w:rPr>
                      <w:rFonts w:hint="eastAsia"/>
                      <w:color w:val="FF0000"/>
                      <w:sz w:val="21"/>
                      <w:szCs w:val="21"/>
                    </w:rPr>
                    <w:t>三层，占地面积约</w:t>
                  </w:r>
                  <w:r>
                    <w:rPr>
                      <w:rFonts w:hint="eastAsia"/>
                      <w:color w:val="FF0000"/>
                      <w:sz w:val="21"/>
                      <w:szCs w:val="21"/>
                      <w:lang w:val="en-US" w:eastAsia="zh-CN"/>
                    </w:rPr>
                    <w:t>120</w:t>
                  </w:r>
                  <w:r>
                    <w:rPr>
                      <w:rFonts w:hint="eastAsia"/>
                      <w:color w:val="FF0000"/>
                      <w:sz w:val="21"/>
                      <w:szCs w:val="21"/>
                    </w:rPr>
                    <w:t>m</w:t>
                  </w:r>
                  <w:r>
                    <w:rPr>
                      <w:rFonts w:hint="eastAsia"/>
                      <w:color w:val="FF0000"/>
                      <w:sz w:val="21"/>
                      <w:szCs w:val="21"/>
                      <w:vertAlign w:val="superscript"/>
                    </w:rPr>
                    <w:t>2</w:t>
                  </w:r>
                  <w:r>
                    <w:rPr>
                      <w:rFonts w:hint="eastAsia"/>
                      <w:color w:val="auto"/>
                      <w:sz w:val="21"/>
                      <w:szCs w:val="21"/>
                    </w:rPr>
                    <w:t>，内设烘箱、旋转蒸发仪等各类研发试验设备</w:t>
                  </w:r>
                </w:p>
              </w:tc>
              <w:tc>
                <w:tcPr>
                  <w:tcW w:w="621" w:type="dxa"/>
                  <w:vMerge w:val="restart"/>
                  <w:tcBorders>
                    <w:tl2br w:val="nil"/>
                    <w:tr2bl w:val="nil"/>
                  </w:tcBorders>
                  <w:vAlign w:val="center"/>
                </w:tcPr>
                <w:p w14:paraId="251397A4">
                  <w:pPr>
                    <w:jc w:val="center"/>
                    <w:rPr>
                      <w:color w:val="auto"/>
                      <w:sz w:val="21"/>
                      <w:szCs w:val="21"/>
                    </w:rPr>
                  </w:pPr>
                  <w:r>
                    <w:rPr>
                      <w:rFonts w:hint="eastAsia"/>
                      <w:color w:val="auto"/>
                      <w:sz w:val="21"/>
                      <w:szCs w:val="21"/>
                    </w:rPr>
                    <w:t>租赁厂房内新建</w:t>
                  </w:r>
                </w:p>
              </w:tc>
            </w:tr>
            <w:tr w14:paraId="0B91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81" w:type="dxa"/>
                  <w:tcBorders>
                    <w:tl2br w:val="nil"/>
                    <w:tr2bl w:val="nil"/>
                  </w:tcBorders>
                  <w:vAlign w:val="center"/>
                </w:tcPr>
                <w:p w14:paraId="400B1633">
                  <w:pPr>
                    <w:jc w:val="center"/>
                    <w:rPr>
                      <w:color w:val="auto"/>
                      <w:sz w:val="21"/>
                      <w:szCs w:val="21"/>
                    </w:rPr>
                  </w:pPr>
                  <w:r>
                    <w:rPr>
                      <w:color w:val="auto"/>
                      <w:sz w:val="21"/>
                      <w:szCs w:val="21"/>
                    </w:rPr>
                    <w:t>辅助工程</w:t>
                  </w:r>
                </w:p>
              </w:tc>
              <w:tc>
                <w:tcPr>
                  <w:tcW w:w="1500" w:type="dxa"/>
                  <w:gridSpan w:val="2"/>
                  <w:tcBorders>
                    <w:tl2br w:val="nil"/>
                    <w:tr2bl w:val="nil"/>
                  </w:tcBorders>
                  <w:vAlign w:val="center"/>
                </w:tcPr>
                <w:p w14:paraId="045F88A9">
                  <w:pPr>
                    <w:jc w:val="center"/>
                    <w:rPr>
                      <w:color w:val="auto"/>
                      <w:sz w:val="21"/>
                      <w:szCs w:val="21"/>
                    </w:rPr>
                  </w:pPr>
                  <w:r>
                    <w:rPr>
                      <w:color w:val="auto"/>
                      <w:sz w:val="21"/>
                      <w:szCs w:val="21"/>
                    </w:rPr>
                    <w:t>办公</w:t>
                  </w:r>
                  <w:r>
                    <w:rPr>
                      <w:rFonts w:hint="eastAsia"/>
                      <w:color w:val="auto"/>
                      <w:sz w:val="21"/>
                      <w:szCs w:val="21"/>
                    </w:rPr>
                    <w:t>室</w:t>
                  </w:r>
                </w:p>
              </w:tc>
              <w:tc>
                <w:tcPr>
                  <w:tcW w:w="5636" w:type="dxa"/>
                  <w:gridSpan w:val="2"/>
                  <w:tcBorders>
                    <w:tl2br w:val="nil"/>
                    <w:tr2bl w:val="nil"/>
                  </w:tcBorders>
                  <w:vAlign w:val="center"/>
                </w:tcPr>
                <w:p w14:paraId="600A5E9C">
                  <w:pPr>
                    <w:rPr>
                      <w:color w:val="auto"/>
                      <w:sz w:val="21"/>
                      <w:szCs w:val="21"/>
                    </w:rPr>
                  </w:pPr>
                  <w:r>
                    <w:rPr>
                      <w:rFonts w:hint="eastAsia"/>
                      <w:color w:val="auto"/>
                      <w:sz w:val="21"/>
                      <w:szCs w:val="21"/>
                    </w:rPr>
                    <w:t>位于西安生漆涂料研究所五号楼</w:t>
                  </w:r>
                  <w:r>
                    <w:rPr>
                      <w:rFonts w:hint="eastAsia"/>
                      <w:color w:val="FF0000"/>
                      <w:sz w:val="21"/>
                      <w:szCs w:val="21"/>
                    </w:rPr>
                    <w:t>四层，占地面积约50m</w:t>
                  </w:r>
                  <w:r>
                    <w:rPr>
                      <w:rFonts w:hint="eastAsia"/>
                      <w:color w:val="FF0000"/>
                      <w:sz w:val="21"/>
                      <w:szCs w:val="21"/>
                      <w:vertAlign w:val="superscript"/>
                    </w:rPr>
                    <w:t>2</w:t>
                  </w:r>
                  <w:r>
                    <w:rPr>
                      <w:rFonts w:hint="eastAsia"/>
                      <w:color w:val="auto"/>
                      <w:sz w:val="21"/>
                      <w:szCs w:val="21"/>
                    </w:rPr>
                    <w:t>，用于员工日常办公</w:t>
                  </w:r>
                </w:p>
              </w:tc>
              <w:tc>
                <w:tcPr>
                  <w:tcW w:w="621" w:type="dxa"/>
                  <w:vMerge w:val="continue"/>
                  <w:tcBorders>
                    <w:tl2br w:val="nil"/>
                    <w:tr2bl w:val="nil"/>
                  </w:tcBorders>
                  <w:vAlign w:val="center"/>
                </w:tcPr>
                <w:p w14:paraId="08DC6EC0">
                  <w:pPr>
                    <w:jc w:val="center"/>
                    <w:rPr>
                      <w:color w:val="auto"/>
                      <w:sz w:val="21"/>
                      <w:szCs w:val="21"/>
                    </w:rPr>
                  </w:pPr>
                </w:p>
              </w:tc>
            </w:tr>
            <w:tr w14:paraId="7938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81" w:type="dxa"/>
                  <w:tcBorders>
                    <w:tl2br w:val="nil"/>
                    <w:tr2bl w:val="nil"/>
                  </w:tcBorders>
                  <w:vAlign w:val="center"/>
                </w:tcPr>
                <w:p w14:paraId="671CA1F4">
                  <w:pPr>
                    <w:jc w:val="center"/>
                    <w:rPr>
                      <w:color w:val="auto"/>
                      <w:sz w:val="21"/>
                      <w:szCs w:val="21"/>
                    </w:rPr>
                  </w:pPr>
                  <w:r>
                    <w:rPr>
                      <w:rFonts w:hint="eastAsia"/>
                      <w:color w:val="auto"/>
                      <w:sz w:val="21"/>
                      <w:szCs w:val="21"/>
                    </w:rPr>
                    <w:t>储运工程</w:t>
                  </w:r>
                </w:p>
              </w:tc>
              <w:tc>
                <w:tcPr>
                  <w:tcW w:w="1500" w:type="dxa"/>
                  <w:gridSpan w:val="2"/>
                  <w:tcBorders>
                    <w:tl2br w:val="nil"/>
                    <w:tr2bl w:val="nil"/>
                  </w:tcBorders>
                  <w:vAlign w:val="center"/>
                </w:tcPr>
                <w:p w14:paraId="507DFCAF">
                  <w:pPr>
                    <w:jc w:val="center"/>
                    <w:rPr>
                      <w:color w:val="auto"/>
                      <w:sz w:val="21"/>
                      <w:szCs w:val="21"/>
                    </w:rPr>
                  </w:pPr>
                  <w:r>
                    <w:rPr>
                      <w:rFonts w:hint="eastAsia"/>
                      <w:color w:val="auto"/>
                      <w:sz w:val="21"/>
                      <w:szCs w:val="21"/>
                    </w:rPr>
                    <w:t>库房</w:t>
                  </w:r>
                </w:p>
              </w:tc>
              <w:tc>
                <w:tcPr>
                  <w:tcW w:w="5636" w:type="dxa"/>
                  <w:gridSpan w:val="2"/>
                  <w:tcBorders>
                    <w:tl2br w:val="nil"/>
                    <w:tr2bl w:val="nil"/>
                  </w:tcBorders>
                  <w:vAlign w:val="center"/>
                </w:tcPr>
                <w:p w14:paraId="0C53A6C2">
                  <w:pPr>
                    <w:rPr>
                      <w:color w:val="auto"/>
                      <w:sz w:val="21"/>
                      <w:szCs w:val="21"/>
                    </w:rPr>
                  </w:pPr>
                  <w:r>
                    <w:rPr>
                      <w:rFonts w:hint="eastAsia"/>
                      <w:color w:val="auto"/>
                      <w:sz w:val="21"/>
                      <w:szCs w:val="21"/>
                    </w:rPr>
                    <w:t>位于西安生漆涂料研究所五号楼</w:t>
                  </w:r>
                  <w:r>
                    <w:rPr>
                      <w:rFonts w:hint="eastAsia"/>
                      <w:color w:val="FF0000"/>
                      <w:sz w:val="21"/>
                      <w:szCs w:val="21"/>
                      <w:lang w:val="en-US" w:eastAsia="zh-CN"/>
                    </w:rPr>
                    <w:t>三层</w:t>
                  </w:r>
                  <w:r>
                    <w:rPr>
                      <w:rFonts w:hint="eastAsia"/>
                      <w:color w:val="FF0000"/>
                      <w:sz w:val="21"/>
                      <w:szCs w:val="21"/>
                    </w:rPr>
                    <w:t>，占地面积约</w:t>
                  </w:r>
                  <w:r>
                    <w:rPr>
                      <w:rFonts w:hint="eastAsia"/>
                      <w:color w:val="FF0000"/>
                      <w:sz w:val="21"/>
                      <w:szCs w:val="21"/>
                      <w:lang w:val="en-US" w:eastAsia="zh-CN"/>
                    </w:rPr>
                    <w:t>50</w:t>
                  </w:r>
                  <w:r>
                    <w:rPr>
                      <w:rFonts w:hint="eastAsia"/>
                      <w:color w:val="FF0000"/>
                      <w:sz w:val="21"/>
                      <w:szCs w:val="21"/>
                    </w:rPr>
                    <w:t>m</w:t>
                  </w:r>
                  <w:r>
                    <w:rPr>
                      <w:rFonts w:hint="eastAsia"/>
                      <w:color w:val="FF0000"/>
                      <w:sz w:val="21"/>
                      <w:szCs w:val="21"/>
                      <w:vertAlign w:val="superscript"/>
                    </w:rPr>
                    <w:t>2</w:t>
                  </w:r>
                  <w:r>
                    <w:rPr>
                      <w:rFonts w:hint="eastAsia"/>
                      <w:color w:val="auto"/>
                      <w:sz w:val="21"/>
                      <w:szCs w:val="21"/>
                    </w:rPr>
                    <w:t>，主要用于储存各类试剂</w:t>
                  </w:r>
                </w:p>
              </w:tc>
              <w:tc>
                <w:tcPr>
                  <w:tcW w:w="621" w:type="dxa"/>
                  <w:vMerge w:val="continue"/>
                  <w:tcBorders>
                    <w:tl2br w:val="nil"/>
                    <w:tr2bl w:val="nil"/>
                  </w:tcBorders>
                  <w:vAlign w:val="center"/>
                </w:tcPr>
                <w:p w14:paraId="00312A83">
                  <w:pPr>
                    <w:jc w:val="center"/>
                    <w:rPr>
                      <w:color w:val="auto"/>
                      <w:sz w:val="21"/>
                      <w:szCs w:val="21"/>
                    </w:rPr>
                  </w:pPr>
                </w:p>
              </w:tc>
            </w:tr>
            <w:tr w14:paraId="0F3A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81" w:type="dxa"/>
                  <w:vMerge w:val="restart"/>
                  <w:tcBorders>
                    <w:tl2br w:val="nil"/>
                    <w:tr2bl w:val="nil"/>
                  </w:tcBorders>
                  <w:vAlign w:val="center"/>
                </w:tcPr>
                <w:p w14:paraId="07EEDC8C">
                  <w:pPr>
                    <w:jc w:val="center"/>
                    <w:rPr>
                      <w:color w:val="auto"/>
                      <w:sz w:val="21"/>
                      <w:szCs w:val="21"/>
                    </w:rPr>
                  </w:pPr>
                  <w:r>
                    <w:rPr>
                      <w:color w:val="auto"/>
                      <w:sz w:val="21"/>
                      <w:szCs w:val="21"/>
                    </w:rPr>
                    <w:t>公用工程</w:t>
                  </w:r>
                </w:p>
              </w:tc>
              <w:tc>
                <w:tcPr>
                  <w:tcW w:w="1500" w:type="dxa"/>
                  <w:gridSpan w:val="2"/>
                  <w:tcBorders>
                    <w:tl2br w:val="nil"/>
                    <w:tr2bl w:val="nil"/>
                  </w:tcBorders>
                  <w:vAlign w:val="center"/>
                </w:tcPr>
                <w:p w14:paraId="718F9AC8">
                  <w:pPr>
                    <w:jc w:val="center"/>
                    <w:rPr>
                      <w:bCs/>
                      <w:color w:val="auto"/>
                      <w:sz w:val="21"/>
                      <w:szCs w:val="21"/>
                    </w:rPr>
                  </w:pPr>
                  <w:r>
                    <w:rPr>
                      <w:bCs/>
                      <w:color w:val="auto"/>
                      <w:sz w:val="21"/>
                      <w:szCs w:val="21"/>
                    </w:rPr>
                    <w:t>供水</w:t>
                  </w:r>
                </w:p>
              </w:tc>
              <w:tc>
                <w:tcPr>
                  <w:tcW w:w="5636" w:type="dxa"/>
                  <w:gridSpan w:val="2"/>
                  <w:tcBorders>
                    <w:tl2br w:val="nil"/>
                    <w:tr2bl w:val="nil"/>
                  </w:tcBorders>
                  <w:vAlign w:val="center"/>
                </w:tcPr>
                <w:p w14:paraId="2D31E624">
                  <w:pPr>
                    <w:rPr>
                      <w:bCs/>
                      <w:color w:val="auto"/>
                      <w:sz w:val="21"/>
                      <w:szCs w:val="21"/>
                    </w:rPr>
                  </w:pPr>
                  <w:r>
                    <w:rPr>
                      <w:rFonts w:hint="eastAsia"/>
                      <w:color w:val="auto"/>
                      <w:kern w:val="0"/>
                      <w:sz w:val="21"/>
                      <w:szCs w:val="21"/>
                    </w:rPr>
                    <w:t>依托西安生漆涂料研究所现有供水管网</w:t>
                  </w:r>
                </w:p>
              </w:tc>
              <w:tc>
                <w:tcPr>
                  <w:tcW w:w="621" w:type="dxa"/>
                  <w:tcBorders>
                    <w:tl2br w:val="nil"/>
                    <w:tr2bl w:val="nil"/>
                  </w:tcBorders>
                  <w:vAlign w:val="center"/>
                </w:tcPr>
                <w:p w14:paraId="6E56B3BD">
                  <w:pPr>
                    <w:adjustRightInd w:val="0"/>
                    <w:snapToGrid w:val="0"/>
                    <w:jc w:val="center"/>
                    <w:rPr>
                      <w:color w:val="auto"/>
                      <w:sz w:val="21"/>
                      <w:szCs w:val="21"/>
                    </w:rPr>
                  </w:pPr>
                  <w:r>
                    <w:rPr>
                      <w:rFonts w:hint="eastAsia"/>
                      <w:color w:val="auto"/>
                      <w:sz w:val="21"/>
                      <w:szCs w:val="21"/>
                    </w:rPr>
                    <w:t>/</w:t>
                  </w:r>
                </w:p>
              </w:tc>
            </w:tr>
            <w:tr w14:paraId="34E8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81" w:type="dxa"/>
                  <w:vMerge w:val="continue"/>
                  <w:tcBorders>
                    <w:tl2br w:val="nil"/>
                    <w:tr2bl w:val="nil"/>
                  </w:tcBorders>
                  <w:vAlign w:val="center"/>
                </w:tcPr>
                <w:p w14:paraId="4B2EF546">
                  <w:pPr>
                    <w:jc w:val="center"/>
                    <w:rPr>
                      <w:color w:val="auto"/>
                      <w:sz w:val="21"/>
                      <w:szCs w:val="21"/>
                    </w:rPr>
                  </w:pPr>
                </w:p>
              </w:tc>
              <w:tc>
                <w:tcPr>
                  <w:tcW w:w="1500" w:type="dxa"/>
                  <w:gridSpan w:val="2"/>
                  <w:tcBorders>
                    <w:tl2br w:val="nil"/>
                    <w:tr2bl w:val="nil"/>
                  </w:tcBorders>
                  <w:vAlign w:val="center"/>
                </w:tcPr>
                <w:p w14:paraId="63844FCD">
                  <w:pPr>
                    <w:jc w:val="center"/>
                    <w:rPr>
                      <w:color w:val="auto"/>
                      <w:sz w:val="21"/>
                      <w:szCs w:val="21"/>
                    </w:rPr>
                  </w:pPr>
                  <w:r>
                    <w:rPr>
                      <w:color w:val="auto"/>
                      <w:sz w:val="21"/>
                      <w:szCs w:val="21"/>
                    </w:rPr>
                    <w:t>排水</w:t>
                  </w:r>
                </w:p>
              </w:tc>
              <w:tc>
                <w:tcPr>
                  <w:tcW w:w="5636" w:type="dxa"/>
                  <w:gridSpan w:val="2"/>
                  <w:tcBorders>
                    <w:tl2br w:val="nil"/>
                    <w:tr2bl w:val="nil"/>
                  </w:tcBorders>
                  <w:vAlign w:val="center"/>
                </w:tcPr>
                <w:p w14:paraId="65F64F5A">
                  <w:pPr>
                    <w:rPr>
                      <w:color w:val="auto"/>
                      <w:sz w:val="21"/>
                      <w:szCs w:val="21"/>
                    </w:rPr>
                  </w:pPr>
                  <w:r>
                    <w:rPr>
                      <w:rFonts w:hint="eastAsia"/>
                      <w:bCs/>
                      <w:color w:val="auto"/>
                      <w:sz w:val="21"/>
                      <w:szCs w:val="21"/>
                    </w:rPr>
                    <w:t>废水依托</w:t>
                  </w:r>
                  <w:r>
                    <w:rPr>
                      <w:rFonts w:hint="eastAsia"/>
                      <w:color w:val="auto"/>
                      <w:kern w:val="0"/>
                      <w:sz w:val="21"/>
                      <w:szCs w:val="21"/>
                    </w:rPr>
                    <w:t>西安生漆涂料研究所</w:t>
                  </w:r>
                  <w:r>
                    <w:rPr>
                      <w:rFonts w:hint="eastAsia"/>
                      <w:bCs/>
                      <w:color w:val="auto"/>
                      <w:sz w:val="21"/>
                      <w:szCs w:val="21"/>
                    </w:rPr>
                    <w:t>化粪池（50m</w:t>
                  </w:r>
                  <w:r>
                    <w:rPr>
                      <w:rFonts w:hint="eastAsia"/>
                      <w:bCs/>
                      <w:color w:val="auto"/>
                      <w:sz w:val="21"/>
                      <w:szCs w:val="21"/>
                      <w:vertAlign w:val="superscript"/>
                    </w:rPr>
                    <w:t>3</w:t>
                  </w:r>
                  <w:r>
                    <w:rPr>
                      <w:rFonts w:hint="eastAsia"/>
                      <w:bCs/>
                      <w:color w:val="auto"/>
                      <w:sz w:val="21"/>
                      <w:szCs w:val="21"/>
                    </w:rPr>
                    <w:t>）及地埋式一体化污水处理设施（10m</w:t>
                  </w:r>
                  <w:r>
                    <w:rPr>
                      <w:rFonts w:hint="eastAsia"/>
                      <w:bCs/>
                      <w:color w:val="auto"/>
                      <w:sz w:val="21"/>
                      <w:szCs w:val="21"/>
                      <w:vertAlign w:val="superscript"/>
                    </w:rPr>
                    <w:t>3</w:t>
                  </w:r>
                  <w:r>
                    <w:rPr>
                      <w:rFonts w:hint="eastAsia"/>
                      <w:bCs/>
                      <w:color w:val="auto"/>
                      <w:sz w:val="21"/>
                      <w:szCs w:val="21"/>
                    </w:rPr>
                    <w:t>/d）处理后经市政管网排入沣西新城渭河污水处理厂处理</w:t>
                  </w:r>
                </w:p>
              </w:tc>
              <w:tc>
                <w:tcPr>
                  <w:tcW w:w="621" w:type="dxa"/>
                  <w:tcBorders>
                    <w:tl2br w:val="nil"/>
                    <w:tr2bl w:val="nil"/>
                  </w:tcBorders>
                  <w:vAlign w:val="center"/>
                </w:tcPr>
                <w:p w14:paraId="354F0E68">
                  <w:pPr>
                    <w:adjustRightInd w:val="0"/>
                    <w:snapToGrid w:val="0"/>
                    <w:jc w:val="center"/>
                    <w:rPr>
                      <w:color w:val="auto"/>
                      <w:sz w:val="21"/>
                      <w:szCs w:val="21"/>
                    </w:rPr>
                  </w:pPr>
                  <w:r>
                    <w:rPr>
                      <w:rFonts w:hint="eastAsia"/>
                      <w:color w:val="auto"/>
                      <w:sz w:val="21"/>
                      <w:szCs w:val="21"/>
                    </w:rPr>
                    <w:t>依托</w:t>
                  </w:r>
                </w:p>
              </w:tc>
            </w:tr>
            <w:tr w14:paraId="78BC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81" w:type="dxa"/>
                  <w:vMerge w:val="continue"/>
                  <w:tcBorders>
                    <w:tl2br w:val="nil"/>
                    <w:tr2bl w:val="nil"/>
                  </w:tcBorders>
                  <w:vAlign w:val="center"/>
                </w:tcPr>
                <w:p w14:paraId="55051155">
                  <w:pPr>
                    <w:jc w:val="center"/>
                    <w:rPr>
                      <w:color w:val="auto"/>
                      <w:sz w:val="21"/>
                      <w:szCs w:val="21"/>
                    </w:rPr>
                  </w:pPr>
                </w:p>
              </w:tc>
              <w:tc>
                <w:tcPr>
                  <w:tcW w:w="1500" w:type="dxa"/>
                  <w:gridSpan w:val="2"/>
                  <w:tcBorders>
                    <w:tl2br w:val="nil"/>
                    <w:tr2bl w:val="nil"/>
                  </w:tcBorders>
                  <w:vAlign w:val="center"/>
                </w:tcPr>
                <w:p w14:paraId="3E76D075">
                  <w:pPr>
                    <w:jc w:val="center"/>
                    <w:rPr>
                      <w:color w:val="auto"/>
                      <w:sz w:val="21"/>
                      <w:szCs w:val="21"/>
                    </w:rPr>
                  </w:pPr>
                  <w:r>
                    <w:rPr>
                      <w:color w:val="auto"/>
                      <w:sz w:val="21"/>
                      <w:szCs w:val="21"/>
                    </w:rPr>
                    <w:t>供电</w:t>
                  </w:r>
                </w:p>
              </w:tc>
              <w:tc>
                <w:tcPr>
                  <w:tcW w:w="5636" w:type="dxa"/>
                  <w:gridSpan w:val="2"/>
                  <w:tcBorders>
                    <w:tl2br w:val="nil"/>
                    <w:tr2bl w:val="nil"/>
                  </w:tcBorders>
                  <w:vAlign w:val="center"/>
                </w:tcPr>
                <w:p w14:paraId="6F27E587">
                  <w:pPr>
                    <w:adjustRightInd w:val="0"/>
                    <w:snapToGrid w:val="0"/>
                    <w:rPr>
                      <w:color w:val="auto"/>
                      <w:sz w:val="21"/>
                      <w:szCs w:val="21"/>
                    </w:rPr>
                  </w:pPr>
                  <w:r>
                    <w:rPr>
                      <w:rFonts w:hint="eastAsia"/>
                      <w:color w:val="auto"/>
                      <w:kern w:val="0"/>
                      <w:sz w:val="21"/>
                      <w:szCs w:val="21"/>
                    </w:rPr>
                    <w:t>依托西安生漆涂料研究所现有供电管网</w:t>
                  </w:r>
                </w:p>
              </w:tc>
              <w:tc>
                <w:tcPr>
                  <w:tcW w:w="621" w:type="dxa"/>
                  <w:tcBorders>
                    <w:tl2br w:val="nil"/>
                    <w:tr2bl w:val="nil"/>
                  </w:tcBorders>
                  <w:vAlign w:val="center"/>
                </w:tcPr>
                <w:p w14:paraId="689D61C1">
                  <w:pPr>
                    <w:adjustRightInd w:val="0"/>
                    <w:snapToGrid w:val="0"/>
                    <w:jc w:val="center"/>
                    <w:rPr>
                      <w:color w:val="auto"/>
                      <w:sz w:val="21"/>
                      <w:szCs w:val="21"/>
                    </w:rPr>
                  </w:pPr>
                  <w:r>
                    <w:rPr>
                      <w:rFonts w:hint="eastAsia"/>
                      <w:color w:val="auto"/>
                      <w:sz w:val="21"/>
                      <w:szCs w:val="21"/>
                    </w:rPr>
                    <w:t>/</w:t>
                  </w:r>
                </w:p>
              </w:tc>
            </w:tr>
            <w:tr w14:paraId="3B86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 w:hRule="atLeast"/>
                <w:jc w:val="center"/>
              </w:trPr>
              <w:tc>
                <w:tcPr>
                  <w:tcW w:w="581" w:type="dxa"/>
                  <w:vMerge w:val="continue"/>
                  <w:tcBorders>
                    <w:tl2br w:val="nil"/>
                    <w:tr2bl w:val="nil"/>
                  </w:tcBorders>
                  <w:vAlign w:val="center"/>
                </w:tcPr>
                <w:p w14:paraId="61DB0484">
                  <w:pPr>
                    <w:jc w:val="center"/>
                    <w:rPr>
                      <w:color w:val="auto"/>
                      <w:sz w:val="21"/>
                      <w:szCs w:val="21"/>
                    </w:rPr>
                  </w:pPr>
                </w:p>
              </w:tc>
              <w:tc>
                <w:tcPr>
                  <w:tcW w:w="1500" w:type="dxa"/>
                  <w:gridSpan w:val="2"/>
                  <w:tcBorders>
                    <w:tl2br w:val="nil"/>
                    <w:tr2bl w:val="nil"/>
                  </w:tcBorders>
                  <w:vAlign w:val="center"/>
                </w:tcPr>
                <w:p w14:paraId="2A491E7C">
                  <w:pPr>
                    <w:widowControl/>
                    <w:jc w:val="center"/>
                    <w:rPr>
                      <w:color w:val="auto"/>
                      <w:sz w:val="21"/>
                      <w:szCs w:val="21"/>
                    </w:rPr>
                  </w:pPr>
                  <w:r>
                    <w:rPr>
                      <w:color w:val="auto"/>
                      <w:kern w:val="0"/>
                      <w:sz w:val="21"/>
                      <w:szCs w:val="21"/>
                    </w:rPr>
                    <w:t>供暖、制冷</w:t>
                  </w:r>
                </w:p>
              </w:tc>
              <w:tc>
                <w:tcPr>
                  <w:tcW w:w="5636" w:type="dxa"/>
                  <w:gridSpan w:val="2"/>
                  <w:tcBorders>
                    <w:tl2br w:val="nil"/>
                    <w:tr2bl w:val="nil"/>
                  </w:tcBorders>
                  <w:vAlign w:val="center"/>
                </w:tcPr>
                <w:p w14:paraId="52234F6A">
                  <w:pPr>
                    <w:tabs>
                      <w:tab w:val="left" w:pos="3255"/>
                    </w:tabs>
                    <w:adjustRightInd w:val="0"/>
                    <w:snapToGrid w:val="0"/>
                    <w:rPr>
                      <w:color w:val="auto"/>
                      <w:sz w:val="21"/>
                      <w:szCs w:val="21"/>
                    </w:rPr>
                  </w:pPr>
                  <w:r>
                    <w:rPr>
                      <w:rFonts w:hint="eastAsia"/>
                      <w:color w:val="auto"/>
                      <w:kern w:val="0"/>
                      <w:sz w:val="21"/>
                      <w:szCs w:val="21"/>
                    </w:rPr>
                    <w:t>依托西安生漆涂料研究所现有</w:t>
                  </w:r>
                  <w:r>
                    <w:rPr>
                      <w:rFonts w:hint="eastAsia"/>
                      <w:color w:val="auto"/>
                      <w:sz w:val="21"/>
                      <w:szCs w:val="21"/>
                    </w:rPr>
                    <w:t>中央空调采暖及制冷</w:t>
                  </w:r>
                </w:p>
              </w:tc>
              <w:tc>
                <w:tcPr>
                  <w:tcW w:w="621" w:type="dxa"/>
                  <w:tcBorders>
                    <w:tl2br w:val="nil"/>
                    <w:tr2bl w:val="nil"/>
                  </w:tcBorders>
                  <w:vAlign w:val="center"/>
                </w:tcPr>
                <w:p w14:paraId="2FAA8394">
                  <w:pPr>
                    <w:adjustRightInd w:val="0"/>
                    <w:snapToGrid w:val="0"/>
                    <w:jc w:val="center"/>
                    <w:rPr>
                      <w:color w:val="auto"/>
                      <w:sz w:val="21"/>
                      <w:szCs w:val="21"/>
                    </w:rPr>
                  </w:pPr>
                  <w:r>
                    <w:rPr>
                      <w:rFonts w:hint="eastAsia"/>
                      <w:color w:val="auto"/>
                      <w:sz w:val="21"/>
                      <w:szCs w:val="21"/>
                    </w:rPr>
                    <w:t>新建</w:t>
                  </w:r>
                </w:p>
              </w:tc>
            </w:tr>
            <w:tr w14:paraId="630F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7" w:hRule="atLeast"/>
                <w:jc w:val="center"/>
              </w:trPr>
              <w:tc>
                <w:tcPr>
                  <w:tcW w:w="581" w:type="dxa"/>
                  <w:vMerge w:val="restart"/>
                  <w:tcBorders>
                    <w:tl2br w:val="nil"/>
                    <w:tr2bl w:val="nil"/>
                  </w:tcBorders>
                  <w:vAlign w:val="center"/>
                </w:tcPr>
                <w:p w14:paraId="35855D3C">
                  <w:pPr>
                    <w:jc w:val="center"/>
                    <w:rPr>
                      <w:color w:val="auto"/>
                      <w:sz w:val="21"/>
                      <w:szCs w:val="21"/>
                    </w:rPr>
                  </w:pPr>
                  <w:r>
                    <w:rPr>
                      <w:color w:val="auto"/>
                      <w:sz w:val="21"/>
                      <w:szCs w:val="21"/>
                    </w:rPr>
                    <w:t>环保工程</w:t>
                  </w:r>
                </w:p>
              </w:tc>
              <w:tc>
                <w:tcPr>
                  <w:tcW w:w="1500" w:type="dxa"/>
                  <w:gridSpan w:val="2"/>
                  <w:tcBorders>
                    <w:tl2br w:val="nil"/>
                    <w:tr2bl w:val="nil"/>
                  </w:tcBorders>
                  <w:vAlign w:val="center"/>
                </w:tcPr>
                <w:p w14:paraId="58568716">
                  <w:pPr>
                    <w:adjustRightInd w:val="0"/>
                    <w:snapToGrid w:val="0"/>
                    <w:jc w:val="center"/>
                    <w:rPr>
                      <w:color w:val="auto"/>
                      <w:sz w:val="21"/>
                      <w:szCs w:val="21"/>
                    </w:rPr>
                  </w:pPr>
                  <w:r>
                    <w:rPr>
                      <w:rFonts w:hint="eastAsia"/>
                      <w:color w:val="auto"/>
                      <w:sz w:val="21"/>
                      <w:szCs w:val="21"/>
                    </w:rPr>
                    <w:t>废气</w:t>
                  </w:r>
                </w:p>
              </w:tc>
              <w:tc>
                <w:tcPr>
                  <w:tcW w:w="5636" w:type="dxa"/>
                  <w:gridSpan w:val="2"/>
                  <w:tcBorders>
                    <w:tl2br w:val="nil"/>
                    <w:tr2bl w:val="nil"/>
                  </w:tcBorders>
                  <w:vAlign w:val="center"/>
                </w:tcPr>
                <w:p w14:paraId="0A892AFE">
                  <w:pPr>
                    <w:adjustRightInd w:val="0"/>
                    <w:snapToGrid w:val="0"/>
                    <w:rPr>
                      <w:color w:val="auto"/>
                      <w:sz w:val="21"/>
                      <w:szCs w:val="21"/>
                    </w:rPr>
                  </w:pPr>
                  <w:r>
                    <w:rPr>
                      <w:rFonts w:hint="eastAsia"/>
                      <w:color w:val="auto"/>
                      <w:sz w:val="21"/>
                      <w:szCs w:val="21"/>
                    </w:rPr>
                    <w:t>研发废气非甲烷总烃经通风橱</w:t>
                  </w:r>
                  <w:r>
                    <w:rPr>
                      <w:color w:val="auto"/>
                      <w:sz w:val="21"/>
                      <w:szCs w:val="21"/>
                    </w:rPr>
                    <w:t>收集后经1套</w:t>
                  </w:r>
                  <w:r>
                    <w:rPr>
                      <w:rFonts w:hint="eastAsia"/>
                      <w:color w:val="auto"/>
                      <w:sz w:val="21"/>
                      <w:szCs w:val="21"/>
                    </w:rPr>
                    <w:t>“</w:t>
                  </w:r>
                  <w:r>
                    <w:rPr>
                      <w:color w:val="auto"/>
                      <w:sz w:val="21"/>
                      <w:szCs w:val="21"/>
                    </w:rPr>
                    <w:t>活性炭</w:t>
                  </w:r>
                  <w:r>
                    <w:rPr>
                      <w:rFonts w:hint="eastAsia"/>
                      <w:color w:val="auto"/>
                      <w:sz w:val="21"/>
                      <w:szCs w:val="21"/>
                    </w:rPr>
                    <w:t>吸附</w:t>
                  </w:r>
                  <w:r>
                    <w:rPr>
                      <w:color w:val="auto"/>
                      <w:sz w:val="21"/>
                      <w:szCs w:val="21"/>
                    </w:rPr>
                    <w:t>装置</w:t>
                  </w:r>
                  <w:r>
                    <w:rPr>
                      <w:rFonts w:hint="eastAsia"/>
                      <w:color w:val="auto"/>
                      <w:sz w:val="21"/>
                      <w:szCs w:val="21"/>
                    </w:rPr>
                    <w:t>”</w:t>
                  </w:r>
                  <w:r>
                    <w:rPr>
                      <w:color w:val="auto"/>
                      <w:sz w:val="21"/>
                      <w:szCs w:val="21"/>
                    </w:rPr>
                    <w:t>处理</w:t>
                  </w:r>
                  <w:r>
                    <w:rPr>
                      <w:rFonts w:hint="eastAsia"/>
                      <w:color w:val="auto"/>
                      <w:sz w:val="21"/>
                      <w:szCs w:val="21"/>
                    </w:rPr>
                    <w:t>后经23m高DA001排气筒排放</w:t>
                  </w:r>
                </w:p>
              </w:tc>
              <w:tc>
                <w:tcPr>
                  <w:tcW w:w="621" w:type="dxa"/>
                  <w:tcBorders>
                    <w:tl2br w:val="nil"/>
                    <w:tr2bl w:val="nil"/>
                  </w:tcBorders>
                  <w:vAlign w:val="center"/>
                </w:tcPr>
                <w:p w14:paraId="4B42F723">
                  <w:pPr>
                    <w:adjustRightInd w:val="0"/>
                    <w:snapToGrid w:val="0"/>
                    <w:jc w:val="center"/>
                    <w:rPr>
                      <w:color w:val="auto"/>
                      <w:sz w:val="21"/>
                      <w:szCs w:val="21"/>
                    </w:rPr>
                  </w:pPr>
                  <w:r>
                    <w:rPr>
                      <w:rFonts w:hint="eastAsia"/>
                      <w:color w:val="auto"/>
                      <w:sz w:val="21"/>
                      <w:szCs w:val="21"/>
                    </w:rPr>
                    <w:t>新建</w:t>
                  </w:r>
                </w:p>
              </w:tc>
            </w:tr>
            <w:tr w14:paraId="2442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3" w:hRule="atLeast"/>
                <w:jc w:val="center"/>
              </w:trPr>
              <w:tc>
                <w:tcPr>
                  <w:tcW w:w="581" w:type="dxa"/>
                  <w:vMerge w:val="continue"/>
                  <w:tcBorders>
                    <w:tl2br w:val="nil"/>
                    <w:tr2bl w:val="nil"/>
                  </w:tcBorders>
                  <w:vAlign w:val="center"/>
                </w:tcPr>
                <w:p w14:paraId="735027F1">
                  <w:pPr>
                    <w:jc w:val="center"/>
                    <w:rPr>
                      <w:color w:val="auto"/>
                      <w:sz w:val="21"/>
                      <w:szCs w:val="21"/>
                    </w:rPr>
                  </w:pPr>
                </w:p>
              </w:tc>
              <w:tc>
                <w:tcPr>
                  <w:tcW w:w="1500" w:type="dxa"/>
                  <w:gridSpan w:val="2"/>
                  <w:tcBorders>
                    <w:tl2br w:val="nil"/>
                    <w:tr2bl w:val="nil"/>
                  </w:tcBorders>
                  <w:vAlign w:val="center"/>
                </w:tcPr>
                <w:p w14:paraId="651940CF">
                  <w:pPr>
                    <w:adjustRightInd w:val="0"/>
                    <w:snapToGrid w:val="0"/>
                    <w:jc w:val="center"/>
                    <w:rPr>
                      <w:color w:val="auto"/>
                      <w:sz w:val="21"/>
                      <w:szCs w:val="21"/>
                    </w:rPr>
                  </w:pPr>
                  <w:r>
                    <w:rPr>
                      <w:color w:val="auto"/>
                      <w:sz w:val="21"/>
                      <w:szCs w:val="21"/>
                    </w:rPr>
                    <w:t>废水</w:t>
                  </w:r>
                </w:p>
              </w:tc>
              <w:tc>
                <w:tcPr>
                  <w:tcW w:w="5636" w:type="dxa"/>
                  <w:gridSpan w:val="2"/>
                  <w:tcBorders>
                    <w:tl2br w:val="nil"/>
                    <w:tr2bl w:val="nil"/>
                  </w:tcBorders>
                  <w:vAlign w:val="center"/>
                </w:tcPr>
                <w:p w14:paraId="14D83392">
                  <w:pPr>
                    <w:adjustRightInd w:val="0"/>
                    <w:snapToGrid w:val="0"/>
                    <w:rPr>
                      <w:color w:val="auto"/>
                      <w:sz w:val="21"/>
                      <w:szCs w:val="21"/>
                    </w:rPr>
                  </w:pPr>
                  <w:r>
                    <w:rPr>
                      <w:rFonts w:hint="eastAsia"/>
                      <w:bCs/>
                      <w:color w:val="auto"/>
                      <w:sz w:val="21"/>
                      <w:szCs w:val="21"/>
                    </w:rPr>
                    <w:t>生活污水、设备及仪器清洗废水、实验平台及车间清洗废水依托</w:t>
                  </w:r>
                  <w:r>
                    <w:rPr>
                      <w:rFonts w:hint="eastAsia"/>
                      <w:color w:val="auto"/>
                      <w:kern w:val="0"/>
                      <w:sz w:val="21"/>
                      <w:szCs w:val="21"/>
                    </w:rPr>
                    <w:t>西安生漆涂料研究所</w:t>
                  </w:r>
                  <w:r>
                    <w:rPr>
                      <w:rFonts w:hint="eastAsia"/>
                      <w:bCs/>
                      <w:color w:val="auto"/>
                      <w:sz w:val="21"/>
                      <w:szCs w:val="21"/>
                    </w:rPr>
                    <w:t>化粪池（50m</w:t>
                  </w:r>
                  <w:r>
                    <w:rPr>
                      <w:rFonts w:hint="eastAsia"/>
                      <w:bCs/>
                      <w:color w:val="auto"/>
                      <w:sz w:val="21"/>
                      <w:szCs w:val="21"/>
                      <w:vertAlign w:val="superscript"/>
                    </w:rPr>
                    <w:t>3</w:t>
                  </w:r>
                  <w:r>
                    <w:rPr>
                      <w:rFonts w:hint="eastAsia"/>
                      <w:bCs/>
                      <w:color w:val="auto"/>
                      <w:sz w:val="21"/>
                      <w:szCs w:val="21"/>
                    </w:rPr>
                    <w:t>）及地埋式一体化污水处理设施（10m</w:t>
                  </w:r>
                  <w:r>
                    <w:rPr>
                      <w:rFonts w:hint="eastAsia"/>
                      <w:bCs/>
                      <w:color w:val="auto"/>
                      <w:sz w:val="21"/>
                      <w:szCs w:val="21"/>
                      <w:vertAlign w:val="superscript"/>
                    </w:rPr>
                    <w:t>3</w:t>
                  </w:r>
                  <w:r>
                    <w:rPr>
                      <w:rFonts w:hint="eastAsia"/>
                      <w:bCs/>
                      <w:color w:val="auto"/>
                      <w:sz w:val="21"/>
                      <w:szCs w:val="21"/>
                    </w:rPr>
                    <w:t>/d）处理后经市政管网排入沣西新城渭河污水处理厂处理</w:t>
                  </w:r>
                </w:p>
              </w:tc>
              <w:tc>
                <w:tcPr>
                  <w:tcW w:w="621" w:type="dxa"/>
                  <w:tcBorders>
                    <w:tl2br w:val="nil"/>
                    <w:tr2bl w:val="nil"/>
                  </w:tcBorders>
                  <w:vAlign w:val="center"/>
                </w:tcPr>
                <w:p w14:paraId="453F30DF">
                  <w:pPr>
                    <w:adjustRightInd w:val="0"/>
                    <w:snapToGrid w:val="0"/>
                    <w:jc w:val="center"/>
                    <w:rPr>
                      <w:color w:val="auto"/>
                      <w:sz w:val="21"/>
                      <w:szCs w:val="21"/>
                    </w:rPr>
                  </w:pPr>
                  <w:r>
                    <w:rPr>
                      <w:rFonts w:hint="eastAsia"/>
                      <w:color w:val="auto"/>
                      <w:sz w:val="21"/>
                      <w:szCs w:val="21"/>
                    </w:rPr>
                    <w:t>依托</w:t>
                  </w:r>
                </w:p>
              </w:tc>
            </w:tr>
            <w:tr w14:paraId="3705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1" w:type="dxa"/>
                  <w:vMerge w:val="continue"/>
                  <w:tcBorders>
                    <w:tl2br w:val="nil"/>
                    <w:tr2bl w:val="nil"/>
                  </w:tcBorders>
                  <w:vAlign w:val="center"/>
                </w:tcPr>
                <w:p w14:paraId="2B917E5B">
                  <w:pPr>
                    <w:jc w:val="center"/>
                    <w:rPr>
                      <w:color w:val="auto"/>
                      <w:sz w:val="21"/>
                      <w:szCs w:val="21"/>
                    </w:rPr>
                  </w:pPr>
                </w:p>
              </w:tc>
              <w:tc>
                <w:tcPr>
                  <w:tcW w:w="1500" w:type="dxa"/>
                  <w:gridSpan w:val="2"/>
                  <w:tcBorders>
                    <w:top w:val="single" w:color="auto" w:sz="4" w:space="0"/>
                    <w:tl2br w:val="nil"/>
                    <w:tr2bl w:val="nil"/>
                  </w:tcBorders>
                  <w:vAlign w:val="center"/>
                </w:tcPr>
                <w:p w14:paraId="07A92EF8">
                  <w:pPr>
                    <w:adjustRightInd w:val="0"/>
                    <w:snapToGrid w:val="0"/>
                    <w:jc w:val="center"/>
                    <w:rPr>
                      <w:color w:val="auto"/>
                      <w:sz w:val="21"/>
                      <w:szCs w:val="21"/>
                    </w:rPr>
                  </w:pPr>
                  <w:r>
                    <w:rPr>
                      <w:color w:val="auto"/>
                      <w:sz w:val="21"/>
                      <w:szCs w:val="21"/>
                    </w:rPr>
                    <w:t>噪声</w:t>
                  </w:r>
                </w:p>
              </w:tc>
              <w:tc>
                <w:tcPr>
                  <w:tcW w:w="5636" w:type="dxa"/>
                  <w:gridSpan w:val="2"/>
                  <w:tcBorders>
                    <w:tl2br w:val="nil"/>
                    <w:tr2bl w:val="nil"/>
                  </w:tcBorders>
                  <w:vAlign w:val="center"/>
                </w:tcPr>
                <w:p w14:paraId="007BA5A2">
                  <w:pPr>
                    <w:adjustRightInd w:val="0"/>
                    <w:snapToGrid w:val="0"/>
                    <w:rPr>
                      <w:color w:val="auto"/>
                      <w:sz w:val="21"/>
                      <w:szCs w:val="21"/>
                    </w:rPr>
                  </w:pPr>
                  <w:r>
                    <w:rPr>
                      <w:color w:val="auto"/>
                      <w:sz w:val="21"/>
                      <w:szCs w:val="21"/>
                    </w:rPr>
                    <w:t>选择低噪设备</w:t>
                  </w:r>
                  <w:r>
                    <w:rPr>
                      <w:rFonts w:hint="eastAsia"/>
                      <w:color w:val="auto"/>
                      <w:sz w:val="21"/>
                      <w:szCs w:val="21"/>
                    </w:rPr>
                    <w:t>、</w:t>
                  </w:r>
                  <w:r>
                    <w:rPr>
                      <w:color w:val="auto"/>
                      <w:sz w:val="21"/>
                      <w:szCs w:val="21"/>
                    </w:rPr>
                    <w:t>基础减振</w:t>
                  </w:r>
                  <w:r>
                    <w:rPr>
                      <w:rFonts w:hint="eastAsia"/>
                      <w:color w:val="auto"/>
                      <w:sz w:val="21"/>
                      <w:szCs w:val="21"/>
                    </w:rPr>
                    <w:t>、</w:t>
                  </w:r>
                  <w:r>
                    <w:rPr>
                      <w:color w:val="auto"/>
                      <w:sz w:val="21"/>
                      <w:szCs w:val="21"/>
                    </w:rPr>
                    <w:t>厂房隔声等，</w:t>
                  </w:r>
                  <w:r>
                    <w:rPr>
                      <w:rFonts w:hint="eastAsia"/>
                      <w:color w:val="auto"/>
                      <w:sz w:val="21"/>
                      <w:szCs w:val="21"/>
                    </w:rPr>
                    <w:t>风机采用减振垫、软连接等，</w:t>
                  </w:r>
                  <w:r>
                    <w:rPr>
                      <w:color w:val="auto"/>
                      <w:sz w:val="21"/>
                      <w:szCs w:val="21"/>
                    </w:rPr>
                    <w:t>距离衰减</w:t>
                  </w:r>
                </w:p>
              </w:tc>
              <w:tc>
                <w:tcPr>
                  <w:tcW w:w="621" w:type="dxa"/>
                  <w:tcBorders>
                    <w:tl2br w:val="nil"/>
                    <w:tr2bl w:val="nil"/>
                  </w:tcBorders>
                  <w:vAlign w:val="center"/>
                </w:tcPr>
                <w:p w14:paraId="228DDA8C">
                  <w:pPr>
                    <w:tabs>
                      <w:tab w:val="left" w:pos="571"/>
                    </w:tabs>
                    <w:adjustRightInd w:val="0"/>
                    <w:snapToGrid w:val="0"/>
                    <w:jc w:val="center"/>
                    <w:rPr>
                      <w:color w:val="auto"/>
                      <w:sz w:val="21"/>
                      <w:szCs w:val="21"/>
                    </w:rPr>
                  </w:pPr>
                  <w:r>
                    <w:rPr>
                      <w:rFonts w:hint="eastAsia"/>
                      <w:color w:val="auto"/>
                      <w:sz w:val="21"/>
                      <w:szCs w:val="21"/>
                    </w:rPr>
                    <w:t>新建</w:t>
                  </w:r>
                </w:p>
              </w:tc>
            </w:tr>
            <w:tr w14:paraId="581D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81" w:type="dxa"/>
                  <w:vMerge w:val="continue"/>
                  <w:tcBorders>
                    <w:tl2br w:val="nil"/>
                    <w:tr2bl w:val="nil"/>
                  </w:tcBorders>
                  <w:vAlign w:val="center"/>
                </w:tcPr>
                <w:p w14:paraId="780EB9D1">
                  <w:pPr>
                    <w:jc w:val="center"/>
                    <w:rPr>
                      <w:color w:val="auto"/>
                      <w:sz w:val="21"/>
                      <w:szCs w:val="21"/>
                    </w:rPr>
                  </w:pPr>
                </w:p>
              </w:tc>
              <w:tc>
                <w:tcPr>
                  <w:tcW w:w="521" w:type="dxa"/>
                  <w:vMerge w:val="restart"/>
                  <w:tcBorders>
                    <w:tl2br w:val="nil"/>
                    <w:tr2bl w:val="nil"/>
                  </w:tcBorders>
                  <w:vAlign w:val="center"/>
                </w:tcPr>
                <w:p w14:paraId="67FB8301">
                  <w:pPr>
                    <w:jc w:val="center"/>
                    <w:rPr>
                      <w:color w:val="auto"/>
                      <w:sz w:val="21"/>
                      <w:szCs w:val="21"/>
                    </w:rPr>
                  </w:pPr>
                  <w:r>
                    <w:rPr>
                      <w:color w:val="auto"/>
                      <w:sz w:val="21"/>
                      <w:szCs w:val="21"/>
                    </w:rPr>
                    <w:t>固体废物</w:t>
                  </w:r>
                </w:p>
              </w:tc>
              <w:tc>
                <w:tcPr>
                  <w:tcW w:w="979" w:type="dxa"/>
                  <w:tcBorders>
                    <w:tl2br w:val="nil"/>
                    <w:tr2bl w:val="nil"/>
                  </w:tcBorders>
                  <w:vAlign w:val="center"/>
                </w:tcPr>
                <w:p w14:paraId="36DDB5C6">
                  <w:pPr>
                    <w:jc w:val="center"/>
                    <w:rPr>
                      <w:color w:val="auto"/>
                      <w:sz w:val="21"/>
                      <w:szCs w:val="21"/>
                    </w:rPr>
                  </w:pPr>
                  <w:r>
                    <w:rPr>
                      <w:color w:val="auto"/>
                      <w:sz w:val="21"/>
                      <w:szCs w:val="21"/>
                    </w:rPr>
                    <w:t>生活垃圾</w:t>
                  </w:r>
                </w:p>
              </w:tc>
              <w:tc>
                <w:tcPr>
                  <w:tcW w:w="5636" w:type="dxa"/>
                  <w:gridSpan w:val="2"/>
                  <w:tcBorders>
                    <w:tl2br w:val="nil"/>
                    <w:tr2bl w:val="nil"/>
                  </w:tcBorders>
                  <w:vAlign w:val="center"/>
                </w:tcPr>
                <w:p w14:paraId="729342CB">
                  <w:pPr>
                    <w:rPr>
                      <w:color w:val="auto"/>
                      <w:sz w:val="21"/>
                      <w:szCs w:val="21"/>
                    </w:rPr>
                  </w:pPr>
                  <w:r>
                    <w:rPr>
                      <w:color w:val="auto"/>
                      <w:sz w:val="21"/>
                      <w:szCs w:val="21"/>
                    </w:rPr>
                    <w:t>厂区内设垃圾桶</w:t>
                  </w:r>
                  <w:r>
                    <w:rPr>
                      <w:rFonts w:hint="eastAsia"/>
                      <w:color w:val="auto"/>
                      <w:sz w:val="21"/>
                      <w:szCs w:val="21"/>
                    </w:rPr>
                    <w:t>分类</w:t>
                  </w:r>
                  <w:r>
                    <w:rPr>
                      <w:color w:val="auto"/>
                      <w:sz w:val="21"/>
                      <w:szCs w:val="21"/>
                    </w:rPr>
                    <w:t>收集，定期交由环卫部门外运处置</w:t>
                  </w:r>
                </w:p>
              </w:tc>
              <w:tc>
                <w:tcPr>
                  <w:tcW w:w="621" w:type="dxa"/>
                  <w:tcBorders>
                    <w:tl2br w:val="nil"/>
                    <w:tr2bl w:val="nil"/>
                  </w:tcBorders>
                  <w:vAlign w:val="center"/>
                </w:tcPr>
                <w:p w14:paraId="16766C18">
                  <w:pPr>
                    <w:adjustRightInd w:val="0"/>
                    <w:snapToGrid w:val="0"/>
                    <w:jc w:val="center"/>
                    <w:rPr>
                      <w:color w:val="auto"/>
                      <w:sz w:val="21"/>
                      <w:szCs w:val="21"/>
                    </w:rPr>
                  </w:pPr>
                  <w:r>
                    <w:rPr>
                      <w:rFonts w:hint="eastAsia"/>
                      <w:color w:val="auto"/>
                      <w:sz w:val="21"/>
                      <w:szCs w:val="21"/>
                    </w:rPr>
                    <w:t>新建</w:t>
                  </w:r>
                </w:p>
              </w:tc>
            </w:tr>
            <w:tr w14:paraId="6BD2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8" w:hRule="atLeast"/>
                <w:jc w:val="center"/>
              </w:trPr>
              <w:tc>
                <w:tcPr>
                  <w:tcW w:w="581" w:type="dxa"/>
                  <w:vMerge w:val="continue"/>
                  <w:tcBorders>
                    <w:tl2br w:val="nil"/>
                    <w:tr2bl w:val="nil"/>
                  </w:tcBorders>
                  <w:vAlign w:val="center"/>
                </w:tcPr>
                <w:p w14:paraId="03ECCA93">
                  <w:pPr>
                    <w:jc w:val="center"/>
                    <w:rPr>
                      <w:color w:val="auto"/>
                      <w:sz w:val="21"/>
                      <w:szCs w:val="21"/>
                    </w:rPr>
                  </w:pPr>
                </w:p>
              </w:tc>
              <w:tc>
                <w:tcPr>
                  <w:tcW w:w="521" w:type="dxa"/>
                  <w:vMerge w:val="continue"/>
                  <w:tcBorders>
                    <w:tl2br w:val="nil"/>
                    <w:tr2bl w:val="nil"/>
                  </w:tcBorders>
                  <w:vAlign w:val="center"/>
                </w:tcPr>
                <w:p w14:paraId="2E242BDD">
                  <w:pPr>
                    <w:jc w:val="center"/>
                    <w:rPr>
                      <w:color w:val="auto"/>
                      <w:sz w:val="21"/>
                      <w:szCs w:val="21"/>
                    </w:rPr>
                  </w:pPr>
                </w:p>
              </w:tc>
              <w:tc>
                <w:tcPr>
                  <w:tcW w:w="979" w:type="dxa"/>
                  <w:tcBorders>
                    <w:tl2br w:val="nil"/>
                    <w:tr2bl w:val="nil"/>
                  </w:tcBorders>
                  <w:vAlign w:val="center"/>
                </w:tcPr>
                <w:p w14:paraId="3CB39B8C">
                  <w:pPr>
                    <w:jc w:val="center"/>
                    <w:rPr>
                      <w:color w:val="auto"/>
                      <w:sz w:val="21"/>
                      <w:szCs w:val="21"/>
                    </w:rPr>
                  </w:pPr>
                  <w:r>
                    <w:rPr>
                      <w:color w:val="auto"/>
                      <w:sz w:val="21"/>
                      <w:szCs w:val="21"/>
                    </w:rPr>
                    <w:t>一般工业</w:t>
                  </w:r>
                </w:p>
                <w:p w14:paraId="516310AA">
                  <w:pPr>
                    <w:jc w:val="center"/>
                    <w:rPr>
                      <w:color w:val="auto"/>
                      <w:sz w:val="21"/>
                      <w:szCs w:val="21"/>
                    </w:rPr>
                  </w:pPr>
                  <w:r>
                    <w:rPr>
                      <w:color w:val="auto"/>
                      <w:sz w:val="21"/>
                      <w:szCs w:val="21"/>
                    </w:rPr>
                    <w:t>固体废物</w:t>
                  </w:r>
                </w:p>
              </w:tc>
              <w:tc>
                <w:tcPr>
                  <w:tcW w:w="5636" w:type="dxa"/>
                  <w:gridSpan w:val="2"/>
                  <w:tcBorders>
                    <w:tl2br w:val="nil"/>
                    <w:tr2bl w:val="nil"/>
                  </w:tcBorders>
                  <w:vAlign w:val="center"/>
                </w:tcPr>
                <w:p w14:paraId="60833C8C">
                  <w:pPr>
                    <w:rPr>
                      <w:color w:val="auto"/>
                      <w:sz w:val="21"/>
                      <w:szCs w:val="21"/>
                    </w:rPr>
                  </w:pPr>
                  <w:r>
                    <w:rPr>
                      <w:rFonts w:hint="eastAsia"/>
                      <w:color w:val="auto"/>
                      <w:sz w:val="21"/>
                      <w:szCs w:val="21"/>
                    </w:rPr>
                    <w:t>废包装材料拆包后直接外售处理，不在研发室内暂存</w:t>
                  </w:r>
                </w:p>
              </w:tc>
              <w:tc>
                <w:tcPr>
                  <w:tcW w:w="621" w:type="dxa"/>
                  <w:tcBorders>
                    <w:tl2br w:val="nil"/>
                    <w:tr2bl w:val="nil"/>
                  </w:tcBorders>
                  <w:vAlign w:val="center"/>
                </w:tcPr>
                <w:p w14:paraId="25B6AB31">
                  <w:pPr>
                    <w:adjustRightInd w:val="0"/>
                    <w:snapToGrid w:val="0"/>
                    <w:jc w:val="center"/>
                    <w:rPr>
                      <w:color w:val="auto"/>
                      <w:sz w:val="21"/>
                      <w:szCs w:val="21"/>
                    </w:rPr>
                  </w:pPr>
                  <w:r>
                    <w:rPr>
                      <w:rFonts w:hint="eastAsia"/>
                      <w:color w:val="auto"/>
                      <w:sz w:val="21"/>
                      <w:szCs w:val="21"/>
                    </w:rPr>
                    <w:t>新建</w:t>
                  </w:r>
                </w:p>
              </w:tc>
            </w:tr>
            <w:tr w14:paraId="6A8C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1" w:type="dxa"/>
                  <w:vMerge w:val="continue"/>
                  <w:tcBorders>
                    <w:tl2br w:val="nil"/>
                    <w:tr2bl w:val="nil"/>
                  </w:tcBorders>
                  <w:vAlign w:val="center"/>
                </w:tcPr>
                <w:p w14:paraId="79EBC91B">
                  <w:pPr>
                    <w:adjustRightInd w:val="0"/>
                    <w:snapToGrid w:val="0"/>
                    <w:jc w:val="center"/>
                    <w:rPr>
                      <w:color w:val="auto"/>
                      <w:sz w:val="21"/>
                      <w:szCs w:val="21"/>
                    </w:rPr>
                  </w:pPr>
                </w:p>
              </w:tc>
              <w:tc>
                <w:tcPr>
                  <w:tcW w:w="521" w:type="dxa"/>
                  <w:vMerge w:val="continue"/>
                  <w:tcBorders>
                    <w:tl2br w:val="nil"/>
                    <w:tr2bl w:val="nil"/>
                  </w:tcBorders>
                  <w:vAlign w:val="center"/>
                </w:tcPr>
                <w:p w14:paraId="658F138E">
                  <w:pPr>
                    <w:adjustRightInd w:val="0"/>
                    <w:snapToGrid w:val="0"/>
                    <w:jc w:val="center"/>
                    <w:rPr>
                      <w:color w:val="auto"/>
                      <w:sz w:val="21"/>
                      <w:szCs w:val="21"/>
                    </w:rPr>
                  </w:pPr>
                </w:p>
              </w:tc>
              <w:tc>
                <w:tcPr>
                  <w:tcW w:w="979" w:type="dxa"/>
                  <w:tcBorders>
                    <w:tl2br w:val="nil"/>
                    <w:tr2bl w:val="nil"/>
                  </w:tcBorders>
                  <w:vAlign w:val="center"/>
                </w:tcPr>
                <w:p w14:paraId="3CEE2D71">
                  <w:pPr>
                    <w:adjustRightInd w:val="0"/>
                    <w:snapToGrid w:val="0"/>
                    <w:jc w:val="center"/>
                    <w:rPr>
                      <w:color w:val="auto"/>
                      <w:sz w:val="21"/>
                      <w:szCs w:val="21"/>
                    </w:rPr>
                  </w:pPr>
                  <w:r>
                    <w:rPr>
                      <w:rFonts w:hint="eastAsia"/>
                      <w:color w:val="auto"/>
                      <w:sz w:val="21"/>
                      <w:szCs w:val="21"/>
                    </w:rPr>
                    <w:t>危险废物</w:t>
                  </w:r>
                </w:p>
              </w:tc>
              <w:tc>
                <w:tcPr>
                  <w:tcW w:w="4356" w:type="dxa"/>
                  <w:tcBorders>
                    <w:tl2br w:val="nil"/>
                    <w:tr2bl w:val="nil"/>
                  </w:tcBorders>
                  <w:vAlign w:val="center"/>
                </w:tcPr>
                <w:p w14:paraId="18520F63">
                  <w:pPr>
                    <w:adjustRightInd w:val="0"/>
                    <w:snapToGrid w:val="0"/>
                    <w:rPr>
                      <w:color w:val="auto"/>
                      <w:sz w:val="21"/>
                      <w:szCs w:val="21"/>
                    </w:rPr>
                  </w:pPr>
                  <w:r>
                    <w:rPr>
                      <w:rFonts w:hint="eastAsia"/>
                      <w:color w:val="auto"/>
                      <w:sz w:val="21"/>
                      <w:szCs w:val="21"/>
                    </w:rPr>
                    <w:t>废试剂瓶及玻璃器皿、实验室废液、初洗废水、固态实验废物、废活性炭、废手套及抹布分类收集后暂存于</w:t>
                  </w:r>
                  <w:r>
                    <w:rPr>
                      <w:rFonts w:hint="eastAsia"/>
                      <w:color w:val="auto"/>
                      <w:sz w:val="21"/>
                      <w:szCs w:val="21"/>
                      <w:lang w:eastAsia="zh-CN"/>
                    </w:rPr>
                    <w:t>危废贮存库</w:t>
                  </w:r>
                  <w:r>
                    <w:rPr>
                      <w:rFonts w:hint="eastAsia"/>
                      <w:color w:val="auto"/>
                      <w:sz w:val="21"/>
                      <w:szCs w:val="21"/>
                    </w:rPr>
                    <w:t>交由有资质单位处置</w:t>
                  </w:r>
                </w:p>
              </w:tc>
              <w:tc>
                <w:tcPr>
                  <w:tcW w:w="1280" w:type="dxa"/>
                  <w:tcBorders>
                    <w:tl2br w:val="nil"/>
                    <w:tr2bl w:val="nil"/>
                  </w:tcBorders>
                  <w:vAlign w:val="center"/>
                </w:tcPr>
                <w:p w14:paraId="1F24F972">
                  <w:pPr>
                    <w:adjustRightInd w:val="0"/>
                    <w:snapToGrid w:val="0"/>
                    <w:rPr>
                      <w:color w:val="auto"/>
                      <w:sz w:val="21"/>
                      <w:szCs w:val="21"/>
                    </w:rPr>
                  </w:pPr>
                  <w:r>
                    <w:rPr>
                      <w:rFonts w:hint="eastAsia"/>
                      <w:color w:val="auto"/>
                      <w:sz w:val="21"/>
                      <w:szCs w:val="21"/>
                      <w:lang w:eastAsia="zh-CN"/>
                    </w:rPr>
                    <w:t>危废贮存库</w:t>
                  </w:r>
                  <w:r>
                    <w:rPr>
                      <w:rFonts w:hint="eastAsia"/>
                      <w:color w:val="auto"/>
                      <w:sz w:val="21"/>
                      <w:szCs w:val="21"/>
                    </w:rPr>
                    <w:t>，位于库房</w:t>
                  </w:r>
                  <w:r>
                    <w:rPr>
                      <w:rFonts w:hint="eastAsia"/>
                      <w:color w:val="auto"/>
                      <w:sz w:val="21"/>
                      <w:szCs w:val="21"/>
                      <w:lang w:val="en-US" w:eastAsia="zh-CN"/>
                    </w:rPr>
                    <w:t>东北</w:t>
                  </w:r>
                  <w:r>
                    <w:rPr>
                      <w:rFonts w:hint="eastAsia"/>
                      <w:color w:val="auto"/>
                      <w:sz w:val="21"/>
                      <w:szCs w:val="21"/>
                    </w:rPr>
                    <w:t>角，5m</w:t>
                  </w:r>
                  <w:r>
                    <w:rPr>
                      <w:rFonts w:hint="eastAsia"/>
                      <w:color w:val="auto"/>
                      <w:sz w:val="21"/>
                      <w:szCs w:val="21"/>
                      <w:vertAlign w:val="superscript"/>
                    </w:rPr>
                    <w:t>2</w:t>
                  </w:r>
                </w:p>
              </w:tc>
              <w:tc>
                <w:tcPr>
                  <w:tcW w:w="621" w:type="dxa"/>
                  <w:tcBorders>
                    <w:tl2br w:val="nil"/>
                    <w:tr2bl w:val="nil"/>
                  </w:tcBorders>
                  <w:vAlign w:val="center"/>
                </w:tcPr>
                <w:p w14:paraId="688251E5">
                  <w:pPr>
                    <w:adjustRightInd w:val="0"/>
                    <w:snapToGrid w:val="0"/>
                    <w:jc w:val="center"/>
                    <w:rPr>
                      <w:color w:val="auto"/>
                      <w:sz w:val="21"/>
                      <w:szCs w:val="21"/>
                    </w:rPr>
                  </w:pPr>
                  <w:r>
                    <w:rPr>
                      <w:rFonts w:hint="eastAsia"/>
                      <w:color w:val="auto"/>
                      <w:sz w:val="21"/>
                      <w:szCs w:val="21"/>
                    </w:rPr>
                    <w:t>新建</w:t>
                  </w:r>
                </w:p>
              </w:tc>
            </w:tr>
            <w:tr w14:paraId="51D0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81" w:type="dxa"/>
                  <w:tcBorders>
                    <w:tl2br w:val="nil"/>
                    <w:tr2bl w:val="nil"/>
                  </w:tcBorders>
                  <w:vAlign w:val="center"/>
                </w:tcPr>
                <w:p w14:paraId="3054E9B3">
                  <w:pPr>
                    <w:widowControl/>
                    <w:wordWrap w:val="0"/>
                    <w:adjustRightInd w:val="0"/>
                    <w:snapToGrid w:val="0"/>
                    <w:jc w:val="center"/>
                    <w:rPr>
                      <w:color w:val="auto"/>
                      <w:sz w:val="21"/>
                      <w:szCs w:val="21"/>
                    </w:rPr>
                  </w:pPr>
                  <w:r>
                    <w:rPr>
                      <w:color w:val="auto"/>
                      <w:sz w:val="21"/>
                      <w:szCs w:val="21"/>
                    </w:rPr>
                    <w:t>依托工程</w:t>
                  </w:r>
                </w:p>
              </w:tc>
              <w:tc>
                <w:tcPr>
                  <w:tcW w:w="7757" w:type="dxa"/>
                  <w:gridSpan w:val="5"/>
                  <w:tcBorders>
                    <w:tl2br w:val="nil"/>
                    <w:tr2bl w:val="nil"/>
                  </w:tcBorders>
                  <w:vAlign w:val="center"/>
                </w:tcPr>
                <w:p w14:paraId="44963731">
                  <w:pPr>
                    <w:widowControl/>
                    <w:wordWrap w:val="0"/>
                    <w:adjustRightInd w:val="0"/>
                    <w:snapToGrid w:val="0"/>
                    <w:rPr>
                      <w:color w:val="auto"/>
                      <w:sz w:val="21"/>
                      <w:szCs w:val="21"/>
                    </w:rPr>
                  </w:pPr>
                  <w:r>
                    <w:rPr>
                      <w:rFonts w:hint="eastAsia"/>
                      <w:bCs/>
                      <w:color w:val="auto"/>
                      <w:sz w:val="21"/>
                      <w:szCs w:val="21"/>
                    </w:rPr>
                    <w:t>废水依托</w:t>
                  </w:r>
                  <w:r>
                    <w:rPr>
                      <w:rFonts w:hint="eastAsia"/>
                      <w:color w:val="auto"/>
                      <w:kern w:val="0"/>
                      <w:sz w:val="21"/>
                      <w:szCs w:val="21"/>
                    </w:rPr>
                    <w:t>西安生漆涂料研究所</w:t>
                  </w:r>
                  <w:r>
                    <w:rPr>
                      <w:rFonts w:hint="eastAsia"/>
                      <w:bCs/>
                      <w:color w:val="auto"/>
                      <w:sz w:val="21"/>
                      <w:szCs w:val="21"/>
                    </w:rPr>
                    <w:t>化粪池及地埋式一体化污水处理设施处理</w:t>
                  </w:r>
                </w:p>
              </w:tc>
            </w:tr>
          </w:tbl>
          <w:p w14:paraId="3B02791A">
            <w:pPr>
              <w:spacing w:line="360" w:lineRule="auto"/>
              <w:ind w:firstLine="480" w:firstLineChars="200"/>
              <w:rPr>
                <w:color w:val="auto"/>
                <w:kern w:val="0"/>
                <w:sz w:val="24"/>
                <w:szCs w:val="20"/>
              </w:rPr>
            </w:pPr>
            <w:r>
              <w:rPr>
                <w:color w:val="auto"/>
                <w:kern w:val="0"/>
                <w:sz w:val="24"/>
                <w:szCs w:val="20"/>
              </w:rPr>
              <w:t>（3）</w:t>
            </w:r>
            <w:r>
              <w:rPr>
                <w:rFonts w:hint="eastAsia"/>
                <w:color w:val="auto"/>
                <w:kern w:val="0"/>
                <w:sz w:val="24"/>
                <w:szCs w:val="20"/>
              </w:rPr>
              <w:t>研发内容</w:t>
            </w:r>
          </w:p>
          <w:p w14:paraId="68ECBCC0">
            <w:pPr>
              <w:spacing w:line="360" w:lineRule="auto"/>
              <w:ind w:firstLine="480" w:firstLineChars="200"/>
              <w:rPr>
                <w:color w:val="auto"/>
                <w:kern w:val="0"/>
                <w:sz w:val="24"/>
                <w:szCs w:val="20"/>
                <w:highlight w:val="yellow"/>
              </w:rPr>
            </w:pPr>
            <w:r>
              <w:rPr>
                <w:rFonts w:hint="eastAsia"/>
                <w:color w:val="auto"/>
                <w:kern w:val="0"/>
                <w:sz w:val="24"/>
                <w:szCs w:val="20"/>
              </w:rPr>
              <w:t>本项目不涉及产品大量生产，仅进行工艺研发及工艺研究。主要内容包括医药中间体合成、光刻胶中间体合成、有机小分子合成的研发。年实验批次共计90次，最终将制备及应用工艺路线整理成技术报告，进行技术转让。研发内容及实验批次见表2-2。</w:t>
            </w:r>
          </w:p>
          <w:p w14:paraId="5D11F793">
            <w:pPr>
              <w:autoSpaceDE w:val="0"/>
              <w:autoSpaceDN w:val="0"/>
              <w:jc w:val="center"/>
              <w:rPr>
                <w:b/>
                <w:color w:val="auto"/>
                <w:szCs w:val="21"/>
                <w:highlight w:val="yellow"/>
              </w:rPr>
            </w:pPr>
            <w:r>
              <w:rPr>
                <w:b/>
                <w:color w:val="auto"/>
                <w:szCs w:val="21"/>
              </w:rPr>
              <w:t>表</w:t>
            </w:r>
            <w:r>
              <w:rPr>
                <w:rFonts w:hint="eastAsia"/>
                <w:b/>
                <w:color w:val="auto"/>
                <w:szCs w:val="21"/>
              </w:rPr>
              <w:t>2-2   本项目研发实验规模一览表</w:t>
            </w:r>
          </w:p>
          <w:tbl>
            <w:tblPr>
              <w:tblStyle w:val="18"/>
              <w:tblW w:w="8387" w:type="dxa"/>
              <w:jc w:val="center"/>
              <w:tblLayout w:type="autofit"/>
              <w:tblCellMar>
                <w:top w:w="0" w:type="dxa"/>
                <w:left w:w="108" w:type="dxa"/>
                <w:bottom w:w="0" w:type="dxa"/>
                <w:right w:w="108" w:type="dxa"/>
              </w:tblCellMar>
            </w:tblPr>
            <w:tblGrid>
              <w:gridCol w:w="1650"/>
              <w:gridCol w:w="4752"/>
              <w:gridCol w:w="1985"/>
            </w:tblGrid>
            <w:tr w14:paraId="78BBEDFD">
              <w:tblPrEx>
                <w:tblCellMar>
                  <w:top w:w="0" w:type="dxa"/>
                  <w:left w:w="108" w:type="dxa"/>
                  <w:bottom w:w="0" w:type="dxa"/>
                  <w:right w:w="108" w:type="dxa"/>
                </w:tblCellMar>
              </w:tblPrEx>
              <w:trPr>
                <w:trHeight w:val="317" w:hRule="atLeast"/>
                <w:jc w:val="center"/>
              </w:trPr>
              <w:tc>
                <w:tcPr>
                  <w:tcW w:w="3816" w:type="pct"/>
                  <w:gridSpan w:val="2"/>
                  <w:tcBorders>
                    <w:top w:val="single" w:color="000000" w:sz="8" w:space="0"/>
                    <w:left w:val="single" w:color="000000" w:sz="8" w:space="0"/>
                    <w:bottom w:val="single" w:color="000000" w:sz="8" w:space="0"/>
                    <w:right w:val="single" w:color="000000" w:sz="8" w:space="0"/>
                  </w:tcBorders>
                  <w:vAlign w:val="center"/>
                </w:tcPr>
                <w:p w14:paraId="1553BCD7">
                  <w:pPr>
                    <w:jc w:val="center"/>
                    <w:rPr>
                      <w:color w:val="FF0000"/>
                      <w:szCs w:val="21"/>
                    </w:rPr>
                  </w:pPr>
                  <w:r>
                    <w:rPr>
                      <w:rFonts w:hint="eastAsia"/>
                      <w:color w:val="FF0000"/>
                      <w:szCs w:val="21"/>
                    </w:rPr>
                    <w:t>研发内容</w:t>
                  </w:r>
                </w:p>
              </w:tc>
              <w:tc>
                <w:tcPr>
                  <w:tcW w:w="1183" w:type="pct"/>
                  <w:tcBorders>
                    <w:top w:val="single" w:color="000000" w:sz="8" w:space="0"/>
                    <w:left w:val="single" w:color="000000" w:sz="8" w:space="0"/>
                    <w:bottom w:val="single" w:color="000000" w:sz="8" w:space="0"/>
                    <w:right w:val="single" w:color="000000" w:sz="8" w:space="0"/>
                  </w:tcBorders>
                  <w:vAlign w:val="center"/>
                </w:tcPr>
                <w:p w14:paraId="48802FF0">
                  <w:pPr>
                    <w:jc w:val="center"/>
                    <w:rPr>
                      <w:color w:val="FF0000"/>
                      <w:szCs w:val="21"/>
                    </w:rPr>
                  </w:pPr>
                  <w:r>
                    <w:rPr>
                      <w:rFonts w:hint="eastAsia"/>
                      <w:color w:val="FF0000"/>
                      <w:szCs w:val="21"/>
                    </w:rPr>
                    <w:t>实验批次（次/年）</w:t>
                  </w:r>
                </w:p>
              </w:tc>
            </w:tr>
            <w:tr w14:paraId="56AE9761">
              <w:tblPrEx>
                <w:tblCellMar>
                  <w:top w:w="0" w:type="dxa"/>
                  <w:left w:w="108" w:type="dxa"/>
                  <w:bottom w:w="0" w:type="dxa"/>
                  <w:right w:w="108" w:type="dxa"/>
                </w:tblCellMar>
              </w:tblPrEx>
              <w:trPr>
                <w:trHeight w:val="317" w:hRule="atLeast"/>
                <w:jc w:val="center"/>
              </w:trPr>
              <w:tc>
                <w:tcPr>
                  <w:tcW w:w="984" w:type="pct"/>
                  <w:tcBorders>
                    <w:top w:val="single" w:color="000000" w:sz="8" w:space="0"/>
                    <w:left w:val="single" w:color="000000" w:sz="8" w:space="0"/>
                    <w:bottom w:val="single" w:color="000000" w:sz="8" w:space="0"/>
                    <w:right w:val="single" w:color="000000" w:sz="8" w:space="0"/>
                  </w:tcBorders>
                  <w:vAlign w:val="center"/>
                </w:tcPr>
                <w:p w14:paraId="5CA60103">
                  <w:pPr>
                    <w:jc w:val="center"/>
                    <w:rPr>
                      <w:color w:val="FF0000"/>
                      <w:szCs w:val="21"/>
                    </w:rPr>
                  </w:pPr>
                  <w:r>
                    <w:rPr>
                      <w:rFonts w:hint="eastAsia"/>
                      <w:color w:val="FF0000"/>
                      <w:szCs w:val="21"/>
                    </w:rPr>
                    <w:t>医药中间体</w:t>
                  </w:r>
                </w:p>
              </w:tc>
              <w:tc>
                <w:tcPr>
                  <w:tcW w:w="2831" w:type="pct"/>
                  <w:tcBorders>
                    <w:top w:val="single" w:color="000000" w:sz="8" w:space="0"/>
                    <w:left w:val="single" w:color="000000" w:sz="8" w:space="0"/>
                    <w:bottom w:val="single" w:color="000000" w:sz="8" w:space="0"/>
                    <w:right w:val="single" w:color="000000" w:sz="8" w:space="0"/>
                  </w:tcBorders>
                  <w:vAlign w:val="center"/>
                </w:tcPr>
                <w:p w14:paraId="6781C4E7">
                  <w:pPr>
                    <w:jc w:val="center"/>
                    <w:rPr>
                      <w:rFonts w:hint="default" w:eastAsia="宋体"/>
                      <w:color w:val="FF0000"/>
                      <w:szCs w:val="21"/>
                      <w:lang w:val="en-US" w:eastAsia="zh-CN"/>
                    </w:rPr>
                  </w:pPr>
                  <w:r>
                    <w:rPr>
                      <w:rFonts w:hint="eastAsia"/>
                      <w:color w:val="FF0000"/>
                      <w:szCs w:val="21"/>
                    </w:rPr>
                    <w:t>5</w:t>
                  </w:r>
                  <w:r>
                    <w:rPr>
                      <w:color w:val="FF0000"/>
                      <w:szCs w:val="21"/>
                    </w:rPr>
                    <w:t>-</w:t>
                  </w:r>
                  <w:r>
                    <w:rPr>
                      <w:rFonts w:hint="eastAsia"/>
                      <w:color w:val="FF0000"/>
                      <w:szCs w:val="21"/>
                    </w:rPr>
                    <w:t>溴苯并呋喃-</w:t>
                  </w:r>
                  <w:r>
                    <w:rPr>
                      <w:color w:val="FF0000"/>
                      <w:szCs w:val="21"/>
                    </w:rPr>
                    <w:t>2-</w:t>
                  </w:r>
                  <w:r>
                    <w:rPr>
                      <w:rFonts w:hint="eastAsia"/>
                      <w:color w:val="FF0000"/>
                      <w:szCs w:val="21"/>
                    </w:rPr>
                    <w:t>甲醛</w:t>
                  </w:r>
                  <w:r>
                    <w:rPr>
                      <w:rFonts w:hint="eastAsia"/>
                      <w:color w:val="FF0000"/>
                      <w:szCs w:val="21"/>
                      <w:lang w:val="en-US" w:eastAsia="zh-CN"/>
                    </w:rPr>
                    <w:t>等及其衍生物</w:t>
                  </w:r>
                </w:p>
              </w:tc>
              <w:tc>
                <w:tcPr>
                  <w:tcW w:w="1183" w:type="pct"/>
                  <w:tcBorders>
                    <w:top w:val="single" w:color="000000" w:sz="8" w:space="0"/>
                    <w:left w:val="single" w:color="000000" w:sz="8" w:space="0"/>
                    <w:bottom w:val="single" w:color="000000" w:sz="8" w:space="0"/>
                    <w:right w:val="single" w:color="000000" w:sz="8" w:space="0"/>
                  </w:tcBorders>
                  <w:vAlign w:val="center"/>
                </w:tcPr>
                <w:p w14:paraId="786BB293">
                  <w:pPr>
                    <w:jc w:val="center"/>
                    <w:rPr>
                      <w:color w:val="FF0000"/>
                      <w:szCs w:val="21"/>
                    </w:rPr>
                  </w:pPr>
                  <w:r>
                    <w:rPr>
                      <w:color w:val="FF0000"/>
                      <w:szCs w:val="21"/>
                    </w:rPr>
                    <w:t>5</w:t>
                  </w:r>
                </w:p>
              </w:tc>
            </w:tr>
            <w:tr w14:paraId="2AAE9F4D">
              <w:tblPrEx>
                <w:tblCellMar>
                  <w:top w:w="0" w:type="dxa"/>
                  <w:left w:w="108" w:type="dxa"/>
                  <w:bottom w:w="0" w:type="dxa"/>
                  <w:right w:w="108" w:type="dxa"/>
                </w:tblCellMar>
              </w:tblPrEx>
              <w:trPr>
                <w:trHeight w:val="317" w:hRule="atLeast"/>
                <w:jc w:val="center"/>
              </w:trPr>
              <w:tc>
                <w:tcPr>
                  <w:tcW w:w="984" w:type="pct"/>
                  <w:tcBorders>
                    <w:top w:val="single" w:color="000000" w:sz="8" w:space="0"/>
                    <w:left w:val="single" w:color="000000" w:sz="8" w:space="0"/>
                    <w:bottom w:val="single" w:color="000000" w:sz="8" w:space="0"/>
                    <w:right w:val="single" w:color="000000" w:sz="8" w:space="0"/>
                  </w:tcBorders>
                  <w:vAlign w:val="center"/>
                </w:tcPr>
                <w:p w14:paraId="02F24653">
                  <w:pPr>
                    <w:jc w:val="center"/>
                    <w:rPr>
                      <w:color w:val="FF0000"/>
                      <w:szCs w:val="21"/>
                    </w:rPr>
                  </w:pPr>
                  <w:r>
                    <w:rPr>
                      <w:rFonts w:hint="eastAsia"/>
                      <w:color w:val="FF0000"/>
                      <w:szCs w:val="21"/>
                    </w:rPr>
                    <w:t>光刻胶中间体</w:t>
                  </w:r>
                </w:p>
              </w:tc>
              <w:tc>
                <w:tcPr>
                  <w:tcW w:w="2831" w:type="pct"/>
                  <w:tcBorders>
                    <w:top w:val="single" w:color="000000" w:sz="8" w:space="0"/>
                    <w:left w:val="single" w:color="000000" w:sz="8" w:space="0"/>
                    <w:bottom w:val="single" w:color="000000" w:sz="8" w:space="0"/>
                    <w:right w:val="single" w:color="000000" w:sz="8" w:space="0"/>
                  </w:tcBorders>
                  <w:vAlign w:val="center"/>
                </w:tcPr>
                <w:p w14:paraId="238088B7">
                  <w:pPr>
                    <w:jc w:val="center"/>
                    <w:rPr>
                      <w:color w:val="FF0000"/>
                      <w:szCs w:val="21"/>
                    </w:rPr>
                  </w:pPr>
                  <w:r>
                    <w:rPr>
                      <w:rFonts w:hint="eastAsia"/>
                      <w:color w:val="FF0000"/>
                      <w:szCs w:val="21"/>
                    </w:rPr>
                    <w:t>三氟丙醇</w:t>
                  </w:r>
                  <w:r>
                    <w:rPr>
                      <w:rFonts w:hint="eastAsia"/>
                      <w:color w:val="FF0000"/>
                      <w:szCs w:val="21"/>
                      <w:lang w:eastAsia="zh-CN"/>
                    </w:rPr>
                    <w:t>、</w:t>
                  </w:r>
                  <w:r>
                    <w:rPr>
                      <w:rFonts w:hint="eastAsia"/>
                      <w:color w:val="FF0000"/>
                      <w:szCs w:val="21"/>
                    </w:rPr>
                    <w:t>三氟乙酸2,2,2-三氟乙酯</w:t>
                  </w:r>
                  <w:r>
                    <w:rPr>
                      <w:rFonts w:hint="eastAsia"/>
                      <w:color w:val="FF0000"/>
                      <w:szCs w:val="21"/>
                      <w:lang w:eastAsia="zh-CN"/>
                    </w:rPr>
                    <w:t>、</w:t>
                  </w:r>
                  <w:r>
                    <w:rPr>
                      <w:rFonts w:hint="eastAsia"/>
                      <w:color w:val="FF0000"/>
                      <w:szCs w:val="21"/>
                    </w:rPr>
                    <w:t>3-溴-4-甲基-1,2,4-噻唑</w:t>
                  </w:r>
                  <w:r>
                    <w:rPr>
                      <w:rFonts w:hint="eastAsia"/>
                      <w:color w:val="FF0000"/>
                      <w:szCs w:val="21"/>
                      <w:lang w:val="en-US" w:eastAsia="zh-CN"/>
                    </w:rPr>
                    <w:t>等及其衍生物</w:t>
                  </w:r>
                </w:p>
              </w:tc>
              <w:tc>
                <w:tcPr>
                  <w:tcW w:w="1183" w:type="pct"/>
                  <w:tcBorders>
                    <w:top w:val="single" w:color="000000" w:sz="8" w:space="0"/>
                    <w:left w:val="single" w:color="000000" w:sz="8" w:space="0"/>
                    <w:bottom w:val="single" w:color="000000" w:sz="8" w:space="0"/>
                    <w:right w:val="single" w:color="000000" w:sz="8" w:space="0"/>
                  </w:tcBorders>
                  <w:vAlign w:val="center"/>
                </w:tcPr>
                <w:p w14:paraId="15098E8E">
                  <w:pPr>
                    <w:jc w:val="center"/>
                    <w:rPr>
                      <w:rFonts w:hint="default" w:eastAsia="宋体"/>
                      <w:color w:val="FF0000"/>
                      <w:szCs w:val="21"/>
                      <w:lang w:val="en-US" w:eastAsia="zh-CN"/>
                    </w:rPr>
                  </w:pPr>
                  <w:r>
                    <w:rPr>
                      <w:rFonts w:hint="eastAsia"/>
                      <w:color w:val="FF0000"/>
                      <w:szCs w:val="21"/>
                      <w:lang w:val="en-US" w:eastAsia="zh-CN"/>
                    </w:rPr>
                    <w:t>45</w:t>
                  </w:r>
                </w:p>
              </w:tc>
            </w:tr>
            <w:tr w14:paraId="7D2E596B">
              <w:tblPrEx>
                <w:tblCellMar>
                  <w:top w:w="0" w:type="dxa"/>
                  <w:left w:w="108" w:type="dxa"/>
                  <w:bottom w:w="0" w:type="dxa"/>
                  <w:right w:w="108" w:type="dxa"/>
                </w:tblCellMar>
              </w:tblPrEx>
              <w:trPr>
                <w:trHeight w:val="317" w:hRule="atLeast"/>
                <w:jc w:val="center"/>
              </w:trPr>
              <w:tc>
                <w:tcPr>
                  <w:tcW w:w="984" w:type="pct"/>
                  <w:tcBorders>
                    <w:top w:val="single" w:color="000000" w:sz="8" w:space="0"/>
                    <w:left w:val="single" w:color="000000" w:sz="8" w:space="0"/>
                    <w:bottom w:val="single" w:color="000000" w:sz="8" w:space="0"/>
                    <w:right w:val="single" w:color="000000" w:sz="8" w:space="0"/>
                  </w:tcBorders>
                  <w:vAlign w:val="center"/>
                </w:tcPr>
                <w:p w14:paraId="4E94D5B5">
                  <w:pPr>
                    <w:jc w:val="center"/>
                    <w:rPr>
                      <w:color w:val="FF0000"/>
                      <w:szCs w:val="21"/>
                    </w:rPr>
                  </w:pPr>
                  <w:r>
                    <w:rPr>
                      <w:rFonts w:hint="eastAsia"/>
                      <w:color w:val="FF0000"/>
                      <w:szCs w:val="21"/>
                    </w:rPr>
                    <w:t>有机小分子</w:t>
                  </w:r>
                </w:p>
              </w:tc>
              <w:tc>
                <w:tcPr>
                  <w:tcW w:w="2831" w:type="pct"/>
                  <w:tcBorders>
                    <w:top w:val="single" w:color="000000" w:sz="8" w:space="0"/>
                    <w:left w:val="single" w:color="000000" w:sz="8" w:space="0"/>
                    <w:bottom w:val="single" w:color="000000" w:sz="8" w:space="0"/>
                    <w:right w:val="single" w:color="000000" w:sz="8" w:space="0"/>
                  </w:tcBorders>
                  <w:vAlign w:val="center"/>
                </w:tcPr>
                <w:p w14:paraId="3ED759C5">
                  <w:pPr>
                    <w:jc w:val="center"/>
                    <w:rPr>
                      <w:rFonts w:hint="default" w:eastAsia="宋体"/>
                      <w:color w:val="FF0000"/>
                      <w:szCs w:val="21"/>
                      <w:lang w:val="en-US" w:eastAsia="zh-CN"/>
                    </w:rPr>
                  </w:pPr>
                  <w:r>
                    <w:rPr>
                      <w:rFonts w:hint="eastAsia"/>
                      <w:color w:val="FF0000"/>
                      <w:szCs w:val="21"/>
                    </w:rPr>
                    <w:t>2-（2,2-二氟乙烯基）双环[2.2.1]庚烷</w:t>
                  </w:r>
                  <w:r>
                    <w:rPr>
                      <w:rFonts w:hint="eastAsia"/>
                      <w:color w:val="FF0000"/>
                      <w:szCs w:val="21"/>
                      <w:lang w:eastAsia="zh-CN"/>
                    </w:rPr>
                    <w:t>、</w:t>
                  </w:r>
                  <w:r>
                    <w:rPr>
                      <w:rFonts w:hint="eastAsia"/>
                      <w:color w:val="FF0000"/>
                      <w:szCs w:val="21"/>
                    </w:rPr>
                    <w:t>3-氯-4-（吡啶-3-基）-1,2,5-噻二唑</w:t>
                  </w:r>
                  <w:r>
                    <w:rPr>
                      <w:rFonts w:hint="eastAsia"/>
                      <w:color w:val="FF0000"/>
                      <w:szCs w:val="21"/>
                      <w:lang w:val="en-US" w:eastAsia="zh-CN"/>
                    </w:rPr>
                    <w:t>等及其衍生物</w:t>
                  </w:r>
                </w:p>
              </w:tc>
              <w:tc>
                <w:tcPr>
                  <w:tcW w:w="1183" w:type="pct"/>
                  <w:tcBorders>
                    <w:top w:val="single" w:color="000000" w:sz="8" w:space="0"/>
                    <w:left w:val="single" w:color="000000" w:sz="8" w:space="0"/>
                    <w:bottom w:val="single" w:color="000000" w:sz="8" w:space="0"/>
                    <w:right w:val="single" w:color="000000" w:sz="8" w:space="0"/>
                  </w:tcBorders>
                  <w:vAlign w:val="center"/>
                </w:tcPr>
                <w:p w14:paraId="669BAC50">
                  <w:pPr>
                    <w:jc w:val="center"/>
                    <w:rPr>
                      <w:rFonts w:hint="default" w:eastAsia="宋体"/>
                      <w:color w:val="FF0000"/>
                      <w:szCs w:val="21"/>
                      <w:lang w:val="en-US" w:eastAsia="zh-CN"/>
                    </w:rPr>
                  </w:pPr>
                  <w:r>
                    <w:rPr>
                      <w:rFonts w:hint="eastAsia"/>
                      <w:color w:val="FF0000"/>
                      <w:szCs w:val="21"/>
                      <w:lang w:val="en-US" w:eastAsia="zh-CN"/>
                    </w:rPr>
                    <w:t>40</w:t>
                  </w:r>
                </w:p>
              </w:tc>
            </w:tr>
            <w:tr w14:paraId="2E2D21F1">
              <w:tblPrEx>
                <w:tblCellMar>
                  <w:top w:w="0" w:type="dxa"/>
                  <w:left w:w="108" w:type="dxa"/>
                  <w:bottom w:w="0" w:type="dxa"/>
                  <w:right w:w="108" w:type="dxa"/>
                </w:tblCellMar>
              </w:tblPrEx>
              <w:trPr>
                <w:trHeight w:val="317" w:hRule="atLeast"/>
                <w:jc w:val="center"/>
              </w:trPr>
              <w:tc>
                <w:tcPr>
                  <w:tcW w:w="3816" w:type="pct"/>
                  <w:gridSpan w:val="2"/>
                  <w:tcBorders>
                    <w:top w:val="single" w:color="000000" w:sz="8" w:space="0"/>
                    <w:left w:val="single" w:color="000000" w:sz="8" w:space="0"/>
                    <w:bottom w:val="single" w:color="000000" w:sz="8" w:space="0"/>
                    <w:right w:val="single" w:color="000000" w:sz="8" w:space="0"/>
                  </w:tcBorders>
                  <w:vAlign w:val="center"/>
                </w:tcPr>
                <w:p w14:paraId="5275CFD0">
                  <w:pPr>
                    <w:jc w:val="center"/>
                    <w:rPr>
                      <w:color w:val="FF0000"/>
                      <w:szCs w:val="21"/>
                    </w:rPr>
                  </w:pPr>
                  <w:r>
                    <w:rPr>
                      <w:rFonts w:hint="eastAsia"/>
                      <w:color w:val="FF0000"/>
                      <w:szCs w:val="21"/>
                    </w:rPr>
                    <w:t>合计</w:t>
                  </w:r>
                </w:p>
              </w:tc>
              <w:tc>
                <w:tcPr>
                  <w:tcW w:w="1183" w:type="pct"/>
                  <w:tcBorders>
                    <w:top w:val="single" w:color="000000" w:sz="8" w:space="0"/>
                    <w:left w:val="single" w:color="000000" w:sz="8" w:space="0"/>
                    <w:bottom w:val="single" w:color="000000" w:sz="8" w:space="0"/>
                    <w:right w:val="single" w:color="000000" w:sz="8" w:space="0"/>
                  </w:tcBorders>
                  <w:vAlign w:val="center"/>
                </w:tcPr>
                <w:p w14:paraId="0CB245D1">
                  <w:pPr>
                    <w:jc w:val="center"/>
                    <w:rPr>
                      <w:color w:val="FF0000"/>
                      <w:szCs w:val="21"/>
                    </w:rPr>
                  </w:pPr>
                  <w:r>
                    <w:rPr>
                      <w:rFonts w:hint="eastAsia"/>
                      <w:color w:val="FF0000"/>
                      <w:szCs w:val="21"/>
                    </w:rPr>
                    <w:t>90</w:t>
                  </w:r>
                </w:p>
              </w:tc>
            </w:tr>
          </w:tbl>
          <w:p w14:paraId="147BEB2D">
            <w:pPr>
              <w:spacing w:line="360" w:lineRule="auto"/>
              <w:ind w:firstLine="480" w:firstLineChars="200"/>
              <w:rPr>
                <w:color w:val="auto"/>
                <w:kern w:val="0"/>
                <w:sz w:val="24"/>
                <w:szCs w:val="20"/>
              </w:rPr>
            </w:pPr>
            <w:r>
              <w:rPr>
                <w:rFonts w:hint="eastAsia"/>
                <w:color w:val="auto"/>
                <w:kern w:val="0"/>
                <w:sz w:val="24"/>
                <w:szCs w:val="20"/>
              </w:rPr>
              <w:t>实验目的：为适应市场对于新工艺的需求，本项目通过</w:t>
            </w:r>
            <w:r>
              <w:rPr>
                <w:rFonts w:hint="eastAsia"/>
                <w:color w:val="auto"/>
                <w:kern w:val="0"/>
                <w:sz w:val="24"/>
                <w:szCs w:val="20"/>
                <w:lang w:val="en-US" w:eastAsia="zh-CN"/>
              </w:rPr>
              <w:t>多次</w:t>
            </w:r>
            <w:r>
              <w:rPr>
                <w:rFonts w:hint="eastAsia"/>
                <w:color w:val="auto"/>
                <w:kern w:val="0"/>
                <w:sz w:val="24"/>
                <w:szCs w:val="20"/>
              </w:rPr>
              <w:t>实验，</w:t>
            </w:r>
            <w:r>
              <w:rPr>
                <w:rFonts w:hint="eastAsia"/>
                <w:color w:val="auto"/>
                <w:kern w:val="0"/>
                <w:sz w:val="24"/>
                <w:szCs w:val="20"/>
                <w:lang w:val="en-US" w:eastAsia="zh-CN"/>
              </w:rPr>
              <w:t>以</w:t>
            </w:r>
            <w:r>
              <w:rPr>
                <w:rFonts w:hint="eastAsia"/>
                <w:color w:val="auto"/>
                <w:kern w:val="0"/>
                <w:sz w:val="24"/>
                <w:szCs w:val="20"/>
              </w:rPr>
              <w:t>发现工艺问题，进行优化，寻找安全点，使实验人员能力提升，使工艺更安全、合理、环保、经济，给客户提供高效、安全、绿色环保的工艺。</w:t>
            </w:r>
          </w:p>
          <w:p w14:paraId="70F9E1E8">
            <w:pPr>
              <w:spacing w:line="360" w:lineRule="auto"/>
              <w:ind w:firstLine="480" w:firstLineChars="200"/>
              <w:rPr>
                <w:color w:val="auto"/>
                <w:kern w:val="0"/>
                <w:sz w:val="24"/>
                <w:szCs w:val="20"/>
              </w:rPr>
            </w:pPr>
            <w:r>
              <w:rPr>
                <w:rFonts w:hint="eastAsia"/>
                <w:color w:val="auto"/>
                <w:kern w:val="0"/>
                <w:sz w:val="24"/>
                <w:szCs w:val="20"/>
              </w:rPr>
              <w:t>实验周期：本项目自确定研发目标、工艺路线制定实验参数合流程等开始，对实验的合理性做评估，选定路线，确定可能性原料收集确认，该阶段约需要1周；实验人员总多条路线最后确定一条路线，完成克级别实验一般需要2周；实验人员对确认实验进行优化，最终拿到合格样品送样，百克级别实验一般需要3周。本项目已配备足量实验设备及实验人员，已按照实验规模估算原辅材料用量，可满足本项目实验规模需求。</w:t>
            </w:r>
          </w:p>
          <w:p w14:paraId="3D5C62D7">
            <w:pPr>
              <w:spacing w:line="360" w:lineRule="auto"/>
              <w:ind w:firstLine="480" w:firstLineChars="200"/>
              <w:rPr>
                <w:bCs/>
                <w:color w:val="auto"/>
                <w:kern w:val="0"/>
                <w:sz w:val="24"/>
                <w:szCs w:val="20"/>
              </w:rPr>
            </w:pPr>
            <w:r>
              <w:rPr>
                <w:color w:val="auto"/>
                <w:kern w:val="0"/>
                <w:sz w:val="24"/>
                <w:szCs w:val="20"/>
              </w:rPr>
              <w:t>（4）原辅材料用量</w:t>
            </w:r>
          </w:p>
          <w:p w14:paraId="1C4898C4">
            <w:pPr>
              <w:autoSpaceDE w:val="0"/>
              <w:autoSpaceDN w:val="0"/>
              <w:spacing w:line="360" w:lineRule="auto"/>
              <w:ind w:firstLine="480" w:firstLineChars="200"/>
              <w:jc w:val="left"/>
              <w:rPr>
                <w:b/>
                <w:color w:val="auto"/>
                <w:kern w:val="0"/>
                <w:sz w:val="24"/>
                <w:szCs w:val="20"/>
              </w:rPr>
            </w:pPr>
            <w:r>
              <w:rPr>
                <w:color w:val="auto"/>
                <w:kern w:val="0"/>
                <w:sz w:val="24"/>
                <w:szCs w:val="20"/>
              </w:rPr>
              <w:t>项目主要原材料用量</w:t>
            </w:r>
            <w:r>
              <w:rPr>
                <w:rFonts w:hint="eastAsia"/>
                <w:color w:val="auto"/>
                <w:kern w:val="0"/>
                <w:sz w:val="24"/>
                <w:szCs w:val="20"/>
              </w:rPr>
              <w:t>及变化情况</w:t>
            </w:r>
            <w:r>
              <w:rPr>
                <w:color w:val="auto"/>
                <w:kern w:val="0"/>
                <w:sz w:val="24"/>
                <w:szCs w:val="20"/>
              </w:rPr>
              <w:t>见表</w:t>
            </w:r>
            <w:r>
              <w:rPr>
                <w:rFonts w:hint="eastAsia"/>
                <w:color w:val="auto"/>
                <w:kern w:val="0"/>
                <w:sz w:val="24"/>
                <w:szCs w:val="20"/>
              </w:rPr>
              <w:t>2-3</w:t>
            </w:r>
            <w:r>
              <w:rPr>
                <w:color w:val="auto"/>
                <w:kern w:val="0"/>
                <w:sz w:val="24"/>
                <w:szCs w:val="20"/>
              </w:rPr>
              <w:t>。</w:t>
            </w:r>
          </w:p>
          <w:p w14:paraId="281955B2">
            <w:pPr>
              <w:autoSpaceDE w:val="0"/>
              <w:autoSpaceDN w:val="0"/>
              <w:jc w:val="center"/>
              <w:rPr>
                <w:b/>
                <w:color w:val="auto"/>
                <w:szCs w:val="21"/>
              </w:rPr>
            </w:pPr>
            <w:r>
              <w:rPr>
                <w:b/>
                <w:color w:val="auto"/>
                <w:szCs w:val="21"/>
              </w:rPr>
              <w:t>表</w:t>
            </w:r>
            <w:r>
              <w:rPr>
                <w:rFonts w:hint="eastAsia"/>
                <w:b/>
                <w:color w:val="auto"/>
                <w:szCs w:val="21"/>
              </w:rPr>
              <w:t xml:space="preserve">2-3   </w:t>
            </w:r>
            <w:r>
              <w:rPr>
                <w:b/>
                <w:color w:val="auto"/>
                <w:szCs w:val="21"/>
              </w:rPr>
              <w:t>主要原材料一览表</w:t>
            </w:r>
          </w:p>
          <w:tbl>
            <w:tblPr>
              <w:tblStyle w:val="41"/>
              <w:tblW w:w="4997" w:type="pct"/>
              <w:tblInd w:w="-5"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0" w:type="dxa"/>
                <w:bottom w:w="0" w:type="dxa"/>
                <w:right w:w="0" w:type="dxa"/>
              </w:tblCellMar>
            </w:tblPr>
            <w:tblGrid>
              <w:gridCol w:w="602"/>
              <w:gridCol w:w="2854"/>
              <w:gridCol w:w="982"/>
              <w:gridCol w:w="1086"/>
              <w:gridCol w:w="1086"/>
              <w:gridCol w:w="823"/>
              <w:gridCol w:w="942"/>
            </w:tblGrid>
            <w:tr w14:paraId="0CB8A7B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vAlign w:val="center"/>
                </w:tcPr>
                <w:p w14:paraId="6EF953DF">
                  <w:pPr>
                    <w:jc w:val="center"/>
                    <w:rPr>
                      <w:color w:val="auto"/>
                      <w:szCs w:val="21"/>
                    </w:rPr>
                  </w:pPr>
                  <w:r>
                    <w:rPr>
                      <w:rFonts w:hint="eastAsia"/>
                      <w:color w:val="auto"/>
                      <w:szCs w:val="21"/>
                    </w:rPr>
                    <w:t>序号</w:t>
                  </w:r>
                </w:p>
              </w:tc>
              <w:tc>
                <w:tcPr>
                  <w:tcW w:w="1703" w:type="pct"/>
                  <w:vAlign w:val="center"/>
                </w:tcPr>
                <w:p w14:paraId="6E13736A">
                  <w:pPr>
                    <w:pStyle w:val="42"/>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名称</w:t>
                  </w:r>
                </w:p>
              </w:tc>
              <w:tc>
                <w:tcPr>
                  <w:tcW w:w="586" w:type="pct"/>
                  <w:vAlign w:val="center"/>
                </w:tcPr>
                <w:p w14:paraId="7B3FAECD">
                  <w:pPr>
                    <w:jc w:val="center"/>
                    <w:rPr>
                      <w:color w:val="auto"/>
                      <w:szCs w:val="21"/>
                    </w:rPr>
                  </w:pPr>
                  <w:r>
                    <w:rPr>
                      <w:rFonts w:hint="eastAsia"/>
                      <w:color w:val="auto"/>
                      <w:szCs w:val="21"/>
                    </w:rPr>
                    <w:t>规格</w:t>
                  </w:r>
                </w:p>
              </w:tc>
              <w:tc>
                <w:tcPr>
                  <w:tcW w:w="648" w:type="pct"/>
                  <w:vAlign w:val="center"/>
                </w:tcPr>
                <w:p w14:paraId="5521F412">
                  <w:pPr>
                    <w:jc w:val="center"/>
                    <w:rPr>
                      <w:color w:val="auto"/>
                      <w:szCs w:val="21"/>
                    </w:rPr>
                  </w:pPr>
                  <w:r>
                    <w:rPr>
                      <w:rFonts w:hint="eastAsia"/>
                      <w:color w:val="auto"/>
                      <w:szCs w:val="21"/>
                    </w:rPr>
                    <w:t>单位</w:t>
                  </w:r>
                </w:p>
              </w:tc>
              <w:tc>
                <w:tcPr>
                  <w:tcW w:w="648" w:type="pct"/>
                  <w:vAlign w:val="center"/>
                </w:tcPr>
                <w:p w14:paraId="129D2B49">
                  <w:pPr>
                    <w:jc w:val="center"/>
                    <w:rPr>
                      <w:color w:val="auto"/>
                      <w:szCs w:val="21"/>
                    </w:rPr>
                  </w:pPr>
                  <w:r>
                    <w:rPr>
                      <w:rFonts w:hint="eastAsia"/>
                      <w:color w:val="auto"/>
                      <w:szCs w:val="21"/>
                    </w:rPr>
                    <w:t>年用量（t/a）</w:t>
                  </w:r>
                </w:p>
              </w:tc>
              <w:tc>
                <w:tcPr>
                  <w:tcW w:w="491" w:type="pct"/>
                  <w:vAlign w:val="center"/>
                </w:tcPr>
                <w:p w14:paraId="329253B5">
                  <w:pPr>
                    <w:jc w:val="center"/>
                    <w:rPr>
                      <w:color w:val="auto"/>
                      <w:szCs w:val="21"/>
                    </w:rPr>
                  </w:pPr>
                  <w:r>
                    <w:rPr>
                      <w:rFonts w:hint="eastAsia"/>
                      <w:color w:val="auto"/>
                      <w:szCs w:val="21"/>
                    </w:rPr>
                    <w:t>最大储存量（t）</w:t>
                  </w:r>
                </w:p>
              </w:tc>
              <w:tc>
                <w:tcPr>
                  <w:tcW w:w="562" w:type="pct"/>
                  <w:vAlign w:val="center"/>
                </w:tcPr>
                <w:p w14:paraId="32A20578">
                  <w:pPr>
                    <w:pStyle w:val="42"/>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储存地点</w:t>
                  </w:r>
                </w:p>
              </w:tc>
            </w:tr>
            <w:tr w14:paraId="265B5AC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vAlign w:val="center"/>
                </w:tcPr>
                <w:p w14:paraId="23069FCD">
                  <w:pPr>
                    <w:jc w:val="center"/>
                    <w:rPr>
                      <w:rFonts w:eastAsia="Times New Roman"/>
                      <w:color w:val="auto"/>
                      <w:szCs w:val="21"/>
                    </w:rPr>
                  </w:pPr>
                  <w:r>
                    <w:rPr>
                      <w:rFonts w:eastAsia="Times New Roman"/>
                      <w:color w:val="auto"/>
                      <w:szCs w:val="21"/>
                    </w:rPr>
                    <w:t>1</w:t>
                  </w:r>
                </w:p>
              </w:tc>
              <w:tc>
                <w:tcPr>
                  <w:tcW w:w="1703" w:type="pct"/>
                  <w:vAlign w:val="center"/>
                </w:tcPr>
                <w:p w14:paraId="502D352B">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石油醚</w:t>
                  </w:r>
                </w:p>
              </w:tc>
              <w:tc>
                <w:tcPr>
                  <w:tcW w:w="586" w:type="pct"/>
                  <w:vAlign w:val="center"/>
                </w:tcPr>
                <w:p w14:paraId="715D8736">
                  <w:pPr>
                    <w:jc w:val="center"/>
                    <w:rPr>
                      <w:rFonts w:eastAsia="Times New Roman"/>
                      <w:color w:val="auto"/>
                      <w:szCs w:val="21"/>
                    </w:rPr>
                  </w:pPr>
                  <w:r>
                    <w:rPr>
                      <w:rFonts w:eastAsia="Times New Roman"/>
                      <w:color w:val="auto"/>
                      <w:szCs w:val="21"/>
                    </w:rPr>
                    <w:t>AR</w:t>
                  </w:r>
                </w:p>
              </w:tc>
              <w:tc>
                <w:tcPr>
                  <w:tcW w:w="648" w:type="pct"/>
                  <w:vAlign w:val="center"/>
                </w:tcPr>
                <w:p w14:paraId="2C192598">
                  <w:pPr>
                    <w:jc w:val="center"/>
                    <w:rPr>
                      <w:rFonts w:eastAsia="Times New Roman"/>
                      <w:color w:val="auto"/>
                      <w:szCs w:val="21"/>
                    </w:rPr>
                  </w:pPr>
                  <w:r>
                    <w:rPr>
                      <w:rFonts w:hint="eastAsia"/>
                      <w:color w:val="auto"/>
                      <w:szCs w:val="21"/>
                    </w:rPr>
                    <w:t>t/a</w:t>
                  </w:r>
                </w:p>
              </w:tc>
              <w:tc>
                <w:tcPr>
                  <w:tcW w:w="648" w:type="pct"/>
                  <w:vAlign w:val="center"/>
                </w:tcPr>
                <w:p w14:paraId="5BC3FF2D">
                  <w:pPr>
                    <w:jc w:val="center"/>
                    <w:rPr>
                      <w:rFonts w:eastAsia="Times New Roman"/>
                      <w:color w:val="auto"/>
                      <w:szCs w:val="21"/>
                    </w:rPr>
                  </w:pPr>
                  <w:r>
                    <w:rPr>
                      <w:rFonts w:hint="eastAsia"/>
                      <w:color w:val="auto"/>
                    </w:rPr>
                    <w:t>0.2</w:t>
                  </w:r>
                </w:p>
              </w:tc>
              <w:tc>
                <w:tcPr>
                  <w:tcW w:w="491" w:type="pct"/>
                  <w:vAlign w:val="center"/>
                </w:tcPr>
                <w:p w14:paraId="09213BB7">
                  <w:pPr>
                    <w:jc w:val="center"/>
                    <w:rPr>
                      <w:rFonts w:eastAsia="Times New Roman"/>
                      <w:color w:val="auto"/>
                      <w:szCs w:val="21"/>
                    </w:rPr>
                  </w:pPr>
                  <w:r>
                    <w:rPr>
                      <w:rFonts w:hint="eastAsia"/>
                      <w:color w:val="auto"/>
                    </w:rPr>
                    <w:t>0.05</w:t>
                  </w:r>
                </w:p>
              </w:tc>
              <w:tc>
                <w:tcPr>
                  <w:tcW w:w="562" w:type="pct"/>
                  <w:vAlign w:val="center"/>
                </w:tcPr>
                <w:p w14:paraId="5AFC9134">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仓库</w:t>
                  </w:r>
                </w:p>
              </w:tc>
            </w:tr>
            <w:tr w14:paraId="1BA0FA7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vAlign w:val="center"/>
                </w:tcPr>
                <w:p w14:paraId="19B714F6">
                  <w:pPr>
                    <w:jc w:val="center"/>
                    <w:rPr>
                      <w:rFonts w:eastAsia="Times New Roman"/>
                      <w:color w:val="auto"/>
                      <w:szCs w:val="21"/>
                    </w:rPr>
                  </w:pPr>
                  <w:r>
                    <w:rPr>
                      <w:rFonts w:eastAsia="Times New Roman"/>
                      <w:color w:val="auto"/>
                      <w:szCs w:val="21"/>
                    </w:rPr>
                    <w:t>2</w:t>
                  </w:r>
                </w:p>
              </w:tc>
              <w:tc>
                <w:tcPr>
                  <w:tcW w:w="1703" w:type="pct"/>
                  <w:vAlign w:val="center"/>
                </w:tcPr>
                <w:p w14:paraId="1FABD478">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乙酸乙酯</w:t>
                  </w:r>
                </w:p>
              </w:tc>
              <w:tc>
                <w:tcPr>
                  <w:tcW w:w="586" w:type="pct"/>
                  <w:vAlign w:val="center"/>
                </w:tcPr>
                <w:p w14:paraId="1E02D4CA">
                  <w:pPr>
                    <w:jc w:val="center"/>
                    <w:rPr>
                      <w:rFonts w:eastAsia="Times New Roman"/>
                      <w:color w:val="auto"/>
                      <w:szCs w:val="21"/>
                    </w:rPr>
                  </w:pPr>
                  <w:r>
                    <w:rPr>
                      <w:rFonts w:eastAsia="Times New Roman"/>
                      <w:color w:val="auto"/>
                      <w:szCs w:val="21"/>
                    </w:rPr>
                    <w:t>AR</w:t>
                  </w:r>
                </w:p>
              </w:tc>
              <w:tc>
                <w:tcPr>
                  <w:tcW w:w="648" w:type="pct"/>
                  <w:vAlign w:val="center"/>
                </w:tcPr>
                <w:p w14:paraId="6DAA1103">
                  <w:pPr>
                    <w:jc w:val="center"/>
                    <w:rPr>
                      <w:rFonts w:eastAsia="Times New Roman"/>
                      <w:color w:val="auto"/>
                      <w:szCs w:val="21"/>
                    </w:rPr>
                  </w:pPr>
                  <w:r>
                    <w:rPr>
                      <w:rFonts w:hint="eastAsia"/>
                      <w:color w:val="auto"/>
                      <w:szCs w:val="21"/>
                    </w:rPr>
                    <w:t>t/a</w:t>
                  </w:r>
                </w:p>
              </w:tc>
              <w:tc>
                <w:tcPr>
                  <w:tcW w:w="648" w:type="pct"/>
                  <w:vAlign w:val="center"/>
                </w:tcPr>
                <w:p w14:paraId="305B92CE">
                  <w:pPr>
                    <w:jc w:val="center"/>
                    <w:rPr>
                      <w:rFonts w:eastAsia="Times New Roman"/>
                      <w:color w:val="auto"/>
                      <w:szCs w:val="21"/>
                    </w:rPr>
                  </w:pPr>
                  <w:r>
                    <w:rPr>
                      <w:rFonts w:eastAsia="Times New Roman"/>
                      <w:color w:val="auto"/>
                    </w:rPr>
                    <w:t>0.</w:t>
                  </w:r>
                  <w:r>
                    <w:rPr>
                      <w:rFonts w:hint="eastAsia"/>
                      <w:color w:val="auto"/>
                    </w:rPr>
                    <w:t>1</w:t>
                  </w:r>
                </w:p>
              </w:tc>
              <w:tc>
                <w:tcPr>
                  <w:tcW w:w="491" w:type="pct"/>
                  <w:vAlign w:val="center"/>
                </w:tcPr>
                <w:p w14:paraId="441BC646">
                  <w:pPr>
                    <w:jc w:val="center"/>
                    <w:rPr>
                      <w:rFonts w:eastAsia="Times New Roman"/>
                      <w:color w:val="auto"/>
                      <w:szCs w:val="21"/>
                    </w:rPr>
                  </w:pPr>
                  <w:r>
                    <w:rPr>
                      <w:rFonts w:eastAsia="Times New Roman"/>
                      <w:color w:val="auto"/>
                    </w:rPr>
                    <w:t>0.</w:t>
                  </w:r>
                  <w:r>
                    <w:rPr>
                      <w:rFonts w:hint="eastAsia"/>
                      <w:color w:val="auto"/>
                    </w:rPr>
                    <w:t>05</w:t>
                  </w:r>
                </w:p>
              </w:tc>
              <w:tc>
                <w:tcPr>
                  <w:tcW w:w="562" w:type="pct"/>
                  <w:vAlign w:val="center"/>
                </w:tcPr>
                <w:p w14:paraId="7892324F">
                  <w:pPr>
                    <w:jc w:val="center"/>
                    <w:rPr>
                      <w:color w:val="auto"/>
                      <w:szCs w:val="21"/>
                    </w:rPr>
                  </w:pPr>
                  <w:r>
                    <w:rPr>
                      <w:color w:val="auto"/>
                      <w:szCs w:val="21"/>
                    </w:rPr>
                    <w:t>仓库</w:t>
                  </w:r>
                </w:p>
              </w:tc>
            </w:tr>
            <w:tr w14:paraId="6E921F2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59" w:type="pct"/>
                  <w:shd w:val="clear" w:color="auto" w:fill="auto"/>
                  <w:vAlign w:val="center"/>
                </w:tcPr>
                <w:p w14:paraId="0C93DB18">
                  <w:pPr>
                    <w:jc w:val="center"/>
                    <w:rPr>
                      <w:rFonts w:eastAsia="Times New Roman"/>
                      <w:color w:val="auto"/>
                      <w:szCs w:val="21"/>
                    </w:rPr>
                  </w:pPr>
                  <w:r>
                    <w:rPr>
                      <w:rFonts w:eastAsia="Times New Roman"/>
                      <w:color w:val="auto"/>
                      <w:szCs w:val="21"/>
                    </w:rPr>
                    <w:t>3</w:t>
                  </w:r>
                </w:p>
              </w:tc>
              <w:tc>
                <w:tcPr>
                  <w:tcW w:w="1703" w:type="pct"/>
                  <w:vAlign w:val="center"/>
                </w:tcPr>
                <w:p w14:paraId="6B5C061E">
                  <w:pPr>
                    <w:pStyle w:val="42"/>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甲醇</w:t>
                  </w:r>
                </w:p>
              </w:tc>
              <w:tc>
                <w:tcPr>
                  <w:tcW w:w="586" w:type="pct"/>
                  <w:vAlign w:val="center"/>
                </w:tcPr>
                <w:p w14:paraId="682F362C">
                  <w:pPr>
                    <w:jc w:val="center"/>
                    <w:rPr>
                      <w:rFonts w:eastAsia="Times New Roman"/>
                      <w:color w:val="auto"/>
                      <w:szCs w:val="21"/>
                    </w:rPr>
                  </w:pPr>
                  <w:r>
                    <w:rPr>
                      <w:rFonts w:eastAsia="Times New Roman"/>
                      <w:color w:val="auto"/>
                      <w:szCs w:val="21"/>
                    </w:rPr>
                    <w:t>AR</w:t>
                  </w:r>
                </w:p>
              </w:tc>
              <w:tc>
                <w:tcPr>
                  <w:tcW w:w="648" w:type="pct"/>
                  <w:vAlign w:val="center"/>
                </w:tcPr>
                <w:p w14:paraId="08772E25">
                  <w:pPr>
                    <w:jc w:val="center"/>
                    <w:rPr>
                      <w:color w:val="auto"/>
                      <w:szCs w:val="21"/>
                    </w:rPr>
                  </w:pPr>
                  <w:r>
                    <w:rPr>
                      <w:rFonts w:hint="eastAsia"/>
                      <w:color w:val="auto"/>
                      <w:szCs w:val="21"/>
                    </w:rPr>
                    <w:t>t/a</w:t>
                  </w:r>
                </w:p>
              </w:tc>
              <w:tc>
                <w:tcPr>
                  <w:tcW w:w="648" w:type="pct"/>
                  <w:vAlign w:val="center"/>
                </w:tcPr>
                <w:p w14:paraId="6BD733DC">
                  <w:pPr>
                    <w:jc w:val="center"/>
                    <w:rPr>
                      <w:color w:val="auto"/>
                    </w:rPr>
                  </w:pPr>
                  <w:r>
                    <w:rPr>
                      <w:rFonts w:hint="eastAsia"/>
                      <w:color w:val="auto"/>
                    </w:rPr>
                    <w:t>0.1</w:t>
                  </w:r>
                </w:p>
              </w:tc>
              <w:tc>
                <w:tcPr>
                  <w:tcW w:w="491" w:type="pct"/>
                  <w:vAlign w:val="center"/>
                </w:tcPr>
                <w:p w14:paraId="6FAB8A74">
                  <w:pPr>
                    <w:jc w:val="center"/>
                    <w:rPr>
                      <w:color w:val="auto"/>
                    </w:rPr>
                  </w:pPr>
                  <w:r>
                    <w:rPr>
                      <w:rFonts w:hint="eastAsia"/>
                      <w:color w:val="auto"/>
                    </w:rPr>
                    <w:t>0.05</w:t>
                  </w:r>
                </w:p>
              </w:tc>
              <w:tc>
                <w:tcPr>
                  <w:tcW w:w="562" w:type="pct"/>
                  <w:vAlign w:val="center"/>
                </w:tcPr>
                <w:p w14:paraId="27F358D4">
                  <w:pPr>
                    <w:jc w:val="center"/>
                    <w:rPr>
                      <w:color w:val="auto"/>
                      <w:szCs w:val="21"/>
                    </w:rPr>
                  </w:pPr>
                  <w:r>
                    <w:rPr>
                      <w:color w:val="auto"/>
                      <w:szCs w:val="21"/>
                    </w:rPr>
                    <w:t>仓库</w:t>
                  </w:r>
                </w:p>
              </w:tc>
            </w:tr>
            <w:tr w14:paraId="28565FE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5E1FA987">
                  <w:pPr>
                    <w:jc w:val="center"/>
                    <w:rPr>
                      <w:rFonts w:eastAsia="Times New Roman"/>
                      <w:color w:val="auto"/>
                      <w:szCs w:val="21"/>
                    </w:rPr>
                  </w:pPr>
                  <w:r>
                    <w:rPr>
                      <w:rFonts w:eastAsia="Times New Roman"/>
                      <w:color w:val="auto"/>
                      <w:szCs w:val="21"/>
                    </w:rPr>
                    <w:t>4</w:t>
                  </w:r>
                </w:p>
              </w:tc>
              <w:tc>
                <w:tcPr>
                  <w:tcW w:w="1703" w:type="pct"/>
                  <w:shd w:val="clear" w:color="auto" w:fill="auto"/>
                  <w:vAlign w:val="center"/>
                </w:tcPr>
                <w:p w14:paraId="1C9C2186">
                  <w:pPr>
                    <w:pStyle w:val="42"/>
                    <w:jc w:val="center"/>
                    <w:rPr>
                      <w:rFonts w:ascii="Times New Roman" w:hAnsi="Times New Roman" w:cs="Times New Roman"/>
                      <w:color w:val="auto"/>
                      <w:sz w:val="21"/>
                      <w:szCs w:val="21"/>
                      <w:lang w:eastAsia="zh-CN"/>
                    </w:rPr>
                  </w:pPr>
                  <w:r>
                    <w:rPr>
                      <w:rFonts w:ascii="Times New Roman" w:hAnsi="Times New Roman" w:eastAsia="Times New Roman" w:cs="Times New Roman"/>
                      <w:color w:val="auto"/>
                      <w:sz w:val="21"/>
                      <w:szCs w:val="21"/>
                    </w:rPr>
                    <w:t>N,N-</w:t>
                  </w:r>
                  <w:r>
                    <w:rPr>
                      <w:rFonts w:ascii="Times New Roman" w:hAnsi="Times New Roman" w:cs="Times New Roman"/>
                      <w:color w:val="auto"/>
                      <w:sz w:val="21"/>
                      <w:szCs w:val="21"/>
                    </w:rPr>
                    <w:t>二甲基甲酰胺</w:t>
                  </w:r>
                </w:p>
              </w:tc>
              <w:tc>
                <w:tcPr>
                  <w:tcW w:w="586" w:type="pct"/>
                  <w:shd w:val="clear" w:color="auto" w:fill="auto"/>
                  <w:vAlign w:val="center"/>
                </w:tcPr>
                <w:p w14:paraId="27F4EC3B">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6A04CE55">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36F9B77E">
                  <w:pPr>
                    <w:jc w:val="center"/>
                    <w:rPr>
                      <w:rFonts w:eastAsia="Times New Roman"/>
                      <w:color w:val="auto"/>
                      <w:szCs w:val="21"/>
                    </w:rPr>
                  </w:pPr>
                  <w:r>
                    <w:rPr>
                      <w:rFonts w:eastAsia="Times New Roman"/>
                      <w:color w:val="auto"/>
                    </w:rPr>
                    <w:t>0.</w:t>
                  </w:r>
                  <w:r>
                    <w:rPr>
                      <w:rFonts w:hint="eastAsia"/>
                      <w:color w:val="auto"/>
                    </w:rPr>
                    <w:t>05</w:t>
                  </w:r>
                </w:p>
              </w:tc>
              <w:tc>
                <w:tcPr>
                  <w:tcW w:w="491" w:type="pct"/>
                  <w:shd w:val="clear" w:color="auto" w:fill="auto"/>
                  <w:vAlign w:val="center"/>
                </w:tcPr>
                <w:p w14:paraId="57C1BF60">
                  <w:pPr>
                    <w:jc w:val="center"/>
                    <w:rPr>
                      <w:rFonts w:eastAsia="Times New Roman"/>
                      <w:color w:val="auto"/>
                      <w:szCs w:val="21"/>
                    </w:rPr>
                  </w:pPr>
                  <w:r>
                    <w:rPr>
                      <w:rFonts w:eastAsia="Times New Roman"/>
                      <w:color w:val="auto"/>
                    </w:rPr>
                    <w:t>0.</w:t>
                  </w:r>
                  <w:r>
                    <w:rPr>
                      <w:rFonts w:hint="eastAsia"/>
                      <w:color w:val="auto"/>
                    </w:rPr>
                    <w:t>05</w:t>
                  </w:r>
                </w:p>
              </w:tc>
              <w:tc>
                <w:tcPr>
                  <w:tcW w:w="562" w:type="pct"/>
                  <w:shd w:val="clear" w:color="auto" w:fill="auto"/>
                  <w:vAlign w:val="center"/>
                </w:tcPr>
                <w:p w14:paraId="05D9B81A">
                  <w:pPr>
                    <w:jc w:val="center"/>
                    <w:rPr>
                      <w:color w:val="auto"/>
                      <w:szCs w:val="21"/>
                    </w:rPr>
                  </w:pPr>
                  <w:r>
                    <w:rPr>
                      <w:color w:val="auto"/>
                      <w:szCs w:val="21"/>
                    </w:rPr>
                    <w:t>仓库</w:t>
                  </w:r>
                </w:p>
              </w:tc>
            </w:tr>
            <w:tr w14:paraId="7A7F21E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09B53ACA">
                  <w:pPr>
                    <w:jc w:val="center"/>
                    <w:rPr>
                      <w:rFonts w:eastAsia="Times New Roman"/>
                      <w:color w:val="auto"/>
                      <w:szCs w:val="21"/>
                    </w:rPr>
                  </w:pPr>
                  <w:r>
                    <w:rPr>
                      <w:rFonts w:eastAsia="Times New Roman"/>
                      <w:color w:val="auto"/>
                      <w:szCs w:val="21"/>
                    </w:rPr>
                    <w:t>5</w:t>
                  </w:r>
                </w:p>
              </w:tc>
              <w:tc>
                <w:tcPr>
                  <w:tcW w:w="1703" w:type="pct"/>
                  <w:shd w:val="clear" w:color="auto" w:fill="auto"/>
                  <w:vAlign w:val="center"/>
                </w:tcPr>
                <w:p w14:paraId="089D1A86">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四氢呋喃</w:t>
                  </w:r>
                </w:p>
              </w:tc>
              <w:tc>
                <w:tcPr>
                  <w:tcW w:w="586" w:type="pct"/>
                  <w:shd w:val="clear" w:color="auto" w:fill="auto"/>
                  <w:vAlign w:val="center"/>
                </w:tcPr>
                <w:p w14:paraId="0E0F3091">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77C6F2C1">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265BCC47">
                  <w:pPr>
                    <w:jc w:val="center"/>
                    <w:rPr>
                      <w:rFonts w:eastAsia="Times New Roman"/>
                      <w:color w:val="auto"/>
                      <w:szCs w:val="21"/>
                    </w:rPr>
                  </w:pPr>
                  <w:r>
                    <w:rPr>
                      <w:rFonts w:eastAsia="Times New Roman"/>
                      <w:color w:val="auto"/>
                    </w:rPr>
                    <w:t>0.</w:t>
                  </w:r>
                  <w:r>
                    <w:rPr>
                      <w:rFonts w:hint="eastAsia"/>
                      <w:color w:val="auto"/>
                    </w:rPr>
                    <w:t>05</w:t>
                  </w:r>
                </w:p>
              </w:tc>
              <w:tc>
                <w:tcPr>
                  <w:tcW w:w="491" w:type="pct"/>
                  <w:shd w:val="clear" w:color="auto" w:fill="auto"/>
                  <w:vAlign w:val="center"/>
                </w:tcPr>
                <w:p w14:paraId="2AB88481">
                  <w:pPr>
                    <w:jc w:val="center"/>
                    <w:rPr>
                      <w:rFonts w:eastAsia="Times New Roman"/>
                      <w:color w:val="auto"/>
                      <w:szCs w:val="21"/>
                    </w:rPr>
                  </w:pPr>
                  <w:r>
                    <w:rPr>
                      <w:rFonts w:eastAsia="Times New Roman"/>
                      <w:color w:val="auto"/>
                    </w:rPr>
                    <w:t>0.</w:t>
                  </w:r>
                  <w:r>
                    <w:rPr>
                      <w:rFonts w:hint="eastAsia"/>
                      <w:color w:val="auto"/>
                    </w:rPr>
                    <w:t>05</w:t>
                  </w:r>
                </w:p>
              </w:tc>
              <w:tc>
                <w:tcPr>
                  <w:tcW w:w="562" w:type="pct"/>
                  <w:shd w:val="clear" w:color="auto" w:fill="auto"/>
                  <w:vAlign w:val="center"/>
                </w:tcPr>
                <w:p w14:paraId="03C011FF">
                  <w:pPr>
                    <w:jc w:val="center"/>
                    <w:rPr>
                      <w:color w:val="auto"/>
                      <w:szCs w:val="21"/>
                    </w:rPr>
                  </w:pPr>
                  <w:r>
                    <w:rPr>
                      <w:color w:val="auto"/>
                      <w:szCs w:val="21"/>
                    </w:rPr>
                    <w:t>仓库</w:t>
                  </w:r>
                </w:p>
              </w:tc>
            </w:tr>
            <w:tr w14:paraId="325ECBC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7A447295">
                  <w:pPr>
                    <w:jc w:val="center"/>
                    <w:rPr>
                      <w:rFonts w:eastAsia="Times New Roman"/>
                      <w:color w:val="auto"/>
                      <w:szCs w:val="21"/>
                    </w:rPr>
                  </w:pPr>
                  <w:r>
                    <w:rPr>
                      <w:rFonts w:eastAsia="Times New Roman"/>
                      <w:color w:val="auto"/>
                      <w:szCs w:val="21"/>
                    </w:rPr>
                    <w:t>6</w:t>
                  </w:r>
                </w:p>
              </w:tc>
              <w:tc>
                <w:tcPr>
                  <w:tcW w:w="1703" w:type="pct"/>
                  <w:shd w:val="clear" w:color="auto" w:fill="auto"/>
                  <w:vAlign w:val="center"/>
                </w:tcPr>
                <w:p w14:paraId="2EECAC0D">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乙醇</w:t>
                  </w:r>
                </w:p>
              </w:tc>
              <w:tc>
                <w:tcPr>
                  <w:tcW w:w="586" w:type="pct"/>
                  <w:shd w:val="clear" w:color="auto" w:fill="auto"/>
                  <w:vAlign w:val="center"/>
                </w:tcPr>
                <w:p w14:paraId="4891342E">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058BB12A">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5B1853AD">
                  <w:pPr>
                    <w:jc w:val="center"/>
                    <w:rPr>
                      <w:rFonts w:eastAsia="Times New Roman"/>
                      <w:color w:val="auto"/>
                      <w:szCs w:val="21"/>
                    </w:rPr>
                  </w:pPr>
                  <w:r>
                    <w:rPr>
                      <w:rFonts w:eastAsia="Times New Roman"/>
                      <w:color w:val="auto"/>
                    </w:rPr>
                    <w:t>0.</w:t>
                  </w:r>
                  <w:r>
                    <w:rPr>
                      <w:rFonts w:hint="eastAsia"/>
                      <w:color w:val="auto"/>
                    </w:rPr>
                    <w:t>05</w:t>
                  </w:r>
                </w:p>
              </w:tc>
              <w:tc>
                <w:tcPr>
                  <w:tcW w:w="491" w:type="pct"/>
                  <w:shd w:val="clear" w:color="auto" w:fill="auto"/>
                  <w:vAlign w:val="center"/>
                </w:tcPr>
                <w:p w14:paraId="4F4EEF42">
                  <w:pPr>
                    <w:jc w:val="center"/>
                    <w:rPr>
                      <w:rFonts w:eastAsia="Times New Roman"/>
                      <w:color w:val="auto"/>
                      <w:szCs w:val="21"/>
                    </w:rPr>
                  </w:pPr>
                  <w:r>
                    <w:rPr>
                      <w:rFonts w:eastAsia="Times New Roman"/>
                      <w:color w:val="auto"/>
                    </w:rPr>
                    <w:t>0.</w:t>
                  </w:r>
                  <w:r>
                    <w:rPr>
                      <w:rFonts w:hint="eastAsia"/>
                      <w:color w:val="auto"/>
                    </w:rPr>
                    <w:t>05</w:t>
                  </w:r>
                </w:p>
              </w:tc>
              <w:tc>
                <w:tcPr>
                  <w:tcW w:w="562" w:type="pct"/>
                  <w:shd w:val="clear" w:color="auto" w:fill="auto"/>
                  <w:vAlign w:val="center"/>
                </w:tcPr>
                <w:p w14:paraId="223DA7E5">
                  <w:pPr>
                    <w:jc w:val="center"/>
                    <w:rPr>
                      <w:color w:val="auto"/>
                      <w:szCs w:val="21"/>
                    </w:rPr>
                  </w:pPr>
                  <w:r>
                    <w:rPr>
                      <w:color w:val="auto"/>
                      <w:szCs w:val="21"/>
                    </w:rPr>
                    <w:t>仓库</w:t>
                  </w:r>
                </w:p>
              </w:tc>
            </w:tr>
            <w:tr w14:paraId="7DEFC58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79BBF44B">
                  <w:pPr>
                    <w:jc w:val="center"/>
                    <w:rPr>
                      <w:rFonts w:eastAsia="Times New Roman"/>
                      <w:color w:val="auto"/>
                      <w:szCs w:val="21"/>
                    </w:rPr>
                  </w:pPr>
                  <w:r>
                    <w:rPr>
                      <w:rFonts w:eastAsia="Times New Roman"/>
                      <w:color w:val="auto"/>
                      <w:szCs w:val="21"/>
                    </w:rPr>
                    <w:t>7</w:t>
                  </w:r>
                </w:p>
              </w:tc>
              <w:tc>
                <w:tcPr>
                  <w:tcW w:w="1703" w:type="pct"/>
                  <w:shd w:val="clear" w:color="auto" w:fill="auto"/>
                  <w:vAlign w:val="center"/>
                </w:tcPr>
                <w:p w14:paraId="3A97D623">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氯化钠</w:t>
                  </w:r>
                </w:p>
              </w:tc>
              <w:tc>
                <w:tcPr>
                  <w:tcW w:w="586" w:type="pct"/>
                  <w:shd w:val="clear" w:color="auto" w:fill="auto"/>
                  <w:vAlign w:val="center"/>
                </w:tcPr>
                <w:p w14:paraId="6DFEBDFA">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60CB01AD">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670C2C60">
                  <w:pPr>
                    <w:jc w:val="center"/>
                    <w:rPr>
                      <w:rFonts w:eastAsia="Times New Roman"/>
                      <w:color w:val="auto"/>
                      <w:szCs w:val="21"/>
                    </w:rPr>
                  </w:pPr>
                  <w:r>
                    <w:rPr>
                      <w:rFonts w:eastAsia="Times New Roman"/>
                      <w:color w:val="auto"/>
                      <w:szCs w:val="21"/>
                    </w:rPr>
                    <w:t>0.05</w:t>
                  </w:r>
                </w:p>
              </w:tc>
              <w:tc>
                <w:tcPr>
                  <w:tcW w:w="491" w:type="pct"/>
                  <w:shd w:val="clear" w:color="auto" w:fill="auto"/>
                  <w:vAlign w:val="center"/>
                </w:tcPr>
                <w:p w14:paraId="590F599B">
                  <w:pPr>
                    <w:jc w:val="center"/>
                    <w:rPr>
                      <w:rFonts w:eastAsia="Times New Roman"/>
                      <w:color w:val="auto"/>
                      <w:szCs w:val="21"/>
                    </w:rPr>
                  </w:pPr>
                  <w:r>
                    <w:rPr>
                      <w:rFonts w:eastAsia="Times New Roman"/>
                      <w:color w:val="auto"/>
                      <w:szCs w:val="21"/>
                    </w:rPr>
                    <w:t>0.05</w:t>
                  </w:r>
                </w:p>
              </w:tc>
              <w:tc>
                <w:tcPr>
                  <w:tcW w:w="562" w:type="pct"/>
                  <w:shd w:val="clear" w:color="auto" w:fill="auto"/>
                  <w:vAlign w:val="center"/>
                </w:tcPr>
                <w:p w14:paraId="3CED7D61">
                  <w:pPr>
                    <w:jc w:val="center"/>
                    <w:rPr>
                      <w:color w:val="auto"/>
                      <w:szCs w:val="21"/>
                    </w:rPr>
                  </w:pPr>
                  <w:r>
                    <w:rPr>
                      <w:color w:val="auto"/>
                      <w:szCs w:val="21"/>
                    </w:rPr>
                    <w:t>仓库</w:t>
                  </w:r>
                </w:p>
              </w:tc>
            </w:tr>
            <w:tr w14:paraId="5788BF0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727AD830">
                  <w:pPr>
                    <w:jc w:val="center"/>
                    <w:rPr>
                      <w:rFonts w:eastAsia="Times New Roman"/>
                      <w:color w:val="auto"/>
                      <w:szCs w:val="21"/>
                    </w:rPr>
                  </w:pPr>
                  <w:r>
                    <w:rPr>
                      <w:rFonts w:eastAsia="Times New Roman"/>
                      <w:color w:val="auto"/>
                      <w:szCs w:val="21"/>
                    </w:rPr>
                    <w:t>8</w:t>
                  </w:r>
                </w:p>
              </w:tc>
              <w:tc>
                <w:tcPr>
                  <w:tcW w:w="1703" w:type="pct"/>
                  <w:shd w:val="clear" w:color="auto" w:fill="auto"/>
                  <w:vAlign w:val="center"/>
                </w:tcPr>
                <w:p w14:paraId="6DC49029">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氯化钾</w:t>
                  </w:r>
                </w:p>
              </w:tc>
              <w:tc>
                <w:tcPr>
                  <w:tcW w:w="586" w:type="pct"/>
                  <w:shd w:val="clear" w:color="auto" w:fill="auto"/>
                  <w:vAlign w:val="center"/>
                </w:tcPr>
                <w:p w14:paraId="28DB764C">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06560FC3">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2EA770A0">
                  <w:pPr>
                    <w:jc w:val="center"/>
                    <w:rPr>
                      <w:rFonts w:eastAsia="Times New Roman"/>
                      <w:color w:val="auto"/>
                      <w:szCs w:val="21"/>
                    </w:rPr>
                  </w:pPr>
                  <w:r>
                    <w:rPr>
                      <w:rFonts w:eastAsia="Times New Roman"/>
                      <w:color w:val="auto"/>
                      <w:szCs w:val="21"/>
                    </w:rPr>
                    <w:t>0.003</w:t>
                  </w:r>
                </w:p>
              </w:tc>
              <w:tc>
                <w:tcPr>
                  <w:tcW w:w="491" w:type="pct"/>
                  <w:shd w:val="clear" w:color="auto" w:fill="auto"/>
                  <w:vAlign w:val="center"/>
                </w:tcPr>
                <w:p w14:paraId="68987A39">
                  <w:pPr>
                    <w:jc w:val="center"/>
                    <w:rPr>
                      <w:rFonts w:eastAsia="Times New Roman"/>
                      <w:color w:val="auto"/>
                      <w:szCs w:val="21"/>
                    </w:rPr>
                  </w:pPr>
                  <w:r>
                    <w:rPr>
                      <w:rFonts w:eastAsia="Times New Roman"/>
                      <w:color w:val="auto"/>
                      <w:szCs w:val="21"/>
                    </w:rPr>
                    <w:t>0.003</w:t>
                  </w:r>
                </w:p>
              </w:tc>
              <w:tc>
                <w:tcPr>
                  <w:tcW w:w="562" w:type="pct"/>
                  <w:shd w:val="clear" w:color="auto" w:fill="auto"/>
                  <w:vAlign w:val="center"/>
                </w:tcPr>
                <w:p w14:paraId="3C95BD37">
                  <w:pPr>
                    <w:jc w:val="center"/>
                    <w:rPr>
                      <w:color w:val="auto"/>
                      <w:szCs w:val="21"/>
                    </w:rPr>
                  </w:pPr>
                  <w:r>
                    <w:rPr>
                      <w:color w:val="auto"/>
                      <w:szCs w:val="21"/>
                    </w:rPr>
                    <w:t>仓库</w:t>
                  </w:r>
                </w:p>
              </w:tc>
            </w:tr>
            <w:tr w14:paraId="0C0C8D3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34150D11">
                  <w:pPr>
                    <w:jc w:val="center"/>
                    <w:rPr>
                      <w:rFonts w:eastAsia="Times New Roman"/>
                      <w:color w:val="auto"/>
                      <w:szCs w:val="21"/>
                    </w:rPr>
                  </w:pPr>
                  <w:r>
                    <w:rPr>
                      <w:rFonts w:eastAsia="Times New Roman"/>
                      <w:color w:val="auto"/>
                      <w:szCs w:val="21"/>
                    </w:rPr>
                    <w:t>9</w:t>
                  </w:r>
                </w:p>
              </w:tc>
              <w:tc>
                <w:tcPr>
                  <w:tcW w:w="1703" w:type="pct"/>
                  <w:shd w:val="clear" w:color="auto" w:fill="auto"/>
                  <w:vAlign w:val="center"/>
                </w:tcPr>
                <w:p w14:paraId="26A30E62">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碳酸钠</w:t>
                  </w:r>
                </w:p>
              </w:tc>
              <w:tc>
                <w:tcPr>
                  <w:tcW w:w="586" w:type="pct"/>
                  <w:shd w:val="clear" w:color="auto" w:fill="auto"/>
                  <w:vAlign w:val="center"/>
                </w:tcPr>
                <w:p w14:paraId="586B8AD6">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30BA074A">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6BB669A9">
                  <w:pPr>
                    <w:jc w:val="center"/>
                    <w:rPr>
                      <w:rFonts w:eastAsia="Times New Roman"/>
                      <w:color w:val="auto"/>
                      <w:szCs w:val="21"/>
                    </w:rPr>
                  </w:pPr>
                  <w:r>
                    <w:rPr>
                      <w:rFonts w:eastAsia="Times New Roman"/>
                      <w:color w:val="auto"/>
                      <w:szCs w:val="21"/>
                    </w:rPr>
                    <w:t>0.005</w:t>
                  </w:r>
                </w:p>
              </w:tc>
              <w:tc>
                <w:tcPr>
                  <w:tcW w:w="491" w:type="pct"/>
                  <w:shd w:val="clear" w:color="auto" w:fill="auto"/>
                  <w:vAlign w:val="center"/>
                </w:tcPr>
                <w:p w14:paraId="5000790C">
                  <w:pPr>
                    <w:jc w:val="center"/>
                    <w:rPr>
                      <w:rFonts w:eastAsia="Times New Roman"/>
                      <w:color w:val="auto"/>
                      <w:szCs w:val="21"/>
                    </w:rPr>
                  </w:pPr>
                  <w:r>
                    <w:rPr>
                      <w:rFonts w:eastAsia="Times New Roman"/>
                      <w:color w:val="auto"/>
                      <w:szCs w:val="21"/>
                    </w:rPr>
                    <w:t>0.005</w:t>
                  </w:r>
                </w:p>
              </w:tc>
              <w:tc>
                <w:tcPr>
                  <w:tcW w:w="562" w:type="pct"/>
                  <w:shd w:val="clear" w:color="auto" w:fill="auto"/>
                  <w:vAlign w:val="center"/>
                </w:tcPr>
                <w:p w14:paraId="3D30968E">
                  <w:pPr>
                    <w:jc w:val="center"/>
                    <w:rPr>
                      <w:color w:val="auto"/>
                      <w:szCs w:val="21"/>
                    </w:rPr>
                  </w:pPr>
                  <w:r>
                    <w:rPr>
                      <w:color w:val="auto"/>
                      <w:szCs w:val="21"/>
                    </w:rPr>
                    <w:t>仓库</w:t>
                  </w:r>
                </w:p>
              </w:tc>
            </w:tr>
            <w:tr w14:paraId="2835DF2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589269B2">
                  <w:pPr>
                    <w:jc w:val="center"/>
                    <w:rPr>
                      <w:color w:val="auto"/>
                      <w:szCs w:val="21"/>
                    </w:rPr>
                  </w:pPr>
                  <w:r>
                    <w:rPr>
                      <w:rFonts w:hint="eastAsia"/>
                      <w:color w:val="auto"/>
                      <w:szCs w:val="21"/>
                    </w:rPr>
                    <w:t>10</w:t>
                  </w:r>
                </w:p>
              </w:tc>
              <w:tc>
                <w:tcPr>
                  <w:tcW w:w="1703" w:type="pct"/>
                  <w:shd w:val="clear" w:color="auto" w:fill="auto"/>
                  <w:vAlign w:val="center"/>
                </w:tcPr>
                <w:p w14:paraId="03EDAF07">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碳酸氢钠</w:t>
                  </w:r>
                </w:p>
              </w:tc>
              <w:tc>
                <w:tcPr>
                  <w:tcW w:w="586" w:type="pct"/>
                  <w:shd w:val="clear" w:color="auto" w:fill="auto"/>
                  <w:vAlign w:val="center"/>
                </w:tcPr>
                <w:p w14:paraId="50605F75">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1C3AE306">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1A2416A7">
                  <w:pPr>
                    <w:jc w:val="center"/>
                    <w:rPr>
                      <w:rFonts w:eastAsia="Times New Roman"/>
                      <w:color w:val="auto"/>
                      <w:szCs w:val="21"/>
                    </w:rPr>
                  </w:pPr>
                  <w:r>
                    <w:rPr>
                      <w:rFonts w:eastAsia="Times New Roman"/>
                      <w:color w:val="auto"/>
                      <w:szCs w:val="21"/>
                    </w:rPr>
                    <w:t>0.005</w:t>
                  </w:r>
                </w:p>
              </w:tc>
              <w:tc>
                <w:tcPr>
                  <w:tcW w:w="491" w:type="pct"/>
                  <w:shd w:val="clear" w:color="auto" w:fill="auto"/>
                  <w:vAlign w:val="center"/>
                </w:tcPr>
                <w:p w14:paraId="7585C45B">
                  <w:pPr>
                    <w:jc w:val="center"/>
                    <w:rPr>
                      <w:rFonts w:eastAsia="Times New Roman"/>
                      <w:color w:val="auto"/>
                      <w:szCs w:val="21"/>
                    </w:rPr>
                  </w:pPr>
                  <w:r>
                    <w:rPr>
                      <w:rFonts w:eastAsia="Times New Roman"/>
                      <w:color w:val="auto"/>
                      <w:szCs w:val="21"/>
                    </w:rPr>
                    <w:t>0.005</w:t>
                  </w:r>
                </w:p>
              </w:tc>
              <w:tc>
                <w:tcPr>
                  <w:tcW w:w="562" w:type="pct"/>
                  <w:shd w:val="clear" w:color="auto" w:fill="auto"/>
                  <w:vAlign w:val="center"/>
                </w:tcPr>
                <w:p w14:paraId="27CAC009">
                  <w:pPr>
                    <w:jc w:val="center"/>
                    <w:rPr>
                      <w:color w:val="auto"/>
                      <w:szCs w:val="21"/>
                    </w:rPr>
                  </w:pPr>
                  <w:r>
                    <w:rPr>
                      <w:color w:val="auto"/>
                      <w:szCs w:val="21"/>
                    </w:rPr>
                    <w:t>仓库</w:t>
                  </w:r>
                </w:p>
              </w:tc>
            </w:tr>
            <w:tr w14:paraId="554D82C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35BFAD3F">
                  <w:pPr>
                    <w:jc w:val="center"/>
                    <w:rPr>
                      <w:color w:val="auto"/>
                      <w:szCs w:val="21"/>
                    </w:rPr>
                  </w:pPr>
                  <w:r>
                    <w:rPr>
                      <w:rFonts w:hint="eastAsia"/>
                      <w:color w:val="auto"/>
                      <w:szCs w:val="21"/>
                    </w:rPr>
                    <w:t>11</w:t>
                  </w:r>
                </w:p>
              </w:tc>
              <w:tc>
                <w:tcPr>
                  <w:tcW w:w="1703" w:type="pct"/>
                  <w:shd w:val="clear" w:color="auto" w:fill="auto"/>
                  <w:vAlign w:val="center"/>
                </w:tcPr>
                <w:p w14:paraId="156612F2">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无水硫酸钠</w:t>
                  </w:r>
                </w:p>
              </w:tc>
              <w:tc>
                <w:tcPr>
                  <w:tcW w:w="586" w:type="pct"/>
                  <w:shd w:val="clear" w:color="auto" w:fill="auto"/>
                  <w:vAlign w:val="center"/>
                </w:tcPr>
                <w:p w14:paraId="07F18537">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57904467">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549D10D0">
                  <w:pPr>
                    <w:jc w:val="center"/>
                    <w:rPr>
                      <w:rFonts w:eastAsia="Times New Roman"/>
                      <w:color w:val="auto"/>
                      <w:szCs w:val="21"/>
                    </w:rPr>
                  </w:pPr>
                  <w:r>
                    <w:rPr>
                      <w:rFonts w:eastAsia="Times New Roman"/>
                      <w:color w:val="auto"/>
                      <w:szCs w:val="21"/>
                    </w:rPr>
                    <w:t>0.05</w:t>
                  </w:r>
                </w:p>
              </w:tc>
              <w:tc>
                <w:tcPr>
                  <w:tcW w:w="491" w:type="pct"/>
                  <w:shd w:val="clear" w:color="auto" w:fill="auto"/>
                  <w:vAlign w:val="center"/>
                </w:tcPr>
                <w:p w14:paraId="289ADCE5">
                  <w:pPr>
                    <w:jc w:val="center"/>
                    <w:rPr>
                      <w:rFonts w:eastAsia="Times New Roman"/>
                      <w:color w:val="auto"/>
                      <w:szCs w:val="21"/>
                    </w:rPr>
                  </w:pPr>
                  <w:r>
                    <w:rPr>
                      <w:rFonts w:eastAsia="Times New Roman"/>
                      <w:color w:val="auto"/>
                      <w:szCs w:val="21"/>
                    </w:rPr>
                    <w:t>0.05</w:t>
                  </w:r>
                </w:p>
              </w:tc>
              <w:tc>
                <w:tcPr>
                  <w:tcW w:w="562" w:type="pct"/>
                  <w:shd w:val="clear" w:color="auto" w:fill="auto"/>
                  <w:vAlign w:val="center"/>
                </w:tcPr>
                <w:p w14:paraId="58191528">
                  <w:pPr>
                    <w:jc w:val="center"/>
                    <w:rPr>
                      <w:color w:val="auto"/>
                      <w:szCs w:val="21"/>
                    </w:rPr>
                  </w:pPr>
                  <w:r>
                    <w:rPr>
                      <w:color w:val="auto"/>
                      <w:szCs w:val="21"/>
                    </w:rPr>
                    <w:t>仓库</w:t>
                  </w:r>
                </w:p>
              </w:tc>
            </w:tr>
            <w:tr w14:paraId="22EF3B9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19A032E4">
                  <w:pPr>
                    <w:jc w:val="center"/>
                    <w:rPr>
                      <w:color w:val="auto"/>
                      <w:szCs w:val="21"/>
                    </w:rPr>
                  </w:pPr>
                  <w:r>
                    <w:rPr>
                      <w:rFonts w:hint="eastAsia"/>
                      <w:color w:val="auto"/>
                      <w:szCs w:val="21"/>
                    </w:rPr>
                    <w:t>12</w:t>
                  </w:r>
                </w:p>
              </w:tc>
              <w:tc>
                <w:tcPr>
                  <w:tcW w:w="1703" w:type="pct"/>
                  <w:shd w:val="clear" w:color="auto" w:fill="auto"/>
                  <w:vAlign w:val="center"/>
                </w:tcPr>
                <w:p w14:paraId="31CD19B0">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亚硫酸钠</w:t>
                  </w:r>
                </w:p>
              </w:tc>
              <w:tc>
                <w:tcPr>
                  <w:tcW w:w="586" w:type="pct"/>
                  <w:shd w:val="clear" w:color="auto" w:fill="auto"/>
                  <w:vAlign w:val="center"/>
                </w:tcPr>
                <w:p w14:paraId="245F4C02">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76F39EBF">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7B1E0429">
                  <w:pPr>
                    <w:jc w:val="center"/>
                    <w:rPr>
                      <w:rFonts w:eastAsia="Times New Roman"/>
                      <w:color w:val="auto"/>
                      <w:szCs w:val="21"/>
                    </w:rPr>
                  </w:pPr>
                  <w:r>
                    <w:rPr>
                      <w:rFonts w:eastAsia="Times New Roman"/>
                      <w:color w:val="auto"/>
                      <w:szCs w:val="21"/>
                    </w:rPr>
                    <w:t>0.005</w:t>
                  </w:r>
                </w:p>
              </w:tc>
              <w:tc>
                <w:tcPr>
                  <w:tcW w:w="491" w:type="pct"/>
                  <w:shd w:val="clear" w:color="auto" w:fill="auto"/>
                  <w:vAlign w:val="center"/>
                </w:tcPr>
                <w:p w14:paraId="4992A5FC">
                  <w:pPr>
                    <w:jc w:val="center"/>
                    <w:rPr>
                      <w:rFonts w:eastAsia="Times New Roman"/>
                      <w:color w:val="auto"/>
                      <w:szCs w:val="21"/>
                    </w:rPr>
                  </w:pPr>
                  <w:r>
                    <w:rPr>
                      <w:rFonts w:eastAsia="Times New Roman"/>
                      <w:color w:val="auto"/>
                      <w:szCs w:val="21"/>
                    </w:rPr>
                    <w:t>0.005</w:t>
                  </w:r>
                </w:p>
              </w:tc>
              <w:tc>
                <w:tcPr>
                  <w:tcW w:w="562" w:type="pct"/>
                  <w:shd w:val="clear" w:color="auto" w:fill="auto"/>
                  <w:vAlign w:val="center"/>
                </w:tcPr>
                <w:p w14:paraId="19F68F96">
                  <w:pPr>
                    <w:jc w:val="center"/>
                    <w:rPr>
                      <w:color w:val="auto"/>
                      <w:szCs w:val="21"/>
                    </w:rPr>
                  </w:pPr>
                  <w:r>
                    <w:rPr>
                      <w:color w:val="auto"/>
                      <w:szCs w:val="21"/>
                    </w:rPr>
                    <w:t>仓库</w:t>
                  </w:r>
                </w:p>
              </w:tc>
            </w:tr>
            <w:tr w14:paraId="714A6A9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4ECD0DDB">
                  <w:pPr>
                    <w:jc w:val="center"/>
                    <w:rPr>
                      <w:color w:val="auto"/>
                      <w:szCs w:val="21"/>
                    </w:rPr>
                  </w:pPr>
                  <w:r>
                    <w:rPr>
                      <w:rFonts w:hint="eastAsia"/>
                      <w:color w:val="auto"/>
                      <w:szCs w:val="21"/>
                    </w:rPr>
                    <w:t>13</w:t>
                  </w:r>
                </w:p>
              </w:tc>
              <w:tc>
                <w:tcPr>
                  <w:tcW w:w="1703" w:type="pct"/>
                  <w:shd w:val="clear" w:color="auto" w:fill="auto"/>
                  <w:vAlign w:val="center"/>
                </w:tcPr>
                <w:p w14:paraId="2B995EC8">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氯化钙</w:t>
                  </w:r>
                </w:p>
              </w:tc>
              <w:tc>
                <w:tcPr>
                  <w:tcW w:w="586" w:type="pct"/>
                  <w:shd w:val="clear" w:color="auto" w:fill="auto"/>
                  <w:vAlign w:val="center"/>
                </w:tcPr>
                <w:p w14:paraId="35D5D86D">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67DCA928">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17526263">
                  <w:pPr>
                    <w:jc w:val="center"/>
                    <w:rPr>
                      <w:rFonts w:eastAsia="Times New Roman"/>
                      <w:color w:val="auto"/>
                      <w:szCs w:val="21"/>
                    </w:rPr>
                  </w:pPr>
                  <w:r>
                    <w:rPr>
                      <w:rFonts w:eastAsia="Times New Roman"/>
                      <w:color w:val="auto"/>
                      <w:szCs w:val="21"/>
                    </w:rPr>
                    <w:t>0.03</w:t>
                  </w:r>
                </w:p>
              </w:tc>
              <w:tc>
                <w:tcPr>
                  <w:tcW w:w="491" w:type="pct"/>
                  <w:shd w:val="clear" w:color="auto" w:fill="auto"/>
                  <w:vAlign w:val="center"/>
                </w:tcPr>
                <w:p w14:paraId="4E95374C">
                  <w:pPr>
                    <w:jc w:val="center"/>
                    <w:rPr>
                      <w:rFonts w:eastAsia="Times New Roman"/>
                      <w:color w:val="auto"/>
                      <w:szCs w:val="21"/>
                    </w:rPr>
                  </w:pPr>
                  <w:r>
                    <w:rPr>
                      <w:rFonts w:eastAsia="Times New Roman"/>
                      <w:color w:val="auto"/>
                      <w:szCs w:val="21"/>
                    </w:rPr>
                    <w:t>0.03</w:t>
                  </w:r>
                </w:p>
              </w:tc>
              <w:tc>
                <w:tcPr>
                  <w:tcW w:w="562" w:type="pct"/>
                  <w:shd w:val="clear" w:color="auto" w:fill="auto"/>
                  <w:vAlign w:val="center"/>
                </w:tcPr>
                <w:p w14:paraId="4D773573">
                  <w:pPr>
                    <w:jc w:val="center"/>
                    <w:rPr>
                      <w:color w:val="auto"/>
                      <w:szCs w:val="21"/>
                    </w:rPr>
                  </w:pPr>
                  <w:r>
                    <w:rPr>
                      <w:color w:val="auto"/>
                      <w:szCs w:val="21"/>
                    </w:rPr>
                    <w:t>仓库</w:t>
                  </w:r>
                </w:p>
              </w:tc>
            </w:tr>
            <w:tr w14:paraId="09C6F9F8">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4EE93A8A">
                  <w:pPr>
                    <w:jc w:val="center"/>
                    <w:rPr>
                      <w:color w:val="auto"/>
                      <w:szCs w:val="21"/>
                    </w:rPr>
                  </w:pPr>
                  <w:r>
                    <w:rPr>
                      <w:rFonts w:hint="eastAsia"/>
                      <w:color w:val="auto"/>
                      <w:szCs w:val="21"/>
                    </w:rPr>
                    <w:t>14</w:t>
                  </w:r>
                </w:p>
              </w:tc>
              <w:tc>
                <w:tcPr>
                  <w:tcW w:w="1703" w:type="pct"/>
                  <w:shd w:val="clear" w:color="auto" w:fill="auto"/>
                  <w:vAlign w:val="center"/>
                </w:tcPr>
                <w:p w14:paraId="6477A5CF">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氢氧化钠</w:t>
                  </w:r>
                </w:p>
              </w:tc>
              <w:tc>
                <w:tcPr>
                  <w:tcW w:w="586" w:type="pct"/>
                  <w:shd w:val="clear" w:color="auto" w:fill="auto"/>
                  <w:vAlign w:val="center"/>
                </w:tcPr>
                <w:p w14:paraId="5D20E2B2">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51A5A11A">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5A224580">
                  <w:pPr>
                    <w:jc w:val="center"/>
                    <w:rPr>
                      <w:rFonts w:eastAsia="Times New Roman"/>
                      <w:color w:val="auto"/>
                      <w:szCs w:val="21"/>
                    </w:rPr>
                  </w:pPr>
                  <w:r>
                    <w:rPr>
                      <w:rFonts w:eastAsia="Times New Roman"/>
                      <w:color w:val="auto"/>
                      <w:szCs w:val="21"/>
                    </w:rPr>
                    <w:t>0.005</w:t>
                  </w:r>
                </w:p>
              </w:tc>
              <w:tc>
                <w:tcPr>
                  <w:tcW w:w="491" w:type="pct"/>
                  <w:shd w:val="clear" w:color="auto" w:fill="auto"/>
                  <w:vAlign w:val="center"/>
                </w:tcPr>
                <w:p w14:paraId="6FD11E48">
                  <w:pPr>
                    <w:jc w:val="center"/>
                    <w:rPr>
                      <w:rFonts w:eastAsia="Times New Roman"/>
                      <w:color w:val="auto"/>
                      <w:szCs w:val="21"/>
                    </w:rPr>
                  </w:pPr>
                  <w:r>
                    <w:rPr>
                      <w:rFonts w:eastAsia="Times New Roman"/>
                      <w:color w:val="auto"/>
                      <w:szCs w:val="21"/>
                    </w:rPr>
                    <w:t>0.005</w:t>
                  </w:r>
                </w:p>
              </w:tc>
              <w:tc>
                <w:tcPr>
                  <w:tcW w:w="562" w:type="pct"/>
                  <w:shd w:val="clear" w:color="auto" w:fill="auto"/>
                  <w:vAlign w:val="center"/>
                </w:tcPr>
                <w:p w14:paraId="4483A7BE">
                  <w:pPr>
                    <w:jc w:val="center"/>
                    <w:rPr>
                      <w:color w:val="auto"/>
                      <w:szCs w:val="21"/>
                    </w:rPr>
                  </w:pPr>
                  <w:r>
                    <w:rPr>
                      <w:color w:val="auto"/>
                      <w:szCs w:val="21"/>
                    </w:rPr>
                    <w:t>仓库</w:t>
                  </w:r>
                </w:p>
              </w:tc>
            </w:tr>
            <w:tr w14:paraId="0FA59298">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31705FAF">
                  <w:pPr>
                    <w:jc w:val="center"/>
                    <w:rPr>
                      <w:color w:val="auto"/>
                      <w:szCs w:val="21"/>
                    </w:rPr>
                  </w:pPr>
                  <w:r>
                    <w:rPr>
                      <w:rFonts w:hint="eastAsia"/>
                      <w:color w:val="auto"/>
                      <w:szCs w:val="21"/>
                    </w:rPr>
                    <w:t>15</w:t>
                  </w:r>
                </w:p>
              </w:tc>
              <w:tc>
                <w:tcPr>
                  <w:tcW w:w="1703" w:type="pct"/>
                  <w:shd w:val="clear" w:color="auto" w:fill="auto"/>
                  <w:vAlign w:val="center"/>
                </w:tcPr>
                <w:p w14:paraId="3F138614">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氢氧化钾</w:t>
                  </w:r>
                </w:p>
              </w:tc>
              <w:tc>
                <w:tcPr>
                  <w:tcW w:w="586" w:type="pct"/>
                  <w:shd w:val="clear" w:color="auto" w:fill="auto"/>
                  <w:vAlign w:val="center"/>
                </w:tcPr>
                <w:p w14:paraId="6B0B8E5F">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3561BBF0">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0173AF8C">
                  <w:pPr>
                    <w:jc w:val="center"/>
                    <w:rPr>
                      <w:rFonts w:eastAsia="Times New Roman"/>
                      <w:color w:val="auto"/>
                      <w:szCs w:val="21"/>
                    </w:rPr>
                  </w:pPr>
                  <w:r>
                    <w:rPr>
                      <w:rFonts w:eastAsia="Times New Roman"/>
                      <w:color w:val="auto"/>
                      <w:szCs w:val="21"/>
                    </w:rPr>
                    <w:t>0.005</w:t>
                  </w:r>
                </w:p>
              </w:tc>
              <w:tc>
                <w:tcPr>
                  <w:tcW w:w="491" w:type="pct"/>
                  <w:shd w:val="clear" w:color="auto" w:fill="auto"/>
                  <w:vAlign w:val="center"/>
                </w:tcPr>
                <w:p w14:paraId="4E223AAA">
                  <w:pPr>
                    <w:jc w:val="center"/>
                    <w:rPr>
                      <w:rFonts w:eastAsia="Times New Roman"/>
                      <w:color w:val="auto"/>
                      <w:szCs w:val="21"/>
                    </w:rPr>
                  </w:pPr>
                  <w:r>
                    <w:rPr>
                      <w:rFonts w:eastAsia="Times New Roman"/>
                      <w:color w:val="auto"/>
                      <w:szCs w:val="21"/>
                    </w:rPr>
                    <w:t>0.005</w:t>
                  </w:r>
                </w:p>
              </w:tc>
              <w:tc>
                <w:tcPr>
                  <w:tcW w:w="562" w:type="pct"/>
                  <w:shd w:val="clear" w:color="auto" w:fill="auto"/>
                  <w:vAlign w:val="center"/>
                </w:tcPr>
                <w:p w14:paraId="12317D6E">
                  <w:pPr>
                    <w:jc w:val="center"/>
                    <w:rPr>
                      <w:color w:val="auto"/>
                      <w:szCs w:val="21"/>
                    </w:rPr>
                  </w:pPr>
                  <w:r>
                    <w:rPr>
                      <w:color w:val="auto"/>
                      <w:szCs w:val="21"/>
                    </w:rPr>
                    <w:t>仓库</w:t>
                  </w:r>
                </w:p>
              </w:tc>
            </w:tr>
            <w:tr w14:paraId="2072FE8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5DF59C72">
                  <w:pPr>
                    <w:jc w:val="center"/>
                    <w:rPr>
                      <w:color w:val="auto"/>
                      <w:szCs w:val="21"/>
                    </w:rPr>
                  </w:pPr>
                  <w:r>
                    <w:rPr>
                      <w:rFonts w:hint="eastAsia"/>
                      <w:color w:val="auto"/>
                      <w:szCs w:val="21"/>
                    </w:rPr>
                    <w:t>16</w:t>
                  </w:r>
                </w:p>
              </w:tc>
              <w:tc>
                <w:tcPr>
                  <w:tcW w:w="1703" w:type="pct"/>
                  <w:shd w:val="clear" w:color="auto" w:fill="auto"/>
                  <w:vAlign w:val="center"/>
                </w:tcPr>
                <w:p w14:paraId="327FA957">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柠檬酸</w:t>
                  </w:r>
                </w:p>
              </w:tc>
              <w:tc>
                <w:tcPr>
                  <w:tcW w:w="586" w:type="pct"/>
                  <w:shd w:val="clear" w:color="auto" w:fill="auto"/>
                  <w:vAlign w:val="center"/>
                </w:tcPr>
                <w:p w14:paraId="669045F8">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47D9335A">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7293F1FD">
                  <w:pPr>
                    <w:jc w:val="center"/>
                    <w:rPr>
                      <w:rFonts w:eastAsia="Times New Roman"/>
                      <w:color w:val="auto"/>
                      <w:szCs w:val="21"/>
                    </w:rPr>
                  </w:pPr>
                  <w:r>
                    <w:rPr>
                      <w:rFonts w:eastAsia="Times New Roman"/>
                      <w:color w:val="auto"/>
                      <w:szCs w:val="21"/>
                    </w:rPr>
                    <w:t>0.005</w:t>
                  </w:r>
                </w:p>
              </w:tc>
              <w:tc>
                <w:tcPr>
                  <w:tcW w:w="491" w:type="pct"/>
                  <w:shd w:val="clear" w:color="auto" w:fill="auto"/>
                  <w:vAlign w:val="center"/>
                </w:tcPr>
                <w:p w14:paraId="30B75F23">
                  <w:pPr>
                    <w:jc w:val="center"/>
                    <w:rPr>
                      <w:rFonts w:eastAsia="Times New Roman"/>
                      <w:color w:val="auto"/>
                      <w:szCs w:val="21"/>
                    </w:rPr>
                  </w:pPr>
                  <w:r>
                    <w:rPr>
                      <w:rFonts w:eastAsia="Times New Roman"/>
                      <w:color w:val="auto"/>
                      <w:szCs w:val="21"/>
                    </w:rPr>
                    <w:t>0.005</w:t>
                  </w:r>
                </w:p>
              </w:tc>
              <w:tc>
                <w:tcPr>
                  <w:tcW w:w="562" w:type="pct"/>
                  <w:shd w:val="clear" w:color="auto" w:fill="auto"/>
                  <w:vAlign w:val="center"/>
                </w:tcPr>
                <w:p w14:paraId="05C98EAC">
                  <w:pPr>
                    <w:jc w:val="center"/>
                    <w:rPr>
                      <w:color w:val="auto"/>
                      <w:szCs w:val="21"/>
                    </w:rPr>
                  </w:pPr>
                  <w:r>
                    <w:rPr>
                      <w:color w:val="auto"/>
                      <w:szCs w:val="21"/>
                    </w:rPr>
                    <w:t>仓库</w:t>
                  </w:r>
                </w:p>
              </w:tc>
            </w:tr>
            <w:tr w14:paraId="041EA12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769A602B">
                  <w:pPr>
                    <w:jc w:val="center"/>
                    <w:rPr>
                      <w:color w:val="auto"/>
                      <w:szCs w:val="21"/>
                    </w:rPr>
                  </w:pPr>
                  <w:r>
                    <w:rPr>
                      <w:rFonts w:hint="eastAsia"/>
                      <w:color w:val="auto"/>
                      <w:szCs w:val="21"/>
                    </w:rPr>
                    <w:t>17</w:t>
                  </w:r>
                </w:p>
              </w:tc>
              <w:tc>
                <w:tcPr>
                  <w:tcW w:w="1703" w:type="pct"/>
                  <w:shd w:val="clear" w:color="auto" w:fill="auto"/>
                  <w:vAlign w:val="center"/>
                </w:tcPr>
                <w:p w14:paraId="1B685280">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硅藻土</w:t>
                  </w:r>
                </w:p>
              </w:tc>
              <w:tc>
                <w:tcPr>
                  <w:tcW w:w="586" w:type="pct"/>
                  <w:shd w:val="clear" w:color="auto" w:fill="auto"/>
                  <w:vAlign w:val="center"/>
                </w:tcPr>
                <w:p w14:paraId="0C31BC2A">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6B0C4B8E">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51BB7E8C">
                  <w:pPr>
                    <w:jc w:val="center"/>
                    <w:rPr>
                      <w:rFonts w:eastAsia="Times New Roman"/>
                      <w:color w:val="auto"/>
                      <w:szCs w:val="21"/>
                    </w:rPr>
                  </w:pPr>
                  <w:r>
                    <w:rPr>
                      <w:rFonts w:eastAsia="Times New Roman"/>
                      <w:color w:val="auto"/>
                      <w:szCs w:val="21"/>
                    </w:rPr>
                    <w:t>0.005</w:t>
                  </w:r>
                </w:p>
              </w:tc>
              <w:tc>
                <w:tcPr>
                  <w:tcW w:w="491" w:type="pct"/>
                  <w:shd w:val="clear" w:color="auto" w:fill="auto"/>
                  <w:vAlign w:val="center"/>
                </w:tcPr>
                <w:p w14:paraId="20F2935C">
                  <w:pPr>
                    <w:jc w:val="center"/>
                    <w:rPr>
                      <w:rFonts w:eastAsia="Times New Roman"/>
                      <w:color w:val="auto"/>
                      <w:szCs w:val="21"/>
                    </w:rPr>
                  </w:pPr>
                  <w:r>
                    <w:rPr>
                      <w:rFonts w:eastAsia="Times New Roman"/>
                      <w:color w:val="auto"/>
                      <w:szCs w:val="21"/>
                    </w:rPr>
                    <w:t>0.005</w:t>
                  </w:r>
                </w:p>
              </w:tc>
              <w:tc>
                <w:tcPr>
                  <w:tcW w:w="562" w:type="pct"/>
                  <w:shd w:val="clear" w:color="auto" w:fill="auto"/>
                  <w:vAlign w:val="center"/>
                </w:tcPr>
                <w:p w14:paraId="150BE360">
                  <w:pPr>
                    <w:jc w:val="center"/>
                    <w:rPr>
                      <w:color w:val="auto"/>
                      <w:szCs w:val="21"/>
                    </w:rPr>
                  </w:pPr>
                  <w:r>
                    <w:rPr>
                      <w:color w:val="auto"/>
                      <w:szCs w:val="21"/>
                    </w:rPr>
                    <w:t>仓库</w:t>
                  </w:r>
                </w:p>
              </w:tc>
            </w:tr>
            <w:tr w14:paraId="769C94A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2618653A">
                  <w:pPr>
                    <w:jc w:val="center"/>
                    <w:rPr>
                      <w:color w:val="auto"/>
                      <w:szCs w:val="21"/>
                    </w:rPr>
                  </w:pPr>
                  <w:r>
                    <w:rPr>
                      <w:rFonts w:hint="eastAsia"/>
                      <w:color w:val="auto"/>
                      <w:szCs w:val="21"/>
                    </w:rPr>
                    <w:t>18</w:t>
                  </w:r>
                </w:p>
              </w:tc>
              <w:tc>
                <w:tcPr>
                  <w:tcW w:w="1703" w:type="pct"/>
                  <w:shd w:val="clear" w:color="auto" w:fill="auto"/>
                  <w:vAlign w:val="center"/>
                </w:tcPr>
                <w:p w14:paraId="10F02DAD">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硅胶</w:t>
                  </w:r>
                </w:p>
              </w:tc>
              <w:tc>
                <w:tcPr>
                  <w:tcW w:w="586" w:type="pct"/>
                  <w:shd w:val="clear" w:color="auto" w:fill="auto"/>
                  <w:vAlign w:val="center"/>
                </w:tcPr>
                <w:p w14:paraId="691503E3">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66430496">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3413E8A0">
                  <w:pPr>
                    <w:jc w:val="center"/>
                    <w:rPr>
                      <w:rFonts w:eastAsia="Times New Roman"/>
                      <w:color w:val="auto"/>
                      <w:szCs w:val="21"/>
                    </w:rPr>
                  </w:pPr>
                  <w:r>
                    <w:rPr>
                      <w:rFonts w:eastAsia="Times New Roman"/>
                      <w:color w:val="auto"/>
                      <w:szCs w:val="21"/>
                    </w:rPr>
                    <w:t>0.05</w:t>
                  </w:r>
                </w:p>
              </w:tc>
              <w:tc>
                <w:tcPr>
                  <w:tcW w:w="491" w:type="pct"/>
                  <w:shd w:val="clear" w:color="auto" w:fill="auto"/>
                  <w:vAlign w:val="center"/>
                </w:tcPr>
                <w:p w14:paraId="7AD01ECF">
                  <w:pPr>
                    <w:jc w:val="center"/>
                    <w:rPr>
                      <w:rFonts w:eastAsia="Times New Roman"/>
                      <w:color w:val="auto"/>
                      <w:szCs w:val="21"/>
                    </w:rPr>
                  </w:pPr>
                  <w:r>
                    <w:rPr>
                      <w:rFonts w:eastAsia="Times New Roman"/>
                      <w:color w:val="auto"/>
                      <w:szCs w:val="21"/>
                    </w:rPr>
                    <w:t>0.05</w:t>
                  </w:r>
                </w:p>
              </w:tc>
              <w:tc>
                <w:tcPr>
                  <w:tcW w:w="562" w:type="pct"/>
                  <w:shd w:val="clear" w:color="auto" w:fill="auto"/>
                  <w:vAlign w:val="center"/>
                </w:tcPr>
                <w:p w14:paraId="1D3ADF7E">
                  <w:pPr>
                    <w:jc w:val="center"/>
                    <w:rPr>
                      <w:color w:val="auto"/>
                      <w:szCs w:val="21"/>
                    </w:rPr>
                  </w:pPr>
                  <w:r>
                    <w:rPr>
                      <w:color w:val="auto"/>
                      <w:szCs w:val="21"/>
                    </w:rPr>
                    <w:t>仓库</w:t>
                  </w:r>
                </w:p>
              </w:tc>
            </w:tr>
            <w:tr w14:paraId="0261319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6FFFA720">
                  <w:pPr>
                    <w:jc w:val="center"/>
                    <w:rPr>
                      <w:color w:val="auto"/>
                      <w:szCs w:val="21"/>
                    </w:rPr>
                  </w:pPr>
                  <w:r>
                    <w:rPr>
                      <w:rFonts w:hint="eastAsia"/>
                      <w:color w:val="auto"/>
                      <w:szCs w:val="21"/>
                    </w:rPr>
                    <w:t>19</w:t>
                  </w:r>
                </w:p>
              </w:tc>
              <w:tc>
                <w:tcPr>
                  <w:tcW w:w="1703" w:type="pct"/>
                  <w:shd w:val="clear" w:color="auto" w:fill="auto"/>
                  <w:vAlign w:val="center"/>
                </w:tcPr>
                <w:p w14:paraId="3DBB7C86">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三乙胺</w:t>
                  </w:r>
                </w:p>
              </w:tc>
              <w:tc>
                <w:tcPr>
                  <w:tcW w:w="586" w:type="pct"/>
                  <w:shd w:val="clear" w:color="auto" w:fill="auto"/>
                  <w:vAlign w:val="center"/>
                </w:tcPr>
                <w:p w14:paraId="5CA4EAEF">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3DD5ACE3">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4956670B">
                  <w:pPr>
                    <w:jc w:val="center"/>
                    <w:rPr>
                      <w:rFonts w:eastAsia="Times New Roman"/>
                      <w:color w:val="auto"/>
                      <w:szCs w:val="21"/>
                    </w:rPr>
                  </w:pPr>
                  <w:r>
                    <w:rPr>
                      <w:rFonts w:eastAsia="Times New Roman"/>
                      <w:color w:val="auto"/>
                      <w:szCs w:val="21"/>
                    </w:rPr>
                    <w:t>0.02</w:t>
                  </w:r>
                </w:p>
              </w:tc>
              <w:tc>
                <w:tcPr>
                  <w:tcW w:w="491" w:type="pct"/>
                  <w:shd w:val="clear" w:color="auto" w:fill="auto"/>
                  <w:vAlign w:val="center"/>
                </w:tcPr>
                <w:p w14:paraId="12BBDE07">
                  <w:pPr>
                    <w:jc w:val="center"/>
                    <w:rPr>
                      <w:rFonts w:eastAsia="Times New Roman"/>
                      <w:color w:val="auto"/>
                      <w:szCs w:val="21"/>
                    </w:rPr>
                  </w:pPr>
                  <w:r>
                    <w:rPr>
                      <w:rFonts w:eastAsia="Times New Roman"/>
                      <w:color w:val="auto"/>
                      <w:szCs w:val="21"/>
                    </w:rPr>
                    <w:t>0.02</w:t>
                  </w:r>
                </w:p>
              </w:tc>
              <w:tc>
                <w:tcPr>
                  <w:tcW w:w="562" w:type="pct"/>
                  <w:shd w:val="clear" w:color="auto" w:fill="auto"/>
                  <w:vAlign w:val="center"/>
                </w:tcPr>
                <w:p w14:paraId="4C415B87">
                  <w:pPr>
                    <w:jc w:val="center"/>
                    <w:rPr>
                      <w:color w:val="auto"/>
                      <w:szCs w:val="21"/>
                    </w:rPr>
                  </w:pPr>
                  <w:r>
                    <w:rPr>
                      <w:color w:val="auto"/>
                      <w:szCs w:val="21"/>
                    </w:rPr>
                    <w:t>仓库</w:t>
                  </w:r>
                </w:p>
              </w:tc>
            </w:tr>
            <w:tr w14:paraId="0DB1BB3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23EBB957">
                  <w:pPr>
                    <w:jc w:val="center"/>
                    <w:rPr>
                      <w:color w:val="FF0000"/>
                      <w:szCs w:val="21"/>
                    </w:rPr>
                  </w:pPr>
                  <w:r>
                    <w:rPr>
                      <w:rFonts w:hint="eastAsia"/>
                      <w:color w:val="FF0000"/>
                      <w:szCs w:val="21"/>
                    </w:rPr>
                    <w:t>20</w:t>
                  </w:r>
                </w:p>
              </w:tc>
              <w:tc>
                <w:tcPr>
                  <w:tcW w:w="1703" w:type="pct"/>
                  <w:shd w:val="clear" w:color="auto" w:fill="auto"/>
                  <w:vAlign w:val="center"/>
                </w:tcPr>
                <w:p w14:paraId="7684B7DC">
                  <w:pPr>
                    <w:pStyle w:val="42"/>
                    <w:jc w:val="center"/>
                    <w:rPr>
                      <w:rFonts w:ascii="Times New Roman" w:hAnsi="Times New Roman" w:cs="Times New Roman"/>
                      <w:color w:val="FF0000"/>
                      <w:sz w:val="21"/>
                      <w:szCs w:val="21"/>
                      <w:lang w:eastAsia="zh-CN"/>
                    </w:rPr>
                  </w:pPr>
                  <w:r>
                    <w:rPr>
                      <w:rFonts w:hint="eastAsia" w:ascii="Times New Roman" w:hAnsi="Times New Roman" w:cs="Times New Roman"/>
                      <w:color w:val="FF0000"/>
                      <w:sz w:val="21"/>
                      <w:szCs w:val="21"/>
                      <w:lang w:eastAsia="zh-CN"/>
                    </w:rPr>
                    <w:t>氨水（</w:t>
                  </w:r>
                  <w:r>
                    <w:rPr>
                      <w:rFonts w:hint="eastAsia" w:ascii="Times New Roman" w:hAnsi="Times New Roman" w:cs="Times New Roman"/>
                      <w:color w:val="FF0000"/>
                      <w:sz w:val="21"/>
                      <w:szCs w:val="21"/>
                      <w:lang w:val="en-US" w:eastAsia="zh-CN"/>
                    </w:rPr>
                    <w:t>20%</w:t>
                  </w:r>
                  <w:r>
                    <w:rPr>
                      <w:rFonts w:hint="eastAsia" w:ascii="Times New Roman" w:hAnsi="Times New Roman" w:cs="Times New Roman"/>
                      <w:color w:val="FF0000"/>
                      <w:sz w:val="21"/>
                      <w:szCs w:val="21"/>
                      <w:lang w:eastAsia="zh-CN"/>
                    </w:rPr>
                    <w:t>）</w:t>
                  </w:r>
                </w:p>
              </w:tc>
              <w:tc>
                <w:tcPr>
                  <w:tcW w:w="586" w:type="pct"/>
                  <w:shd w:val="clear" w:color="auto" w:fill="auto"/>
                  <w:vAlign w:val="center"/>
                </w:tcPr>
                <w:p w14:paraId="52D5B04B">
                  <w:pPr>
                    <w:jc w:val="center"/>
                    <w:rPr>
                      <w:rFonts w:eastAsia="Times New Roman"/>
                      <w:color w:val="FF0000"/>
                      <w:szCs w:val="21"/>
                    </w:rPr>
                  </w:pPr>
                  <w:r>
                    <w:rPr>
                      <w:rFonts w:eastAsia="Times New Roman"/>
                      <w:color w:val="FF0000"/>
                      <w:szCs w:val="21"/>
                    </w:rPr>
                    <w:t>AR</w:t>
                  </w:r>
                </w:p>
              </w:tc>
              <w:tc>
                <w:tcPr>
                  <w:tcW w:w="648" w:type="pct"/>
                  <w:shd w:val="clear" w:color="auto" w:fill="auto"/>
                  <w:vAlign w:val="center"/>
                </w:tcPr>
                <w:p w14:paraId="5D7F4542">
                  <w:pPr>
                    <w:jc w:val="center"/>
                    <w:rPr>
                      <w:color w:val="FF0000"/>
                      <w:szCs w:val="21"/>
                    </w:rPr>
                  </w:pPr>
                  <w:r>
                    <w:rPr>
                      <w:rFonts w:hint="eastAsia"/>
                      <w:color w:val="FF0000"/>
                      <w:szCs w:val="21"/>
                    </w:rPr>
                    <w:t>t/a</w:t>
                  </w:r>
                </w:p>
              </w:tc>
              <w:tc>
                <w:tcPr>
                  <w:tcW w:w="648" w:type="pct"/>
                  <w:shd w:val="clear" w:color="auto" w:fill="auto"/>
                  <w:vAlign w:val="center"/>
                </w:tcPr>
                <w:p w14:paraId="411EE7F6">
                  <w:pPr>
                    <w:jc w:val="center"/>
                    <w:rPr>
                      <w:color w:val="FF0000"/>
                      <w:szCs w:val="21"/>
                    </w:rPr>
                  </w:pPr>
                  <w:r>
                    <w:rPr>
                      <w:rFonts w:hint="eastAsia"/>
                      <w:color w:val="FF0000"/>
                      <w:szCs w:val="21"/>
                    </w:rPr>
                    <w:t>0.01</w:t>
                  </w:r>
                </w:p>
              </w:tc>
              <w:tc>
                <w:tcPr>
                  <w:tcW w:w="491" w:type="pct"/>
                  <w:shd w:val="clear" w:color="auto" w:fill="auto"/>
                  <w:vAlign w:val="center"/>
                </w:tcPr>
                <w:p w14:paraId="0AD52672">
                  <w:pPr>
                    <w:jc w:val="center"/>
                    <w:rPr>
                      <w:color w:val="FF0000"/>
                      <w:szCs w:val="21"/>
                    </w:rPr>
                  </w:pPr>
                  <w:r>
                    <w:rPr>
                      <w:rFonts w:hint="eastAsia"/>
                      <w:color w:val="FF0000"/>
                      <w:szCs w:val="21"/>
                    </w:rPr>
                    <w:t>0.01</w:t>
                  </w:r>
                </w:p>
              </w:tc>
              <w:tc>
                <w:tcPr>
                  <w:tcW w:w="562" w:type="pct"/>
                  <w:shd w:val="clear" w:color="auto" w:fill="auto"/>
                  <w:vAlign w:val="center"/>
                </w:tcPr>
                <w:p w14:paraId="7C5CD604">
                  <w:pPr>
                    <w:jc w:val="center"/>
                    <w:rPr>
                      <w:color w:val="FF0000"/>
                      <w:szCs w:val="21"/>
                    </w:rPr>
                  </w:pPr>
                  <w:r>
                    <w:rPr>
                      <w:color w:val="FF0000"/>
                      <w:szCs w:val="21"/>
                    </w:rPr>
                    <w:t>仓库</w:t>
                  </w:r>
                </w:p>
              </w:tc>
            </w:tr>
            <w:tr w14:paraId="0547359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65B86F1B">
                  <w:pPr>
                    <w:jc w:val="center"/>
                    <w:rPr>
                      <w:color w:val="auto"/>
                      <w:szCs w:val="21"/>
                    </w:rPr>
                  </w:pPr>
                  <w:r>
                    <w:rPr>
                      <w:rFonts w:hint="eastAsia"/>
                      <w:color w:val="auto"/>
                      <w:szCs w:val="21"/>
                    </w:rPr>
                    <w:t>21</w:t>
                  </w:r>
                </w:p>
              </w:tc>
              <w:tc>
                <w:tcPr>
                  <w:tcW w:w="1703" w:type="pct"/>
                  <w:shd w:val="clear" w:color="auto" w:fill="auto"/>
                  <w:vAlign w:val="center"/>
                </w:tcPr>
                <w:p w14:paraId="6F8B454F">
                  <w:pPr>
                    <w:pStyle w:val="42"/>
                    <w:jc w:val="center"/>
                    <w:rPr>
                      <w:rFonts w:ascii="Times New Roman" w:hAnsi="Times New Roman" w:cs="Times New Roman"/>
                      <w:color w:val="auto"/>
                      <w:sz w:val="21"/>
                      <w:szCs w:val="21"/>
                    </w:rPr>
                  </w:pPr>
                  <w:r>
                    <w:rPr>
                      <w:rFonts w:ascii="Times New Roman" w:hAnsi="Times New Roman" w:eastAsia="Times New Roman" w:cs="Times New Roman"/>
                      <w:color w:val="auto"/>
                      <w:sz w:val="21"/>
                      <w:szCs w:val="21"/>
                    </w:rPr>
                    <w:t>N,N-</w:t>
                  </w:r>
                  <w:r>
                    <w:rPr>
                      <w:rFonts w:ascii="Times New Roman" w:hAnsi="Times New Roman" w:cs="Times New Roman"/>
                      <w:color w:val="auto"/>
                      <w:sz w:val="21"/>
                      <w:szCs w:val="21"/>
                    </w:rPr>
                    <w:t>二异丙基乙胺</w:t>
                  </w:r>
                </w:p>
              </w:tc>
              <w:tc>
                <w:tcPr>
                  <w:tcW w:w="586" w:type="pct"/>
                  <w:shd w:val="clear" w:color="auto" w:fill="auto"/>
                  <w:vAlign w:val="center"/>
                </w:tcPr>
                <w:p w14:paraId="4CEEEB1F">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04BEF52F">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2CD0B549">
                  <w:pPr>
                    <w:jc w:val="center"/>
                    <w:rPr>
                      <w:rFonts w:eastAsia="Times New Roman"/>
                      <w:color w:val="auto"/>
                      <w:szCs w:val="21"/>
                    </w:rPr>
                  </w:pPr>
                  <w:r>
                    <w:rPr>
                      <w:rFonts w:eastAsia="Times New Roman"/>
                      <w:color w:val="auto"/>
                      <w:szCs w:val="21"/>
                    </w:rPr>
                    <w:t>0.02</w:t>
                  </w:r>
                </w:p>
              </w:tc>
              <w:tc>
                <w:tcPr>
                  <w:tcW w:w="491" w:type="pct"/>
                  <w:shd w:val="clear" w:color="auto" w:fill="auto"/>
                  <w:vAlign w:val="center"/>
                </w:tcPr>
                <w:p w14:paraId="5DC7879C">
                  <w:pPr>
                    <w:jc w:val="center"/>
                    <w:rPr>
                      <w:rFonts w:eastAsia="Times New Roman"/>
                      <w:color w:val="auto"/>
                      <w:szCs w:val="21"/>
                    </w:rPr>
                  </w:pPr>
                  <w:r>
                    <w:rPr>
                      <w:rFonts w:eastAsia="Times New Roman"/>
                      <w:color w:val="auto"/>
                      <w:szCs w:val="21"/>
                    </w:rPr>
                    <w:t>0.02</w:t>
                  </w:r>
                </w:p>
              </w:tc>
              <w:tc>
                <w:tcPr>
                  <w:tcW w:w="562" w:type="pct"/>
                  <w:shd w:val="clear" w:color="auto" w:fill="auto"/>
                </w:tcPr>
                <w:p w14:paraId="4AAA608F">
                  <w:pPr>
                    <w:jc w:val="center"/>
                    <w:rPr>
                      <w:color w:val="auto"/>
                      <w:szCs w:val="21"/>
                    </w:rPr>
                  </w:pPr>
                  <w:r>
                    <w:rPr>
                      <w:color w:val="auto"/>
                      <w:szCs w:val="21"/>
                    </w:rPr>
                    <w:t>仓库</w:t>
                  </w:r>
                </w:p>
              </w:tc>
            </w:tr>
            <w:tr w14:paraId="175C654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17DF2A43">
                  <w:pPr>
                    <w:jc w:val="center"/>
                    <w:rPr>
                      <w:color w:val="auto"/>
                      <w:szCs w:val="21"/>
                    </w:rPr>
                  </w:pPr>
                  <w:r>
                    <w:rPr>
                      <w:rFonts w:hint="eastAsia"/>
                      <w:color w:val="auto"/>
                      <w:szCs w:val="21"/>
                    </w:rPr>
                    <w:t>22</w:t>
                  </w:r>
                </w:p>
              </w:tc>
              <w:tc>
                <w:tcPr>
                  <w:tcW w:w="1703" w:type="pct"/>
                  <w:shd w:val="clear" w:color="auto" w:fill="auto"/>
                  <w:vAlign w:val="center"/>
                </w:tcPr>
                <w:p w14:paraId="6765085B">
                  <w:pPr>
                    <w:pStyle w:val="42"/>
                    <w:jc w:val="center"/>
                    <w:rPr>
                      <w:rFonts w:ascii="Times New Roman" w:hAnsi="Times New Roman" w:eastAsia="Times New Roman" w:cs="Times New Roman"/>
                      <w:color w:val="auto"/>
                      <w:sz w:val="21"/>
                      <w:szCs w:val="21"/>
                      <w:lang w:eastAsia="zh-CN"/>
                    </w:rPr>
                  </w:pPr>
                  <w:r>
                    <w:rPr>
                      <w:rFonts w:ascii="Times New Roman" w:hAnsi="Times New Roman" w:cs="Times New Roman"/>
                      <w:color w:val="auto"/>
                      <w:sz w:val="21"/>
                      <w:szCs w:val="21"/>
                      <w:lang w:eastAsia="zh-CN"/>
                    </w:rPr>
                    <w:t>双（三甲基硅基）胺基锂</w:t>
                  </w:r>
                  <w:r>
                    <w:rPr>
                      <w:rFonts w:hint="eastAsia" w:ascii="Times New Roman" w:hAnsi="Times New Roman" w:eastAsia="Calibri" w:cs="Times New Roman"/>
                      <w:color w:val="auto"/>
                      <w:sz w:val="21"/>
                      <w:szCs w:val="21"/>
                      <w:lang w:eastAsia="zh-CN"/>
                    </w:rPr>
                    <w:t>（</w:t>
                  </w:r>
                  <w:r>
                    <w:rPr>
                      <w:rFonts w:ascii="Times New Roman" w:hAnsi="Times New Roman" w:eastAsia="Times New Roman" w:cs="Times New Roman"/>
                      <w:color w:val="auto"/>
                      <w:sz w:val="21"/>
                      <w:szCs w:val="21"/>
                      <w:lang w:eastAsia="zh-CN"/>
                    </w:rPr>
                    <w:t>LiHMDS</w:t>
                  </w:r>
                  <w:r>
                    <w:rPr>
                      <w:rFonts w:hint="eastAsia" w:ascii="Times New Roman" w:hAnsi="Times New Roman" w:eastAsia="Times New Roman" w:cs="Times New Roman"/>
                      <w:color w:val="auto"/>
                      <w:sz w:val="21"/>
                      <w:szCs w:val="21"/>
                      <w:lang w:eastAsia="zh-CN"/>
                    </w:rPr>
                    <w:t>）</w:t>
                  </w:r>
                </w:p>
              </w:tc>
              <w:tc>
                <w:tcPr>
                  <w:tcW w:w="586" w:type="pct"/>
                  <w:shd w:val="clear" w:color="auto" w:fill="auto"/>
                  <w:vAlign w:val="center"/>
                </w:tcPr>
                <w:p w14:paraId="29FE77DB">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2248DC82">
                  <w:pPr>
                    <w:jc w:val="center"/>
                    <w:rPr>
                      <w:rFonts w:eastAsia="Times New Roman"/>
                      <w:color w:val="auto"/>
                      <w:szCs w:val="21"/>
                    </w:rPr>
                  </w:pPr>
                  <w:r>
                    <w:rPr>
                      <w:rFonts w:hint="eastAsia"/>
                      <w:color w:val="auto"/>
                      <w:szCs w:val="21"/>
                    </w:rPr>
                    <w:t>kg/a</w:t>
                  </w:r>
                </w:p>
              </w:tc>
              <w:tc>
                <w:tcPr>
                  <w:tcW w:w="648" w:type="pct"/>
                  <w:shd w:val="clear" w:color="auto" w:fill="auto"/>
                  <w:vAlign w:val="center"/>
                </w:tcPr>
                <w:p w14:paraId="604039CC">
                  <w:pPr>
                    <w:jc w:val="center"/>
                    <w:rPr>
                      <w:color w:val="auto"/>
                      <w:szCs w:val="21"/>
                    </w:rPr>
                  </w:pPr>
                  <w:r>
                    <w:rPr>
                      <w:rFonts w:hint="eastAsia"/>
                      <w:color w:val="auto"/>
                      <w:szCs w:val="21"/>
                    </w:rPr>
                    <w:t>1</w:t>
                  </w:r>
                </w:p>
              </w:tc>
              <w:tc>
                <w:tcPr>
                  <w:tcW w:w="491" w:type="pct"/>
                  <w:shd w:val="clear" w:color="auto" w:fill="auto"/>
                  <w:vAlign w:val="center"/>
                </w:tcPr>
                <w:p w14:paraId="1AF62765">
                  <w:pPr>
                    <w:jc w:val="center"/>
                    <w:rPr>
                      <w:rFonts w:eastAsia="Times New Roman"/>
                      <w:color w:val="auto"/>
                      <w:szCs w:val="21"/>
                    </w:rPr>
                  </w:pPr>
                  <w:r>
                    <w:rPr>
                      <w:rFonts w:eastAsia="Times New Roman"/>
                      <w:color w:val="auto"/>
                      <w:szCs w:val="21"/>
                    </w:rPr>
                    <w:t>0.001</w:t>
                  </w:r>
                </w:p>
              </w:tc>
              <w:tc>
                <w:tcPr>
                  <w:tcW w:w="562" w:type="pct"/>
                  <w:shd w:val="clear" w:color="auto" w:fill="auto"/>
                  <w:vAlign w:val="center"/>
                </w:tcPr>
                <w:p w14:paraId="705210D3">
                  <w:pPr>
                    <w:jc w:val="center"/>
                    <w:rPr>
                      <w:color w:val="auto"/>
                      <w:szCs w:val="21"/>
                    </w:rPr>
                  </w:pPr>
                  <w:r>
                    <w:rPr>
                      <w:color w:val="auto"/>
                      <w:szCs w:val="21"/>
                    </w:rPr>
                    <w:t>仓库</w:t>
                  </w:r>
                </w:p>
              </w:tc>
            </w:tr>
            <w:tr w14:paraId="48750AF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4EA5A9DC">
                  <w:pPr>
                    <w:jc w:val="center"/>
                    <w:rPr>
                      <w:color w:val="auto"/>
                      <w:szCs w:val="21"/>
                    </w:rPr>
                  </w:pPr>
                  <w:r>
                    <w:rPr>
                      <w:rFonts w:hint="eastAsia"/>
                      <w:color w:val="auto"/>
                      <w:szCs w:val="21"/>
                    </w:rPr>
                    <w:t>23</w:t>
                  </w:r>
                </w:p>
              </w:tc>
              <w:tc>
                <w:tcPr>
                  <w:tcW w:w="1703" w:type="pct"/>
                  <w:shd w:val="clear" w:color="auto" w:fill="auto"/>
                  <w:vAlign w:val="center"/>
                </w:tcPr>
                <w:p w14:paraId="447233B0">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rPr>
                    <w:t>正丁基锂</w:t>
                  </w:r>
                </w:p>
              </w:tc>
              <w:tc>
                <w:tcPr>
                  <w:tcW w:w="586" w:type="pct"/>
                  <w:shd w:val="clear" w:color="auto" w:fill="auto"/>
                  <w:vAlign w:val="center"/>
                </w:tcPr>
                <w:p w14:paraId="6C35CDD0">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67258D76">
                  <w:pPr>
                    <w:jc w:val="center"/>
                    <w:rPr>
                      <w:rFonts w:eastAsia="Times New Roman"/>
                      <w:color w:val="auto"/>
                      <w:szCs w:val="21"/>
                    </w:rPr>
                  </w:pPr>
                  <w:r>
                    <w:rPr>
                      <w:rFonts w:hint="eastAsia"/>
                      <w:color w:val="auto"/>
                      <w:szCs w:val="21"/>
                    </w:rPr>
                    <w:t>kg/a</w:t>
                  </w:r>
                </w:p>
              </w:tc>
              <w:tc>
                <w:tcPr>
                  <w:tcW w:w="648" w:type="pct"/>
                  <w:shd w:val="clear" w:color="auto" w:fill="auto"/>
                  <w:vAlign w:val="center"/>
                </w:tcPr>
                <w:p w14:paraId="26B0CD19">
                  <w:pPr>
                    <w:jc w:val="center"/>
                    <w:rPr>
                      <w:color w:val="auto"/>
                      <w:szCs w:val="21"/>
                    </w:rPr>
                  </w:pPr>
                  <w:r>
                    <w:rPr>
                      <w:rFonts w:hint="eastAsia"/>
                      <w:color w:val="auto"/>
                      <w:szCs w:val="21"/>
                    </w:rPr>
                    <w:t>1</w:t>
                  </w:r>
                </w:p>
              </w:tc>
              <w:tc>
                <w:tcPr>
                  <w:tcW w:w="491" w:type="pct"/>
                  <w:shd w:val="clear" w:color="auto" w:fill="auto"/>
                  <w:vAlign w:val="center"/>
                </w:tcPr>
                <w:p w14:paraId="67B8FAC4">
                  <w:pPr>
                    <w:jc w:val="center"/>
                    <w:rPr>
                      <w:rFonts w:eastAsia="Times New Roman"/>
                      <w:color w:val="auto"/>
                      <w:szCs w:val="21"/>
                    </w:rPr>
                  </w:pPr>
                  <w:r>
                    <w:rPr>
                      <w:rFonts w:eastAsia="Times New Roman"/>
                      <w:color w:val="auto"/>
                      <w:szCs w:val="21"/>
                    </w:rPr>
                    <w:t>0.001</w:t>
                  </w:r>
                </w:p>
              </w:tc>
              <w:tc>
                <w:tcPr>
                  <w:tcW w:w="562" w:type="pct"/>
                  <w:shd w:val="clear" w:color="auto" w:fill="auto"/>
                  <w:vAlign w:val="center"/>
                </w:tcPr>
                <w:p w14:paraId="3E79245E">
                  <w:pPr>
                    <w:jc w:val="center"/>
                    <w:rPr>
                      <w:color w:val="auto"/>
                      <w:szCs w:val="21"/>
                    </w:rPr>
                  </w:pPr>
                  <w:r>
                    <w:rPr>
                      <w:color w:val="auto"/>
                      <w:szCs w:val="21"/>
                    </w:rPr>
                    <w:t>仓库</w:t>
                  </w:r>
                </w:p>
              </w:tc>
            </w:tr>
            <w:tr w14:paraId="08FAA3A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tcBorders>
                    <w:bottom w:val="nil"/>
                  </w:tcBorders>
                  <w:shd w:val="clear" w:color="auto" w:fill="auto"/>
                  <w:vAlign w:val="center"/>
                </w:tcPr>
                <w:p w14:paraId="4D32268E">
                  <w:pPr>
                    <w:jc w:val="center"/>
                    <w:rPr>
                      <w:color w:val="auto"/>
                      <w:szCs w:val="21"/>
                    </w:rPr>
                  </w:pPr>
                  <w:r>
                    <w:rPr>
                      <w:rFonts w:hint="eastAsia"/>
                      <w:color w:val="auto"/>
                      <w:szCs w:val="21"/>
                    </w:rPr>
                    <w:t>24</w:t>
                  </w:r>
                </w:p>
              </w:tc>
              <w:tc>
                <w:tcPr>
                  <w:tcW w:w="1703" w:type="pct"/>
                  <w:tcBorders>
                    <w:bottom w:val="nil"/>
                  </w:tcBorders>
                  <w:shd w:val="clear" w:color="auto" w:fill="auto"/>
                  <w:vAlign w:val="center"/>
                </w:tcPr>
                <w:p w14:paraId="17FDEF5A">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rPr>
                    <w:t>氢化钠</w:t>
                  </w:r>
                </w:p>
              </w:tc>
              <w:tc>
                <w:tcPr>
                  <w:tcW w:w="586" w:type="pct"/>
                  <w:tcBorders>
                    <w:bottom w:val="nil"/>
                  </w:tcBorders>
                  <w:shd w:val="clear" w:color="auto" w:fill="auto"/>
                  <w:vAlign w:val="center"/>
                </w:tcPr>
                <w:p w14:paraId="03D41A67">
                  <w:pPr>
                    <w:jc w:val="center"/>
                    <w:rPr>
                      <w:rFonts w:eastAsia="Times New Roman"/>
                      <w:color w:val="auto"/>
                      <w:szCs w:val="21"/>
                    </w:rPr>
                  </w:pPr>
                  <w:r>
                    <w:rPr>
                      <w:rFonts w:eastAsia="Times New Roman"/>
                      <w:color w:val="auto"/>
                      <w:szCs w:val="21"/>
                    </w:rPr>
                    <w:t>AR</w:t>
                  </w:r>
                </w:p>
              </w:tc>
              <w:tc>
                <w:tcPr>
                  <w:tcW w:w="648" w:type="pct"/>
                  <w:tcBorders>
                    <w:bottom w:val="nil"/>
                  </w:tcBorders>
                  <w:shd w:val="clear" w:color="auto" w:fill="auto"/>
                  <w:vAlign w:val="center"/>
                </w:tcPr>
                <w:p w14:paraId="7B059890">
                  <w:pPr>
                    <w:jc w:val="center"/>
                    <w:rPr>
                      <w:rFonts w:eastAsia="Times New Roman"/>
                      <w:color w:val="auto"/>
                      <w:szCs w:val="21"/>
                    </w:rPr>
                  </w:pPr>
                  <w:r>
                    <w:rPr>
                      <w:rFonts w:hint="eastAsia"/>
                      <w:color w:val="auto"/>
                      <w:szCs w:val="21"/>
                    </w:rPr>
                    <w:t>kg/a</w:t>
                  </w:r>
                </w:p>
              </w:tc>
              <w:tc>
                <w:tcPr>
                  <w:tcW w:w="648" w:type="pct"/>
                  <w:tcBorders>
                    <w:bottom w:val="nil"/>
                  </w:tcBorders>
                  <w:shd w:val="clear" w:color="auto" w:fill="auto"/>
                  <w:vAlign w:val="center"/>
                </w:tcPr>
                <w:p w14:paraId="20BAC087">
                  <w:pPr>
                    <w:jc w:val="center"/>
                    <w:rPr>
                      <w:color w:val="auto"/>
                      <w:szCs w:val="21"/>
                    </w:rPr>
                  </w:pPr>
                  <w:r>
                    <w:rPr>
                      <w:rFonts w:hint="eastAsia"/>
                      <w:color w:val="auto"/>
                      <w:szCs w:val="21"/>
                    </w:rPr>
                    <w:t>1</w:t>
                  </w:r>
                </w:p>
              </w:tc>
              <w:tc>
                <w:tcPr>
                  <w:tcW w:w="491" w:type="pct"/>
                  <w:tcBorders>
                    <w:bottom w:val="nil"/>
                  </w:tcBorders>
                  <w:shd w:val="clear" w:color="auto" w:fill="auto"/>
                  <w:vAlign w:val="center"/>
                </w:tcPr>
                <w:p w14:paraId="3778CA65">
                  <w:pPr>
                    <w:jc w:val="center"/>
                    <w:rPr>
                      <w:rFonts w:eastAsia="Times New Roman"/>
                      <w:color w:val="auto"/>
                      <w:szCs w:val="21"/>
                    </w:rPr>
                  </w:pPr>
                  <w:r>
                    <w:rPr>
                      <w:rFonts w:eastAsia="Times New Roman"/>
                      <w:color w:val="auto"/>
                      <w:szCs w:val="21"/>
                    </w:rPr>
                    <w:t>0.001</w:t>
                  </w:r>
                </w:p>
              </w:tc>
              <w:tc>
                <w:tcPr>
                  <w:tcW w:w="562" w:type="pct"/>
                  <w:tcBorders>
                    <w:bottom w:val="nil"/>
                  </w:tcBorders>
                  <w:shd w:val="clear" w:color="auto" w:fill="auto"/>
                  <w:vAlign w:val="center"/>
                </w:tcPr>
                <w:p w14:paraId="2FF945E1">
                  <w:pPr>
                    <w:jc w:val="center"/>
                    <w:rPr>
                      <w:color w:val="auto"/>
                      <w:szCs w:val="21"/>
                    </w:rPr>
                  </w:pPr>
                  <w:r>
                    <w:rPr>
                      <w:color w:val="auto"/>
                      <w:szCs w:val="21"/>
                    </w:rPr>
                    <w:t>仓库</w:t>
                  </w:r>
                </w:p>
              </w:tc>
            </w:tr>
            <w:tr w14:paraId="56ACC4E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126417A1">
                  <w:pPr>
                    <w:jc w:val="center"/>
                    <w:rPr>
                      <w:color w:val="auto"/>
                      <w:szCs w:val="21"/>
                    </w:rPr>
                  </w:pPr>
                  <w:r>
                    <w:rPr>
                      <w:rFonts w:hint="eastAsia"/>
                      <w:color w:val="auto"/>
                      <w:szCs w:val="21"/>
                    </w:rPr>
                    <w:t>25</w:t>
                  </w:r>
                </w:p>
              </w:tc>
              <w:tc>
                <w:tcPr>
                  <w:tcW w:w="1703" w:type="pct"/>
                  <w:shd w:val="clear" w:color="auto" w:fill="auto"/>
                  <w:vAlign w:val="center"/>
                </w:tcPr>
                <w:p w14:paraId="24EB418C">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四氢锂铝</w:t>
                  </w:r>
                </w:p>
              </w:tc>
              <w:tc>
                <w:tcPr>
                  <w:tcW w:w="586" w:type="pct"/>
                  <w:shd w:val="clear" w:color="auto" w:fill="auto"/>
                  <w:vAlign w:val="center"/>
                </w:tcPr>
                <w:p w14:paraId="703E6B54">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25A85CB2">
                  <w:pPr>
                    <w:jc w:val="center"/>
                    <w:rPr>
                      <w:rFonts w:eastAsia="Times New Roman"/>
                      <w:color w:val="auto"/>
                      <w:szCs w:val="21"/>
                    </w:rPr>
                  </w:pPr>
                  <w:r>
                    <w:rPr>
                      <w:rFonts w:hint="eastAsia"/>
                      <w:color w:val="auto"/>
                      <w:szCs w:val="21"/>
                    </w:rPr>
                    <w:t>kg/a</w:t>
                  </w:r>
                </w:p>
              </w:tc>
              <w:tc>
                <w:tcPr>
                  <w:tcW w:w="648" w:type="pct"/>
                  <w:shd w:val="clear" w:color="auto" w:fill="auto"/>
                  <w:vAlign w:val="center"/>
                </w:tcPr>
                <w:p w14:paraId="46F8D0C9">
                  <w:pPr>
                    <w:jc w:val="center"/>
                    <w:rPr>
                      <w:color w:val="auto"/>
                      <w:szCs w:val="21"/>
                    </w:rPr>
                  </w:pPr>
                  <w:r>
                    <w:rPr>
                      <w:rFonts w:hint="eastAsia"/>
                      <w:color w:val="auto"/>
                      <w:szCs w:val="21"/>
                    </w:rPr>
                    <w:t>2</w:t>
                  </w:r>
                </w:p>
              </w:tc>
              <w:tc>
                <w:tcPr>
                  <w:tcW w:w="491" w:type="pct"/>
                  <w:shd w:val="clear" w:color="auto" w:fill="auto"/>
                  <w:vAlign w:val="center"/>
                </w:tcPr>
                <w:p w14:paraId="526E8ABB">
                  <w:pPr>
                    <w:jc w:val="center"/>
                    <w:rPr>
                      <w:rFonts w:eastAsia="Times New Roman"/>
                      <w:color w:val="auto"/>
                      <w:szCs w:val="21"/>
                    </w:rPr>
                  </w:pPr>
                  <w:r>
                    <w:rPr>
                      <w:rFonts w:eastAsia="Times New Roman"/>
                      <w:color w:val="auto"/>
                      <w:szCs w:val="21"/>
                    </w:rPr>
                    <w:t>0.002</w:t>
                  </w:r>
                </w:p>
              </w:tc>
              <w:tc>
                <w:tcPr>
                  <w:tcW w:w="562" w:type="pct"/>
                  <w:shd w:val="clear" w:color="auto" w:fill="auto"/>
                  <w:vAlign w:val="center"/>
                </w:tcPr>
                <w:p w14:paraId="75CD0E5C">
                  <w:pPr>
                    <w:jc w:val="center"/>
                    <w:rPr>
                      <w:color w:val="auto"/>
                      <w:szCs w:val="21"/>
                    </w:rPr>
                  </w:pPr>
                  <w:r>
                    <w:rPr>
                      <w:color w:val="auto"/>
                      <w:szCs w:val="21"/>
                    </w:rPr>
                    <w:t>仓库</w:t>
                  </w:r>
                </w:p>
              </w:tc>
            </w:tr>
            <w:tr w14:paraId="76EBB5F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3D099D1E">
                  <w:pPr>
                    <w:jc w:val="center"/>
                    <w:rPr>
                      <w:color w:val="auto"/>
                      <w:szCs w:val="21"/>
                    </w:rPr>
                  </w:pPr>
                  <w:r>
                    <w:rPr>
                      <w:rFonts w:hint="eastAsia"/>
                      <w:color w:val="auto"/>
                      <w:szCs w:val="21"/>
                    </w:rPr>
                    <w:t>26</w:t>
                  </w:r>
                </w:p>
              </w:tc>
              <w:tc>
                <w:tcPr>
                  <w:tcW w:w="1703" w:type="pct"/>
                  <w:shd w:val="clear" w:color="auto" w:fill="auto"/>
                  <w:vAlign w:val="center"/>
                </w:tcPr>
                <w:p w14:paraId="34DD5646">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硼氢化钠</w:t>
                  </w:r>
                </w:p>
              </w:tc>
              <w:tc>
                <w:tcPr>
                  <w:tcW w:w="586" w:type="pct"/>
                  <w:shd w:val="clear" w:color="auto" w:fill="auto"/>
                  <w:vAlign w:val="center"/>
                </w:tcPr>
                <w:p w14:paraId="2A43951F">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7DBC89FE">
                  <w:pPr>
                    <w:jc w:val="center"/>
                    <w:rPr>
                      <w:rFonts w:eastAsia="Times New Roman"/>
                      <w:color w:val="auto"/>
                      <w:szCs w:val="21"/>
                    </w:rPr>
                  </w:pPr>
                  <w:r>
                    <w:rPr>
                      <w:rFonts w:hint="eastAsia"/>
                      <w:color w:val="auto"/>
                      <w:szCs w:val="21"/>
                    </w:rPr>
                    <w:t>kg/a</w:t>
                  </w:r>
                </w:p>
              </w:tc>
              <w:tc>
                <w:tcPr>
                  <w:tcW w:w="648" w:type="pct"/>
                  <w:shd w:val="clear" w:color="auto" w:fill="auto"/>
                  <w:vAlign w:val="center"/>
                </w:tcPr>
                <w:p w14:paraId="4506DD45">
                  <w:pPr>
                    <w:jc w:val="center"/>
                    <w:rPr>
                      <w:color w:val="auto"/>
                      <w:szCs w:val="21"/>
                    </w:rPr>
                  </w:pPr>
                  <w:r>
                    <w:rPr>
                      <w:rFonts w:hint="eastAsia"/>
                      <w:color w:val="auto"/>
                      <w:szCs w:val="21"/>
                    </w:rPr>
                    <w:t>2</w:t>
                  </w:r>
                </w:p>
              </w:tc>
              <w:tc>
                <w:tcPr>
                  <w:tcW w:w="491" w:type="pct"/>
                  <w:shd w:val="clear" w:color="auto" w:fill="auto"/>
                  <w:vAlign w:val="center"/>
                </w:tcPr>
                <w:p w14:paraId="33636D9E">
                  <w:pPr>
                    <w:jc w:val="center"/>
                    <w:rPr>
                      <w:rFonts w:eastAsia="Times New Roman"/>
                      <w:color w:val="auto"/>
                      <w:szCs w:val="21"/>
                    </w:rPr>
                  </w:pPr>
                  <w:r>
                    <w:rPr>
                      <w:rFonts w:eastAsia="Times New Roman"/>
                      <w:color w:val="auto"/>
                      <w:szCs w:val="21"/>
                    </w:rPr>
                    <w:t>0.002</w:t>
                  </w:r>
                </w:p>
              </w:tc>
              <w:tc>
                <w:tcPr>
                  <w:tcW w:w="562" w:type="pct"/>
                  <w:shd w:val="clear" w:color="auto" w:fill="auto"/>
                  <w:vAlign w:val="center"/>
                </w:tcPr>
                <w:p w14:paraId="0871202B">
                  <w:pPr>
                    <w:jc w:val="center"/>
                    <w:rPr>
                      <w:color w:val="auto"/>
                      <w:szCs w:val="21"/>
                    </w:rPr>
                  </w:pPr>
                  <w:r>
                    <w:rPr>
                      <w:color w:val="auto"/>
                      <w:szCs w:val="21"/>
                    </w:rPr>
                    <w:t>仓库</w:t>
                  </w:r>
                </w:p>
              </w:tc>
            </w:tr>
            <w:tr w14:paraId="7A027DF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4BB07BE1">
                  <w:pPr>
                    <w:jc w:val="center"/>
                    <w:rPr>
                      <w:color w:val="auto"/>
                      <w:szCs w:val="21"/>
                    </w:rPr>
                  </w:pPr>
                  <w:r>
                    <w:rPr>
                      <w:rFonts w:hint="eastAsia"/>
                      <w:color w:val="auto"/>
                      <w:szCs w:val="21"/>
                    </w:rPr>
                    <w:t>27</w:t>
                  </w:r>
                </w:p>
              </w:tc>
              <w:tc>
                <w:tcPr>
                  <w:tcW w:w="1703" w:type="pct"/>
                  <w:shd w:val="clear" w:color="auto" w:fill="auto"/>
                  <w:vAlign w:val="center"/>
                </w:tcPr>
                <w:p w14:paraId="4C8D3497">
                  <w:pPr>
                    <w:pStyle w:val="42"/>
                    <w:jc w:val="center"/>
                    <w:rPr>
                      <w:rFonts w:ascii="Times New Roman" w:hAnsi="Times New Roman" w:eastAsia="宋体" w:cs="Times New Roman"/>
                      <w:color w:val="auto"/>
                      <w:sz w:val="21"/>
                      <w:szCs w:val="21"/>
                      <w:lang w:eastAsia="zh-CN"/>
                    </w:rPr>
                  </w:pPr>
                  <w:r>
                    <w:rPr>
                      <w:rFonts w:ascii="Times New Roman" w:hAnsi="Times New Roman" w:cs="Times New Roman"/>
                      <w:color w:val="auto"/>
                      <w:sz w:val="21"/>
                      <w:szCs w:val="21"/>
                    </w:rPr>
                    <w:t>二异丁基氢化铝</w:t>
                  </w:r>
                  <w:r>
                    <w:rPr>
                      <w:rFonts w:hint="eastAsia" w:ascii="Times New Roman" w:hAnsi="Times New Roman" w:eastAsia="宋体" w:cs="Times New Roman"/>
                      <w:color w:val="auto"/>
                      <w:sz w:val="21"/>
                      <w:szCs w:val="21"/>
                      <w:lang w:eastAsia="zh-CN"/>
                    </w:rPr>
                    <w:t>（</w:t>
                  </w:r>
                  <w:r>
                    <w:rPr>
                      <w:rFonts w:ascii="Times New Roman" w:hAnsi="Times New Roman" w:eastAsia="Times New Roman" w:cs="Times New Roman"/>
                      <w:color w:val="auto"/>
                      <w:sz w:val="21"/>
                      <w:szCs w:val="21"/>
                    </w:rPr>
                    <w:t>Dibal-H</w:t>
                  </w:r>
                  <w:r>
                    <w:rPr>
                      <w:rFonts w:hint="eastAsia" w:ascii="Times New Roman" w:hAnsi="Times New Roman" w:eastAsia="宋体" w:cs="Times New Roman"/>
                      <w:color w:val="auto"/>
                      <w:sz w:val="21"/>
                      <w:szCs w:val="21"/>
                      <w:lang w:eastAsia="zh-CN"/>
                    </w:rPr>
                    <w:t>）</w:t>
                  </w:r>
                </w:p>
              </w:tc>
              <w:tc>
                <w:tcPr>
                  <w:tcW w:w="586" w:type="pct"/>
                  <w:shd w:val="clear" w:color="auto" w:fill="auto"/>
                  <w:vAlign w:val="center"/>
                </w:tcPr>
                <w:p w14:paraId="60275421">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5FD35692">
                  <w:pPr>
                    <w:jc w:val="center"/>
                    <w:rPr>
                      <w:rFonts w:eastAsia="Times New Roman"/>
                      <w:color w:val="auto"/>
                      <w:szCs w:val="21"/>
                    </w:rPr>
                  </w:pPr>
                  <w:r>
                    <w:rPr>
                      <w:rFonts w:hint="eastAsia"/>
                      <w:color w:val="auto"/>
                      <w:szCs w:val="21"/>
                    </w:rPr>
                    <w:t>kg/a</w:t>
                  </w:r>
                </w:p>
              </w:tc>
              <w:tc>
                <w:tcPr>
                  <w:tcW w:w="648" w:type="pct"/>
                  <w:shd w:val="clear" w:color="auto" w:fill="auto"/>
                  <w:vAlign w:val="center"/>
                </w:tcPr>
                <w:p w14:paraId="49ACFE0C">
                  <w:pPr>
                    <w:jc w:val="center"/>
                    <w:rPr>
                      <w:color w:val="auto"/>
                      <w:szCs w:val="21"/>
                    </w:rPr>
                  </w:pPr>
                  <w:r>
                    <w:rPr>
                      <w:rFonts w:hint="eastAsia"/>
                      <w:color w:val="auto"/>
                      <w:szCs w:val="21"/>
                    </w:rPr>
                    <w:t>2</w:t>
                  </w:r>
                </w:p>
              </w:tc>
              <w:tc>
                <w:tcPr>
                  <w:tcW w:w="491" w:type="pct"/>
                  <w:shd w:val="clear" w:color="auto" w:fill="auto"/>
                  <w:vAlign w:val="center"/>
                </w:tcPr>
                <w:p w14:paraId="0C9AF87D">
                  <w:pPr>
                    <w:jc w:val="center"/>
                    <w:rPr>
                      <w:rFonts w:eastAsia="Times New Roman"/>
                      <w:color w:val="auto"/>
                      <w:szCs w:val="21"/>
                    </w:rPr>
                  </w:pPr>
                  <w:r>
                    <w:rPr>
                      <w:rFonts w:eastAsia="Times New Roman"/>
                      <w:color w:val="auto"/>
                      <w:szCs w:val="21"/>
                    </w:rPr>
                    <w:t>0.002</w:t>
                  </w:r>
                </w:p>
              </w:tc>
              <w:tc>
                <w:tcPr>
                  <w:tcW w:w="562" w:type="pct"/>
                  <w:shd w:val="clear" w:color="auto" w:fill="auto"/>
                  <w:vAlign w:val="center"/>
                </w:tcPr>
                <w:p w14:paraId="303B9CFE">
                  <w:pPr>
                    <w:jc w:val="center"/>
                    <w:rPr>
                      <w:color w:val="auto"/>
                      <w:szCs w:val="21"/>
                    </w:rPr>
                  </w:pPr>
                  <w:r>
                    <w:rPr>
                      <w:color w:val="auto"/>
                      <w:szCs w:val="21"/>
                    </w:rPr>
                    <w:t>仓库</w:t>
                  </w:r>
                </w:p>
              </w:tc>
            </w:tr>
            <w:tr w14:paraId="668F99E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4CA811D9">
                  <w:pPr>
                    <w:jc w:val="center"/>
                    <w:rPr>
                      <w:color w:val="auto"/>
                      <w:szCs w:val="21"/>
                    </w:rPr>
                  </w:pPr>
                  <w:r>
                    <w:rPr>
                      <w:rFonts w:hint="eastAsia"/>
                      <w:color w:val="auto"/>
                      <w:szCs w:val="21"/>
                    </w:rPr>
                    <w:t>28</w:t>
                  </w:r>
                </w:p>
              </w:tc>
              <w:tc>
                <w:tcPr>
                  <w:tcW w:w="1703" w:type="pct"/>
                  <w:shd w:val="clear" w:color="auto" w:fill="auto"/>
                  <w:vAlign w:val="center"/>
                </w:tcPr>
                <w:p w14:paraId="66C1A1D9">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氯铬酸吡啶盐酸盐</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PCC</w:t>
                  </w:r>
                  <w:r>
                    <w:rPr>
                      <w:rFonts w:hint="eastAsia" w:ascii="Times New Roman" w:hAnsi="Times New Roman" w:cs="Times New Roman"/>
                      <w:color w:val="auto"/>
                      <w:sz w:val="21"/>
                      <w:szCs w:val="21"/>
                      <w:lang w:eastAsia="zh-CN"/>
                    </w:rPr>
                    <w:t>）</w:t>
                  </w:r>
                </w:p>
              </w:tc>
              <w:tc>
                <w:tcPr>
                  <w:tcW w:w="586" w:type="pct"/>
                  <w:shd w:val="clear" w:color="auto" w:fill="auto"/>
                  <w:vAlign w:val="center"/>
                </w:tcPr>
                <w:p w14:paraId="2D6AF0E1">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7AA7A28E">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0C1411FB">
                  <w:pPr>
                    <w:jc w:val="center"/>
                    <w:rPr>
                      <w:rFonts w:eastAsia="Times New Roman"/>
                      <w:color w:val="auto"/>
                      <w:szCs w:val="21"/>
                    </w:rPr>
                  </w:pPr>
                  <w:r>
                    <w:rPr>
                      <w:rFonts w:eastAsia="Times New Roman"/>
                      <w:color w:val="auto"/>
                      <w:szCs w:val="21"/>
                    </w:rPr>
                    <w:t>0.02</w:t>
                  </w:r>
                </w:p>
              </w:tc>
              <w:tc>
                <w:tcPr>
                  <w:tcW w:w="491" w:type="pct"/>
                  <w:shd w:val="clear" w:color="auto" w:fill="auto"/>
                  <w:vAlign w:val="center"/>
                </w:tcPr>
                <w:p w14:paraId="79028F57">
                  <w:pPr>
                    <w:jc w:val="center"/>
                    <w:rPr>
                      <w:rFonts w:eastAsia="Times New Roman"/>
                      <w:color w:val="auto"/>
                      <w:szCs w:val="21"/>
                    </w:rPr>
                  </w:pPr>
                  <w:r>
                    <w:rPr>
                      <w:rFonts w:eastAsia="Times New Roman"/>
                      <w:color w:val="auto"/>
                      <w:szCs w:val="21"/>
                    </w:rPr>
                    <w:t>0.02</w:t>
                  </w:r>
                </w:p>
              </w:tc>
              <w:tc>
                <w:tcPr>
                  <w:tcW w:w="562" w:type="pct"/>
                  <w:shd w:val="clear" w:color="auto" w:fill="auto"/>
                  <w:vAlign w:val="center"/>
                </w:tcPr>
                <w:p w14:paraId="7241EF8B">
                  <w:pPr>
                    <w:jc w:val="center"/>
                    <w:rPr>
                      <w:color w:val="auto"/>
                      <w:szCs w:val="21"/>
                    </w:rPr>
                  </w:pPr>
                  <w:r>
                    <w:rPr>
                      <w:color w:val="auto"/>
                      <w:szCs w:val="21"/>
                    </w:rPr>
                    <w:t>仓库</w:t>
                  </w:r>
                </w:p>
              </w:tc>
            </w:tr>
            <w:tr w14:paraId="54AE302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2E106792">
                  <w:pPr>
                    <w:jc w:val="center"/>
                    <w:rPr>
                      <w:color w:val="auto"/>
                      <w:szCs w:val="21"/>
                    </w:rPr>
                  </w:pPr>
                  <w:r>
                    <w:rPr>
                      <w:rFonts w:hint="eastAsia"/>
                      <w:color w:val="auto"/>
                      <w:szCs w:val="21"/>
                    </w:rPr>
                    <w:t>29</w:t>
                  </w:r>
                </w:p>
              </w:tc>
              <w:tc>
                <w:tcPr>
                  <w:tcW w:w="1703" w:type="pct"/>
                  <w:shd w:val="clear" w:color="auto" w:fill="auto"/>
                  <w:vAlign w:val="center"/>
                </w:tcPr>
                <w:p w14:paraId="46622368">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氧气</w:t>
                  </w:r>
                </w:p>
              </w:tc>
              <w:tc>
                <w:tcPr>
                  <w:tcW w:w="586" w:type="pct"/>
                  <w:shd w:val="clear" w:color="auto" w:fill="auto"/>
                  <w:vAlign w:val="center"/>
                </w:tcPr>
                <w:p w14:paraId="3DF51EAE">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7FA6C123">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3B4C6A4E">
                  <w:pPr>
                    <w:jc w:val="center"/>
                    <w:rPr>
                      <w:rFonts w:eastAsia="Times New Roman"/>
                      <w:color w:val="auto"/>
                      <w:szCs w:val="21"/>
                    </w:rPr>
                  </w:pPr>
                  <w:r>
                    <w:rPr>
                      <w:rFonts w:eastAsia="Times New Roman"/>
                      <w:color w:val="auto"/>
                      <w:szCs w:val="21"/>
                    </w:rPr>
                    <w:t>0.02</w:t>
                  </w:r>
                </w:p>
              </w:tc>
              <w:tc>
                <w:tcPr>
                  <w:tcW w:w="491" w:type="pct"/>
                  <w:shd w:val="clear" w:color="auto" w:fill="auto"/>
                  <w:vAlign w:val="center"/>
                </w:tcPr>
                <w:p w14:paraId="7D96FF49">
                  <w:pPr>
                    <w:jc w:val="center"/>
                    <w:rPr>
                      <w:rFonts w:eastAsia="Times New Roman"/>
                      <w:color w:val="auto"/>
                      <w:szCs w:val="21"/>
                    </w:rPr>
                  </w:pPr>
                  <w:r>
                    <w:rPr>
                      <w:rFonts w:eastAsia="Times New Roman"/>
                      <w:color w:val="auto"/>
                      <w:szCs w:val="21"/>
                    </w:rPr>
                    <w:t>0.02</w:t>
                  </w:r>
                </w:p>
              </w:tc>
              <w:tc>
                <w:tcPr>
                  <w:tcW w:w="562" w:type="pct"/>
                  <w:shd w:val="clear" w:color="auto" w:fill="auto"/>
                  <w:vAlign w:val="center"/>
                </w:tcPr>
                <w:p w14:paraId="24CC8244">
                  <w:pPr>
                    <w:jc w:val="center"/>
                    <w:rPr>
                      <w:color w:val="auto"/>
                      <w:szCs w:val="21"/>
                    </w:rPr>
                  </w:pPr>
                  <w:r>
                    <w:rPr>
                      <w:color w:val="auto"/>
                      <w:szCs w:val="21"/>
                    </w:rPr>
                    <w:t>仓库</w:t>
                  </w:r>
                </w:p>
              </w:tc>
            </w:tr>
            <w:tr w14:paraId="0017FED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59" w:type="pct"/>
                  <w:shd w:val="clear" w:color="auto" w:fill="auto"/>
                  <w:vAlign w:val="center"/>
                </w:tcPr>
                <w:p w14:paraId="397A7D58">
                  <w:pPr>
                    <w:jc w:val="center"/>
                    <w:rPr>
                      <w:color w:val="auto"/>
                      <w:szCs w:val="21"/>
                    </w:rPr>
                  </w:pPr>
                  <w:r>
                    <w:rPr>
                      <w:rFonts w:hint="eastAsia"/>
                      <w:color w:val="auto"/>
                      <w:szCs w:val="21"/>
                    </w:rPr>
                    <w:t>30</w:t>
                  </w:r>
                </w:p>
              </w:tc>
              <w:tc>
                <w:tcPr>
                  <w:tcW w:w="1703" w:type="pct"/>
                  <w:shd w:val="clear" w:color="auto" w:fill="auto"/>
                  <w:vAlign w:val="center"/>
                </w:tcPr>
                <w:p w14:paraId="2B277AC0">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二氧化锰</w:t>
                  </w:r>
                </w:p>
              </w:tc>
              <w:tc>
                <w:tcPr>
                  <w:tcW w:w="586" w:type="pct"/>
                  <w:shd w:val="clear" w:color="auto" w:fill="auto"/>
                  <w:vAlign w:val="center"/>
                </w:tcPr>
                <w:p w14:paraId="249CF32A">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34295CD0">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31DA6723">
                  <w:pPr>
                    <w:jc w:val="center"/>
                    <w:rPr>
                      <w:rFonts w:eastAsia="Times New Roman"/>
                      <w:color w:val="auto"/>
                      <w:szCs w:val="21"/>
                    </w:rPr>
                  </w:pPr>
                  <w:r>
                    <w:rPr>
                      <w:rFonts w:eastAsia="Times New Roman"/>
                      <w:color w:val="auto"/>
                      <w:szCs w:val="21"/>
                    </w:rPr>
                    <w:t>0.02</w:t>
                  </w:r>
                </w:p>
              </w:tc>
              <w:tc>
                <w:tcPr>
                  <w:tcW w:w="491" w:type="pct"/>
                  <w:shd w:val="clear" w:color="auto" w:fill="auto"/>
                  <w:vAlign w:val="center"/>
                </w:tcPr>
                <w:p w14:paraId="22B37FCF">
                  <w:pPr>
                    <w:jc w:val="center"/>
                    <w:rPr>
                      <w:rFonts w:eastAsia="Times New Roman"/>
                      <w:color w:val="auto"/>
                      <w:szCs w:val="21"/>
                    </w:rPr>
                  </w:pPr>
                  <w:r>
                    <w:rPr>
                      <w:rFonts w:eastAsia="Times New Roman"/>
                      <w:color w:val="auto"/>
                      <w:szCs w:val="21"/>
                    </w:rPr>
                    <w:t>0.02</w:t>
                  </w:r>
                </w:p>
              </w:tc>
              <w:tc>
                <w:tcPr>
                  <w:tcW w:w="562" w:type="pct"/>
                  <w:shd w:val="clear" w:color="auto" w:fill="auto"/>
                  <w:vAlign w:val="center"/>
                </w:tcPr>
                <w:p w14:paraId="5B3AF6B9">
                  <w:pPr>
                    <w:jc w:val="center"/>
                    <w:rPr>
                      <w:color w:val="auto"/>
                      <w:szCs w:val="21"/>
                    </w:rPr>
                  </w:pPr>
                  <w:r>
                    <w:rPr>
                      <w:color w:val="auto"/>
                      <w:szCs w:val="21"/>
                    </w:rPr>
                    <w:t>仓库</w:t>
                  </w:r>
                </w:p>
              </w:tc>
            </w:tr>
            <w:tr w14:paraId="7A61E77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3398133D">
                  <w:pPr>
                    <w:jc w:val="center"/>
                    <w:rPr>
                      <w:color w:val="auto"/>
                      <w:szCs w:val="21"/>
                    </w:rPr>
                  </w:pPr>
                  <w:r>
                    <w:rPr>
                      <w:rFonts w:hint="eastAsia"/>
                      <w:color w:val="auto"/>
                      <w:szCs w:val="21"/>
                    </w:rPr>
                    <w:t>31</w:t>
                  </w:r>
                </w:p>
              </w:tc>
              <w:tc>
                <w:tcPr>
                  <w:tcW w:w="1703" w:type="pct"/>
                  <w:shd w:val="clear" w:color="auto" w:fill="auto"/>
                  <w:vAlign w:val="center"/>
                </w:tcPr>
                <w:p w14:paraId="6C26C72D">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重铬酸钾</w:t>
                  </w:r>
                </w:p>
              </w:tc>
              <w:tc>
                <w:tcPr>
                  <w:tcW w:w="586" w:type="pct"/>
                  <w:shd w:val="clear" w:color="auto" w:fill="auto"/>
                  <w:vAlign w:val="center"/>
                </w:tcPr>
                <w:p w14:paraId="26B403C8">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6301E200">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5A480BBD">
                  <w:pPr>
                    <w:jc w:val="center"/>
                    <w:rPr>
                      <w:rFonts w:eastAsia="Times New Roman"/>
                      <w:color w:val="auto"/>
                      <w:szCs w:val="21"/>
                    </w:rPr>
                  </w:pPr>
                  <w:r>
                    <w:rPr>
                      <w:rFonts w:eastAsia="Times New Roman"/>
                      <w:color w:val="auto"/>
                      <w:szCs w:val="21"/>
                    </w:rPr>
                    <w:t>0.0 2</w:t>
                  </w:r>
                </w:p>
              </w:tc>
              <w:tc>
                <w:tcPr>
                  <w:tcW w:w="491" w:type="pct"/>
                  <w:shd w:val="clear" w:color="auto" w:fill="auto"/>
                  <w:vAlign w:val="center"/>
                </w:tcPr>
                <w:p w14:paraId="18F74786">
                  <w:pPr>
                    <w:jc w:val="center"/>
                    <w:rPr>
                      <w:rFonts w:eastAsia="Times New Roman"/>
                      <w:color w:val="auto"/>
                      <w:szCs w:val="21"/>
                    </w:rPr>
                  </w:pPr>
                  <w:r>
                    <w:rPr>
                      <w:rFonts w:eastAsia="Times New Roman"/>
                      <w:color w:val="auto"/>
                      <w:szCs w:val="21"/>
                    </w:rPr>
                    <w:t>0.0 2</w:t>
                  </w:r>
                </w:p>
              </w:tc>
              <w:tc>
                <w:tcPr>
                  <w:tcW w:w="562" w:type="pct"/>
                  <w:shd w:val="clear" w:color="auto" w:fill="auto"/>
                  <w:vAlign w:val="center"/>
                </w:tcPr>
                <w:p w14:paraId="617FAECD">
                  <w:pPr>
                    <w:jc w:val="center"/>
                    <w:rPr>
                      <w:color w:val="auto"/>
                      <w:szCs w:val="21"/>
                    </w:rPr>
                  </w:pPr>
                  <w:r>
                    <w:rPr>
                      <w:color w:val="auto"/>
                      <w:szCs w:val="21"/>
                    </w:rPr>
                    <w:t>仓库</w:t>
                  </w:r>
                </w:p>
              </w:tc>
            </w:tr>
            <w:tr w14:paraId="477C2B18">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18FA40F0">
                  <w:pPr>
                    <w:jc w:val="center"/>
                    <w:rPr>
                      <w:color w:val="auto"/>
                      <w:szCs w:val="21"/>
                    </w:rPr>
                  </w:pPr>
                  <w:r>
                    <w:rPr>
                      <w:rFonts w:hint="eastAsia"/>
                      <w:color w:val="auto"/>
                      <w:szCs w:val="21"/>
                    </w:rPr>
                    <w:t>32</w:t>
                  </w:r>
                </w:p>
              </w:tc>
              <w:tc>
                <w:tcPr>
                  <w:tcW w:w="1703" w:type="pct"/>
                  <w:shd w:val="clear" w:color="auto" w:fill="auto"/>
                  <w:vAlign w:val="center"/>
                </w:tcPr>
                <w:p w14:paraId="5399F65A">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戴斯马丁试剂</w:t>
                  </w:r>
                </w:p>
              </w:tc>
              <w:tc>
                <w:tcPr>
                  <w:tcW w:w="586" w:type="pct"/>
                  <w:shd w:val="clear" w:color="auto" w:fill="auto"/>
                  <w:vAlign w:val="center"/>
                </w:tcPr>
                <w:p w14:paraId="548CB941">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35ABD54B">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1C22808E">
                  <w:pPr>
                    <w:jc w:val="center"/>
                    <w:rPr>
                      <w:rFonts w:eastAsia="Times New Roman"/>
                      <w:color w:val="auto"/>
                      <w:szCs w:val="21"/>
                    </w:rPr>
                  </w:pPr>
                  <w:r>
                    <w:rPr>
                      <w:rFonts w:eastAsia="Times New Roman"/>
                      <w:color w:val="auto"/>
                      <w:szCs w:val="21"/>
                    </w:rPr>
                    <w:t>0.02</w:t>
                  </w:r>
                </w:p>
              </w:tc>
              <w:tc>
                <w:tcPr>
                  <w:tcW w:w="491" w:type="pct"/>
                  <w:shd w:val="clear" w:color="auto" w:fill="auto"/>
                  <w:vAlign w:val="center"/>
                </w:tcPr>
                <w:p w14:paraId="72AA870C">
                  <w:pPr>
                    <w:jc w:val="center"/>
                    <w:rPr>
                      <w:rFonts w:eastAsia="Times New Roman"/>
                      <w:color w:val="auto"/>
                      <w:szCs w:val="21"/>
                    </w:rPr>
                  </w:pPr>
                  <w:r>
                    <w:rPr>
                      <w:rFonts w:eastAsia="Times New Roman"/>
                      <w:color w:val="auto"/>
                      <w:szCs w:val="21"/>
                    </w:rPr>
                    <w:t>0.02</w:t>
                  </w:r>
                </w:p>
              </w:tc>
              <w:tc>
                <w:tcPr>
                  <w:tcW w:w="562" w:type="pct"/>
                  <w:shd w:val="clear" w:color="auto" w:fill="auto"/>
                  <w:vAlign w:val="center"/>
                </w:tcPr>
                <w:p w14:paraId="130BD1CC">
                  <w:pPr>
                    <w:jc w:val="center"/>
                    <w:rPr>
                      <w:color w:val="auto"/>
                      <w:szCs w:val="21"/>
                    </w:rPr>
                  </w:pPr>
                  <w:r>
                    <w:rPr>
                      <w:color w:val="auto"/>
                      <w:szCs w:val="21"/>
                    </w:rPr>
                    <w:t>仓库</w:t>
                  </w:r>
                </w:p>
              </w:tc>
            </w:tr>
            <w:tr w14:paraId="5FD7D82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018E031A">
                  <w:pPr>
                    <w:jc w:val="center"/>
                    <w:rPr>
                      <w:color w:val="auto"/>
                      <w:szCs w:val="21"/>
                    </w:rPr>
                  </w:pPr>
                  <w:r>
                    <w:rPr>
                      <w:rFonts w:hint="eastAsia"/>
                      <w:color w:val="auto"/>
                      <w:szCs w:val="21"/>
                    </w:rPr>
                    <w:t>33</w:t>
                  </w:r>
                </w:p>
              </w:tc>
              <w:tc>
                <w:tcPr>
                  <w:tcW w:w="1703" w:type="pct"/>
                  <w:shd w:val="clear" w:color="auto" w:fill="auto"/>
                  <w:vAlign w:val="center"/>
                </w:tcPr>
                <w:p w14:paraId="4019A595">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双环庚烷二氟烯烃</w:t>
                  </w:r>
                </w:p>
              </w:tc>
              <w:tc>
                <w:tcPr>
                  <w:tcW w:w="586" w:type="pct"/>
                  <w:shd w:val="clear" w:color="auto" w:fill="auto"/>
                  <w:vAlign w:val="center"/>
                </w:tcPr>
                <w:p w14:paraId="32F21441">
                  <w:pPr>
                    <w:jc w:val="center"/>
                    <w:rPr>
                      <w:rFonts w:eastAsia="Times New Roman"/>
                      <w:color w:val="auto"/>
                      <w:szCs w:val="21"/>
                    </w:rPr>
                  </w:pPr>
                  <w:r>
                    <w:rPr>
                      <w:rFonts w:eastAsia="Times New Roman"/>
                      <w:color w:val="auto"/>
                      <w:szCs w:val="21"/>
                    </w:rPr>
                    <w:t>99%</w:t>
                  </w:r>
                </w:p>
              </w:tc>
              <w:tc>
                <w:tcPr>
                  <w:tcW w:w="648" w:type="pct"/>
                  <w:shd w:val="clear" w:color="auto" w:fill="auto"/>
                  <w:vAlign w:val="center"/>
                </w:tcPr>
                <w:p w14:paraId="0BFFDFBA">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72369B70">
                  <w:pPr>
                    <w:jc w:val="center"/>
                    <w:rPr>
                      <w:rFonts w:eastAsia="Times New Roman"/>
                      <w:color w:val="auto"/>
                      <w:szCs w:val="21"/>
                    </w:rPr>
                  </w:pPr>
                  <w:r>
                    <w:rPr>
                      <w:rFonts w:eastAsia="Times New Roman"/>
                      <w:color w:val="auto"/>
                      <w:szCs w:val="21"/>
                    </w:rPr>
                    <w:t>0.01</w:t>
                  </w:r>
                </w:p>
              </w:tc>
              <w:tc>
                <w:tcPr>
                  <w:tcW w:w="491" w:type="pct"/>
                  <w:shd w:val="clear" w:color="auto" w:fill="auto"/>
                  <w:vAlign w:val="center"/>
                </w:tcPr>
                <w:p w14:paraId="33F612B9">
                  <w:pPr>
                    <w:jc w:val="center"/>
                    <w:rPr>
                      <w:rFonts w:eastAsia="Times New Roman"/>
                      <w:color w:val="auto"/>
                      <w:szCs w:val="21"/>
                    </w:rPr>
                  </w:pPr>
                  <w:r>
                    <w:rPr>
                      <w:rFonts w:eastAsia="Times New Roman"/>
                      <w:color w:val="auto"/>
                      <w:szCs w:val="21"/>
                    </w:rPr>
                    <w:t>0.01</w:t>
                  </w:r>
                </w:p>
              </w:tc>
              <w:tc>
                <w:tcPr>
                  <w:tcW w:w="562" w:type="pct"/>
                  <w:shd w:val="clear" w:color="auto" w:fill="auto"/>
                  <w:vAlign w:val="center"/>
                </w:tcPr>
                <w:p w14:paraId="02390094">
                  <w:pPr>
                    <w:jc w:val="center"/>
                    <w:rPr>
                      <w:color w:val="auto"/>
                      <w:szCs w:val="21"/>
                    </w:rPr>
                  </w:pPr>
                  <w:r>
                    <w:rPr>
                      <w:color w:val="auto"/>
                      <w:szCs w:val="21"/>
                    </w:rPr>
                    <w:t>仓库</w:t>
                  </w:r>
                </w:p>
              </w:tc>
            </w:tr>
            <w:tr w14:paraId="78103B1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768D08D8">
                  <w:pPr>
                    <w:jc w:val="center"/>
                    <w:rPr>
                      <w:color w:val="auto"/>
                      <w:szCs w:val="21"/>
                    </w:rPr>
                  </w:pPr>
                  <w:r>
                    <w:rPr>
                      <w:rFonts w:hint="eastAsia"/>
                      <w:color w:val="auto"/>
                      <w:szCs w:val="21"/>
                    </w:rPr>
                    <w:t>34</w:t>
                  </w:r>
                </w:p>
              </w:tc>
              <w:tc>
                <w:tcPr>
                  <w:tcW w:w="1703" w:type="pct"/>
                  <w:shd w:val="clear" w:color="auto" w:fill="auto"/>
                  <w:vAlign w:val="center"/>
                </w:tcPr>
                <w:p w14:paraId="1B9936CA">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香豆酸</w:t>
                  </w:r>
                </w:p>
              </w:tc>
              <w:tc>
                <w:tcPr>
                  <w:tcW w:w="586" w:type="pct"/>
                  <w:shd w:val="clear" w:color="auto" w:fill="auto"/>
                  <w:vAlign w:val="center"/>
                </w:tcPr>
                <w:p w14:paraId="5FD7A1A6">
                  <w:pPr>
                    <w:jc w:val="center"/>
                    <w:rPr>
                      <w:rFonts w:eastAsia="Times New Roman"/>
                      <w:color w:val="auto"/>
                      <w:szCs w:val="21"/>
                    </w:rPr>
                  </w:pPr>
                  <w:r>
                    <w:rPr>
                      <w:rFonts w:eastAsia="Times New Roman"/>
                      <w:color w:val="auto"/>
                      <w:szCs w:val="21"/>
                    </w:rPr>
                    <w:t>95%</w:t>
                  </w:r>
                </w:p>
              </w:tc>
              <w:tc>
                <w:tcPr>
                  <w:tcW w:w="648" w:type="pct"/>
                  <w:shd w:val="clear" w:color="auto" w:fill="auto"/>
                  <w:vAlign w:val="center"/>
                </w:tcPr>
                <w:p w14:paraId="6E6134F8">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2239FBDE">
                  <w:pPr>
                    <w:jc w:val="center"/>
                    <w:rPr>
                      <w:rFonts w:eastAsia="Times New Roman"/>
                      <w:color w:val="auto"/>
                      <w:szCs w:val="21"/>
                    </w:rPr>
                  </w:pPr>
                  <w:r>
                    <w:rPr>
                      <w:rFonts w:eastAsia="Times New Roman"/>
                      <w:color w:val="auto"/>
                      <w:szCs w:val="21"/>
                    </w:rPr>
                    <w:t>0.01</w:t>
                  </w:r>
                </w:p>
              </w:tc>
              <w:tc>
                <w:tcPr>
                  <w:tcW w:w="491" w:type="pct"/>
                  <w:shd w:val="clear" w:color="auto" w:fill="auto"/>
                  <w:vAlign w:val="center"/>
                </w:tcPr>
                <w:p w14:paraId="25802B2C">
                  <w:pPr>
                    <w:jc w:val="center"/>
                    <w:rPr>
                      <w:rFonts w:eastAsia="Times New Roman"/>
                      <w:color w:val="auto"/>
                      <w:szCs w:val="21"/>
                    </w:rPr>
                  </w:pPr>
                  <w:r>
                    <w:rPr>
                      <w:rFonts w:eastAsia="Times New Roman"/>
                      <w:color w:val="auto"/>
                      <w:szCs w:val="21"/>
                    </w:rPr>
                    <w:t>0.01</w:t>
                  </w:r>
                </w:p>
              </w:tc>
              <w:tc>
                <w:tcPr>
                  <w:tcW w:w="562" w:type="pct"/>
                  <w:shd w:val="clear" w:color="auto" w:fill="auto"/>
                  <w:vAlign w:val="center"/>
                </w:tcPr>
                <w:p w14:paraId="41050150">
                  <w:pPr>
                    <w:jc w:val="center"/>
                    <w:rPr>
                      <w:color w:val="auto"/>
                      <w:szCs w:val="21"/>
                    </w:rPr>
                  </w:pPr>
                  <w:r>
                    <w:rPr>
                      <w:color w:val="auto"/>
                      <w:szCs w:val="21"/>
                    </w:rPr>
                    <w:t>仓库</w:t>
                  </w:r>
                </w:p>
              </w:tc>
            </w:tr>
            <w:tr w14:paraId="3954FD9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21B7EA2D">
                  <w:pPr>
                    <w:jc w:val="center"/>
                    <w:rPr>
                      <w:color w:val="auto"/>
                      <w:szCs w:val="21"/>
                    </w:rPr>
                  </w:pPr>
                  <w:r>
                    <w:rPr>
                      <w:rFonts w:hint="eastAsia"/>
                      <w:color w:val="auto"/>
                      <w:szCs w:val="21"/>
                    </w:rPr>
                    <w:t>35</w:t>
                  </w:r>
                </w:p>
              </w:tc>
              <w:tc>
                <w:tcPr>
                  <w:tcW w:w="1703" w:type="pct"/>
                  <w:shd w:val="clear" w:color="auto" w:fill="auto"/>
                  <w:vAlign w:val="center"/>
                </w:tcPr>
                <w:p w14:paraId="279F8DE6">
                  <w:pPr>
                    <w:pStyle w:val="42"/>
                    <w:jc w:val="center"/>
                    <w:rPr>
                      <w:rFonts w:ascii="Times New Roman" w:hAnsi="Times New Roman" w:eastAsia="Times New Roman" w:cs="Times New Roman"/>
                      <w:color w:val="auto"/>
                      <w:sz w:val="21"/>
                      <w:szCs w:val="21"/>
                      <w:lang w:eastAsia="zh-CN"/>
                    </w:rPr>
                  </w:pPr>
                  <w:r>
                    <w:rPr>
                      <w:rFonts w:ascii="Times New Roman" w:hAnsi="Times New Roman" w:cs="Times New Roman"/>
                      <w:color w:val="auto"/>
                      <w:sz w:val="21"/>
                      <w:szCs w:val="21"/>
                      <w:lang w:eastAsia="zh-CN"/>
                    </w:rPr>
                    <w:t>吡咯酸乙酯</w:t>
                  </w:r>
                </w:p>
              </w:tc>
              <w:tc>
                <w:tcPr>
                  <w:tcW w:w="586" w:type="pct"/>
                  <w:shd w:val="clear" w:color="auto" w:fill="auto"/>
                  <w:vAlign w:val="center"/>
                </w:tcPr>
                <w:p w14:paraId="2F138A52">
                  <w:pPr>
                    <w:jc w:val="center"/>
                    <w:rPr>
                      <w:rFonts w:eastAsia="Times New Roman"/>
                      <w:color w:val="auto"/>
                      <w:szCs w:val="21"/>
                    </w:rPr>
                  </w:pPr>
                  <w:r>
                    <w:rPr>
                      <w:rFonts w:eastAsia="Times New Roman"/>
                      <w:color w:val="auto"/>
                      <w:szCs w:val="21"/>
                    </w:rPr>
                    <w:t>95%</w:t>
                  </w:r>
                </w:p>
              </w:tc>
              <w:tc>
                <w:tcPr>
                  <w:tcW w:w="648" w:type="pct"/>
                  <w:shd w:val="clear" w:color="auto" w:fill="auto"/>
                  <w:vAlign w:val="center"/>
                </w:tcPr>
                <w:p w14:paraId="1BAE367F">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056D5D4A">
                  <w:pPr>
                    <w:jc w:val="center"/>
                    <w:rPr>
                      <w:rFonts w:eastAsia="Times New Roman"/>
                      <w:color w:val="auto"/>
                      <w:szCs w:val="21"/>
                    </w:rPr>
                  </w:pPr>
                  <w:r>
                    <w:rPr>
                      <w:rFonts w:eastAsia="Times New Roman"/>
                      <w:color w:val="auto"/>
                      <w:szCs w:val="21"/>
                    </w:rPr>
                    <w:t>0.001</w:t>
                  </w:r>
                </w:p>
              </w:tc>
              <w:tc>
                <w:tcPr>
                  <w:tcW w:w="491" w:type="pct"/>
                  <w:shd w:val="clear" w:color="auto" w:fill="auto"/>
                  <w:vAlign w:val="center"/>
                </w:tcPr>
                <w:p w14:paraId="4FA0875F">
                  <w:pPr>
                    <w:jc w:val="center"/>
                    <w:rPr>
                      <w:rFonts w:eastAsia="Times New Roman"/>
                      <w:color w:val="auto"/>
                      <w:szCs w:val="21"/>
                    </w:rPr>
                  </w:pPr>
                  <w:r>
                    <w:rPr>
                      <w:rFonts w:eastAsia="Times New Roman"/>
                      <w:color w:val="auto"/>
                      <w:szCs w:val="21"/>
                    </w:rPr>
                    <w:t>0.001</w:t>
                  </w:r>
                </w:p>
              </w:tc>
              <w:tc>
                <w:tcPr>
                  <w:tcW w:w="562" w:type="pct"/>
                  <w:shd w:val="clear" w:color="auto" w:fill="auto"/>
                  <w:vAlign w:val="center"/>
                </w:tcPr>
                <w:p w14:paraId="5C7616C9">
                  <w:pPr>
                    <w:jc w:val="center"/>
                    <w:rPr>
                      <w:color w:val="auto"/>
                      <w:szCs w:val="21"/>
                    </w:rPr>
                  </w:pPr>
                  <w:r>
                    <w:rPr>
                      <w:color w:val="auto"/>
                      <w:szCs w:val="21"/>
                    </w:rPr>
                    <w:t>仓库</w:t>
                  </w:r>
                </w:p>
              </w:tc>
            </w:tr>
            <w:tr w14:paraId="33EB4E7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0C91DBF5">
                  <w:pPr>
                    <w:jc w:val="center"/>
                    <w:rPr>
                      <w:color w:val="auto"/>
                      <w:szCs w:val="21"/>
                    </w:rPr>
                  </w:pPr>
                  <w:r>
                    <w:rPr>
                      <w:rFonts w:hint="eastAsia"/>
                      <w:color w:val="auto"/>
                      <w:szCs w:val="21"/>
                    </w:rPr>
                    <w:t>36</w:t>
                  </w:r>
                </w:p>
              </w:tc>
              <w:tc>
                <w:tcPr>
                  <w:tcW w:w="1703" w:type="pct"/>
                  <w:shd w:val="clear" w:color="auto" w:fill="auto"/>
                  <w:vAlign w:val="center"/>
                </w:tcPr>
                <w:p w14:paraId="52B005C4">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rPr>
                    <w:t>甲氨盐酸盐</w:t>
                  </w:r>
                </w:p>
              </w:tc>
              <w:tc>
                <w:tcPr>
                  <w:tcW w:w="586" w:type="pct"/>
                  <w:shd w:val="clear" w:color="auto" w:fill="auto"/>
                  <w:vAlign w:val="center"/>
                </w:tcPr>
                <w:p w14:paraId="45DA2025">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5C101384">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6FC99441">
                  <w:pPr>
                    <w:jc w:val="center"/>
                    <w:rPr>
                      <w:rFonts w:eastAsia="Times New Roman"/>
                      <w:color w:val="auto"/>
                      <w:szCs w:val="21"/>
                    </w:rPr>
                  </w:pPr>
                  <w:r>
                    <w:rPr>
                      <w:rFonts w:eastAsia="Times New Roman"/>
                      <w:color w:val="auto"/>
                      <w:szCs w:val="21"/>
                    </w:rPr>
                    <w:t>0.05</w:t>
                  </w:r>
                </w:p>
              </w:tc>
              <w:tc>
                <w:tcPr>
                  <w:tcW w:w="491" w:type="pct"/>
                  <w:shd w:val="clear" w:color="auto" w:fill="auto"/>
                  <w:vAlign w:val="center"/>
                </w:tcPr>
                <w:p w14:paraId="234971A2">
                  <w:pPr>
                    <w:jc w:val="center"/>
                    <w:rPr>
                      <w:rFonts w:eastAsia="Times New Roman"/>
                      <w:color w:val="auto"/>
                      <w:szCs w:val="21"/>
                    </w:rPr>
                  </w:pPr>
                  <w:r>
                    <w:rPr>
                      <w:rFonts w:eastAsia="Times New Roman"/>
                      <w:color w:val="auto"/>
                      <w:szCs w:val="21"/>
                    </w:rPr>
                    <w:t>0.05</w:t>
                  </w:r>
                </w:p>
              </w:tc>
              <w:tc>
                <w:tcPr>
                  <w:tcW w:w="562" w:type="pct"/>
                  <w:shd w:val="clear" w:color="auto" w:fill="auto"/>
                  <w:vAlign w:val="center"/>
                </w:tcPr>
                <w:p w14:paraId="53991C9B">
                  <w:pPr>
                    <w:jc w:val="center"/>
                    <w:rPr>
                      <w:color w:val="auto"/>
                      <w:szCs w:val="21"/>
                    </w:rPr>
                  </w:pPr>
                  <w:r>
                    <w:rPr>
                      <w:color w:val="auto"/>
                      <w:szCs w:val="21"/>
                    </w:rPr>
                    <w:t>仓库</w:t>
                  </w:r>
                </w:p>
              </w:tc>
            </w:tr>
            <w:tr w14:paraId="27A39FB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652DCAC6">
                  <w:pPr>
                    <w:jc w:val="center"/>
                    <w:rPr>
                      <w:color w:val="auto"/>
                      <w:szCs w:val="21"/>
                    </w:rPr>
                  </w:pPr>
                  <w:r>
                    <w:rPr>
                      <w:rFonts w:hint="eastAsia"/>
                      <w:color w:val="auto"/>
                      <w:szCs w:val="21"/>
                    </w:rPr>
                    <w:t>37</w:t>
                  </w:r>
                </w:p>
              </w:tc>
              <w:tc>
                <w:tcPr>
                  <w:tcW w:w="1703" w:type="pct"/>
                  <w:shd w:val="clear" w:color="auto" w:fill="auto"/>
                  <w:vAlign w:val="center"/>
                </w:tcPr>
                <w:p w14:paraId="28C8F9D4">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rPr>
                    <w:t>磷酸氢二钠</w:t>
                  </w:r>
                </w:p>
              </w:tc>
              <w:tc>
                <w:tcPr>
                  <w:tcW w:w="586" w:type="pct"/>
                  <w:shd w:val="clear" w:color="auto" w:fill="auto"/>
                  <w:vAlign w:val="center"/>
                </w:tcPr>
                <w:p w14:paraId="41250312">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43F3A733">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75622B50">
                  <w:pPr>
                    <w:jc w:val="center"/>
                    <w:rPr>
                      <w:rFonts w:eastAsia="Times New Roman"/>
                      <w:color w:val="auto"/>
                      <w:szCs w:val="21"/>
                    </w:rPr>
                  </w:pPr>
                  <w:r>
                    <w:rPr>
                      <w:rFonts w:eastAsia="Times New Roman"/>
                      <w:color w:val="auto"/>
                      <w:szCs w:val="21"/>
                    </w:rPr>
                    <w:t>0.05</w:t>
                  </w:r>
                </w:p>
              </w:tc>
              <w:tc>
                <w:tcPr>
                  <w:tcW w:w="491" w:type="pct"/>
                  <w:shd w:val="clear" w:color="auto" w:fill="auto"/>
                  <w:vAlign w:val="center"/>
                </w:tcPr>
                <w:p w14:paraId="52248975">
                  <w:pPr>
                    <w:jc w:val="center"/>
                    <w:rPr>
                      <w:rFonts w:eastAsia="Times New Roman"/>
                      <w:color w:val="auto"/>
                      <w:szCs w:val="21"/>
                    </w:rPr>
                  </w:pPr>
                  <w:r>
                    <w:rPr>
                      <w:rFonts w:eastAsia="Times New Roman"/>
                      <w:color w:val="auto"/>
                      <w:szCs w:val="21"/>
                    </w:rPr>
                    <w:t>0.05</w:t>
                  </w:r>
                </w:p>
              </w:tc>
              <w:tc>
                <w:tcPr>
                  <w:tcW w:w="562" w:type="pct"/>
                  <w:shd w:val="clear" w:color="auto" w:fill="auto"/>
                  <w:vAlign w:val="center"/>
                </w:tcPr>
                <w:p w14:paraId="5EBA2ED6">
                  <w:pPr>
                    <w:jc w:val="center"/>
                    <w:rPr>
                      <w:color w:val="auto"/>
                      <w:szCs w:val="21"/>
                    </w:rPr>
                  </w:pPr>
                  <w:r>
                    <w:rPr>
                      <w:color w:val="auto"/>
                      <w:szCs w:val="21"/>
                    </w:rPr>
                    <w:t>仓库</w:t>
                  </w:r>
                </w:p>
              </w:tc>
            </w:tr>
            <w:tr w14:paraId="49A4818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4B32C609">
                  <w:pPr>
                    <w:jc w:val="center"/>
                    <w:rPr>
                      <w:color w:val="auto"/>
                      <w:szCs w:val="21"/>
                    </w:rPr>
                  </w:pPr>
                  <w:r>
                    <w:rPr>
                      <w:rFonts w:hint="eastAsia"/>
                      <w:color w:val="auto"/>
                      <w:szCs w:val="21"/>
                    </w:rPr>
                    <w:t>38</w:t>
                  </w:r>
                </w:p>
              </w:tc>
              <w:tc>
                <w:tcPr>
                  <w:tcW w:w="1703" w:type="pct"/>
                  <w:shd w:val="clear" w:color="auto" w:fill="auto"/>
                  <w:vAlign w:val="center"/>
                </w:tcPr>
                <w:p w14:paraId="75E41498">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磷酸二氢钠</w:t>
                  </w:r>
                </w:p>
              </w:tc>
              <w:tc>
                <w:tcPr>
                  <w:tcW w:w="586" w:type="pct"/>
                  <w:shd w:val="clear" w:color="auto" w:fill="auto"/>
                  <w:vAlign w:val="center"/>
                </w:tcPr>
                <w:p w14:paraId="49F6F671">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22592432">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50CE4F28">
                  <w:pPr>
                    <w:jc w:val="center"/>
                    <w:rPr>
                      <w:rFonts w:eastAsia="Times New Roman"/>
                      <w:color w:val="auto"/>
                      <w:szCs w:val="21"/>
                    </w:rPr>
                  </w:pPr>
                  <w:r>
                    <w:rPr>
                      <w:rFonts w:eastAsia="Times New Roman"/>
                      <w:color w:val="auto"/>
                      <w:szCs w:val="21"/>
                    </w:rPr>
                    <w:t>0.05</w:t>
                  </w:r>
                </w:p>
              </w:tc>
              <w:tc>
                <w:tcPr>
                  <w:tcW w:w="491" w:type="pct"/>
                  <w:shd w:val="clear" w:color="auto" w:fill="auto"/>
                  <w:vAlign w:val="center"/>
                </w:tcPr>
                <w:p w14:paraId="15BF85D4">
                  <w:pPr>
                    <w:jc w:val="center"/>
                    <w:rPr>
                      <w:rFonts w:eastAsia="Times New Roman"/>
                      <w:color w:val="auto"/>
                      <w:szCs w:val="21"/>
                    </w:rPr>
                  </w:pPr>
                  <w:r>
                    <w:rPr>
                      <w:rFonts w:eastAsia="Times New Roman"/>
                      <w:color w:val="auto"/>
                      <w:szCs w:val="21"/>
                    </w:rPr>
                    <w:t>0.05</w:t>
                  </w:r>
                </w:p>
              </w:tc>
              <w:tc>
                <w:tcPr>
                  <w:tcW w:w="562" w:type="pct"/>
                  <w:shd w:val="clear" w:color="auto" w:fill="auto"/>
                  <w:vAlign w:val="center"/>
                </w:tcPr>
                <w:p w14:paraId="6F7DD6C0">
                  <w:pPr>
                    <w:jc w:val="center"/>
                    <w:rPr>
                      <w:color w:val="auto"/>
                      <w:szCs w:val="21"/>
                    </w:rPr>
                  </w:pPr>
                  <w:r>
                    <w:rPr>
                      <w:color w:val="auto"/>
                      <w:szCs w:val="21"/>
                    </w:rPr>
                    <w:t>仓库</w:t>
                  </w:r>
                </w:p>
              </w:tc>
            </w:tr>
            <w:tr w14:paraId="2767DE1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470AFD87">
                  <w:pPr>
                    <w:jc w:val="center"/>
                    <w:rPr>
                      <w:color w:val="auto"/>
                      <w:szCs w:val="21"/>
                    </w:rPr>
                  </w:pPr>
                  <w:r>
                    <w:rPr>
                      <w:rFonts w:hint="eastAsia"/>
                      <w:color w:val="auto"/>
                      <w:szCs w:val="21"/>
                    </w:rPr>
                    <w:t>39</w:t>
                  </w:r>
                </w:p>
              </w:tc>
              <w:tc>
                <w:tcPr>
                  <w:tcW w:w="1703" w:type="pct"/>
                  <w:shd w:val="clear" w:color="auto" w:fill="auto"/>
                  <w:vAlign w:val="center"/>
                </w:tcPr>
                <w:p w14:paraId="0BACEED3">
                  <w:pPr>
                    <w:pStyle w:val="42"/>
                    <w:jc w:val="center"/>
                    <w:rPr>
                      <w:rFonts w:ascii="Times New Roman" w:hAnsi="Times New Roman" w:cs="Times New Roman"/>
                      <w:color w:val="auto"/>
                      <w:sz w:val="21"/>
                      <w:szCs w:val="21"/>
                    </w:rPr>
                  </w:pPr>
                  <w:r>
                    <w:rPr>
                      <w:rFonts w:ascii="Times New Roman" w:hAnsi="Times New Roman" w:cs="Times New Roman"/>
                      <w:color w:val="auto"/>
                      <w:sz w:val="21"/>
                      <w:szCs w:val="21"/>
                    </w:rPr>
                    <w:t>氮气</w:t>
                  </w:r>
                </w:p>
              </w:tc>
              <w:tc>
                <w:tcPr>
                  <w:tcW w:w="586" w:type="pct"/>
                  <w:shd w:val="clear" w:color="auto" w:fill="auto"/>
                  <w:vAlign w:val="center"/>
                </w:tcPr>
                <w:p w14:paraId="0452D2C6">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786C994B">
                  <w:pPr>
                    <w:jc w:val="center"/>
                    <w:rPr>
                      <w:rFonts w:eastAsia="Times New Roman"/>
                      <w:color w:val="auto"/>
                      <w:szCs w:val="21"/>
                    </w:rPr>
                  </w:pPr>
                  <w:r>
                    <w:rPr>
                      <w:color w:val="auto"/>
                      <w:szCs w:val="21"/>
                    </w:rPr>
                    <w:t>瓶</w:t>
                  </w:r>
                  <w:r>
                    <w:rPr>
                      <w:rFonts w:hint="eastAsia"/>
                      <w:color w:val="auto"/>
                      <w:szCs w:val="21"/>
                    </w:rPr>
                    <w:t>/a</w:t>
                  </w:r>
                </w:p>
              </w:tc>
              <w:tc>
                <w:tcPr>
                  <w:tcW w:w="648" w:type="pct"/>
                  <w:shd w:val="clear" w:color="auto" w:fill="auto"/>
                  <w:vAlign w:val="center"/>
                </w:tcPr>
                <w:p w14:paraId="7941C841">
                  <w:pPr>
                    <w:pStyle w:val="42"/>
                    <w:jc w:val="center"/>
                    <w:rPr>
                      <w:rFonts w:ascii="Times New Roman" w:hAnsi="Times New Roman" w:cs="Times New Roman"/>
                      <w:color w:val="auto"/>
                      <w:sz w:val="21"/>
                      <w:szCs w:val="21"/>
                      <w:lang w:eastAsia="zh-CN"/>
                    </w:rPr>
                  </w:pPr>
                  <w:r>
                    <w:rPr>
                      <w:rFonts w:ascii="Times New Roman" w:hAnsi="Times New Roman" w:eastAsia="Times New Roman" w:cs="Times New Roman"/>
                      <w:color w:val="auto"/>
                      <w:sz w:val="21"/>
                      <w:szCs w:val="21"/>
                    </w:rPr>
                    <w:t>2</w:t>
                  </w:r>
                </w:p>
              </w:tc>
              <w:tc>
                <w:tcPr>
                  <w:tcW w:w="491" w:type="pct"/>
                  <w:shd w:val="clear" w:color="auto" w:fill="auto"/>
                  <w:vAlign w:val="center"/>
                </w:tcPr>
                <w:p w14:paraId="6BAC691C">
                  <w:pPr>
                    <w:pStyle w:val="42"/>
                    <w:jc w:val="center"/>
                    <w:rPr>
                      <w:rFonts w:ascii="Times New Roman" w:hAnsi="Times New Roman" w:cs="Times New Roman"/>
                      <w:color w:val="auto"/>
                      <w:sz w:val="21"/>
                      <w:szCs w:val="21"/>
                      <w:lang w:eastAsia="zh-CN"/>
                    </w:rPr>
                  </w:pPr>
                  <w:r>
                    <w:rPr>
                      <w:rFonts w:ascii="Times New Roman" w:hAnsi="Times New Roman" w:eastAsia="Times New Roman" w:cs="Times New Roman"/>
                      <w:color w:val="auto"/>
                      <w:sz w:val="21"/>
                      <w:szCs w:val="21"/>
                    </w:rPr>
                    <w:t>2</w:t>
                  </w:r>
                  <w:r>
                    <w:rPr>
                      <w:rFonts w:ascii="Times New Roman" w:hAnsi="Times New Roman" w:cs="Times New Roman"/>
                      <w:color w:val="auto"/>
                      <w:sz w:val="21"/>
                      <w:szCs w:val="21"/>
                    </w:rPr>
                    <w:t>瓶</w:t>
                  </w:r>
                </w:p>
              </w:tc>
              <w:tc>
                <w:tcPr>
                  <w:tcW w:w="562" w:type="pct"/>
                  <w:shd w:val="clear" w:color="auto" w:fill="auto"/>
                  <w:vAlign w:val="center"/>
                </w:tcPr>
                <w:p w14:paraId="50494EFB">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rPr>
                    <w:t>研发室</w:t>
                  </w:r>
                </w:p>
              </w:tc>
            </w:tr>
            <w:tr w14:paraId="7F254EF8">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56C0935D">
                  <w:pPr>
                    <w:jc w:val="center"/>
                    <w:rPr>
                      <w:color w:val="auto"/>
                      <w:szCs w:val="21"/>
                    </w:rPr>
                  </w:pPr>
                  <w:r>
                    <w:rPr>
                      <w:rFonts w:hint="eastAsia"/>
                      <w:color w:val="auto"/>
                      <w:szCs w:val="21"/>
                    </w:rPr>
                    <w:t>40</w:t>
                  </w:r>
                </w:p>
              </w:tc>
              <w:tc>
                <w:tcPr>
                  <w:tcW w:w="1703" w:type="pct"/>
                  <w:shd w:val="clear" w:color="auto" w:fill="auto"/>
                  <w:vAlign w:val="center"/>
                </w:tcPr>
                <w:p w14:paraId="34E243A8">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氢气</w:t>
                  </w:r>
                </w:p>
              </w:tc>
              <w:tc>
                <w:tcPr>
                  <w:tcW w:w="586" w:type="pct"/>
                  <w:shd w:val="clear" w:color="auto" w:fill="auto"/>
                  <w:vAlign w:val="center"/>
                </w:tcPr>
                <w:p w14:paraId="674A5AF2">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2A8FEABB">
                  <w:pPr>
                    <w:jc w:val="center"/>
                    <w:rPr>
                      <w:rFonts w:eastAsia="Times New Roman"/>
                      <w:color w:val="auto"/>
                      <w:szCs w:val="21"/>
                    </w:rPr>
                  </w:pPr>
                  <w:r>
                    <w:rPr>
                      <w:color w:val="auto"/>
                      <w:szCs w:val="21"/>
                    </w:rPr>
                    <w:t>瓶</w:t>
                  </w:r>
                  <w:r>
                    <w:rPr>
                      <w:rFonts w:hint="eastAsia"/>
                      <w:color w:val="auto"/>
                      <w:szCs w:val="21"/>
                    </w:rPr>
                    <w:t>/a</w:t>
                  </w:r>
                </w:p>
              </w:tc>
              <w:tc>
                <w:tcPr>
                  <w:tcW w:w="648" w:type="pct"/>
                  <w:shd w:val="clear" w:color="auto" w:fill="auto"/>
                  <w:vAlign w:val="center"/>
                </w:tcPr>
                <w:p w14:paraId="6E2CC23A">
                  <w:pPr>
                    <w:pStyle w:val="42"/>
                    <w:jc w:val="center"/>
                    <w:rPr>
                      <w:rFonts w:ascii="Times New Roman" w:hAnsi="Times New Roman" w:eastAsia="Times New Roman" w:cs="Times New Roman"/>
                      <w:color w:val="auto"/>
                      <w:sz w:val="21"/>
                      <w:szCs w:val="21"/>
                      <w:lang w:eastAsia="zh-CN"/>
                    </w:rPr>
                  </w:pPr>
                  <w:r>
                    <w:rPr>
                      <w:rFonts w:ascii="Times New Roman" w:hAnsi="Times New Roman" w:eastAsia="Times New Roman" w:cs="Times New Roman"/>
                      <w:color w:val="auto"/>
                      <w:sz w:val="21"/>
                      <w:szCs w:val="21"/>
                    </w:rPr>
                    <w:t>2</w:t>
                  </w:r>
                </w:p>
              </w:tc>
              <w:tc>
                <w:tcPr>
                  <w:tcW w:w="491" w:type="pct"/>
                  <w:shd w:val="clear" w:color="auto" w:fill="auto"/>
                  <w:vAlign w:val="center"/>
                </w:tcPr>
                <w:p w14:paraId="4624110C">
                  <w:pPr>
                    <w:pStyle w:val="42"/>
                    <w:jc w:val="center"/>
                    <w:rPr>
                      <w:rFonts w:ascii="Times New Roman" w:hAnsi="Times New Roman" w:eastAsia="Times New Roman" w:cs="Times New Roman"/>
                      <w:color w:val="auto"/>
                      <w:sz w:val="21"/>
                      <w:szCs w:val="21"/>
                      <w:lang w:eastAsia="zh-CN"/>
                    </w:rPr>
                  </w:pPr>
                  <w:r>
                    <w:rPr>
                      <w:rFonts w:ascii="Times New Roman" w:hAnsi="Times New Roman" w:eastAsia="Times New Roman" w:cs="Times New Roman"/>
                      <w:color w:val="auto"/>
                      <w:sz w:val="21"/>
                      <w:szCs w:val="21"/>
                    </w:rPr>
                    <w:t>2</w:t>
                  </w:r>
                  <w:r>
                    <w:rPr>
                      <w:rFonts w:ascii="Times New Roman" w:hAnsi="Times New Roman" w:cs="Times New Roman"/>
                      <w:color w:val="auto"/>
                      <w:sz w:val="21"/>
                      <w:szCs w:val="21"/>
                    </w:rPr>
                    <w:t>瓶</w:t>
                  </w:r>
                </w:p>
              </w:tc>
              <w:tc>
                <w:tcPr>
                  <w:tcW w:w="562" w:type="pct"/>
                  <w:shd w:val="clear" w:color="auto" w:fill="auto"/>
                  <w:vAlign w:val="center"/>
                </w:tcPr>
                <w:p w14:paraId="70AEDB70">
                  <w:pPr>
                    <w:pStyle w:val="42"/>
                    <w:jc w:val="center"/>
                    <w:rPr>
                      <w:rFonts w:ascii="Times New Roman" w:hAnsi="Times New Roman" w:eastAsia="Times New Roman" w:cs="Times New Roman"/>
                      <w:color w:val="auto"/>
                      <w:sz w:val="21"/>
                      <w:szCs w:val="21"/>
                      <w:lang w:eastAsia="zh-CN"/>
                    </w:rPr>
                  </w:pPr>
                  <w:r>
                    <w:rPr>
                      <w:rFonts w:ascii="Times New Roman" w:hAnsi="Times New Roman" w:cs="Times New Roman"/>
                      <w:color w:val="auto"/>
                      <w:sz w:val="21"/>
                      <w:szCs w:val="21"/>
                    </w:rPr>
                    <w:t>研发室</w:t>
                  </w:r>
                </w:p>
              </w:tc>
            </w:tr>
            <w:tr w14:paraId="731FBFF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9" w:type="pct"/>
                  <w:shd w:val="clear" w:color="auto" w:fill="auto"/>
                  <w:vAlign w:val="center"/>
                </w:tcPr>
                <w:p w14:paraId="555386E4">
                  <w:pPr>
                    <w:jc w:val="center"/>
                    <w:rPr>
                      <w:color w:val="auto"/>
                      <w:szCs w:val="21"/>
                    </w:rPr>
                  </w:pPr>
                  <w:r>
                    <w:rPr>
                      <w:rFonts w:hint="eastAsia"/>
                      <w:color w:val="auto"/>
                      <w:szCs w:val="21"/>
                    </w:rPr>
                    <w:t>41</w:t>
                  </w:r>
                </w:p>
              </w:tc>
              <w:tc>
                <w:tcPr>
                  <w:tcW w:w="1703" w:type="pct"/>
                  <w:shd w:val="clear" w:color="auto" w:fill="auto"/>
                  <w:vAlign w:val="center"/>
                </w:tcPr>
                <w:p w14:paraId="006AA9FB">
                  <w:pPr>
                    <w:pStyle w:val="42"/>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高锰酸钾</w:t>
                  </w:r>
                </w:p>
              </w:tc>
              <w:tc>
                <w:tcPr>
                  <w:tcW w:w="586" w:type="pct"/>
                  <w:shd w:val="clear" w:color="auto" w:fill="auto"/>
                  <w:vAlign w:val="center"/>
                </w:tcPr>
                <w:p w14:paraId="1707AACC">
                  <w:pPr>
                    <w:jc w:val="center"/>
                    <w:rPr>
                      <w:rFonts w:eastAsia="Times New Roman"/>
                      <w:color w:val="auto"/>
                      <w:szCs w:val="21"/>
                    </w:rPr>
                  </w:pPr>
                  <w:r>
                    <w:rPr>
                      <w:rFonts w:eastAsia="Times New Roman"/>
                      <w:color w:val="auto"/>
                      <w:szCs w:val="21"/>
                    </w:rPr>
                    <w:t>AR</w:t>
                  </w:r>
                </w:p>
              </w:tc>
              <w:tc>
                <w:tcPr>
                  <w:tcW w:w="648" w:type="pct"/>
                  <w:shd w:val="clear" w:color="auto" w:fill="auto"/>
                  <w:vAlign w:val="center"/>
                </w:tcPr>
                <w:p w14:paraId="1C3018D3">
                  <w:pPr>
                    <w:jc w:val="center"/>
                    <w:rPr>
                      <w:rFonts w:eastAsia="Times New Roman"/>
                      <w:color w:val="auto"/>
                      <w:szCs w:val="21"/>
                    </w:rPr>
                  </w:pPr>
                  <w:r>
                    <w:rPr>
                      <w:rFonts w:hint="eastAsia"/>
                      <w:color w:val="auto"/>
                      <w:szCs w:val="21"/>
                    </w:rPr>
                    <w:t>t/a</w:t>
                  </w:r>
                </w:p>
              </w:tc>
              <w:tc>
                <w:tcPr>
                  <w:tcW w:w="648" w:type="pct"/>
                  <w:shd w:val="clear" w:color="auto" w:fill="auto"/>
                  <w:vAlign w:val="center"/>
                </w:tcPr>
                <w:p w14:paraId="7C3504EB">
                  <w:pPr>
                    <w:jc w:val="center"/>
                    <w:rPr>
                      <w:rFonts w:eastAsia="Times New Roman"/>
                      <w:color w:val="auto"/>
                      <w:szCs w:val="21"/>
                    </w:rPr>
                  </w:pPr>
                  <w:r>
                    <w:rPr>
                      <w:rFonts w:hint="eastAsia"/>
                      <w:color w:val="auto"/>
                      <w:szCs w:val="21"/>
                    </w:rPr>
                    <w:t>0.</w:t>
                  </w:r>
                  <w:r>
                    <w:rPr>
                      <w:rFonts w:eastAsia="Times New Roman"/>
                      <w:color w:val="auto"/>
                      <w:szCs w:val="21"/>
                    </w:rPr>
                    <w:t>2</w:t>
                  </w:r>
                </w:p>
              </w:tc>
              <w:tc>
                <w:tcPr>
                  <w:tcW w:w="491" w:type="pct"/>
                  <w:shd w:val="clear" w:color="auto" w:fill="auto"/>
                  <w:vAlign w:val="center"/>
                </w:tcPr>
                <w:p w14:paraId="190A9EA7">
                  <w:pPr>
                    <w:jc w:val="center"/>
                    <w:rPr>
                      <w:rFonts w:eastAsia="Times New Roman"/>
                      <w:color w:val="auto"/>
                      <w:szCs w:val="21"/>
                    </w:rPr>
                  </w:pPr>
                  <w:r>
                    <w:rPr>
                      <w:rFonts w:hint="eastAsia"/>
                      <w:color w:val="auto"/>
                      <w:szCs w:val="21"/>
                    </w:rPr>
                    <w:t>0.</w:t>
                  </w:r>
                  <w:r>
                    <w:rPr>
                      <w:rFonts w:eastAsia="Times New Roman"/>
                      <w:color w:val="auto"/>
                      <w:szCs w:val="21"/>
                    </w:rPr>
                    <w:t>2</w:t>
                  </w:r>
                </w:p>
              </w:tc>
              <w:tc>
                <w:tcPr>
                  <w:tcW w:w="562" w:type="pct"/>
                  <w:shd w:val="clear" w:color="auto" w:fill="auto"/>
                  <w:vAlign w:val="center"/>
                </w:tcPr>
                <w:p w14:paraId="47751E7F">
                  <w:pPr>
                    <w:jc w:val="center"/>
                    <w:rPr>
                      <w:color w:val="auto"/>
                      <w:szCs w:val="21"/>
                    </w:rPr>
                  </w:pPr>
                  <w:r>
                    <w:rPr>
                      <w:color w:val="auto"/>
                      <w:szCs w:val="21"/>
                    </w:rPr>
                    <w:t>研发室</w:t>
                  </w:r>
                </w:p>
              </w:tc>
            </w:tr>
            <w:tr w14:paraId="3DF00C6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59" w:type="pct"/>
                  <w:tcBorders>
                    <w:bottom w:val="single" w:color="000000" w:sz="10" w:space="0"/>
                  </w:tcBorders>
                  <w:shd w:val="clear" w:color="auto" w:fill="auto"/>
                  <w:vAlign w:val="center"/>
                </w:tcPr>
                <w:p w14:paraId="24140155">
                  <w:pPr>
                    <w:jc w:val="center"/>
                    <w:rPr>
                      <w:color w:val="auto"/>
                      <w:szCs w:val="21"/>
                    </w:rPr>
                  </w:pPr>
                  <w:r>
                    <w:rPr>
                      <w:rFonts w:hint="eastAsia"/>
                      <w:color w:val="auto"/>
                      <w:szCs w:val="21"/>
                    </w:rPr>
                    <w:t>42</w:t>
                  </w:r>
                </w:p>
              </w:tc>
              <w:tc>
                <w:tcPr>
                  <w:tcW w:w="1703" w:type="pct"/>
                  <w:tcBorders>
                    <w:bottom w:val="single" w:color="000000" w:sz="10" w:space="0"/>
                  </w:tcBorders>
                  <w:shd w:val="clear" w:color="auto" w:fill="auto"/>
                  <w:vAlign w:val="center"/>
                </w:tcPr>
                <w:p w14:paraId="2E83DFF0">
                  <w:pPr>
                    <w:pStyle w:val="42"/>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新鲜水</w:t>
                  </w:r>
                </w:p>
              </w:tc>
              <w:tc>
                <w:tcPr>
                  <w:tcW w:w="586" w:type="pct"/>
                  <w:tcBorders>
                    <w:bottom w:val="single" w:color="000000" w:sz="10" w:space="0"/>
                  </w:tcBorders>
                  <w:shd w:val="clear" w:color="auto" w:fill="auto"/>
                  <w:vAlign w:val="center"/>
                </w:tcPr>
                <w:p w14:paraId="1432CDA9">
                  <w:pPr>
                    <w:jc w:val="center"/>
                    <w:rPr>
                      <w:rFonts w:eastAsia="Times New Roman"/>
                      <w:color w:val="auto"/>
                      <w:szCs w:val="21"/>
                    </w:rPr>
                  </w:pPr>
                  <w:r>
                    <w:rPr>
                      <w:rFonts w:hint="eastAsia" w:eastAsia="Times New Roman"/>
                      <w:color w:val="auto"/>
                      <w:szCs w:val="21"/>
                    </w:rPr>
                    <w:t>/</w:t>
                  </w:r>
                </w:p>
              </w:tc>
              <w:tc>
                <w:tcPr>
                  <w:tcW w:w="648" w:type="pct"/>
                  <w:tcBorders>
                    <w:bottom w:val="single" w:color="000000" w:sz="10" w:space="0"/>
                  </w:tcBorders>
                  <w:shd w:val="clear" w:color="auto" w:fill="auto"/>
                  <w:vAlign w:val="center"/>
                </w:tcPr>
                <w:p w14:paraId="7C088D34">
                  <w:pPr>
                    <w:jc w:val="center"/>
                    <w:rPr>
                      <w:rFonts w:eastAsia="Times New Roman"/>
                      <w:color w:val="auto"/>
                      <w:szCs w:val="21"/>
                    </w:rPr>
                  </w:pPr>
                  <w:r>
                    <w:rPr>
                      <w:rFonts w:hint="eastAsia" w:eastAsia="Times New Roman"/>
                      <w:color w:val="auto"/>
                      <w:szCs w:val="21"/>
                    </w:rPr>
                    <w:t>t/a</w:t>
                  </w:r>
                </w:p>
              </w:tc>
              <w:tc>
                <w:tcPr>
                  <w:tcW w:w="648" w:type="pct"/>
                  <w:tcBorders>
                    <w:bottom w:val="single" w:color="000000" w:sz="10" w:space="0"/>
                  </w:tcBorders>
                  <w:shd w:val="clear" w:color="auto" w:fill="auto"/>
                  <w:vAlign w:val="center"/>
                </w:tcPr>
                <w:p w14:paraId="6F1E08A9">
                  <w:pPr>
                    <w:jc w:val="center"/>
                    <w:rPr>
                      <w:rFonts w:eastAsia="Times New Roman"/>
                      <w:color w:val="auto"/>
                      <w:szCs w:val="21"/>
                    </w:rPr>
                  </w:pPr>
                  <w:r>
                    <w:rPr>
                      <w:rFonts w:hint="eastAsia" w:eastAsia="Times New Roman"/>
                      <w:color w:val="auto"/>
                      <w:szCs w:val="21"/>
                    </w:rPr>
                    <w:t>86</w:t>
                  </w:r>
                </w:p>
              </w:tc>
              <w:tc>
                <w:tcPr>
                  <w:tcW w:w="491" w:type="pct"/>
                  <w:tcBorders>
                    <w:bottom w:val="single" w:color="000000" w:sz="10" w:space="0"/>
                  </w:tcBorders>
                  <w:shd w:val="clear" w:color="auto" w:fill="auto"/>
                  <w:vAlign w:val="center"/>
                </w:tcPr>
                <w:p w14:paraId="6E3F3680">
                  <w:pPr>
                    <w:jc w:val="center"/>
                    <w:rPr>
                      <w:rFonts w:eastAsia="Times New Roman"/>
                      <w:color w:val="auto"/>
                      <w:szCs w:val="21"/>
                    </w:rPr>
                  </w:pPr>
                  <w:r>
                    <w:rPr>
                      <w:rFonts w:hint="eastAsia" w:eastAsia="Times New Roman"/>
                      <w:color w:val="auto"/>
                      <w:szCs w:val="21"/>
                    </w:rPr>
                    <w:t>/</w:t>
                  </w:r>
                </w:p>
              </w:tc>
              <w:tc>
                <w:tcPr>
                  <w:tcW w:w="562" w:type="pct"/>
                  <w:tcBorders>
                    <w:bottom w:val="single" w:color="000000" w:sz="10" w:space="0"/>
                  </w:tcBorders>
                  <w:shd w:val="clear" w:color="auto" w:fill="auto"/>
                  <w:vAlign w:val="center"/>
                </w:tcPr>
                <w:p w14:paraId="0A1AB720">
                  <w:pPr>
                    <w:jc w:val="center"/>
                    <w:rPr>
                      <w:color w:val="auto"/>
                      <w:szCs w:val="21"/>
                    </w:rPr>
                  </w:pPr>
                  <w:r>
                    <w:rPr>
                      <w:rFonts w:hint="eastAsia"/>
                      <w:color w:val="auto"/>
                      <w:szCs w:val="21"/>
                    </w:rPr>
                    <w:t>/</w:t>
                  </w:r>
                </w:p>
              </w:tc>
            </w:tr>
            <w:tr w14:paraId="1633E42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59" w:type="pct"/>
                  <w:tcBorders>
                    <w:bottom w:val="single" w:color="000000" w:sz="10" w:space="0"/>
                  </w:tcBorders>
                  <w:shd w:val="clear" w:color="auto" w:fill="auto"/>
                  <w:vAlign w:val="center"/>
                </w:tcPr>
                <w:p w14:paraId="2BD95845">
                  <w:pPr>
                    <w:jc w:val="center"/>
                    <w:rPr>
                      <w:rFonts w:hint="eastAsia"/>
                      <w:color w:val="FF0000"/>
                      <w:szCs w:val="21"/>
                    </w:rPr>
                  </w:pPr>
                  <w:r>
                    <w:rPr>
                      <w:rFonts w:hint="eastAsia"/>
                      <w:color w:val="FF0000"/>
                      <w:szCs w:val="21"/>
                    </w:rPr>
                    <w:t>43</w:t>
                  </w:r>
                </w:p>
              </w:tc>
              <w:tc>
                <w:tcPr>
                  <w:tcW w:w="1703" w:type="pct"/>
                  <w:tcBorders>
                    <w:bottom w:val="single" w:color="000000" w:sz="10" w:space="0"/>
                  </w:tcBorders>
                  <w:shd w:val="clear" w:color="auto" w:fill="auto"/>
                  <w:vAlign w:val="center"/>
                </w:tcPr>
                <w:p w14:paraId="6AA18CC9">
                  <w:pPr>
                    <w:pStyle w:val="42"/>
                    <w:jc w:val="center"/>
                    <w:rPr>
                      <w:rFonts w:hint="default" w:ascii="Times New Roman" w:hAnsi="Times New Roman" w:cs="Times New Roman"/>
                      <w:color w:val="FF0000"/>
                      <w:sz w:val="21"/>
                      <w:szCs w:val="21"/>
                      <w:lang w:val="en-US" w:eastAsia="zh-CN"/>
                    </w:rPr>
                  </w:pPr>
                  <w:r>
                    <w:rPr>
                      <w:rFonts w:hint="eastAsia" w:ascii="Times New Roman" w:hAnsi="Times New Roman" w:cs="Times New Roman"/>
                      <w:color w:val="FF0000"/>
                      <w:sz w:val="21"/>
                      <w:szCs w:val="21"/>
                      <w:lang w:val="en-US" w:eastAsia="zh-CN"/>
                    </w:rPr>
                    <w:t>纯水</w:t>
                  </w:r>
                </w:p>
              </w:tc>
              <w:tc>
                <w:tcPr>
                  <w:tcW w:w="586" w:type="pct"/>
                  <w:tcBorders>
                    <w:bottom w:val="single" w:color="000000" w:sz="10" w:space="0"/>
                  </w:tcBorders>
                  <w:shd w:val="clear" w:color="auto" w:fill="auto"/>
                  <w:vAlign w:val="center"/>
                </w:tcPr>
                <w:p w14:paraId="20639AF5">
                  <w:pPr>
                    <w:jc w:val="center"/>
                    <w:rPr>
                      <w:rFonts w:hint="eastAsia" w:eastAsia="宋体"/>
                      <w:color w:val="FF0000"/>
                      <w:szCs w:val="21"/>
                      <w:lang w:val="en-US" w:eastAsia="zh-CN"/>
                    </w:rPr>
                  </w:pPr>
                  <w:r>
                    <w:rPr>
                      <w:rFonts w:hint="eastAsia" w:cs="Times New Roman"/>
                      <w:color w:val="FF0000"/>
                      <w:sz w:val="21"/>
                      <w:szCs w:val="21"/>
                      <w:lang w:val="en-US" w:eastAsia="zh-CN"/>
                    </w:rPr>
                    <w:t>8L/桶</w:t>
                  </w:r>
                </w:p>
              </w:tc>
              <w:tc>
                <w:tcPr>
                  <w:tcW w:w="648" w:type="pct"/>
                  <w:tcBorders>
                    <w:bottom w:val="single" w:color="000000" w:sz="10" w:space="0"/>
                  </w:tcBorders>
                  <w:shd w:val="clear" w:color="auto" w:fill="auto"/>
                  <w:vAlign w:val="center"/>
                </w:tcPr>
                <w:p w14:paraId="07BA0372">
                  <w:pPr>
                    <w:jc w:val="center"/>
                    <w:rPr>
                      <w:rFonts w:hint="eastAsia" w:eastAsia="Times New Roman"/>
                      <w:color w:val="FF0000"/>
                      <w:szCs w:val="21"/>
                    </w:rPr>
                  </w:pPr>
                  <w:r>
                    <w:rPr>
                      <w:rFonts w:hint="eastAsia" w:cs="Times New Roman"/>
                      <w:color w:val="FF0000"/>
                      <w:sz w:val="21"/>
                      <w:szCs w:val="21"/>
                      <w:lang w:val="en-US" w:eastAsia="zh-CN"/>
                    </w:rPr>
                    <w:t>t/a</w:t>
                  </w:r>
                </w:p>
              </w:tc>
              <w:tc>
                <w:tcPr>
                  <w:tcW w:w="648" w:type="pct"/>
                  <w:tcBorders>
                    <w:bottom w:val="single" w:color="000000" w:sz="10" w:space="0"/>
                  </w:tcBorders>
                  <w:shd w:val="clear" w:color="auto" w:fill="auto"/>
                  <w:vAlign w:val="center"/>
                </w:tcPr>
                <w:p w14:paraId="348A8C1F">
                  <w:pPr>
                    <w:jc w:val="center"/>
                    <w:rPr>
                      <w:rFonts w:hint="default" w:eastAsia="宋体"/>
                      <w:color w:val="FF0000"/>
                      <w:szCs w:val="21"/>
                      <w:lang w:val="en-US" w:eastAsia="zh-CN"/>
                    </w:rPr>
                  </w:pPr>
                  <w:r>
                    <w:rPr>
                      <w:rFonts w:hint="eastAsia"/>
                      <w:color w:val="FF0000"/>
                      <w:szCs w:val="21"/>
                      <w:lang w:val="en-US" w:eastAsia="zh-CN"/>
                    </w:rPr>
                    <w:t>1</w:t>
                  </w:r>
                  <w:r>
                    <w:rPr>
                      <w:rFonts w:hint="eastAsia" w:eastAsia="宋体"/>
                      <w:color w:val="FF0000"/>
                      <w:szCs w:val="21"/>
                      <w:lang w:val="en-US" w:eastAsia="zh-CN"/>
                    </w:rPr>
                    <w:t>.2</w:t>
                  </w:r>
                </w:p>
              </w:tc>
              <w:tc>
                <w:tcPr>
                  <w:tcW w:w="491" w:type="pct"/>
                  <w:tcBorders>
                    <w:bottom w:val="single" w:color="000000" w:sz="10" w:space="0"/>
                  </w:tcBorders>
                  <w:shd w:val="clear" w:color="auto" w:fill="auto"/>
                  <w:vAlign w:val="center"/>
                </w:tcPr>
                <w:p w14:paraId="1DC279E4">
                  <w:pPr>
                    <w:jc w:val="center"/>
                    <w:rPr>
                      <w:rFonts w:hint="eastAsia" w:eastAsia="宋体"/>
                      <w:color w:val="FF0000"/>
                      <w:szCs w:val="21"/>
                      <w:lang w:val="en-US" w:eastAsia="zh-CN"/>
                    </w:rPr>
                  </w:pPr>
                  <w:r>
                    <w:rPr>
                      <w:rFonts w:hint="eastAsia" w:eastAsia="宋体"/>
                      <w:color w:val="FF0000"/>
                      <w:szCs w:val="21"/>
                      <w:lang w:val="en-US" w:eastAsia="zh-CN"/>
                    </w:rPr>
                    <w:t>/</w:t>
                  </w:r>
                </w:p>
              </w:tc>
              <w:tc>
                <w:tcPr>
                  <w:tcW w:w="562" w:type="pct"/>
                  <w:tcBorders>
                    <w:bottom w:val="single" w:color="000000" w:sz="10" w:space="0"/>
                  </w:tcBorders>
                  <w:shd w:val="clear" w:color="auto" w:fill="auto"/>
                  <w:vAlign w:val="center"/>
                </w:tcPr>
                <w:p w14:paraId="2005FFA3">
                  <w:pPr>
                    <w:jc w:val="center"/>
                    <w:rPr>
                      <w:rFonts w:hint="eastAsia" w:eastAsia="宋体"/>
                      <w:color w:val="FF0000"/>
                      <w:szCs w:val="21"/>
                      <w:lang w:val="en-US" w:eastAsia="zh-CN"/>
                    </w:rPr>
                  </w:pPr>
                  <w:r>
                    <w:rPr>
                      <w:rFonts w:hint="eastAsia"/>
                      <w:color w:val="FF0000"/>
                      <w:szCs w:val="21"/>
                      <w:lang w:val="en-US" w:eastAsia="zh-CN"/>
                    </w:rPr>
                    <w:t>/</w:t>
                  </w:r>
                </w:p>
              </w:tc>
            </w:tr>
            <w:tr w14:paraId="2E92057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359" w:type="pct"/>
                  <w:tcBorders>
                    <w:top w:val="nil"/>
                  </w:tcBorders>
                  <w:shd w:val="clear" w:color="auto" w:fill="auto"/>
                  <w:vAlign w:val="center"/>
                </w:tcPr>
                <w:p w14:paraId="3D17E990">
                  <w:pPr>
                    <w:jc w:val="center"/>
                    <w:rPr>
                      <w:rFonts w:hint="default" w:eastAsia="宋体"/>
                      <w:color w:val="auto"/>
                      <w:szCs w:val="21"/>
                      <w:lang w:val="en-US" w:eastAsia="zh-CN"/>
                    </w:rPr>
                  </w:pPr>
                  <w:r>
                    <w:rPr>
                      <w:rFonts w:hint="eastAsia"/>
                      <w:color w:val="auto"/>
                      <w:szCs w:val="21"/>
                      <w:lang w:val="en-US" w:eastAsia="zh-CN"/>
                    </w:rPr>
                    <w:t>44</w:t>
                  </w:r>
                </w:p>
              </w:tc>
              <w:tc>
                <w:tcPr>
                  <w:tcW w:w="1703" w:type="pct"/>
                  <w:tcBorders>
                    <w:top w:val="nil"/>
                  </w:tcBorders>
                  <w:shd w:val="clear" w:color="auto" w:fill="auto"/>
                  <w:vAlign w:val="center"/>
                </w:tcPr>
                <w:p w14:paraId="59680A9C">
                  <w:pPr>
                    <w:pStyle w:val="42"/>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电</w:t>
                  </w:r>
                </w:p>
              </w:tc>
              <w:tc>
                <w:tcPr>
                  <w:tcW w:w="586" w:type="pct"/>
                  <w:tcBorders>
                    <w:top w:val="nil"/>
                  </w:tcBorders>
                  <w:shd w:val="clear" w:color="auto" w:fill="auto"/>
                  <w:vAlign w:val="center"/>
                </w:tcPr>
                <w:p w14:paraId="076BDF96">
                  <w:pPr>
                    <w:jc w:val="center"/>
                    <w:rPr>
                      <w:rFonts w:eastAsia="Times New Roman"/>
                      <w:color w:val="auto"/>
                      <w:szCs w:val="21"/>
                    </w:rPr>
                  </w:pPr>
                  <w:r>
                    <w:rPr>
                      <w:rFonts w:hint="eastAsia" w:eastAsia="Times New Roman"/>
                      <w:color w:val="auto"/>
                      <w:szCs w:val="21"/>
                    </w:rPr>
                    <w:t>/</w:t>
                  </w:r>
                </w:p>
              </w:tc>
              <w:tc>
                <w:tcPr>
                  <w:tcW w:w="648" w:type="pct"/>
                  <w:tcBorders>
                    <w:top w:val="nil"/>
                  </w:tcBorders>
                  <w:shd w:val="clear" w:color="auto" w:fill="auto"/>
                  <w:vAlign w:val="center"/>
                </w:tcPr>
                <w:p w14:paraId="506D39F5">
                  <w:pPr>
                    <w:jc w:val="center"/>
                    <w:rPr>
                      <w:rFonts w:eastAsia="Times New Roman"/>
                      <w:color w:val="auto"/>
                      <w:szCs w:val="21"/>
                    </w:rPr>
                  </w:pPr>
                  <w:r>
                    <w:rPr>
                      <w:rFonts w:hint="eastAsia" w:eastAsia="Times New Roman"/>
                      <w:color w:val="auto"/>
                      <w:szCs w:val="21"/>
                    </w:rPr>
                    <w:t>万</w:t>
                  </w:r>
                  <w:r>
                    <w:rPr>
                      <w:rFonts w:eastAsia="Times New Roman"/>
                      <w:color w:val="auto"/>
                      <w:szCs w:val="21"/>
                    </w:rPr>
                    <w:t>kw</w:t>
                  </w:r>
                  <w:r>
                    <w:rPr>
                      <w:color w:val="auto"/>
                      <w:szCs w:val="21"/>
                    </w:rPr>
                    <w:t>·</w:t>
                  </w:r>
                  <w:r>
                    <w:rPr>
                      <w:rFonts w:eastAsia="Times New Roman"/>
                      <w:color w:val="auto"/>
                      <w:szCs w:val="21"/>
                    </w:rPr>
                    <w:t>h</w:t>
                  </w:r>
                  <w:r>
                    <w:rPr>
                      <w:rFonts w:hint="eastAsia" w:eastAsia="Times New Roman"/>
                      <w:color w:val="auto"/>
                      <w:szCs w:val="21"/>
                    </w:rPr>
                    <w:t>/a</w:t>
                  </w:r>
                </w:p>
              </w:tc>
              <w:tc>
                <w:tcPr>
                  <w:tcW w:w="648" w:type="pct"/>
                  <w:tcBorders>
                    <w:top w:val="nil"/>
                  </w:tcBorders>
                  <w:shd w:val="clear" w:color="auto" w:fill="auto"/>
                  <w:vAlign w:val="center"/>
                </w:tcPr>
                <w:p w14:paraId="09555C40">
                  <w:pPr>
                    <w:jc w:val="center"/>
                    <w:rPr>
                      <w:rFonts w:eastAsia="Times New Roman"/>
                      <w:color w:val="auto"/>
                      <w:szCs w:val="21"/>
                    </w:rPr>
                  </w:pPr>
                  <w:r>
                    <w:rPr>
                      <w:rFonts w:hint="eastAsia" w:eastAsia="Times New Roman"/>
                      <w:color w:val="auto"/>
                      <w:szCs w:val="21"/>
                    </w:rPr>
                    <w:t>38</w:t>
                  </w:r>
                </w:p>
              </w:tc>
              <w:tc>
                <w:tcPr>
                  <w:tcW w:w="491" w:type="pct"/>
                  <w:tcBorders>
                    <w:top w:val="nil"/>
                  </w:tcBorders>
                  <w:shd w:val="clear" w:color="auto" w:fill="auto"/>
                  <w:vAlign w:val="center"/>
                </w:tcPr>
                <w:p w14:paraId="2AC0BA79">
                  <w:pPr>
                    <w:jc w:val="center"/>
                    <w:rPr>
                      <w:rFonts w:eastAsia="Times New Roman"/>
                      <w:color w:val="auto"/>
                      <w:szCs w:val="21"/>
                    </w:rPr>
                  </w:pPr>
                  <w:r>
                    <w:rPr>
                      <w:rFonts w:hint="eastAsia" w:eastAsia="Times New Roman"/>
                      <w:color w:val="auto"/>
                      <w:szCs w:val="21"/>
                    </w:rPr>
                    <w:t>/</w:t>
                  </w:r>
                </w:p>
              </w:tc>
              <w:tc>
                <w:tcPr>
                  <w:tcW w:w="562" w:type="pct"/>
                  <w:tcBorders>
                    <w:top w:val="nil"/>
                  </w:tcBorders>
                  <w:shd w:val="clear" w:color="auto" w:fill="auto"/>
                  <w:vAlign w:val="center"/>
                </w:tcPr>
                <w:p w14:paraId="3EBE88C7">
                  <w:pPr>
                    <w:jc w:val="center"/>
                    <w:rPr>
                      <w:color w:val="auto"/>
                      <w:szCs w:val="21"/>
                    </w:rPr>
                  </w:pPr>
                  <w:r>
                    <w:rPr>
                      <w:rFonts w:hint="eastAsia"/>
                      <w:color w:val="auto"/>
                      <w:szCs w:val="21"/>
                    </w:rPr>
                    <w:t>/</w:t>
                  </w:r>
                </w:p>
              </w:tc>
            </w:tr>
          </w:tbl>
          <w:p w14:paraId="35837F4E">
            <w:pPr>
              <w:autoSpaceDE w:val="0"/>
              <w:autoSpaceDN w:val="0"/>
              <w:spacing w:before="120" w:beforeLines="50"/>
              <w:jc w:val="center"/>
              <w:rPr>
                <w:b/>
                <w:color w:val="auto"/>
                <w:szCs w:val="21"/>
              </w:rPr>
            </w:pPr>
            <w:r>
              <w:rPr>
                <w:b/>
                <w:color w:val="auto"/>
                <w:szCs w:val="21"/>
                <w:lang w:val="zh-CN"/>
              </w:rPr>
              <w:t>表</w:t>
            </w:r>
            <w:r>
              <w:rPr>
                <w:rFonts w:hint="eastAsia"/>
                <w:b/>
                <w:color w:val="auto"/>
                <w:szCs w:val="21"/>
              </w:rPr>
              <w:t xml:space="preserve">2-4   </w:t>
            </w:r>
            <w:r>
              <w:rPr>
                <w:b/>
                <w:color w:val="auto"/>
                <w:szCs w:val="21"/>
                <w:lang w:val="zh-CN"/>
              </w:rPr>
              <w:t>主要</w:t>
            </w:r>
            <w:r>
              <w:rPr>
                <w:rFonts w:hint="eastAsia"/>
                <w:b/>
                <w:color w:val="auto"/>
                <w:szCs w:val="21"/>
                <w:lang w:val="zh-CN"/>
              </w:rPr>
              <w:t>主要原辅材料理化性质一览表</w:t>
            </w:r>
          </w:p>
          <w:tbl>
            <w:tblPr>
              <w:tblStyle w:val="1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32"/>
              <w:gridCol w:w="3647"/>
              <w:gridCol w:w="1808"/>
              <w:gridCol w:w="2173"/>
            </w:tblGrid>
            <w:tr w14:paraId="633F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10B796C6">
                  <w:pPr>
                    <w:pStyle w:val="9"/>
                    <w:spacing w:after="0"/>
                    <w:ind w:left="0" w:leftChars="0" w:firstLine="0" w:firstLineChars="0"/>
                    <w:jc w:val="center"/>
                    <w:rPr>
                      <w:color w:val="auto"/>
                      <w:sz w:val="21"/>
                      <w:szCs w:val="21"/>
                      <w:lang w:val="zh-CN"/>
                    </w:rPr>
                  </w:pPr>
                  <w:r>
                    <w:rPr>
                      <w:color w:val="auto"/>
                      <w:sz w:val="21"/>
                      <w:szCs w:val="21"/>
                      <w:lang w:val="zh-CN"/>
                    </w:rPr>
                    <w:t>物质名称</w:t>
                  </w:r>
                </w:p>
              </w:tc>
              <w:tc>
                <w:tcPr>
                  <w:tcW w:w="2212" w:type="pct"/>
                  <w:vAlign w:val="center"/>
                </w:tcPr>
                <w:p w14:paraId="6E1FEFAF">
                  <w:pPr>
                    <w:pStyle w:val="9"/>
                    <w:spacing w:after="0"/>
                    <w:ind w:left="0" w:leftChars="0" w:firstLine="0" w:firstLineChars="0"/>
                    <w:jc w:val="center"/>
                    <w:rPr>
                      <w:color w:val="auto"/>
                      <w:sz w:val="21"/>
                      <w:szCs w:val="21"/>
                      <w:lang w:val="zh-CN"/>
                    </w:rPr>
                  </w:pPr>
                  <w:r>
                    <w:rPr>
                      <w:color w:val="auto"/>
                      <w:sz w:val="21"/>
                      <w:szCs w:val="21"/>
                      <w:lang w:val="zh-CN"/>
                    </w:rPr>
                    <w:t>理化性质</w:t>
                  </w:r>
                </w:p>
              </w:tc>
              <w:tc>
                <w:tcPr>
                  <w:tcW w:w="1125" w:type="pct"/>
                  <w:vAlign w:val="center"/>
                </w:tcPr>
                <w:p w14:paraId="5A3B10E5">
                  <w:pPr>
                    <w:pStyle w:val="9"/>
                    <w:spacing w:after="0"/>
                    <w:ind w:left="0" w:leftChars="0" w:firstLine="0" w:firstLineChars="0"/>
                    <w:jc w:val="center"/>
                    <w:rPr>
                      <w:color w:val="auto"/>
                      <w:sz w:val="21"/>
                      <w:szCs w:val="21"/>
                      <w:lang w:val="zh-CN"/>
                    </w:rPr>
                  </w:pPr>
                  <w:r>
                    <w:rPr>
                      <w:color w:val="auto"/>
                      <w:sz w:val="21"/>
                      <w:szCs w:val="21"/>
                      <w:lang w:val="zh-CN"/>
                    </w:rPr>
                    <w:t>燃烧爆炸性</w:t>
                  </w:r>
                </w:p>
              </w:tc>
              <w:tc>
                <w:tcPr>
                  <w:tcW w:w="1112" w:type="pct"/>
                  <w:vAlign w:val="center"/>
                </w:tcPr>
                <w:p w14:paraId="27041901">
                  <w:pPr>
                    <w:pStyle w:val="9"/>
                    <w:spacing w:after="0"/>
                    <w:ind w:left="0" w:leftChars="0" w:firstLine="0" w:firstLineChars="0"/>
                    <w:jc w:val="center"/>
                    <w:rPr>
                      <w:color w:val="auto"/>
                      <w:sz w:val="21"/>
                      <w:szCs w:val="21"/>
                      <w:lang w:val="zh-CN"/>
                    </w:rPr>
                  </w:pPr>
                  <w:r>
                    <w:rPr>
                      <w:color w:val="auto"/>
                      <w:sz w:val="21"/>
                      <w:szCs w:val="21"/>
                      <w:lang w:val="zh-CN"/>
                    </w:rPr>
                    <w:t>毒理毒性</w:t>
                  </w:r>
                </w:p>
              </w:tc>
            </w:tr>
            <w:tr w14:paraId="52C1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2947026C">
                  <w:pPr>
                    <w:pStyle w:val="9"/>
                    <w:spacing w:after="0"/>
                    <w:ind w:left="0" w:leftChars="0" w:firstLine="0" w:firstLineChars="0"/>
                    <w:jc w:val="center"/>
                    <w:rPr>
                      <w:color w:val="auto"/>
                      <w:sz w:val="21"/>
                      <w:szCs w:val="21"/>
                      <w:lang w:val="zh-CN"/>
                    </w:rPr>
                  </w:pPr>
                  <w:r>
                    <w:rPr>
                      <w:color w:val="auto"/>
                      <w:sz w:val="21"/>
                      <w:szCs w:val="21"/>
                      <w:lang w:val="zh-CN"/>
                    </w:rPr>
                    <w:t>三乙胺</w:t>
                  </w:r>
                </w:p>
              </w:tc>
              <w:tc>
                <w:tcPr>
                  <w:tcW w:w="2212" w:type="pct"/>
                  <w:vAlign w:val="center"/>
                </w:tcPr>
                <w:p w14:paraId="2434B3DD">
                  <w:pPr>
                    <w:pStyle w:val="9"/>
                    <w:spacing w:after="0"/>
                    <w:ind w:left="0" w:leftChars="0" w:firstLine="0" w:firstLineChars="0"/>
                    <w:jc w:val="center"/>
                    <w:rPr>
                      <w:color w:val="auto"/>
                      <w:sz w:val="21"/>
                      <w:szCs w:val="21"/>
                      <w:lang w:val="zh-CN"/>
                    </w:rPr>
                  </w:pPr>
                  <w:r>
                    <w:rPr>
                      <w:color w:val="auto"/>
                      <w:sz w:val="21"/>
                      <w:szCs w:val="21"/>
                      <w:lang w:val="zh-CN"/>
                    </w:rPr>
                    <w:t>具有强烈的氨臭的无色透明液体，在空气中微发烟。溶于水，可溶于乙醇、乙醚。水溶液呈弱碱性，沸点为89.5℃，熔点-114.8℃。</w:t>
                  </w:r>
                </w:p>
              </w:tc>
              <w:tc>
                <w:tcPr>
                  <w:tcW w:w="1125" w:type="pct"/>
                  <w:vAlign w:val="center"/>
                </w:tcPr>
                <w:p w14:paraId="14E4FBD5">
                  <w:pPr>
                    <w:pStyle w:val="9"/>
                    <w:spacing w:after="0"/>
                    <w:ind w:left="0" w:leftChars="0" w:firstLine="0" w:firstLineChars="0"/>
                    <w:jc w:val="center"/>
                    <w:rPr>
                      <w:color w:val="auto"/>
                      <w:sz w:val="21"/>
                      <w:szCs w:val="21"/>
                    </w:rPr>
                  </w:pPr>
                  <w:r>
                    <w:rPr>
                      <w:color w:val="auto"/>
                      <w:sz w:val="21"/>
                      <w:szCs w:val="21"/>
                      <w:lang w:val="zh-CN"/>
                    </w:rPr>
                    <w:t>易燃易爆</w:t>
                  </w:r>
                </w:p>
              </w:tc>
              <w:tc>
                <w:tcPr>
                  <w:tcW w:w="1112" w:type="pct"/>
                  <w:vAlign w:val="center"/>
                </w:tcPr>
                <w:p w14:paraId="2F9DC5FD">
                  <w:pPr>
                    <w:pStyle w:val="9"/>
                    <w:spacing w:after="0"/>
                    <w:ind w:left="0" w:leftChars="0" w:firstLine="0" w:firstLineChars="0"/>
                    <w:jc w:val="center"/>
                    <w:rPr>
                      <w:color w:val="auto"/>
                      <w:sz w:val="21"/>
                      <w:szCs w:val="21"/>
                      <w:lang w:val="zh-CN"/>
                    </w:rPr>
                  </w:pPr>
                  <w:r>
                    <w:rPr>
                      <w:color w:val="auto"/>
                      <w:sz w:val="21"/>
                      <w:szCs w:val="21"/>
                      <w:lang w:val="zh-CN"/>
                    </w:rPr>
                    <w:t>LD 50</w:t>
                  </w:r>
                  <w:r>
                    <w:rPr>
                      <w:rFonts w:hint="eastAsia"/>
                      <w:color w:val="auto"/>
                      <w:sz w:val="21"/>
                      <w:szCs w:val="21"/>
                      <w:lang w:val="zh-CN"/>
                    </w:rPr>
                    <w:t>：</w:t>
                  </w:r>
                  <w:r>
                    <w:rPr>
                      <w:color w:val="auto"/>
                      <w:sz w:val="21"/>
                      <w:szCs w:val="21"/>
                      <w:lang w:val="zh-CN"/>
                    </w:rPr>
                    <w:t>460mg/kg</w:t>
                  </w:r>
                  <w:r>
                    <w:rPr>
                      <w:rFonts w:hint="eastAsia"/>
                      <w:color w:val="auto"/>
                      <w:sz w:val="21"/>
                      <w:szCs w:val="21"/>
                      <w:lang w:val="zh-CN"/>
                    </w:rPr>
                    <w:t>（</w:t>
                  </w:r>
                  <w:r>
                    <w:rPr>
                      <w:color w:val="auto"/>
                      <w:sz w:val="21"/>
                      <w:szCs w:val="21"/>
                      <w:lang w:val="zh-CN"/>
                    </w:rPr>
                    <w:t>大鼠经口</w:t>
                  </w:r>
                  <w:r>
                    <w:rPr>
                      <w:rFonts w:hint="eastAsia"/>
                      <w:color w:val="auto"/>
                      <w:sz w:val="21"/>
                      <w:szCs w:val="21"/>
                      <w:lang w:val="zh-CN"/>
                    </w:rPr>
                    <w:t>）</w:t>
                  </w:r>
                  <w:r>
                    <w:rPr>
                      <w:color w:val="auto"/>
                      <w:sz w:val="21"/>
                      <w:szCs w:val="21"/>
                      <w:lang w:val="zh-CN"/>
                    </w:rPr>
                    <w:t>；LC50</w:t>
                  </w:r>
                  <w:r>
                    <w:rPr>
                      <w:rFonts w:hint="eastAsia"/>
                      <w:color w:val="auto"/>
                      <w:sz w:val="21"/>
                      <w:szCs w:val="21"/>
                      <w:lang w:val="zh-CN"/>
                    </w:rPr>
                    <w:t>：</w:t>
                  </w:r>
                  <w:r>
                    <w:rPr>
                      <w:color w:val="auto"/>
                      <w:sz w:val="21"/>
                      <w:szCs w:val="21"/>
                      <w:lang w:val="zh-CN"/>
                    </w:rPr>
                    <w:t>6000mg/kg/m</w:t>
                  </w:r>
                  <w:r>
                    <w:rPr>
                      <w:color w:val="auto"/>
                      <w:sz w:val="21"/>
                      <w:szCs w:val="21"/>
                      <w:vertAlign w:val="superscript"/>
                      <w:lang w:val="zh-CN"/>
                    </w:rPr>
                    <w:t>3</w:t>
                  </w:r>
                </w:p>
              </w:tc>
            </w:tr>
            <w:tr w14:paraId="0C49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5C396E4D">
                  <w:pPr>
                    <w:pStyle w:val="9"/>
                    <w:spacing w:after="0"/>
                    <w:ind w:left="0" w:leftChars="0" w:firstLine="0" w:firstLineChars="0"/>
                    <w:jc w:val="center"/>
                    <w:rPr>
                      <w:color w:val="auto"/>
                      <w:sz w:val="21"/>
                      <w:szCs w:val="21"/>
                      <w:lang w:val="zh-CN"/>
                    </w:rPr>
                  </w:pPr>
                  <w:r>
                    <w:rPr>
                      <w:color w:val="auto"/>
                      <w:sz w:val="21"/>
                      <w:szCs w:val="21"/>
                      <w:lang w:val="zh-CN"/>
                    </w:rPr>
                    <w:t>乙酸乙酯</w:t>
                  </w:r>
                </w:p>
              </w:tc>
              <w:tc>
                <w:tcPr>
                  <w:tcW w:w="2212" w:type="pct"/>
                  <w:vAlign w:val="center"/>
                </w:tcPr>
                <w:p w14:paraId="22497397">
                  <w:pPr>
                    <w:pStyle w:val="9"/>
                    <w:spacing w:after="0"/>
                    <w:ind w:left="0" w:leftChars="0" w:firstLine="0" w:firstLineChars="0"/>
                    <w:jc w:val="center"/>
                    <w:rPr>
                      <w:color w:val="auto"/>
                      <w:sz w:val="21"/>
                      <w:szCs w:val="21"/>
                      <w:lang w:val="zh-CN"/>
                    </w:rPr>
                  </w:pPr>
                  <w:r>
                    <w:rPr>
                      <w:color w:val="auto"/>
                      <w:sz w:val="21"/>
                      <w:szCs w:val="21"/>
                      <w:lang w:val="zh-CN"/>
                    </w:rPr>
                    <w:t>无色澄清液体，有强烈的醚似的气味，清灵、微带果香的酒香，易扩散，不持久；沸点77.2℃，相对密度（水=1）：0.90；闪点（℃）：-4（闭杯），7.2℃（开杯）；微溶于水，溶于醇、酮</w:t>
                  </w:r>
                </w:p>
              </w:tc>
              <w:tc>
                <w:tcPr>
                  <w:tcW w:w="1125" w:type="pct"/>
                  <w:vAlign w:val="center"/>
                </w:tcPr>
                <w:p w14:paraId="76E425BE">
                  <w:pPr>
                    <w:pStyle w:val="9"/>
                    <w:spacing w:after="0"/>
                    <w:ind w:left="0" w:leftChars="0" w:firstLine="0" w:firstLineChars="0"/>
                    <w:jc w:val="center"/>
                    <w:rPr>
                      <w:color w:val="auto"/>
                      <w:sz w:val="21"/>
                      <w:szCs w:val="21"/>
                      <w:lang w:val="zh-CN"/>
                    </w:rPr>
                  </w:pPr>
                  <w:r>
                    <w:rPr>
                      <w:color w:val="auto"/>
                      <w:sz w:val="21"/>
                      <w:szCs w:val="21"/>
                      <w:lang w:val="zh-CN"/>
                    </w:rPr>
                    <w:t>易燃；爆炸下限（%）：2.0爆炸上限（%）：</w:t>
                  </w:r>
                </w:p>
                <w:p w14:paraId="2988EB93">
                  <w:pPr>
                    <w:pStyle w:val="9"/>
                    <w:spacing w:after="0"/>
                    <w:ind w:left="0" w:leftChars="0" w:firstLine="0" w:firstLineChars="0"/>
                    <w:jc w:val="center"/>
                    <w:rPr>
                      <w:color w:val="auto"/>
                      <w:sz w:val="21"/>
                      <w:szCs w:val="21"/>
                      <w:lang w:val="zh-CN"/>
                    </w:rPr>
                  </w:pPr>
                  <w:r>
                    <w:rPr>
                      <w:color w:val="auto"/>
                      <w:sz w:val="21"/>
                      <w:szCs w:val="21"/>
                      <w:lang w:val="zh-CN"/>
                    </w:rPr>
                    <w:t>11.5</w:t>
                  </w:r>
                </w:p>
              </w:tc>
              <w:tc>
                <w:tcPr>
                  <w:tcW w:w="1112" w:type="pct"/>
                  <w:vAlign w:val="center"/>
                </w:tcPr>
                <w:p w14:paraId="04C2427E">
                  <w:pPr>
                    <w:pStyle w:val="9"/>
                    <w:spacing w:after="0"/>
                    <w:ind w:left="0" w:leftChars="0" w:firstLine="0" w:firstLineChars="0"/>
                    <w:jc w:val="center"/>
                    <w:rPr>
                      <w:color w:val="auto"/>
                      <w:sz w:val="21"/>
                      <w:szCs w:val="21"/>
                      <w:lang w:val="zh-CN"/>
                    </w:rPr>
                  </w:pPr>
                  <w:r>
                    <w:rPr>
                      <w:color w:val="auto"/>
                      <w:sz w:val="21"/>
                      <w:szCs w:val="21"/>
                      <w:lang w:val="zh-CN"/>
                    </w:rPr>
                    <w:t>LD50</w:t>
                  </w:r>
                  <w:r>
                    <w:rPr>
                      <w:rFonts w:hint="eastAsia"/>
                      <w:color w:val="auto"/>
                      <w:sz w:val="21"/>
                      <w:szCs w:val="21"/>
                      <w:lang w:val="zh-CN"/>
                    </w:rPr>
                    <w:t>：</w:t>
                  </w:r>
                  <w:r>
                    <w:rPr>
                      <w:color w:val="auto"/>
                      <w:sz w:val="21"/>
                      <w:szCs w:val="21"/>
                      <w:lang w:val="zh-CN"/>
                    </w:rPr>
                    <w:t>5620mg/kg</w:t>
                  </w:r>
                  <w:r>
                    <w:rPr>
                      <w:rFonts w:hint="eastAsia"/>
                      <w:color w:val="auto"/>
                      <w:sz w:val="21"/>
                      <w:szCs w:val="21"/>
                      <w:lang w:val="zh-CN"/>
                    </w:rPr>
                    <w:t>（</w:t>
                  </w:r>
                  <w:r>
                    <w:rPr>
                      <w:color w:val="auto"/>
                      <w:sz w:val="21"/>
                      <w:szCs w:val="21"/>
                      <w:lang w:val="zh-CN"/>
                    </w:rPr>
                    <w:t>大鼠经口）；</w:t>
                  </w:r>
                </w:p>
                <w:p w14:paraId="2B7D9851">
                  <w:pPr>
                    <w:pStyle w:val="9"/>
                    <w:spacing w:after="0"/>
                    <w:ind w:left="0" w:leftChars="0" w:firstLine="0" w:firstLineChars="0"/>
                    <w:jc w:val="center"/>
                    <w:rPr>
                      <w:color w:val="auto"/>
                      <w:sz w:val="21"/>
                      <w:szCs w:val="21"/>
                      <w:lang w:val="zh-CN"/>
                    </w:rPr>
                  </w:pPr>
                  <w:r>
                    <w:rPr>
                      <w:color w:val="auto"/>
                      <w:sz w:val="21"/>
                      <w:szCs w:val="21"/>
                      <w:lang w:val="zh-CN"/>
                    </w:rPr>
                    <w:t>LC50</w:t>
                  </w:r>
                  <w:r>
                    <w:rPr>
                      <w:rFonts w:hint="eastAsia"/>
                      <w:color w:val="auto"/>
                      <w:sz w:val="21"/>
                      <w:szCs w:val="21"/>
                      <w:lang w:val="zh-CN"/>
                    </w:rPr>
                    <w:t>：</w:t>
                  </w:r>
                  <w:r>
                    <w:rPr>
                      <w:color w:val="auto"/>
                      <w:sz w:val="21"/>
                      <w:szCs w:val="21"/>
                      <w:lang w:val="zh-CN"/>
                    </w:rPr>
                    <w:t>5760mg/m</w:t>
                  </w:r>
                  <w:r>
                    <w:rPr>
                      <w:color w:val="auto"/>
                      <w:sz w:val="21"/>
                      <w:szCs w:val="21"/>
                      <w:vertAlign w:val="superscript"/>
                      <w:lang w:val="zh-CN"/>
                    </w:rPr>
                    <w:t>3</w:t>
                  </w:r>
                  <w:r>
                    <w:rPr>
                      <w:color w:val="auto"/>
                      <w:sz w:val="21"/>
                      <w:szCs w:val="21"/>
                      <w:lang w:val="zh-CN"/>
                    </w:rPr>
                    <w:t>，8小时（大鼠吸入）</w:t>
                  </w:r>
                </w:p>
              </w:tc>
            </w:tr>
            <w:tr w14:paraId="0826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6E3452E4">
                  <w:pPr>
                    <w:pStyle w:val="9"/>
                    <w:spacing w:after="0"/>
                    <w:ind w:left="0" w:leftChars="0" w:firstLine="0" w:firstLineChars="0"/>
                    <w:jc w:val="center"/>
                    <w:rPr>
                      <w:color w:val="auto"/>
                      <w:sz w:val="21"/>
                      <w:szCs w:val="21"/>
                      <w:lang w:val="zh-CN"/>
                    </w:rPr>
                  </w:pPr>
                  <w:r>
                    <w:rPr>
                      <w:color w:val="auto"/>
                      <w:sz w:val="21"/>
                      <w:szCs w:val="21"/>
                      <w:lang w:val="zh-CN"/>
                    </w:rPr>
                    <w:t>乙醇</w:t>
                  </w:r>
                </w:p>
              </w:tc>
              <w:tc>
                <w:tcPr>
                  <w:tcW w:w="2212" w:type="pct"/>
                  <w:vAlign w:val="center"/>
                </w:tcPr>
                <w:p w14:paraId="685CF062">
                  <w:pPr>
                    <w:pStyle w:val="9"/>
                    <w:spacing w:after="0"/>
                    <w:ind w:left="0" w:leftChars="0" w:firstLine="0" w:firstLineChars="0"/>
                    <w:jc w:val="center"/>
                    <w:rPr>
                      <w:color w:val="auto"/>
                      <w:sz w:val="21"/>
                      <w:szCs w:val="21"/>
                      <w:lang w:val="zh-CN"/>
                    </w:rPr>
                  </w:pPr>
                  <w:r>
                    <w:rPr>
                      <w:color w:val="auto"/>
                      <w:sz w:val="21"/>
                      <w:szCs w:val="21"/>
                      <w:lang w:val="zh-CN"/>
                    </w:rPr>
                    <w:t>无色液体，有酒香。熔点：-114.1℃；沸点：78.3℃；闪点：12℃；爆炸极限：3.3-19%；与水混溶，可混溶于醚、氯仿、甘油等多数有机溶剂</w:t>
                  </w:r>
                </w:p>
              </w:tc>
              <w:tc>
                <w:tcPr>
                  <w:tcW w:w="1125" w:type="pct"/>
                  <w:vAlign w:val="center"/>
                </w:tcPr>
                <w:p w14:paraId="507ECDAC">
                  <w:pPr>
                    <w:pStyle w:val="9"/>
                    <w:spacing w:after="0"/>
                    <w:ind w:left="0" w:leftChars="0" w:firstLine="0" w:firstLineChars="0"/>
                    <w:jc w:val="center"/>
                    <w:rPr>
                      <w:color w:val="auto"/>
                      <w:sz w:val="21"/>
                      <w:szCs w:val="21"/>
                      <w:lang w:val="zh-CN"/>
                    </w:rPr>
                  </w:pPr>
                  <w:r>
                    <w:rPr>
                      <w:color w:val="auto"/>
                      <w:sz w:val="21"/>
                      <w:szCs w:val="21"/>
                      <w:lang w:val="zh-CN"/>
                    </w:rPr>
                    <w:t>易燃，其蒸气与空气可形成爆炸性混合物，遇明火、高热能引起燃烧爆炸。与氧化剂接触发生化学反应或引起燃烧。在火场中，受热的容器有爆炸危险。其蒸气比空气重，能在较低处扩散到相当远的地方，遇火源会着火回燃</w:t>
                  </w:r>
                </w:p>
              </w:tc>
              <w:tc>
                <w:tcPr>
                  <w:tcW w:w="1112" w:type="pct"/>
                  <w:vAlign w:val="center"/>
                </w:tcPr>
                <w:p w14:paraId="2BA512CE">
                  <w:pPr>
                    <w:pStyle w:val="9"/>
                    <w:adjustRightInd w:val="0"/>
                    <w:snapToGrid w:val="0"/>
                    <w:spacing w:after="0"/>
                    <w:ind w:left="0" w:leftChars="0" w:firstLine="0" w:firstLineChars="0"/>
                    <w:jc w:val="center"/>
                    <w:rPr>
                      <w:color w:val="auto"/>
                      <w:sz w:val="21"/>
                      <w:szCs w:val="21"/>
                      <w:lang w:val="zh-CN"/>
                    </w:rPr>
                  </w:pPr>
                  <w:r>
                    <w:rPr>
                      <w:color w:val="auto"/>
                      <w:sz w:val="21"/>
                      <w:szCs w:val="21"/>
                      <w:lang w:val="zh-CN"/>
                    </w:rPr>
                    <w:t>急性毒性：LD 50：</w:t>
                  </w:r>
                </w:p>
                <w:p w14:paraId="76CF4213">
                  <w:pPr>
                    <w:pStyle w:val="9"/>
                    <w:adjustRightInd w:val="0"/>
                    <w:snapToGrid w:val="0"/>
                    <w:spacing w:after="0"/>
                    <w:ind w:left="0" w:leftChars="0" w:firstLine="0" w:firstLineChars="0"/>
                    <w:rPr>
                      <w:color w:val="auto"/>
                      <w:sz w:val="21"/>
                      <w:szCs w:val="21"/>
                      <w:lang w:val="zh-CN"/>
                    </w:rPr>
                  </w:pPr>
                  <w:r>
                    <w:rPr>
                      <w:color w:val="auto"/>
                      <w:sz w:val="21"/>
                      <w:szCs w:val="21"/>
                      <w:lang w:val="zh-CN"/>
                    </w:rPr>
                    <w:t>7060mg/kg</w:t>
                  </w:r>
                  <w:r>
                    <w:rPr>
                      <w:rFonts w:hint="eastAsia"/>
                      <w:color w:val="auto"/>
                      <w:sz w:val="21"/>
                      <w:szCs w:val="21"/>
                      <w:lang w:val="zh-CN"/>
                    </w:rPr>
                    <w:t>（</w:t>
                  </w:r>
                  <w:r>
                    <w:rPr>
                      <w:color w:val="auto"/>
                      <w:sz w:val="21"/>
                      <w:szCs w:val="21"/>
                      <w:lang w:val="zh-CN"/>
                    </w:rPr>
                    <w:t>兔经口</w:t>
                  </w:r>
                  <w:r>
                    <w:rPr>
                      <w:rFonts w:hint="eastAsia"/>
                      <w:color w:val="auto"/>
                      <w:sz w:val="21"/>
                      <w:szCs w:val="21"/>
                      <w:lang w:val="zh-CN"/>
                    </w:rPr>
                    <w:t>）</w:t>
                  </w:r>
                  <w:r>
                    <w:rPr>
                      <w:color w:val="auto"/>
                      <w:sz w:val="21"/>
                      <w:szCs w:val="21"/>
                      <w:lang w:val="zh-CN"/>
                    </w:rPr>
                    <w:t>；7430mg/kg</w:t>
                  </w:r>
                  <w:r>
                    <w:rPr>
                      <w:rFonts w:hint="eastAsia"/>
                      <w:color w:val="auto"/>
                      <w:sz w:val="21"/>
                      <w:szCs w:val="21"/>
                      <w:lang w:val="zh-CN"/>
                    </w:rPr>
                    <w:t>（</w:t>
                  </w:r>
                  <w:r>
                    <w:rPr>
                      <w:color w:val="auto"/>
                      <w:sz w:val="21"/>
                      <w:szCs w:val="21"/>
                      <w:lang w:val="zh-CN"/>
                    </w:rPr>
                    <w:t>兔经皮</w:t>
                  </w:r>
                  <w:r>
                    <w:rPr>
                      <w:rFonts w:hint="eastAsia"/>
                      <w:color w:val="auto"/>
                      <w:sz w:val="21"/>
                      <w:szCs w:val="21"/>
                      <w:lang w:val="zh-CN"/>
                    </w:rPr>
                    <w:t>）</w:t>
                  </w:r>
                  <w:r>
                    <w:rPr>
                      <w:color w:val="auto"/>
                      <w:sz w:val="21"/>
                      <w:szCs w:val="21"/>
                      <w:lang w:val="zh-CN"/>
                    </w:rPr>
                    <w:t>；LC50：37620mg/m</w:t>
                  </w:r>
                  <w:r>
                    <w:rPr>
                      <w:color w:val="auto"/>
                      <w:sz w:val="21"/>
                      <w:szCs w:val="21"/>
                      <w:vertAlign w:val="superscript"/>
                      <w:lang w:val="zh-CN"/>
                    </w:rPr>
                    <w:t>3</w:t>
                  </w:r>
                  <w:r>
                    <w:rPr>
                      <w:color w:val="auto"/>
                      <w:sz w:val="21"/>
                      <w:szCs w:val="21"/>
                      <w:lang w:val="zh-CN"/>
                    </w:rPr>
                    <w:t>，10小时（大鼠吸入）；在生产中长期接触高浓度可引起鼻、眼、粘膜刺激症状，以及头痛、头晕、疲乏、易激动、震颤、恶心等</w:t>
                  </w:r>
                </w:p>
              </w:tc>
            </w:tr>
            <w:tr w14:paraId="1C58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50A950BB">
                  <w:pPr>
                    <w:pStyle w:val="9"/>
                    <w:spacing w:after="0"/>
                    <w:ind w:left="0" w:leftChars="0" w:firstLine="0" w:firstLineChars="0"/>
                    <w:jc w:val="center"/>
                    <w:rPr>
                      <w:color w:val="auto"/>
                      <w:sz w:val="21"/>
                      <w:szCs w:val="21"/>
                      <w:lang w:val="zh-CN"/>
                    </w:rPr>
                  </w:pPr>
                  <w:r>
                    <w:rPr>
                      <w:color w:val="auto"/>
                      <w:sz w:val="21"/>
                      <w:szCs w:val="21"/>
                      <w:lang w:val="zh-CN"/>
                    </w:rPr>
                    <w:t>NaOH</w:t>
                  </w:r>
                </w:p>
              </w:tc>
              <w:tc>
                <w:tcPr>
                  <w:tcW w:w="2212" w:type="pct"/>
                  <w:vAlign w:val="center"/>
                </w:tcPr>
                <w:p w14:paraId="0A8AEF1A">
                  <w:pPr>
                    <w:pStyle w:val="9"/>
                    <w:spacing w:after="0"/>
                    <w:ind w:left="0" w:leftChars="0" w:firstLine="0" w:firstLineChars="0"/>
                    <w:jc w:val="center"/>
                    <w:rPr>
                      <w:color w:val="auto"/>
                      <w:sz w:val="21"/>
                      <w:szCs w:val="21"/>
                      <w:lang w:val="zh-CN"/>
                    </w:rPr>
                  </w:pPr>
                  <w:r>
                    <w:rPr>
                      <w:color w:val="auto"/>
                      <w:sz w:val="21"/>
                      <w:szCs w:val="21"/>
                      <w:lang w:val="zh-CN"/>
                    </w:rPr>
                    <w:t>俗称烧碱、火碱、苛性钠，为一种具有强腐蚀性的强碱，一般为片状或块状形态，易溶于水（溶于水时放热）并形成碱性溶液，另有潮解性，易吸取空气中的水蒸气（潮解）和二氧化碳（变质）纯品是无色透明的晶体。密度 2.130g/cm</w:t>
                  </w:r>
                  <w:r>
                    <w:rPr>
                      <w:color w:val="auto"/>
                      <w:sz w:val="21"/>
                      <w:szCs w:val="21"/>
                      <w:vertAlign w:val="superscript"/>
                      <w:lang w:val="zh-CN"/>
                    </w:rPr>
                    <w:t>3</w:t>
                  </w:r>
                  <w:r>
                    <w:rPr>
                      <w:color w:val="auto"/>
                      <w:sz w:val="21"/>
                      <w:szCs w:val="21"/>
                      <w:lang w:val="zh-CN"/>
                    </w:rPr>
                    <w:t>。熔点318.4℃。沸点1390℃</w:t>
                  </w:r>
                </w:p>
              </w:tc>
              <w:tc>
                <w:tcPr>
                  <w:tcW w:w="1125" w:type="pct"/>
                  <w:vAlign w:val="center"/>
                </w:tcPr>
                <w:p w14:paraId="0F0371C5">
                  <w:pPr>
                    <w:pStyle w:val="9"/>
                    <w:spacing w:after="0"/>
                    <w:ind w:left="0" w:leftChars="0" w:firstLine="0" w:firstLineChars="0"/>
                    <w:jc w:val="center"/>
                    <w:rPr>
                      <w:color w:val="auto"/>
                      <w:sz w:val="21"/>
                      <w:szCs w:val="21"/>
                      <w:lang w:val="zh-CN"/>
                    </w:rPr>
                  </w:pPr>
                  <w:r>
                    <w:rPr>
                      <w:color w:val="auto"/>
                      <w:sz w:val="21"/>
                      <w:szCs w:val="21"/>
                      <w:lang w:val="zh-CN"/>
                    </w:rPr>
                    <w:t>不燃</w:t>
                  </w:r>
                </w:p>
              </w:tc>
              <w:tc>
                <w:tcPr>
                  <w:tcW w:w="1112" w:type="pct"/>
                  <w:vAlign w:val="center"/>
                </w:tcPr>
                <w:p w14:paraId="12304452">
                  <w:pPr>
                    <w:pStyle w:val="9"/>
                    <w:spacing w:after="0"/>
                    <w:ind w:left="0" w:leftChars="0" w:firstLine="0" w:firstLineChars="0"/>
                    <w:jc w:val="center"/>
                    <w:rPr>
                      <w:color w:val="auto"/>
                      <w:sz w:val="21"/>
                      <w:szCs w:val="21"/>
                      <w:lang w:val="zh-CN"/>
                    </w:rPr>
                  </w:pPr>
                  <w:r>
                    <w:rPr>
                      <w:color w:val="auto"/>
                      <w:sz w:val="21"/>
                      <w:szCs w:val="21"/>
                      <w:lang w:val="zh-CN"/>
                    </w:rPr>
                    <w:t>LD50：无资料</w:t>
                  </w:r>
                </w:p>
                <w:p w14:paraId="60B9C8A4">
                  <w:pPr>
                    <w:pStyle w:val="9"/>
                    <w:spacing w:after="0"/>
                    <w:ind w:left="0" w:leftChars="0" w:firstLine="0" w:firstLineChars="0"/>
                    <w:jc w:val="center"/>
                    <w:rPr>
                      <w:color w:val="auto"/>
                      <w:sz w:val="21"/>
                      <w:szCs w:val="21"/>
                      <w:lang w:val="zh-CN"/>
                    </w:rPr>
                  </w:pPr>
                  <w:r>
                    <w:rPr>
                      <w:color w:val="auto"/>
                      <w:sz w:val="21"/>
                      <w:szCs w:val="21"/>
                      <w:lang w:val="zh-CN"/>
                    </w:rPr>
                    <w:t>LC50：无资料</w:t>
                  </w:r>
                </w:p>
                <w:p w14:paraId="52532706">
                  <w:pPr>
                    <w:pStyle w:val="9"/>
                    <w:spacing w:after="0"/>
                    <w:ind w:left="0" w:leftChars="0" w:firstLine="0" w:firstLineChars="0"/>
                    <w:jc w:val="center"/>
                    <w:rPr>
                      <w:color w:val="auto"/>
                      <w:sz w:val="21"/>
                      <w:szCs w:val="21"/>
                      <w:lang w:val="zh-CN"/>
                    </w:rPr>
                  </w:pPr>
                  <w:r>
                    <w:rPr>
                      <w:color w:val="auto"/>
                      <w:sz w:val="21"/>
                      <w:szCs w:val="21"/>
                      <w:lang w:val="zh-CN"/>
                    </w:rPr>
                    <w:t>家兔经眼：1%重度刺激。</w:t>
                  </w:r>
                </w:p>
                <w:p w14:paraId="5B0CFD26">
                  <w:pPr>
                    <w:pStyle w:val="9"/>
                    <w:spacing w:after="0"/>
                    <w:ind w:left="0" w:leftChars="0" w:firstLine="0" w:firstLineChars="0"/>
                    <w:jc w:val="center"/>
                    <w:rPr>
                      <w:color w:val="auto"/>
                      <w:sz w:val="21"/>
                      <w:szCs w:val="21"/>
                      <w:lang w:val="zh-CN"/>
                    </w:rPr>
                  </w:pPr>
                  <w:r>
                    <w:rPr>
                      <w:color w:val="auto"/>
                      <w:sz w:val="21"/>
                      <w:szCs w:val="21"/>
                      <w:lang w:val="zh-CN"/>
                    </w:rPr>
                    <w:t>家兔经皮：50mg/24小时，重度刺激。</w:t>
                  </w:r>
                </w:p>
              </w:tc>
            </w:tr>
            <w:tr w14:paraId="7E40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0CC6DE58">
                  <w:pPr>
                    <w:pStyle w:val="9"/>
                    <w:spacing w:after="0"/>
                    <w:ind w:left="0" w:leftChars="0" w:firstLine="0" w:firstLineChars="0"/>
                    <w:jc w:val="center"/>
                    <w:rPr>
                      <w:color w:val="auto"/>
                      <w:sz w:val="21"/>
                      <w:szCs w:val="21"/>
                      <w:lang w:val="zh-CN"/>
                    </w:rPr>
                  </w:pPr>
                  <w:r>
                    <w:rPr>
                      <w:color w:val="auto"/>
                      <w:sz w:val="21"/>
                      <w:szCs w:val="21"/>
                      <w:lang w:val="zh-CN"/>
                    </w:rPr>
                    <w:t>氯化钠</w:t>
                  </w:r>
                </w:p>
              </w:tc>
              <w:tc>
                <w:tcPr>
                  <w:tcW w:w="2212" w:type="pct"/>
                  <w:vAlign w:val="center"/>
                </w:tcPr>
                <w:p w14:paraId="444C8BC4">
                  <w:pPr>
                    <w:pStyle w:val="9"/>
                    <w:spacing w:after="0"/>
                    <w:ind w:left="0" w:leftChars="0" w:firstLine="0" w:firstLineChars="0"/>
                    <w:jc w:val="center"/>
                    <w:rPr>
                      <w:color w:val="auto"/>
                      <w:sz w:val="21"/>
                      <w:szCs w:val="21"/>
                      <w:lang w:val="zh-CN"/>
                    </w:rPr>
                  </w:pPr>
                  <w:r>
                    <w:rPr>
                      <w:color w:val="auto"/>
                      <w:sz w:val="21"/>
                      <w:szCs w:val="21"/>
                      <w:lang w:val="zh-CN"/>
                    </w:rPr>
                    <w:t>无色立方结晶或细小结晶粉末，味咸；熔点：801℃ 沸点：1465℃；相对密度</w:t>
                  </w:r>
                  <w:r>
                    <w:rPr>
                      <w:rFonts w:hint="eastAsia"/>
                      <w:color w:val="auto"/>
                      <w:sz w:val="21"/>
                      <w:szCs w:val="21"/>
                      <w:lang w:val="zh-CN"/>
                    </w:rPr>
                    <w:t>（</w:t>
                  </w:r>
                  <w:r>
                    <w:rPr>
                      <w:color w:val="auto"/>
                      <w:sz w:val="21"/>
                      <w:szCs w:val="21"/>
                      <w:lang w:val="zh-CN"/>
                    </w:rPr>
                    <w:t>水=1</w:t>
                  </w:r>
                  <w:r>
                    <w:rPr>
                      <w:rFonts w:hint="eastAsia"/>
                      <w:color w:val="auto"/>
                      <w:sz w:val="21"/>
                      <w:szCs w:val="21"/>
                      <w:lang w:val="zh-CN"/>
                    </w:rPr>
                    <w:t>）</w:t>
                  </w:r>
                  <w:r>
                    <w:rPr>
                      <w:color w:val="auto"/>
                      <w:sz w:val="21"/>
                      <w:szCs w:val="21"/>
                      <w:lang w:val="zh-CN"/>
                    </w:rPr>
                    <w:t>：2.165；易溶于水、甘油，微溶于乙醇（酒精）、液氨；不溶于浓盐酸。</w:t>
                  </w:r>
                </w:p>
              </w:tc>
              <w:tc>
                <w:tcPr>
                  <w:tcW w:w="1125" w:type="pct"/>
                  <w:vAlign w:val="center"/>
                </w:tcPr>
                <w:p w14:paraId="479AC814">
                  <w:pPr>
                    <w:pStyle w:val="9"/>
                    <w:spacing w:after="0"/>
                    <w:ind w:left="0" w:leftChars="0" w:firstLine="0" w:firstLineChars="0"/>
                    <w:jc w:val="center"/>
                    <w:rPr>
                      <w:color w:val="auto"/>
                      <w:sz w:val="21"/>
                      <w:szCs w:val="21"/>
                      <w:lang w:val="zh-CN"/>
                    </w:rPr>
                  </w:pPr>
                  <w:r>
                    <w:rPr>
                      <w:color w:val="auto"/>
                      <w:sz w:val="21"/>
                      <w:szCs w:val="21"/>
                      <w:lang w:val="zh-CN"/>
                    </w:rPr>
                    <w:t>/</w:t>
                  </w:r>
                </w:p>
              </w:tc>
              <w:tc>
                <w:tcPr>
                  <w:tcW w:w="1112" w:type="pct"/>
                  <w:vAlign w:val="center"/>
                </w:tcPr>
                <w:p w14:paraId="17FA73FF">
                  <w:pPr>
                    <w:pStyle w:val="9"/>
                    <w:spacing w:after="0"/>
                    <w:ind w:left="0" w:leftChars="0" w:firstLine="0" w:firstLineChars="0"/>
                    <w:jc w:val="center"/>
                    <w:rPr>
                      <w:color w:val="auto"/>
                      <w:sz w:val="21"/>
                      <w:szCs w:val="21"/>
                      <w:lang w:val="zh-CN"/>
                    </w:rPr>
                  </w:pPr>
                  <w:r>
                    <w:rPr>
                      <w:color w:val="auto"/>
                      <w:sz w:val="21"/>
                      <w:szCs w:val="21"/>
                      <w:lang w:val="zh-CN"/>
                    </w:rPr>
                    <w:t>/</w:t>
                  </w:r>
                </w:p>
              </w:tc>
            </w:tr>
            <w:tr w14:paraId="06A5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12D77736">
                  <w:pPr>
                    <w:pStyle w:val="9"/>
                    <w:spacing w:after="0"/>
                    <w:ind w:left="0" w:leftChars="0" w:firstLine="0" w:firstLineChars="0"/>
                    <w:jc w:val="center"/>
                    <w:rPr>
                      <w:color w:val="auto"/>
                      <w:sz w:val="21"/>
                      <w:szCs w:val="21"/>
                      <w:lang w:val="zh-CN"/>
                    </w:rPr>
                  </w:pPr>
                  <w:r>
                    <w:rPr>
                      <w:color w:val="auto"/>
                      <w:sz w:val="21"/>
                      <w:szCs w:val="21"/>
                      <w:lang w:val="zh-CN"/>
                    </w:rPr>
                    <w:t>氯化钾</w:t>
                  </w:r>
                </w:p>
              </w:tc>
              <w:tc>
                <w:tcPr>
                  <w:tcW w:w="2212" w:type="pct"/>
                  <w:vAlign w:val="center"/>
                </w:tcPr>
                <w:p w14:paraId="6F0505CA">
                  <w:pPr>
                    <w:pStyle w:val="9"/>
                    <w:spacing w:after="0"/>
                    <w:ind w:left="0" w:leftChars="0" w:firstLine="0" w:firstLineChars="0"/>
                    <w:jc w:val="center"/>
                    <w:rPr>
                      <w:color w:val="auto"/>
                      <w:sz w:val="21"/>
                      <w:szCs w:val="21"/>
                      <w:lang w:val="zh-CN"/>
                    </w:rPr>
                  </w:pPr>
                  <w:r>
                    <w:rPr>
                      <w:color w:val="auto"/>
                      <w:sz w:val="21"/>
                      <w:szCs w:val="21"/>
                      <w:lang w:val="zh-CN"/>
                    </w:rPr>
                    <w:t>白色晶体，味极咸，无臭无毒性；熔点：770℃，相对密度（水＝1）：1.98，易溶于水、醚、甘油及碱类，微溶于乙醇，但不溶于无水乙醇。</w:t>
                  </w:r>
                </w:p>
              </w:tc>
              <w:tc>
                <w:tcPr>
                  <w:tcW w:w="1125" w:type="pct"/>
                  <w:vAlign w:val="center"/>
                </w:tcPr>
                <w:p w14:paraId="2EBC18E9">
                  <w:pPr>
                    <w:pStyle w:val="9"/>
                    <w:spacing w:after="0"/>
                    <w:ind w:left="0" w:leftChars="0" w:firstLine="0" w:firstLineChars="0"/>
                    <w:jc w:val="center"/>
                    <w:rPr>
                      <w:color w:val="auto"/>
                      <w:sz w:val="21"/>
                      <w:szCs w:val="21"/>
                      <w:lang w:val="zh-CN"/>
                    </w:rPr>
                  </w:pPr>
                  <w:r>
                    <w:rPr>
                      <w:color w:val="auto"/>
                      <w:sz w:val="21"/>
                      <w:szCs w:val="21"/>
                      <w:lang w:val="zh-CN"/>
                    </w:rPr>
                    <w:t>/</w:t>
                  </w:r>
                </w:p>
              </w:tc>
              <w:tc>
                <w:tcPr>
                  <w:tcW w:w="1112" w:type="pct"/>
                  <w:vAlign w:val="center"/>
                </w:tcPr>
                <w:p w14:paraId="0114664F">
                  <w:pPr>
                    <w:pStyle w:val="9"/>
                    <w:spacing w:after="0"/>
                    <w:ind w:left="0" w:leftChars="0" w:firstLine="0" w:firstLineChars="0"/>
                    <w:jc w:val="center"/>
                    <w:rPr>
                      <w:color w:val="auto"/>
                      <w:sz w:val="21"/>
                      <w:szCs w:val="21"/>
                      <w:lang w:val="zh-CN"/>
                    </w:rPr>
                  </w:pPr>
                  <w:r>
                    <w:rPr>
                      <w:color w:val="auto"/>
                      <w:sz w:val="21"/>
                      <w:szCs w:val="21"/>
                      <w:lang w:val="zh-CN"/>
                    </w:rPr>
                    <w:t>/</w:t>
                  </w:r>
                </w:p>
              </w:tc>
            </w:tr>
            <w:tr w14:paraId="31FC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19EB669A">
                  <w:pPr>
                    <w:pStyle w:val="9"/>
                    <w:spacing w:after="0"/>
                    <w:ind w:left="0" w:leftChars="0" w:firstLine="0" w:firstLineChars="0"/>
                    <w:jc w:val="center"/>
                    <w:rPr>
                      <w:color w:val="auto"/>
                      <w:sz w:val="21"/>
                      <w:szCs w:val="21"/>
                      <w:lang w:val="zh-CN"/>
                    </w:rPr>
                  </w:pPr>
                  <w:r>
                    <w:rPr>
                      <w:color w:val="auto"/>
                      <w:sz w:val="21"/>
                      <w:szCs w:val="21"/>
                      <w:lang w:val="zh-CN"/>
                    </w:rPr>
                    <w:t>N,N-二甲</w:t>
                  </w:r>
                </w:p>
                <w:p w14:paraId="76CBD97F">
                  <w:pPr>
                    <w:pStyle w:val="9"/>
                    <w:spacing w:after="0"/>
                    <w:ind w:left="0" w:leftChars="0" w:firstLine="0" w:firstLineChars="0"/>
                    <w:jc w:val="center"/>
                    <w:rPr>
                      <w:color w:val="auto"/>
                      <w:sz w:val="21"/>
                      <w:szCs w:val="21"/>
                      <w:lang w:val="zh-CN"/>
                    </w:rPr>
                  </w:pPr>
                  <w:r>
                    <w:rPr>
                      <w:color w:val="auto"/>
                      <w:sz w:val="21"/>
                      <w:szCs w:val="21"/>
                      <w:lang w:val="zh-CN"/>
                    </w:rPr>
                    <w:t>基甲酰胺</w:t>
                  </w:r>
                </w:p>
              </w:tc>
              <w:tc>
                <w:tcPr>
                  <w:tcW w:w="2212" w:type="pct"/>
                  <w:vAlign w:val="center"/>
                </w:tcPr>
                <w:p w14:paraId="0563DCE0">
                  <w:pPr>
                    <w:pStyle w:val="9"/>
                    <w:spacing w:after="0"/>
                    <w:ind w:left="0" w:leftChars="0" w:firstLine="0" w:firstLineChars="0"/>
                    <w:jc w:val="center"/>
                    <w:rPr>
                      <w:color w:val="auto"/>
                      <w:sz w:val="21"/>
                      <w:szCs w:val="21"/>
                      <w:lang w:val="zh-CN"/>
                    </w:rPr>
                  </w:pPr>
                  <w:r>
                    <w:rPr>
                      <w:color w:val="auto"/>
                      <w:sz w:val="21"/>
                      <w:szCs w:val="21"/>
                      <w:lang w:val="zh-CN"/>
                    </w:rPr>
                    <w:t>无色透明或淡黄色液体，有鱼腥</w:t>
                  </w:r>
                </w:p>
                <w:p w14:paraId="631D2D1A">
                  <w:pPr>
                    <w:pStyle w:val="9"/>
                    <w:spacing w:after="0"/>
                    <w:ind w:left="0" w:leftChars="0" w:firstLine="0" w:firstLineChars="0"/>
                    <w:jc w:val="center"/>
                    <w:rPr>
                      <w:color w:val="auto"/>
                      <w:sz w:val="21"/>
                      <w:szCs w:val="21"/>
                      <w:lang w:val="zh-CN"/>
                    </w:rPr>
                  </w:pPr>
                  <w:r>
                    <w:rPr>
                      <w:color w:val="auto"/>
                      <w:sz w:val="21"/>
                      <w:szCs w:val="21"/>
                      <w:lang w:val="zh-CN"/>
                    </w:rPr>
                    <w:t>味。熔点（℃）：-61，.沸点（℃）：</w:t>
                  </w:r>
                </w:p>
                <w:p w14:paraId="71583355">
                  <w:pPr>
                    <w:pStyle w:val="9"/>
                    <w:spacing w:after="0"/>
                    <w:ind w:left="0" w:leftChars="0" w:firstLine="0" w:firstLineChars="0"/>
                    <w:jc w:val="center"/>
                    <w:rPr>
                      <w:color w:val="auto"/>
                      <w:sz w:val="21"/>
                      <w:szCs w:val="21"/>
                      <w:lang w:val="zh-CN"/>
                    </w:rPr>
                  </w:pPr>
                  <w:r>
                    <w:rPr>
                      <w:color w:val="auto"/>
                      <w:sz w:val="21"/>
                      <w:szCs w:val="21"/>
                      <w:lang w:val="zh-CN"/>
                    </w:rPr>
                    <w:t>153、相对密度（水=1）：0.95</w:t>
                  </w:r>
                </w:p>
              </w:tc>
              <w:tc>
                <w:tcPr>
                  <w:tcW w:w="1125" w:type="pct"/>
                  <w:vAlign w:val="center"/>
                </w:tcPr>
                <w:p w14:paraId="5FB62B81">
                  <w:pPr>
                    <w:pStyle w:val="9"/>
                    <w:spacing w:after="0"/>
                    <w:ind w:left="0" w:leftChars="0" w:firstLine="0" w:firstLineChars="0"/>
                    <w:jc w:val="center"/>
                    <w:rPr>
                      <w:color w:val="auto"/>
                      <w:sz w:val="21"/>
                      <w:szCs w:val="21"/>
                      <w:lang w:val="zh-CN"/>
                    </w:rPr>
                  </w:pPr>
                  <w:r>
                    <w:rPr>
                      <w:color w:val="auto"/>
                      <w:sz w:val="21"/>
                      <w:szCs w:val="21"/>
                      <w:lang w:val="zh-CN"/>
                    </w:rPr>
                    <w:t>爆炸上限（%）：15.2</w:t>
                  </w:r>
                </w:p>
                <w:p w14:paraId="6AAFD5CB">
                  <w:pPr>
                    <w:pStyle w:val="9"/>
                    <w:spacing w:after="0"/>
                    <w:ind w:left="0" w:leftChars="0" w:firstLine="0" w:firstLineChars="0"/>
                    <w:jc w:val="center"/>
                    <w:rPr>
                      <w:color w:val="auto"/>
                      <w:sz w:val="21"/>
                      <w:szCs w:val="21"/>
                      <w:lang w:val="zh-CN"/>
                    </w:rPr>
                  </w:pPr>
                  <w:r>
                    <w:rPr>
                      <w:color w:val="auto"/>
                      <w:sz w:val="21"/>
                      <w:szCs w:val="21"/>
                      <w:lang w:val="zh-CN"/>
                    </w:rPr>
                    <w:t>.爆炸下限（%）：2.2</w:t>
                  </w:r>
                </w:p>
              </w:tc>
              <w:tc>
                <w:tcPr>
                  <w:tcW w:w="1112" w:type="pct"/>
                  <w:vAlign w:val="center"/>
                </w:tcPr>
                <w:p w14:paraId="76A9B618">
                  <w:pPr>
                    <w:pStyle w:val="9"/>
                    <w:spacing w:after="0"/>
                    <w:ind w:left="0" w:leftChars="0" w:firstLine="0" w:firstLineChars="0"/>
                    <w:jc w:val="center"/>
                    <w:rPr>
                      <w:color w:val="auto"/>
                      <w:sz w:val="21"/>
                      <w:szCs w:val="21"/>
                      <w:lang w:val="zh-CN"/>
                    </w:rPr>
                  </w:pPr>
                  <w:r>
                    <w:rPr>
                      <w:color w:val="auto"/>
                      <w:sz w:val="21"/>
                      <w:szCs w:val="21"/>
                      <w:lang w:val="zh-CN"/>
                    </w:rPr>
                    <w:t>LD50：4000mg/kg（大鼠经口）；</w:t>
                  </w:r>
                </w:p>
                <w:p w14:paraId="67BB9F64">
                  <w:pPr>
                    <w:pStyle w:val="9"/>
                    <w:spacing w:after="0"/>
                    <w:ind w:left="0" w:leftChars="0" w:firstLine="0" w:firstLineChars="0"/>
                    <w:jc w:val="center"/>
                    <w:rPr>
                      <w:color w:val="auto"/>
                      <w:sz w:val="21"/>
                      <w:szCs w:val="21"/>
                      <w:lang w:val="zh-CN"/>
                    </w:rPr>
                  </w:pPr>
                  <w:r>
                    <w:rPr>
                      <w:color w:val="auto"/>
                      <w:sz w:val="21"/>
                      <w:szCs w:val="21"/>
                      <w:lang w:val="zh-CN"/>
                    </w:rPr>
                    <w:t>4720mg/kg（兔经皮）LC50；</w:t>
                  </w:r>
                </w:p>
                <w:p w14:paraId="23DEB617">
                  <w:pPr>
                    <w:pStyle w:val="9"/>
                    <w:spacing w:after="0"/>
                    <w:ind w:left="0" w:leftChars="0" w:firstLine="0" w:firstLineChars="0"/>
                    <w:jc w:val="center"/>
                    <w:rPr>
                      <w:color w:val="auto"/>
                      <w:sz w:val="21"/>
                      <w:szCs w:val="21"/>
                      <w:lang w:val="zh-CN"/>
                    </w:rPr>
                  </w:pPr>
                  <w:r>
                    <w:rPr>
                      <w:color w:val="auto"/>
                      <w:sz w:val="21"/>
                      <w:szCs w:val="21"/>
                      <w:lang w:val="zh-CN"/>
                    </w:rPr>
                    <w:t>9400毫克每立方米（小鼠吸入，2h）</w:t>
                  </w:r>
                </w:p>
              </w:tc>
            </w:tr>
            <w:tr w14:paraId="7649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3AF0386F">
                  <w:pPr>
                    <w:pStyle w:val="9"/>
                    <w:spacing w:after="0"/>
                    <w:ind w:left="0" w:leftChars="0" w:firstLine="0" w:firstLineChars="0"/>
                    <w:jc w:val="center"/>
                    <w:rPr>
                      <w:color w:val="auto"/>
                      <w:sz w:val="21"/>
                      <w:szCs w:val="21"/>
                      <w:lang w:val="zh-CN"/>
                    </w:rPr>
                  </w:pPr>
                  <w:r>
                    <w:rPr>
                      <w:color w:val="auto"/>
                      <w:sz w:val="21"/>
                      <w:szCs w:val="21"/>
                      <w:lang w:val="zh-CN"/>
                    </w:rPr>
                    <w:t>四氢呋喃</w:t>
                  </w:r>
                </w:p>
              </w:tc>
              <w:tc>
                <w:tcPr>
                  <w:tcW w:w="2212" w:type="pct"/>
                  <w:vAlign w:val="center"/>
                </w:tcPr>
                <w:p w14:paraId="2CB1BFB6">
                  <w:pPr>
                    <w:pStyle w:val="9"/>
                    <w:spacing w:after="0"/>
                    <w:ind w:left="0" w:leftChars="0" w:firstLine="0" w:firstLineChars="0"/>
                    <w:jc w:val="center"/>
                    <w:rPr>
                      <w:color w:val="auto"/>
                      <w:sz w:val="21"/>
                      <w:szCs w:val="21"/>
                      <w:lang w:val="zh-CN"/>
                    </w:rPr>
                  </w:pPr>
                  <w:r>
                    <w:rPr>
                      <w:color w:val="auto"/>
                      <w:sz w:val="21"/>
                      <w:szCs w:val="21"/>
                      <w:lang w:val="zh-CN"/>
                    </w:rPr>
                    <w:t>性状：无色易挥发液体，有类似乙醚的气味，熔点（℃）：-108.5 [4]，沸点（℃）：66，相对密度（水=1）：0.89，溶于水、乙醇、乙醚、丙酮、苯等多数有机溶剂</w:t>
                  </w:r>
                </w:p>
              </w:tc>
              <w:tc>
                <w:tcPr>
                  <w:tcW w:w="1125" w:type="pct"/>
                  <w:vAlign w:val="center"/>
                </w:tcPr>
                <w:p w14:paraId="3A14643C">
                  <w:pPr>
                    <w:pStyle w:val="9"/>
                    <w:spacing w:after="0"/>
                    <w:ind w:left="0" w:leftChars="0" w:firstLine="0" w:firstLineChars="0"/>
                    <w:jc w:val="center"/>
                    <w:rPr>
                      <w:color w:val="auto"/>
                      <w:sz w:val="21"/>
                      <w:szCs w:val="21"/>
                      <w:lang w:val="zh-CN"/>
                    </w:rPr>
                  </w:pPr>
                  <w:r>
                    <w:rPr>
                      <w:color w:val="auto"/>
                      <w:sz w:val="21"/>
                      <w:szCs w:val="21"/>
                      <w:lang w:val="zh-CN"/>
                    </w:rPr>
                    <w:t>易燃，具刺激性</w:t>
                  </w:r>
                </w:p>
              </w:tc>
              <w:tc>
                <w:tcPr>
                  <w:tcW w:w="1112" w:type="pct"/>
                  <w:vAlign w:val="center"/>
                </w:tcPr>
                <w:p w14:paraId="3B5637B3">
                  <w:pPr>
                    <w:pStyle w:val="9"/>
                    <w:spacing w:after="0"/>
                    <w:ind w:left="0" w:leftChars="0" w:firstLine="0" w:firstLineChars="0"/>
                    <w:jc w:val="center"/>
                    <w:rPr>
                      <w:color w:val="auto"/>
                      <w:sz w:val="21"/>
                      <w:szCs w:val="21"/>
                      <w:lang w:val="zh-CN"/>
                    </w:rPr>
                  </w:pPr>
                  <w:r>
                    <w:rPr>
                      <w:color w:val="auto"/>
                      <w:sz w:val="21"/>
                      <w:szCs w:val="21"/>
                      <w:lang w:val="zh-CN"/>
                    </w:rPr>
                    <w:t>大鼠经口</w:t>
                  </w:r>
                </w:p>
                <w:p w14:paraId="75A3A910">
                  <w:pPr>
                    <w:pStyle w:val="9"/>
                    <w:spacing w:after="0"/>
                    <w:ind w:left="0" w:leftChars="0" w:firstLine="0" w:firstLineChars="0"/>
                    <w:rPr>
                      <w:color w:val="auto"/>
                      <w:sz w:val="21"/>
                      <w:szCs w:val="21"/>
                      <w:lang w:val="zh-CN"/>
                    </w:rPr>
                  </w:pPr>
                  <w:r>
                    <w:rPr>
                      <w:color w:val="auto"/>
                      <w:sz w:val="21"/>
                      <w:szCs w:val="21"/>
                      <w:lang w:val="zh-CN"/>
                    </w:rPr>
                    <w:t>LD50:1650mg/kg；</w:t>
                  </w:r>
                </w:p>
                <w:p w14:paraId="2299BF41">
                  <w:pPr>
                    <w:pStyle w:val="9"/>
                    <w:spacing w:after="0"/>
                    <w:ind w:left="0" w:leftChars="0" w:firstLine="0" w:firstLineChars="0"/>
                    <w:jc w:val="center"/>
                    <w:rPr>
                      <w:color w:val="auto"/>
                      <w:sz w:val="21"/>
                      <w:szCs w:val="21"/>
                      <w:lang w:val="zh-CN"/>
                    </w:rPr>
                  </w:pPr>
                  <w:r>
                    <w:rPr>
                      <w:color w:val="auto"/>
                      <w:sz w:val="21"/>
                      <w:szCs w:val="21"/>
                      <w:lang w:val="zh-CN"/>
                    </w:rPr>
                    <w:t>吸入LC50:21000ppm/3H</w:t>
                  </w:r>
                </w:p>
                <w:p w14:paraId="7F4ADE93">
                  <w:pPr>
                    <w:pStyle w:val="9"/>
                    <w:spacing w:after="0"/>
                    <w:ind w:left="0" w:leftChars="0" w:firstLine="0" w:firstLineChars="0"/>
                    <w:jc w:val="center"/>
                    <w:rPr>
                      <w:color w:val="auto"/>
                      <w:sz w:val="21"/>
                      <w:szCs w:val="21"/>
                      <w:lang w:val="zh-CN"/>
                    </w:rPr>
                  </w:pPr>
                  <w:r>
                    <w:rPr>
                      <w:color w:val="auto"/>
                      <w:sz w:val="21"/>
                      <w:szCs w:val="21"/>
                      <w:lang w:val="zh-CN"/>
                    </w:rPr>
                    <w:t>小鼠吸入LCLO:24000mg/m</w:t>
                  </w:r>
                  <w:r>
                    <w:rPr>
                      <w:color w:val="auto"/>
                      <w:sz w:val="21"/>
                      <w:szCs w:val="21"/>
                      <w:vertAlign w:val="superscript"/>
                      <w:lang w:val="zh-CN"/>
                    </w:rPr>
                    <w:t>3</w:t>
                  </w:r>
                  <w:r>
                    <w:rPr>
                      <w:color w:val="auto"/>
                      <w:sz w:val="21"/>
                      <w:szCs w:val="21"/>
                      <w:lang w:val="zh-CN"/>
                    </w:rPr>
                    <w:t>/2H.低毒</w:t>
                  </w:r>
                </w:p>
              </w:tc>
            </w:tr>
            <w:tr w14:paraId="4A54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04D4F6C7">
                  <w:pPr>
                    <w:pStyle w:val="9"/>
                    <w:spacing w:after="0"/>
                    <w:ind w:left="0" w:leftChars="0" w:firstLine="0" w:firstLineChars="0"/>
                    <w:jc w:val="center"/>
                    <w:rPr>
                      <w:color w:val="auto"/>
                      <w:sz w:val="21"/>
                      <w:szCs w:val="21"/>
                      <w:lang w:val="zh-CN"/>
                    </w:rPr>
                  </w:pPr>
                  <w:r>
                    <w:rPr>
                      <w:color w:val="auto"/>
                      <w:sz w:val="21"/>
                      <w:szCs w:val="21"/>
                    </w:rPr>
                    <w:t>双（三甲基硅基）氨基锂</w:t>
                  </w:r>
                </w:p>
              </w:tc>
              <w:tc>
                <w:tcPr>
                  <w:tcW w:w="2212" w:type="pct"/>
                  <w:vAlign w:val="center"/>
                </w:tcPr>
                <w:p w14:paraId="790BF440">
                  <w:pPr>
                    <w:pStyle w:val="9"/>
                    <w:spacing w:after="0"/>
                    <w:ind w:left="0" w:leftChars="0" w:firstLine="0" w:firstLineChars="0"/>
                    <w:jc w:val="center"/>
                    <w:rPr>
                      <w:color w:val="auto"/>
                      <w:sz w:val="21"/>
                      <w:szCs w:val="21"/>
                      <w:lang w:val="zh-CN"/>
                    </w:rPr>
                  </w:pPr>
                  <w:r>
                    <w:rPr>
                      <w:color w:val="auto"/>
                      <w:sz w:val="21"/>
                      <w:szCs w:val="21"/>
                      <w:lang w:val="zh-CN"/>
                    </w:rPr>
                    <w:t>浅黄色至黄色结晶粉末或结晶，加水水解。</w:t>
                  </w:r>
                </w:p>
              </w:tc>
              <w:tc>
                <w:tcPr>
                  <w:tcW w:w="1125" w:type="pct"/>
                  <w:vAlign w:val="center"/>
                </w:tcPr>
                <w:p w14:paraId="5AA631C9">
                  <w:pPr>
                    <w:pStyle w:val="9"/>
                    <w:spacing w:after="0"/>
                    <w:ind w:left="0" w:leftChars="0" w:firstLine="0" w:firstLineChars="0"/>
                    <w:jc w:val="center"/>
                    <w:rPr>
                      <w:color w:val="auto"/>
                      <w:sz w:val="21"/>
                      <w:szCs w:val="21"/>
                      <w:lang w:val="zh-CN"/>
                    </w:rPr>
                  </w:pPr>
                  <w:r>
                    <w:rPr>
                      <w:color w:val="auto"/>
                      <w:sz w:val="21"/>
                      <w:szCs w:val="21"/>
                      <w:lang w:val="zh-CN"/>
                    </w:rPr>
                    <w:t>易燃</w:t>
                  </w:r>
                </w:p>
              </w:tc>
              <w:tc>
                <w:tcPr>
                  <w:tcW w:w="1112" w:type="pct"/>
                  <w:vAlign w:val="center"/>
                </w:tcPr>
                <w:p w14:paraId="34D0D3A5">
                  <w:pPr>
                    <w:pStyle w:val="9"/>
                    <w:spacing w:after="0"/>
                    <w:ind w:left="0" w:leftChars="0" w:firstLine="0" w:firstLineChars="0"/>
                    <w:jc w:val="center"/>
                    <w:rPr>
                      <w:color w:val="auto"/>
                      <w:sz w:val="21"/>
                      <w:szCs w:val="21"/>
                      <w:lang w:val="zh-CN"/>
                    </w:rPr>
                  </w:pPr>
                  <w:r>
                    <w:rPr>
                      <w:color w:val="auto"/>
                      <w:sz w:val="21"/>
                      <w:szCs w:val="21"/>
                      <w:shd w:val="clear" w:color="auto" w:fill="FFFFFF"/>
                    </w:rPr>
                    <w:t>/</w:t>
                  </w:r>
                </w:p>
              </w:tc>
            </w:tr>
            <w:tr w14:paraId="072F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1D936E7E">
                  <w:pPr>
                    <w:pStyle w:val="9"/>
                    <w:spacing w:after="0"/>
                    <w:ind w:left="0" w:leftChars="0" w:firstLine="0" w:firstLineChars="0"/>
                    <w:jc w:val="center"/>
                    <w:rPr>
                      <w:color w:val="auto"/>
                      <w:sz w:val="21"/>
                      <w:szCs w:val="21"/>
                    </w:rPr>
                  </w:pPr>
                  <w:r>
                    <w:rPr>
                      <w:color w:val="auto"/>
                      <w:sz w:val="21"/>
                      <w:szCs w:val="21"/>
                    </w:rPr>
                    <w:t>正丁基锂</w:t>
                  </w:r>
                </w:p>
              </w:tc>
              <w:tc>
                <w:tcPr>
                  <w:tcW w:w="2212" w:type="pct"/>
                  <w:vAlign w:val="center"/>
                </w:tcPr>
                <w:p w14:paraId="3C029E35">
                  <w:pPr>
                    <w:pStyle w:val="9"/>
                    <w:spacing w:after="0"/>
                    <w:ind w:left="0" w:leftChars="0" w:firstLine="0" w:firstLineChars="0"/>
                    <w:jc w:val="center"/>
                    <w:rPr>
                      <w:color w:val="auto"/>
                      <w:sz w:val="21"/>
                      <w:szCs w:val="21"/>
                      <w:lang w:val="zh-CN"/>
                    </w:rPr>
                  </w:pPr>
                  <w:r>
                    <w:rPr>
                      <w:color w:val="auto"/>
                      <w:sz w:val="21"/>
                      <w:szCs w:val="21"/>
                      <w:shd w:val="clear" w:color="auto" w:fill="FFFFFF"/>
                    </w:rPr>
                    <w:t>无色至黄色透明液体，不溶于水，溶于戊烷、己烷、环己烷、苯、醚类、烃。</w:t>
                  </w:r>
                </w:p>
              </w:tc>
              <w:tc>
                <w:tcPr>
                  <w:tcW w:w="1125" w:type="pct"/>
                  <w:vAlign w:val="center"/>
                </w:tcPr>
                <w:p w14:paraId="4B7C2734">
                  <w:pPr>
                    <w:pStyle w:val="9"/>
                    <w:spacing w:after="0"/>
                    <w:ind w:left="0" w:leftChars="0" w:firstLine="0" w:firstLineChars="0"/>
                    <w:jc w:val="center"/>
                    <w:rPr>
                      <w:color w:val="auto"/>
                      <w:sz w:val="21"/>
                      <w:szCs w:val="21"/>
                      <w:lang w:val="zh-CN"/>
                    </w:rPr>
                  </w:pPr>
                  <w:r>
                    <w:rPr>
                      <w:color w:val="auto"/>
                      <w:sz w:val="21"/>
                      <w:szCs w:val="21"/>
                      <w:lang w:val="zh-CN"/>
                    </w:rPr>
                    <w:t>易燃</w:t>
                  </w:r>
                </w:p>
              </w:tc>
              <w:tc>
                <w:tcPr>
                  <w:tcW w:w="1112" w:type="pct"/>
                  <w:vAlign w:val="center"/>
                </w:tcPr>
                <w:p w14:paraId="74F8C875">
                  <w:pPr>
                    <w:pStyle w:val="9"/>
                    <w:spacing w:after="0"/>
                    <w:ind w:left="0" w:leftChars="0" w:firstLine="0" w:firstLineChars="0"/>
                    <w:jc w:val="center"/>
                    <w:rPr>
                      <w:color w:val="auto"/>
                      <w:sz w:val="21"/>
                      <w:szCs w:val="21"/>
                      <w:shd w:val="clear" w:color="auto" w:fill="FFFFFF"/>
                    </w:rPr>
                  </w:pPr>
                  <w:r>
                    <w:rPr>
                      <w:color w:val="auto"/>
                      <w:sz w:val="21"/>
                      <w:szCs w:val="21"/>
                      <w:shd w:val="clear" w:color="auto" w:fill="FFFFFF"/>
                    </w:rPr>
                    <w:t>吞食可能造成肺部损害，蒸汽可能引起困倦和眩晕</w:t>
                  </w:r>
                </w:p>
              </w:tc>
            </w:tr>
            <w:tr w14:paraId="14D2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39639661">
                  <w:pPr>
                    <w:pStyle w:val="42"/>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硼氢化钠</w:t>
                  </w:r>
                </w:p>
              </w:tc>
              <w:tc>
                <w:tcPr>
                  <w:tcW w:w="2212" w:type="pct"/>
                  <w:vAlign w:val="center"/>
                </w:tcPr>
                <w:p w14:paraId="3C8CDE75">
                  <w:pPr>
                    <w:pStyle w:val="9"/>
                    <w:spacing w:after="0"/>
                    <w:ind w:left="0" w:leftChars="0" w:firstLine="0" w:firstLineChars="0"/>
                    <w:rPr>
                      <w:color w:val="auto"/>
                      <w:sz w:val="21"/>
                      <w:szCs w:val="21"/>
                      <w:lang w:val="zh-CN"/>
                    </w:rPr>
                  </w:pPr>
                  <w:r>
                    <w:rPr>
                      <w:color w:val="auto"/>
                      <w:sz w:val="21"/>
                      <w:szCs w:val="21"/>
                      <w:lang w:val="zh-CN"/>
                    </w:rPr>
                    <w:t>白色至灰白色结晶性粉末，吸湿性强，其碱性溶液呈棕黄色，是最常用的还原剂之一。溶于水、液氨、胺类，易溶于甲醇，微溶于乙醇、四氢呋喃，不溶于乙醚、苯、烃</w:t>
                  </w:r>
                </w:p>
              </w:tc>
              <w:tc>
                <w:tcPr>
                  <w:tcW w:w="1125" w:type="pct"/>
                  <w:vAlign w:val="center"/>
                </w:tcPr>
                <w:p w14:paraId="033EF278">
                  <w:pPr>
                    <w:pStyle w:val="9"/>
                    <w:spacing w:after="0"/>
                    <w:ind w:left="0" w:leftChars="0" w:firstLine="0" w:firstLineChars="0"/>
                    <w:jc w:val="center"/>
                    <w:rPr>
                      <w:color w:val="auto"/>
                      <w:sz w:val="21"/>
                      <w:szCs w:val="21"/>
                    </w:rPr>
                  </w:pPr>
                  <w:r>
                    <w:rPr>
                      <w:color w:val="auto"/>
                      <w:sz w:val="21"/>
                      <w:szCs w:val="21"/>
                    </w:rPr>
                    <w:t>/</w:t>
                  </w:r>
                </w:p>
              </w:tc>
              <w:tc>
                <w:tcPr>
                  <w:tcW w:w="1112" w:type="pct"/>
                  <w:vAlign w:val="center"/>
                </w:tcPr>
                <w:p w14:paraId="20E88F68">
                  <w:pPr>
                    <w:pStyle w:val="9"/>
                    <w:spacing w:after="0"/>
                    <w:ind w:left="0" w:leftChars="0" w:firstLine="0" w:firstLineChars="0"/>
                    <w:jc w:val="center"/>
                    <w:rPr>
                      <w:color w:val="auto"/>
                      <w:sz w:val="21"/>
                      <w:szCs w:val="21"/>
                      <w:shd w:val="clear" w:color="auto" w:fill="FFFFFF"/>
                    </w:rPr>
                  </w:pPr>
                  <w:r>
                    <w:rPr>
                      <w:color w:val="auto"/>
                      <w:sz w:val="21"/>
                      <w:szCs w:val="21"/>
                      <w:shd w:val="clear" w:color="auto" w:fill="FFFFFF"/>
                    </w:rPr>
                    <w:t>大鼠口经LD50：18 mg/kg（大鼠腔膜内）</w:t>
                  </w:r>
                </w:p>
              </w:tc>
            </w:tr>
            <w:tr w14:paraId="2AB0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6269C11D">
                  <w:pPr>
                    <w:pStyle w:val="42"/>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二异丁基氢化铝</w:t>
                  </w:r>
                </w:p>
              </w:tc>
              <w:tc>
                <w:tcPr>
                  <w:tcW w:w="2212" w:type="pct"/>
                  <w:vAlign w:val="center"/>
                </w:tcPr>
                <w:p w14:paraId="0E225718">
                  <w:pPr>
                    <w:pStyle w:val="9"/>
                    <w:spacing w:after="0"/>
                    <w:ind w:left="0" w:leftChars="0" w:firstLine="0" w:firstLineChars="0"/>
                    <w:jc w:val="center"/>
                    <w:rPr>
                      <w:color w:val="auto"/>
                      <w:sz w:val="21"/>
                      <w:szCs w:val="21"/>
                      <w:lang w:val="zh-CN"/>
                    </w:rPr>
                  </w:pPr>
                  <w:r>
                    <w:rPr>
                      <w:color w:val="auto"/>
                    </w:rPr>
                    <w:fldChar w:fldCharType="begin"/>
                  </w:r>
                  <w:r>
                    <w:rPr>
                      <w:color w:val="auto"/>
                    </w:rPr>
                    <w:instrText xml:space="preserve"> HYPERLINK "https://baike.baidu.com/item/%E6%97%A0%E8%89%B2%E6%B6%B2%E4%BD%93/22257940?fromModule=lemma_inlink" \t "https://baike.baidu.com/item/_blank" </w:instrText>
                  </w:r>
                  <w:r>
                    <w:rPr>
                      <w:color w:val="auto"/>
                    </w:rPr>
                    <w:fldChar w:fldCharType="separate"/>
                  </w:r>
                  <w:r>
                    <w:rPr>
                      <w:color w:val="auto"/>
                      <w:sz w:val="21"/>
                      <w:szCs w:val="21"/>
                      <w:lang w:val="zh-CN"/>
                    </w:rPr>
                    <w:t>无色液体</w:t>
                  </w:r>
                  <w:r>
                    <w:rPr>
                      <w:color w:val="auto"/>
                      <w:sz w:val="21"/>
                      <w:szCs w:val="21"/>
                      <w:lang w:val="zh-CN"/>
                    </w:rPr>
                    <w:fldChar w:fldCharType="end"/>
                  </w:r>
                  <w:r>
                    <w:rPr>
                      <w:color w:val="auto"/>
                      <w:sz w:val="21"/>
                      <w:szCs w:val="21"/>
                      <w:lang w:val="zh-CN"/>
                    </w:rPr>
                    <w:t>，主要用作</w:t>
                  </w:r>
                  <w:r>
                    <w:rPr>
                      <w:color w:val="auto"/>
                    </w:rPr>
                    <w:fldChar w:fldCharType="begin"/>
                  </w:r>
                  <w:r>
                    <w:rPr>
                      <w:color w:val="auto"/>
                    </w:rPr>
                    <w:instrText xml:space="preserve"> HYPERLINK "https://baike.baidu.com/item/%E7%B2%BE%E7%BB%86%E5%8C%96%E5%AD%A6%E5%93%81/1910521?fromModule=lemma_inlink" \t "https://baike.baidu.com/item/_blank" </w:instrText>
                  </w:r>
                  <w:r>
                    <w:rPr>
                      <w:color w:val="auto"/>
                    </w:rPr>
                    <w:fldChar w:fldCharType="separate"/>
                  </w:r>
                  <w:r>
                    <w:rPr>
                      <w:color w:val="auto"/>
                      <w:sz w:val="21"/>
                      <w:szCs w:val="21"/>
                      <w:lang w:val="zh-CN"/>
                    </w:rPr>
                    <w:t>精细化学品</w:t>
                  </w:r>
                  <w:r>
                    <w:rPr>
                      <w:color w:val="auto"/>
                      <w:sz w:val="21"/>
                      <w:szCs w:val="21"/>
                      <w:lang w:val="zh-CN"/>
                    </w:rPr>
                    <w:fldChar w:fldCharType="end"/>
                  </w:r>
                  <w:r>
                    <w:rPr>
                      <w:color w:val="auto"/>
                      <w:sz w:val="21"/>
                      <w:szCs w:val="21"/>
                      <w:lang w:val="zh-CN"/>
                    </w:rPr>
                    <w:t>的</w:t>
                  </w:r>
                  <w:r>
                    <w:rPr>
                      <w:color w:val="auto"/>
                    </w:rPr>
                    <w:fldChar w:fldCharType="begin"/>
                  </w:r>
                  <w:r>
                    <w:rPr>
                      <w:color w:val="auto"/>
                    </w:rPr>
                    <w:instrText xml:space="preserve"> HYPERLINK "https://baike.baidu.com/item/%E8%BF%98%E5%8E%9F%E5%89%82/2520879?fromModule=lemma_inlink" \t "https://baike.baidu.com/item/_blank" </w:instrText>
                  </w:r>
                  <w:r>
                    <w:rPr>
                      <w:color w:val="auto"/>
                    </w:rPr>
                    <w:fldChar w:fldCharType="separate"/>
                  </w:r>
                  <w:r>
                    <w:rPr>
                      <w:color w:val="auto"/>
                      <w:sz w:val="21"/>
                      <w:szCs w:val="21"/>
                      <w:lang w:val="zh-CN"/>
                    </w:rPr>
                    <w:t>还原剂</w:t>
                  </w:r>
                  <w:r>
                    <w:rPr>
                      <w:color w:val="auto"/>
                      <w:sz w:val="21"/>
                      <w:szCs w:val="21"/>
                      <w:lang w:val="zh-CN"/>
                    </w:rPr>
                    <w:fldChar w:fldCharType="end"/>
                  </w:r>
                  <w:r>
                    <w:rPr>
                      <w:color w:val="auto"/>
                      <w:sz w:val="21"/>
                      <w:szCs w:val="21"/>
                      <w:lang w:val="zh-CN"/>
                    </w:rPr>
                    <w:t>和氢铝化剂</w:t>
                  </w:r>
                </w:p>
              </w:tc>
              <w:tc>
                <w:tcPr>
                  <w:tcW w:w="1125" w:type="pct"/>
                  <w:vAlign w:val="center"/>
                </w:tcPr>
                <w:p w14:paraId="5673FA3A">
                  <w:pPr>
                    <w:pStyle w:val="9"/>
                    <w:spacing w:after="0"/>
                    <w:ind w:left="0" w:leftChars="0" w:firstLine="0" w:firstLineChars="0"/>
                    <w:jc w:val="center"/>
                    <w:rPr>
                      <w:color w:val="auto"/>
                      <w:sz w:val="21"/>
                      <w:szCs w:val="21"/>
                    </w:rPr>
                  </w:pPr>
                  <w:r>
                    <w:rPr>
                      <w:color w:val="auto"/>
                      <w:sz w:val="21"/>
                      <w:szCs w:val="21"/>
                    </w:rPr>
                    <w:t>/</w:t>
                  </w:r>
                </w:p>
              </w:tc>
              <w:tc>
                <w:tcPr>
                  <w:tcW w:w="1112" w:type="pct"/>
                  <w:vAlign w:val="center"/>
                </w:tcPr>
                <w:p w14:paraId="3A5359FD">
                  <w:pPr>
                    <w:pStyle w:val="9"/>
                    <w:spacing w:after="0"/>
                    <w:ind w:left="0" w:leftChars="0" w:firstLine="0" w:firstLineChars="0"/>
                    <w:jc w:val="center"/>
                    <w:rPr>
                      <w:color w:val="auto"/>
                      <w:sz w:val="21"/>
                      <w:szCs w:val="21"/>
                      <w:shd w:val="clear" w:color="auto" w:fill="FFFFFF"/>
                    </w:rPr>
                  </w:pPr>
                  <w:r>
                    <w:rPr>
                      <w:color w:val="auto"/>
                      <w:sz w:val="21"/>
                      <w:szCs w:val="21"/>
                      <w:shd w:val="clear" w:color="auto" w:fill="FFFFFF"/>
                    </w:rPr>
                    <w:t>/</w:t>
                  </w:r>
                </w:p>
              </w:tc>
            </w:tr>
            <w:tr w14:paraId="4A58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3EFD6314">
                  <w:pPr>
                    <w:pStyle w:val="42"/>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四氢锂铝</w:t>
                  </w:r>
                </w:p>
              </w:tc>
              <w:tc>
                <w:tcPr>
                  <w:tcW w:w="2212" w:type="pct"/>
                  <w:vAlign w:val="center"/>
                </w:tcPr>
                <w:p w14:paraId="19CEDC3F">
                  <w:pPr>
                    <w:pStyle w:val="9"/>
                    <w:spacing w:after="0"/>
                    <w:ind w:left="0" w:leftChars="0" w:firstLine="0" w:firstLineChars="0"/>
                    <w:jc w:val="center"/>
                    <w:rPr>
                      <w:color w:val="auto"/>
                      <w:sz w:val="21"/>
                      <w:szCs w:val="21"/>
                      <w:lang w:val="zh-CN"/>
                    </w:rPr>
                  </w:pPr>
                  <w:r>
                    <w:rPr>
                      <w:color w:val="auto"/>
                      <w:sz w:val="21"/>
                      <w:szCs w:val="21"/>
                      <w:shd w:val="clear" w:color="auto" w:fill="FFFFFF"/>
                    </w:rPr>
                    <w:t>白色结晶性粉末，不溶于烃类，溶于乙醚、四氢呋喃，主要用作羰基试剂、还原剂</w:t>
                  </w:r>
                </w:p>
              </w:tc>
              <w:tc>
                <w:tcPr>
                  <w:tcW w:w="1125" w:type="pct"/>
                  <w:vAlign w:val="center"/>
                </w:tcPr>
                <w:p w14:paraId="2FE41888">
                  <w:pPr>
                    <w:pStyle w:val="9"/>
                    <w:spacing w:after="0"/>
                    <w:ind w:left="0" w:leftChars="0" w:firstLine="0" w:firstLineChars="0"/>
                    <w:jc w:val="center"/>
                    <w:rPr>
                      <w:color w:val="auto"/>
                      <w:sz w:val="21"/>
                      <w:szCs w:val="21"/>
                    </w:rPr>
                  </w:pPr>
                  <w:r>
                    <w:rPr>
                      <w:color w:val="auto"/>
                      <w:sz w:val="21"/>
                      <w:szCs w:val="21"/>
                    </w:rPr>
                    <w:t>/</w:t>
                  </w:r>
                </w:p>
              </w:tc>
              <w:tc>
                <w:tcPr>
                  <w:tcW w:w="1112" w:type="pct"/>
                  <w:vAlign w:val="center"/>
                </w:tcPr>
                <w:p w14:paraId="5C8DE35C">
                  <w:pPr>
                    <w:pStyle w:val="9"/>
                    <w:spacing w:after="0"/>
                    <w:ind w:left="0" w:leftChars="0" w:firstLine="0" w:firstLineChars="0"/>
                    <w:jc w:val="center"/>
                    <w:rPr>
                      <w:color w:val="auto"/>
                      <w:sz w:val="21"/>
                      <w:szCs w:val="21"/>
                      <w:shd w:val="clear" w:color="auto" w:fill="FFFFFF"/>
                    </w:rPr>
                  </w:pPr>
                  <w:r>
                    <w:rPr>
                      <w:color w:val="auto"/>
                      <w:sz w:val="21"/>
                      <w:szCs w:val="21"/>
                      <w:shd w:val="clear" w:color="auto" w:fill="FFFFFF"/>
                    </w:rPr>
                    <w:t>/</w:t>
                  </w:r>
                </w:p>
              </w:tc>
            </w:tr>
            <w:tr w14:paraId="31D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328F5B85">
                  <w:pPr>
                    <w:widowControl/>
                    <w:jc w:val="center"/>
                    <w:rPr>
                      <w:color w:val="auto"/>
                      <w:szCs w:val="21"/>
                    </w:rPr>
                  </w:pPr>
                  <w:r>
                    <w:rPr>
                      <w:color w:val="auto"/>
                      <w:kern w:val="0"/>
                      <w:szCs w:val="21"/>
                    </w:rPr>
                    <w:t>氢气</w:t>
                  </w:r>
                </w:p>
              </w:tc>
              <w:tc>
                <w:tcPr>
                  <w:tcW w:w="2212" w:type="pct"/>
                  <w:vAlign w:val="center"/>
                </w:tcPr>
                <w:p w14:paraId="40B6C8D8">
                  <w:pPr>
                    <w:pStyle w:val="9"/>
                    <w:spacing w:after="0"/>
                    <w:ind w:left="0" w:leftChars="0" w:firstLine="0" w:firstLineChars="0"/>
                    <w:jc w:val="center"/>
                    <w:rPr>
                      <w:color w:val="auto"/>
                      <w:sz w:val="21"/>
                      <w:szCs w:val="21"/>
                      <w:shd w:val="clear" w:color="auto" w:fill="FFFFFF"/>
                    </w:rPr>
                  </w:pPr>
                  <w:r>
                    <w:rPr>
                      <w:color w:val="auto"/>
                    </w:rPr>
                    <w:fldChar w:fldCharType="begin"/>
                  </w:r>
                  <w:r>
                    <w:rPr>
                      <w:color w:val="auto"/>
                    </w:rPr>
                    <w:instrText xml:space="preserve"> HYPERLINK "https://baike.baidu.com/item/%E6%B0%A2/642031?fromModule=lemma_inlink" \t "https://baike.baidu.com/item/_blank" </w:instrText>
                  </w:r>
                  <w:r>
                    <w:rPr>
                      <w:color w:val="auto"/>
                    </w:rPr>
                    <w:fldChar w:fldCharType="separate"/>
                  </w:r>
                  <w:r>
                    <w:rPr>
                      <w:color w:val="auto"/>
                      <w:sz w:val="21"/>
                      <w:szCs w:val="21"/>
                      <w:lang w:val="zh-CN"/>
                    </w:rPr>
                    <w:t>氢</w:t>
                  </w:r>
                  <w:r>
                    <w:rPr>
                      <w:color w:val="auto"/>
                      <w:sz w:val="21"/>
                      <w:szCs w:val="21"/>
                      <w:lang w:val="zh-CN"/>
                    </w:rPr>
                    <w:fldChar w:fldCharType="end"/>
                  </w:r>
                  <w:r>
                    <w:rPr>
                      <w:color w:val="auto"/>
                      <w:sz w:val="21"/>
                      <w:szCs w:val="21"/>
                      <w:lang w:val="zh-CN"/>
                    </w:rPr>
                    <w:t>元素形成的一种单质，化学式H</w:t>
                  </w:r>
                  <w:r>
                    <w:rPr>
                      <w:color w:val="auto"/>
                      <w:sz w:val="21"/>
                      <w:szCs w:val="21"/>
                      <w:vertAlign w:val="subscript"/>
                      <w:lang w:val="zh-CN"/>
                    </w:rPr>
                    <w:t>2</w:t>
                  </w:r>
                  <w:r>
                    <w:rPr>
                      <w:color w:val="auto"/>
                      <w:sz w:val="21"/>
                      <w:szCs w:val="21"/>
                      <w:lang w:val="zh-CN"/>
                    </w:rPr>
                    <w:t>，分子量为2.01588。常温常压下氢气是一种无色无味极易燃烧且难溶于水的气体。氢气的密度为0.089g/L（101.325kpa,0</w:t>
                  </w:r>
                  <w:r>
                    <w:rPr>
                      <w:color w:val="auto"/>
                      <w:sz w:val="21"/>
                      <w:szCs w:val="21"/>
                    </w:rPr>
                    <w:t>℃</w:t>
                  </w:r>
                  <w:r>
                    <w:rPr>
                      <w:color w:val="auto"/>
                      <w:sz w:val="21"/>
                      <w:szCs w:val="21"/>
                      <w:lang w:val="zh-CN"/>
                    </w:rPr>
                    <w:t>），只有空气的1/14，是世界上已知的密度最小的气体。</w:t>
                  </w:r>
                </w:p>
              </w:tc>
              <w:tc>
                <w:tcPr>
                  <w:tcW w:w="1125" w:type="pct"/>
                  <w:vAlign w:val="center"/>
                </w:tcPr>
                <w:p w14:paraId="3F43E3E8">
                  <w:pPr>
                    <w:pStyle w:val="9"/>
                    <w:spacing w:after="0"/>
                    <w:ind w:left="0" w:leftChars="0" w:firstLine="0" w:firstLineChars="0"/>
                    <w:jc w:val="center"/>
                    <w:rPr>
                      <w:color w:val="auto"/>
                      <w:sz w:val="21"/>
                      <w:szCs w:val="21"/>
                    </w:rPr>
                  </w:pPr>
                  <w:r>
                    <w:rPr>
                      <w:color w:val="auto"/>
                      <w:sz w:val="21"/>
                      <w:szCs w:val="21"/>
                    </w:rPr>
                    <w:t>易燃</w:t>
                  </w:r>
                </w:p>
              </w:tc>
              <w:tc>
                <w:tcPr>
                  <w:tcW w:w="1112" w:type="pct"/>
                  <w:vAlign w:val="center"/>
                </w:tcPr>
                <w:p w14:paraId="2A8B022A">
                  <w:pPr>
                    <w:pStyle w:val="9"/>
                    <w:adjustRightInd w:val="0"/>
                    <w:snapToGrid w:val="0"/>
                    <w:spacing w:after="0"/>
                    <w:ind w:left="0" w:leftChars="0" w:firstLine="0" w:firstLineChars="0"/>
                    <w:jc w:val="center"/>
                    <w:rPr>
                      <w:color w:val="auto"/>
                      <w:sz w:val="21"/>
                      <w:szCs w:val="21"/>
                      <w:shd w:val="clear" w:color="auto" w:fill="FFFFFF"/>
                    </w:rPr>
                  </w:pPr>
                  <w:r>
                    <w:rPr>
                      <w:color w:val="auto"/>
                      <w:sz w:val="21"/>
                      <w:szCs w:val="21"/>
                    </w:rPr>
                    <w:t>/</w:t>
                  </w:r>
                </w:p>
              </w:tc>
            </w:tr>
            <w:tr w14:paraId="5E30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9" w:type="pct"/>
                  <w:vAlign w:val="center"/>
                </w:tcPr>
                <w:p w14:paraId="4D2A5EE0">
                  <w:pPr>
                    <w:widowControl/>
                    <w:jc w:val="center"/>
                    <w:rPr>
                      <w:color w:val="auto"/>
                      <w:kern w:val="0"/>
                      <w:szCs w:val="21"/>
                    </w:rPr>
                  </w:pPr>
                  <w:r>
                    <w:rPr>
                      <w:color w:val="auto"/>
                      <w:szCs w:val="21"/>
                      <w:lang w:bidi="ar"/>
                    </w:rPr>
                    <w:t>重铬酸钾</w:t>
                  </w:r>
                </w:p>
              </w:tc>
              <w:tc>
                <w:tcPr>
                  <w:tcW w:w="2212" w:type="pct"/>
                  <w:vAlign w:val="center"/>
                </w:tcPr>
                <w:p w14:paraId="6D8699E7">
                  <w:pPr>
                    <w:pStyle w:val="9"/>
                    <w:spacing w:after="0"/>
                    <w:ind w:left="0" w:leftChars="0" w:firstLine="0" w:firstLineChars="0"/>
                    <w:jc w:val="center"/>
                    <w:rPr>
                      <w:color w:val="auto"/>
                      <w:sz w:val="21"/>
                      <w:szCs w:val="21"/>
                      <w:lang w:val="zh-CN"/>
                    </w:rPr>
                  </w:pPr>
                  <w:r>
                    <w:rPr>
                      <w:color w:val="auto"/>
                      <w:sz w:val="21"/>
                      <w:szCs w:val="21"/>
                      <w:lang w:val="zh-CN"/>
                    </w:rPr>
                    <w:t>一种</w:t>
                  </w:r>
                  <w:r>
                    <w:rPr>
                      <w:color w:val="auto"/>
                    </w:rPr>
                    <w:fldChar w:fldCharType="begin"/>
                  </w:r>
                  <w:r>
                    <w:rPr>
                      <w:color w:val="auto"/>
                    </w:rPr>
                    <w:instrText xml:space="preserve"> HYPERLINK "https://baike.baidu.com/item/%E6%97%A0%E6%9C%BA%E5%8C%96%E5%90%88%E7%89%A9/10716655?fromModule=lemma_inlink" \t "https://baike.baidu.com/item/_blank" </w:instrText>
                  </w:r>
                  <w:r>
                    <w:rPr>
                      <w:color w:val="auto"/>
                    </w:rPr>
                    <w:fldChar w:fldCharType="separate"/>
                  </w:r>
                  <w:r>
                    <w:rPr>
                      <w:color w:val="auto"/>
                      <w:sz w:val="21"/>
                      <w:szCs w:val="21"/>
                      <w:lang w:val="zh-CN"/>
                    </w:rPr>
                    <w:t>无机化合物</w:t>
                  </w:r>
                  <w:r>
                    <w:rPr>
                      <w:color w:val="auto"/>
                      <w:sz w:val="21"/>
                      <w:szCs w:val="21"/>
                      <w:lang w:val="zh-CN"/>
                    </w:rPr>
                    <w:fldChar w:fldCharType="end"/>
                  </w:r>
                  <w:r>
                    <w:rPr>
                      <w:color w:val="auto"/>
                      <w:sz w:val="21"/>
                      <w:szCs w:val="21"/>
                      <w:lang w:val="zh-CN"/>
                    </w:rPr>
                    <w:t>，化学式为K</w:t>
                  </w:r>
                  <w:r>
                    <w:rPr>
                      <w:color w:val="auto"/>
                      <w:sz w:val="21"/>
                      <w:szCs w:val="21"/>
                      <w:vertAlign w:val="subscript"/>
                      <w:lang w:val="zh-CN"/>
                    </w:rPr>
                    <w:t>2</w:t>
                  </w:r>
                  <w:r>
                    <w:rPr>
                      <w:color w:val="auto"/>
                      <w:sz w:val="21"/>
                      <w:szCs w:val="21"/>
                      <w:lang w:val="zh-CN"/>
                    </w:rPr>
                    <w:t>Cr</w:t>
                  </w:r>
                  <w:r>
                    <w:rPr>
                      <w:color w:val="auto"/>
                      <w:sz w:val="21"/>
                      <w:szCs w:val="21"/>
                      <w:vertAlign w:val="subscript"/>
                      <w:lang w:val="zh-CN"/>
                    </w:rPr>
                    <w:t>2</w:t>
                  </w:r>
                  <w:r>
                    <w:rPr>
                      <w:color w:val="auto"/>
                      <w:sz w:val="21"/>
                      <w:szCs w:val="21"/>
                      <w:lang w:val="zh-CN"/>
                    </w:rPr>
                    <w:t>O</w:t>
                  </w:r>
                  <w:r>
                    <w:rPr>
                      <w:color w:val="auto"/>
                      <w:sz w:val="21"/>
                      <w:szCs w:val="21"/>
                      <w:vertAlign w:val="subscript"/>
                      <w:lang w:val="zh-CN"/>
                    </w:rPr>
                    <w:t>7</w:t>
                  </w:r>
                  <w:r>
                    <w:rPr>
                      <w:color w:val="auto"/>
                      <w:sz w:val="21"/>
                      <w:szCs w:val="21"/>
                      <w:lang w:val="zh-CN"/>
                    </w:rPr>
                    <w:t>，室温下为</w:t>
                  </w:r>
                  <w:r>
                    <w:rPr>
                      <w:color w:val="auto"/>
                    </w:rPr>
                    <w:fldChar w:fldCharType="begin"/>
                  </w:r>
                  <w:r>
                    <w:rPr>
                      <w:color w:val="auto"/>
                    </w:rPr>
                    <w:instrText xml:space="preserve"> HYPERLINK "https://baike.baidu.com/item/%E6%A9%98%E7%BA%A2%E8%89%B2/4886959?fromModule=lemma_inlink" \t "https://baike.baidu.com/item/_blank" </w:instrText>
                  </w:r>
                  <w:r>
                    <w:rPr>
                      <w:color w:val="auto"/>
                    </w:rPr>
                    <w:fldChar w:fldCharType="separate"/>
                  </w:r>
                  <w:r>
                    <w:rPr>
                      <w:color w:val="auto"/>
                      <w:sz w:val="21"/>
                      <w:szCs w:val="21"/>
                      <w:lang w:val="zh-CN"/>
                    </w:rPr>
                    <w:t>橘红色</w:t>
                  </w:r>
                  <w:r>
                    <w:rPr>
                      <w:color w:val="auto"/>
                      <w:sz w:val="21"/>
                      <w:szCs w:val="21"/>
                      <w:lang w:val="zh-CN"/>
                    </w:rPr>
                    <w:fldChar w:fldCharType="end"/>
                  </w:r>
                  <w:r>
                    <w:rPr>
                      <w:color w:val="auto"/>
                    </w:rPr>
                    <w:fldChar w:fldCharType="begin"/>
                  </w:r>
                  <w:r>
                    <w:rPr>
                      <w:color w:val="auto"/>
                    </w:rPr>
                    <w:instrText xml:space="preserve"> HYPERLINK "https://baike.baidu.com/item/%E7%BB%93%E6%99%B6%E6%80%A7/6830050?fromModule=lemma_inlink" \t "https://baike.baidu.com/item/_blank" </w:instrText>
                  </w:r>
                  <w:r>
                    <w:rPr>
                      <w:color w:val="auto"/>
                    </w:rPr>
                    <w:fldChar w:fldCharType="separate"/>
                  </w:r>
                  <w:r>
                    <w:rPr>
                      <w:color w:val="auto"/>
                      <w:sz w:val="21"/>
                      <w:szCs w:val="21"/>
                      <w:lang w:val="zh-CN"/>
                    </w:rPr>
                    <w:t>结晶性</w:t>
                  </w:r>
                  <w:r>
                    <w:rPr>
                      <w:color w:val="auto"/>
                      <w:sz w:val="21"/>
                      <w:szCs w:val="21"/>
                      <w:lang w:val="zh-CN"/>
                    </w:rPr>
                    <w:fldChar w:fldCharType="end"/>
                  </w:r>
                  <w:r>
                    <w:rPr>
                      <w:color w:val="auto"/>
                      <w:sz w:val="21"/>
                      <w:szCs w:val="21"/>
                      <w:lang w:val="zh-CN"/>
                    </w:rPr>
                    <w:t>粉末，溶于水，不溶于</w:t>
                  </w:r>
                  <w:r>
                    <w:rPr>
                      <w:color w:val="auto"/>
                    </w:rPr>
                    <w:fldChar w:fldCharType="begin"/>
                  </w:r>
                  <w:r>
                    <w:rPr>
                      <w:color w:val="auto"/>
                    </w:rPr>
                    <w:instrText xml:space="preserve"> HYPERLINK "https://baike.baidu.com/item/%E4%B9%99%E9%86%87/135334?fromModule=lemma_inlink" \t "https://baike.baidu.com/item/_blank" </w:instrText>
                  </w:r>
                  <w:r>
                    <w:rPr>
                      <w:color w:val="auto"/>
                    </w:rPr>
                    <w:fldChar w:fldCharType="separate"/>
                  </w:r>
                  <w:r>
                    <w:rPr>
                      <w:color w:val="auto"/>
                      <w:sz w:val="21"/>
                      <w:szCs w:val="21"/>
                      <w:lang w:val="zh-CN"/>
                    </w:rPr>
                    <w:t>乙醇</w:t>
                  </w:r>
                  <w:r>
                    <w:rPr>
                      <w:color w:val="auto"/>
                      <w:sz w:val="21"/>
                      <w:szCs w:val="21"/>
                      <w:lang w:val="zh-CN"/>
                    </w:rPr>
                    <w:fldChar w:fldCharType="end"/>
                  </w:r>
                  <w:r>
                    <w:rPr>
                      <w:color w:val="auto"/>
                      <w:sz w:val="21"/>
                      <w:szCs w:val="21"/>
                      <w:lang w:val="zh-CN"/>
                    </w:rPr>
                    <w:t>。</w:t>
                  </w:r>
                </w:p>
              </w:tc>
              <w:tc>
                <w:tcPr>
                  <w:tcW w:w="1125" w:type="pct"/>
                  <w:vAlign w:val="center"/>
                </w:tcPr>
                <w:p w14:paraId="5FCB2DA6">
                  <w:pPr>
                    <w:pStyle w:val="9"/>
                    <w:spacing w:after="0"/>
                    <w:ind w:left="0" w:leftChars="0" w:firstLine="0" w:firstLineChars="0"/>
                    <w:jc w:val="center"/>
                    <w:rPr>
                      <w:color w:val="auto"/>
                      <w:sz w:val="21"/>
                      <w:szCs w:val="21"/>
                    </w:rPr>
                  </w:pPr>
                  <w:r>
                    <w:rPr>
                      <w:rFonts w:hint="eastAsia"/>
                      <w:color w:val="auto"/>
                      <w:sz w:val="21"/>
                      <w:szCs w:val="21"/>
                    </w:rPr>
                    <w:t>/</w:t>
                  </w:r>
                </w:p>
              </w:tc>
              <w:tc>
                <w:tcPr>
                  <w:tcW w:w="1112" w:type="pct"/>
                  <w:vAlign w:val="center"/>
                </w:tcPr>
                <w:p w14:paraId="10A32787">
                  <w:pPr>
                    <w:pStyle w:val="9"/>
                    <w:adjustRightInd w:val="0"/>
                    <w:snapToGrid w:val="0"/>
                    <w:spacing w:after="0"/>
                    <w:ind w:left="0" w:leftChars="0" w:firstLine="0" w:firstLineChars="0"/>
                    <w:rPr>
                      <w:color w:val="auto"/>
                      <w:sz w:val="21"/>
                      <w:szCs w:val="21"/>
                    </w:rPr>
                  </w:pPr>
                  <w:r>
                    <w:rPr>
                      <w:color w:val="auto"/>
                      <w:sz w:val="21"/>
                      <w:szCs w:val="21"/>
                      <w:lang w:val="zh-CN"/>
                    </w:rPr>
                    <w:t>LD50：25mg/kg（</w:t>
                  </w:r>
                  <w:r>
                    <w:rPr>
                      <w:color w:val="auto"/>
                    </w:rPr>
                    <w:fldChar w:fldCharType="begin"/>
                  </w:r>
                  <w:r>
                    <w:rPr>
                      <w:color w:val="auto"/>
                    </w:rPr>
                    <w:instrText xml:space="preserve"> HYPERLINK "https://baike.baidu.com/item/%E5%A4%A7%E9%BC%A0/3721233?fromModule=lemma_inlink" \t "https://baike.baidu.com/item/_blank" </w:instrText>
                  </w:r>
                  <w:r>
                    <w:rPr>
                      <w:color w:val="auto"/>
                    </w:rPr>
                    <w:fldChar w:fldCharType="separate"/>
                  </w:r>
                  <w:r>
                    <w:rPr>
                      <w:color w:val="auto"/>
                      <w:sz w:val="21"/>
                      <w:szCs w:val="21"/>
                      <w:lang w:val="zh-CN"/>
                    </w:rPr>
                    <w:t>大鼠</w:t>
                  </w:r>
                  <w:r>
                    <w:rPr>
                      <w:color w:val="auto"/>
                      <w:sz w:val="21"/>
                      <w:szCs w:val="21"/>
                      <w:lang w:val="zh-CN"/>
                    </w:rPr>
                    <w:fldChar w:fldCharType="end"/>
                  </w:r>
                  <w:r>
                    <w:rPr>
                      <w:color w:val="auto"/>
                      <w:sz w:val="21"/>
                      <w:szCs w:val="21"/>
                      <w:lang w:val="zh-CN"/>
                    </w:rPr>
                    <w:t>经口）；190mg/kg（小鼠经口）；14mg/kg（兔经皮）</w:t>
                  </w:r>
                </w:p>
              </w:tc>
            </w:tr>
          </w:tbl>
          <w:p w14:paraId="776C682F">
            <w:pPr>
              <w:spacing w:line="360" w:lineRule="auto"/>
              <w:ind w:firstLine="480" w:firstLineChars="200"/>
              <w:rPr>
                <w:color w:val="auto"/>
                <w:kern w:val="0"/>
                <w:sz w:val="24"/>
                <w:szCs w:val="20"/>
              </w:rPr>
            </w:pPr>
            <w:r>
              <w:rPr>
                <w:color w:val="auto"/>
                <w:kern w:val="0"/>
                <w:sz w:val="24"/>
                <w:szCs w:val="20"/>
              </w:rPr>
              <w:t>（5）主要工艺设备</w:t>
            </w:r>
          </w:p>
          <w:p w14:paraId="14E5BA7A">
            <w:pPr>
              <w:spacing w:line="360" w:lineRule="auto"/>
              <w:ind w:firstLine="480" w:firstLineChars="200"/>
              <w:rPr>
                <w:color w:val="auto"/>
                <w:kern w:val="0"/>
                <w:sz w:val="24"/>
                <w:szCs w:val="20"/>
              </w:rPr>
            </w:pPr>
            <w:r>
              <w:rPr>
                <w:color w:val="auto"/>
                <w:kern w:val="0"/>
                <w:sz w:val="24"/>
                <w:szCs w:val="20"/>
              </w:rPr>
              <w:t>本项目主要</w:t>
            </w:r>
            <w:r>
              <w:rPr>
                <w:rFonts w:hint="eastAsia"/>
                <w:color w:val="auto"/>
                <w:kern w:val="0"/>
                <w:sz w:val="24"/>
                <w:szCs w:val="20"/>
              </w:rPr>
              <w:t>研发</w:t>
            </w:r>
            <w:r>
              <w:rPr>
                <w:color w:val="auto"/>
                <w:kern w:val="0"/>
                <w:sz w:val="24"/>
                <w:szCs w:val="20"/>
              </w:rPr>
              <w:t>设备清单见下表</w:t>
            </w:r>
            <w:r>
              <w:rPr>
                <w:rFonts w:hint="eastAsia"/>
                <w:color w:val="auto"/>
                <w:kern w:val="0"/>
                <w:sz w:val="24"/>
                <w:szCs w:val="20"/>
              </w:rPr>
              <w:t>2-5</w:t>
            </w:r>
            <w:r>
              <w:rPr>
                <w:color w:val="auto"/>
                <w:kern w:val="0"/>
                <w:sz w:val="24"/>
                <w:szCs w:val="20"/>
              </w:rPr>
              <w:t>。</w:t>
            </w:r>
          </w:p>
          <w:p w14:paraId="4C2FA745">
            <w:pPr>
              <w:autoSpaceDE w:val="0"/>
              <w:autoSpaceDN w:val="0"/>
              <w:jc w:val="center"/>
              <w:rPr>
                <w:b/>
                <w:color w:val="auto"/>
                <w:szCs w:val="21"/>
                <w:lang w:val="zh-CN"/>
              </w:rPr>
            </w:pPr>
            <w:r>
              <w:rPr>
                <w:b/>
                <w:color w:val="auto"/>
                <w:szCs w:val="21"/>
                <w:lang w:val="zh-CN"/>
              </w:rPr>
              <w:t>表</w:t>
            </w:r>
            <w:r>
              <w:rPr>
                <w:rFonts w:hint="eastAsia"/>
                <w:b/>
                <w:color w:val="auto"/>
                <w:szCs w:val="21"/>
              </w:rPr>
              <w:t xml:space="preserve">2-5   </w:t>
            </w:r>
            <w:r>
              <w:rPr>
                <w:b/>
                <w:color w:val="auto"/>
                <w:szCs w:val="21"/>
                <w:lang w:val="zh-CN"/>
              </w:rPr>
              <w:t>主要</w:t>
            </w:r>
            <w:r>
              <w:rPr>
                <w:rFonts w:hint="eastAsia"/>
                <w:b/>
                <w:color w:val="auto"/>
                <w:szCs w:val="21"/>
                <w:lang w:val="en-US" w:eastAsia="zh-CN"/>
              </w:rPr>
              <w:t>研发</w:t>
            </w:r>
            <w:r>
              <w:rPr>
                <w:b/>
                <w:color w:val="auto"/>
                <w:szCs w:val="21"/>
                <w:lang w:val="zh-CN"/>
              </w:rPr>
              <w:t>设备清单</w:t>
            </w:r>
          </w:p>
          <w:tbl>
            <w:tblPr>
              <w:tblStyle w:val="41"/>
              <w:tblW w:w="5022" w:type="pct"/>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780"/>
              <w:gridCol w:w="1977"/>
              <w:gridCol w:w="2402"/>
              <w:gridCol w:w="1307"/>
              <w:gridCol w:w="1951"/>
            </w:tblGrid>
            <w:tr w14:paraId="7238D5A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5B30F0CF">
                  <w:pPr>
                    <w:jc w:val="center"/>
                    <w:rPr>
                      <w:color w:val="auto"/>
                    </w:rPr>
                  </w:pPr>
                  <w:r>
                    <w:rPr>
                      <w:color w:val="auto"/>
                    </w:rPr>
                    <w:t>序号</w:t>
                  </w:r>
                </w:p>
              </w:tc>
              <w:tc>
                <w:tcPr>
                  <w:tcW w:w="1174" w:type="pct"/>
                  <w:vAlign w:val="center"/>
                </w:tcPr>
                <w:p w14:paraId="7F9320DE">
                  <w:pPr>
                    <w:jc w:val="center"/>
                    <w:rPr>
                      <w:color w:val="auto"/>
                    </w:rPr>
                  </w:pPr>
                  <w:r>
                    <w:rPr>
                      <w:color w:val="auto"/>
                    </w:rPr>
                    <w:t>名称</w:t>
                  </w:r>
                </w:p>
              </w:tc>
              <w:tc>
                <w:tcPr>
                  <w:tcW w:w="1426" w:type="pct"/>
                  <w:vAlign w:val="center"/>
                </w:tcPr>
                <w:p w14:paraId="4A60E586">
                  <w:pPr>
                    <w:jc w:val="center"/>
                    <w:rPr>
                      <w:color w:val="auto"/>
                    </w:rPr>
                  </w:pPr>
                  <w:r>
                    <w:rPr>
                      <w:color w:val="auto"/>
                    </w:rPr>
                    <w:t>型号</w:t>
                  </w:r>
                </w:p>
              </w:tc>
              <w:tc>
                <w:tcPr>
                  <w:tcW w:w="776" w:type="pct"/>
                  <w:vAlign w:val="center"/>
                </w:tcPr>
                <w:p w14:paraId="02522FB5">
                  <w:pPr>
                    <w:jc w:val="center"/>
                    <w:rPr>
                      <w:color w:val="auto"/>
                    </w:rPr>
                  </w:pPr>
                  <w:r>
                    <w:rPr>
                      <w:color w:val="auto"/>
                    </w:rPr>
                    <w:t>数量（台/套）</w:t>
                  </w:r>
                </w:p>
              </w:tc>
              <w:tc>
                <w:tcPr>
                  <w:tcW w:w="1158" w:type="pct"/>
                  <w:vAlign w:val="center"/>
                </w:tcPr>
                <w:p w14:paraId="25FCE70E">
                  <w:pPr>
                    <w:jc w:val="center"/>
                    <w:rPr>
                      <w:color w:val="auto"/>
                    </w:rPr>
                  </w:pPr>
                  <w:r>
                    <w:rPr>
                      <w:color w:val="auto"/>
                    </w:rPr>
                    <w:t>分布车间</w:t>
                  </w:r>
                </w:p>
              </w:tc>
            </w:tr>
            <w:tr w14:paraId="262AC70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096A8401">
                  <w:pPr>
                    <w:jc w:val="center"/>
                    <w:rPr>
                      <w:color w:val="FF0000"/>
                    </w:rPr>
                  </w:pPr>
                  <w:r>
                    <w:rPr>
                      <w:color w:val="FF0000"/>
                    </w:rPr>
                    <w:t>1</w:t>
                  </w:r>
                </w:p>
              </w:tc>
              <w:tc>
                <w:tcPr>
                  <w:tcW w:w="1174" w:type="pct"/>
                  <w:vAlign w:val="center"/>
                </w:tcPr>
                <w:p w14:paraId="5656BD5B">
                  <w:pPr>
                    <w:jc w:val="center"/>
                    <w:rPr>
                      <w:rFonts w:hint="default" w:eastAsia="宋体"/>
                      <w:color w:val="FF0000"/>
                      <w:lang w:val="en-US" w:eastAsia="zh-CN"/>
                    </w:rPr>
                  </w:pPr>
                  <w:r>
                    <w:rPr>
                      <w:rFonts w:hint="eastAsia"/>
                      <w:color w:val="FF0000"/>
                      <w:lang w:val="en-US" w:eastAsia="zh-CN"/>
                    </w:rPr>
                    <w:t>玻璃反应釜</w:t>
                  </w:r>
                </w:p>
              </w:tc>
              <w:tc>
                <w:tcPr>
                  <w:tcW w:w="1426" w:type="pct"/>
                  <w:vAlign w:val="center"/>
                </w:tcPr>
                <w:p w14:paraId="58AB1F3A">
                  <w:pPr>
                    <w:jc w:val="center"/>
                    <w:rPr>
                      <w:color w:val="FF0000"/>
                    </w:rPr>
                  </w:pPr>
                  <w:r>
                    <w:rPr>
                      <w:rFonts w:hint="eastAsia"/>
                      <w:color w:val="FF0000"/>
                    </w:rPr>
                    <w:t>1</w:t>
                  </w:r>
                  <w:r>
                    <w:rPr>
                      <w:color w:val="FF0000"/>
                    </w:rPr>
                    <w:t>00</w:t>
                  </w:r>
                  <w:r>
                    <w:rPr>
                      <w:rFonts w:hint="eastAsia"/>
                      <w:color w:val="FF0000"/>
                    </w:rPr>
                    <w:t>L</w:t>
                  </w:r>
                </w:p>
              </w:tc>
              <w:tc>
                <w:tcPr>
                  <w:tcW w:w="776" w:type="pct"/>
                  <w:vAlign w:val="center"/>
                </w:tcPr>
                <w:p w14:paraId="37D9E5BD">
                  <w:pPr>
                    <w:jc w:val="center"/>
                    <w:rPr>
                      <w:rFonts w:hint="eastAsia" w:eastAsia="宋体"/>
                      <w:color w:val="FF0000"/>
                      <w:lang w:val="en-US" w:eastAsia="zh-CN"/>
                    </w:rPr>
                  </w:pPr>
                  <w:r>
                    <w:rPr>
                      <w:rFonts w:hint="eastAsia"/>
                      <w:color w:val="FF0000"/>
                      <w:lang w:val="en-US" w:eastAsia="zh-CN"/>
                    </w:rPr>
                    <w:t>1</w:t>
                  </w:r>
                </w:p>
              </w:tc>
              <w:tc>
                <w:tcPr>
                  <w:tcW w:w="1158" w:type="pct"/>
                  <w:vAlign w:val="center"/>
                </w:tcPr>
                <w:p w14:paraId="3D4F4C31">
                  <w:pPr>
                    <w:jc w:val="center"/>
                    <w:rPr>
                      <w:color w:val="FF0000"/>
                    </w:rPr>
                  </w:pPr>
                  <w:r>
                    <w:rPr>
                      <w:rFonts w:hint="eastAsia"/>
                      <w:color w:val="FF0000"/>
                    </w:rPr>
                    <w:t>研发室</w:t>
                  </w:r>
                </w:p>
              </w:tc>
            </w:tr>
            <w:tr w14:paraId="64284FA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5222E9A1">
                  <w:pPr>
                    <w:jc w:val="center"/>
                    <w:rPr>
                      <w:color w:val="FF0000"/>
                    </w:rPr>
                  </w:pPr>
                  <w:r>
                    <w:rPr>
                      <w:color w:val="FF0000"/>
                    </w:rPr>
                    <w:t>2</w:t>
                  </w:r>
                </w:p>
              </w:tc>
              <w:tc>
                <w:tcPr>
                  <w:tcW w:w="1174" w:type="pct"/>
                  <w:vAlign w:val="center"/>
                </w:tcPr>
                <w:p w14:paraId="2069B043">
                  <w:pPr>
                    <w:jc w:val="center"/>
                    <w:rPr>
                      <w:rFonts w:hint="eastAsia" w:eastAsia="宋体"/>
                      <w:color w:val="FF0000"/>
                      <w:lang w:val="en-US" w:eastAsia="zh-CN"/>
                    </w:rPr>
                  </w:pPr>
                  <w:r>
                    <w:rPr>
                      <w:rFonts w:hint="eastAsia"/>
                      <w:color w:val="FF0000"/>
                      <w:lang w:val="en-US" w:eastAsia="zh-CN"/>
                    </w:rPr>
                    <w:t>高压反应釜</w:t>
                  </w:r>
                </w:p>
              </w:tc>
              <w:tc>
                <w:tcPr>
                  <w:tcW w:w="1426" w:type="pct"/>
                  <w:vAlign w:val="center"/>
                </w:tcPr>
                <w:p w14:paraId="119BCDF7">
                  <w:pPr>
                    <w:jc w:val="center"/>
                    <w:rPr>
                      <w:rFonts w:hint="default" w:eastAsia="宋体"/>
                      <w:color w:val="FF0000"/>
                      <w:lang w:val="en-US" w:eastAsia="zh-CN"/>
                    </w:rPr>
                  </w:pPr>
                  <w:r>
                    <w:rPr>
                      <w:rFonts w:hint="eastAsia"/>
                      <w:color w:val="FF0000"/>
                      <w:lang w:val="en-US" w:eastAsia="zh-CN"/>
                    </w:rPr>
                    <w:t>200mL</w:t>
                  </w:r>
                </w:p>
              </w:tc>
              <w:tc>
                <w:tcPr>
                  <w:tcW w:w="776" w:type="pct"/>
                  <w:vAlign w:val="center"/>
                </w:tcPr>
                <w:p w14:paraId="2139251E">
                  <w:pPr>
                    <w:jc w:val="center"/>
                    <w:rPr>
                      <w:rFonts w:hint="default" w:eastAsia="宋体"/>
                      <w:color w:val="FF0000"/>
                      <w:lang w:val="en-US" w:eastAsia="zh-CN"/>
                    </w:rPr>
                  </w:pPr>
                  <w:r>
                    <w:rPr>
                      <w:rFonts w:hint="eastAsia"/>
                      <w:color w:val="FF0000"/>
                      <w:lang w:val="en-US" w:eastAsia="zh-CN"/>
                    </w:rPr>
                    <w:t>2</w:t>
                  </w:r>
                </w:p>
              </w:tc>
              <w:tc>
                <w:tcPr>
                  <w:tcW w:w="1158" w:type="pct"/>
                  <w:vAlign w:val="center"/>
                </w:tcPr>
                <w:p w14:paraId="2851C611">
                  <w:pPr>
                    <w:jc w:val="center"/>
                    <w:rPr>
                      <w:color w:val="FF0000"/>
                    </w:rPr>
                  </w:pPr>
                  <w:r>
                    <w:rPr>
                      <w:rFonts w:hint="eastAsia"/>
                      <w:color w:val="FF0000"/>
                    </w:rPr>
                    <w:t>研发室</w:t>
                  </w:r>
                </w:p>
              </w:tc>
            </w:tr>
            <w:tr w14:paraId="2EB903A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7985369F">
                  <w:pPr>
                    <w:jc w:val="center"/>
                    <w:rPr>
                      <w:color w:val="FF0000"/>
                    </w:rPr>
                  </w:pPr>
                  <w:r>
                    <w:rPr>
                      <w:color w:val="FF0000"/>
                    </w:rPr>
                    <w:t>3</w:t>
                  </w:r>
                </w:p>
              </w:tc>
              <w:tc>
                <w:tcPr>
                  <w:tcW w:w="1174" w:type="pct"/>
                  <w:vAlign w:val="center"/>
                </w:tcPr>
                <w:p w14:paraId="068D7A5C">
                  <w:pPr>
                    <w:jc w:val="center"/>
                    <w:rPr>
                      <w:rFonts w:hint="default" w:eastAsia="宋体"/>
                      <w:color w:val="FF0000"/>
                      <w:lang w:val="en-US" w:eastAsia="zh-CN"/>
                    </w:rPr>
                  </w:pPr>
                  <w:r>
                    <w:rPr>
                      <w:rFonts w:hint="eastAsia"/>
                      <w:color w:val="FF0000"/>
                      <w:lang w:val="en-US" w:eastAsia="zh-CN"/>
                    </w:rPr>
                    <w:t>立体循环水泵</w:t>
                  </w:r>
                </w:p>
              </w:tc>
              <w:tc>
                <w:tcPr>
                  <w:tcW w:w="1426" w:type="pct"/>
                  <w:vAlign w:val="center"/>
                </w:tcPr>
                <w:p w14:paraId="7C9BD3FD">
                  <w:pPr>
                    <w:jc w:val="center"/>
                    <w:rPr>
                      <w:color w:val="FF0000"/>
                    </w:rPr>
                  </w:pPr>
                </w:p>
              </w:tc>
              <w:tc>
                <w:tcPr>
                  <w:tcW w:w="776" w:type="pct"/>
                  <w:vAlign w:val="center"/>
                </w:tcPr>
                <w:p w14:paraId="01209670">
                  <w:pPr>
                    <w:jc w:val="center"/>
                    <w:rPr>
                      <w:rFonts w:hint="eastAsia" w:eastAsia="宋体"/>
                      <w:color w:val="FF0000"/>
                      <w:lang w:val="en-US" w:eastAsia="zh-CN"/>
                    </w:rPr>
                  </w:pPr>
                  <w:r>
                    <w:rPr>
                      <w:rFonts w:hint="eastAsia"/>
                      <w:color w:val="FF0000"/>
                      <w:lang w:val="en-US" w:eastAsia="zh-CN"/>
                    </w:rPr>
                    <w:t>2</w:t>
                  </w:r>
                </w:p>
              </w:tc>
              <w:tc>
                <w:tcPr>
                  <w:tcW w:w="1158" w:type="pct"/>
                  <w:vAlign w:val="center"/>
                </w:tcPr>
                <w:p w14:paraId="5A37EE2C">
                  <w:pPr>
                    <w:jc w:val="center"/>
                    <w:rPr>
                      <w:color w:val="FF0000"/>
                    </w:rPr>
                  </w:pPr>
                  <w:r>
                    <w:rPr>
                      <w:rFonts w:hint="eastAsia"/>
                      <w:color w:val="FF0000"/>
                    </w:rPr>
                    <w:t>研发室</w:t>
                  </w:r>
                </w:p>
              </w:tc>
            </w:tr>
            <w:tr w14:paraId="310C91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0ACCD6D0">
                  <w:pPr>
                    <w:jc w:val="center"/>
                    <w:rPr>
                      <w:color w:val="auto"/>
                    </w:rPr>
                  </w:pPr>
                  <w:r>
                    <w:rPr>
                      <w:color w:val="auto"/>
                    </w:rPr>
                    <w:t>4</w:t>
                  </w:r>
                </w:p>
              </w:tc>
              <w:tc>
                <w:tcPr>
                  <w:tcW w:w="1174" w:type="pct"/>
                  <w:vAlign w:val="center"/>
                </w:tcPr>
                <w:p w14:paraId="6F599A30">
                  <w:pPr>
                    <w:jc w:val="center"/>
                    <w:rPr>
                      <w:color w:val="auto"/>
                    </w:rPr>
                  </w:pPr>
                  <w:r>
                    <w:rPr>
                      <w:rFonts w:hint="eastAsia"/>
                      <w:color w:val="auto"/>
                    </w:rPr>
                    <w:t>旋转蒸发仪</w:t>
                  </w:r>
                </w:p>
              </w:tc>
              <w:tc>
                <w:tcPr>
                  <w:tcW w:w="1426" w:type="pct"/>
                  <w:vAlign w:val="center"/>
                </w:tcPr>
                <w:p w14:paraId="5B7D1F38">
                  <w:pPr>
                    <w:jc w:val="center"/>
                    <w:rPr>
                      <w:color w:val="auto"/>
                    </w:rPr>
                  </w:pPr>
                  <w:r>
                    <w:rPr>
                      <w:color w:val="auto"/>
                    </w:rPr>
                    <w:t>20L</w:t>
                  </w:r>
                </w:p>
              </w:tc>
              <w:tc>
                <w:tcPr>
                  <w:tcW w:w="776" w:type="pct"/>
                  <w:vAlign w:val="center"/>
                </w:tcPr>
                <w:p w14:paraId="6A2383E1">
                  <w:pPr>
                    <w:jc w:val="center"/>
                    <w:rPr>
                      <w:color w:val="auto"/>
                    </w:rPr>
                  </w:pPr>
                  <w:r>
                    <w:rPr>
                      <w:color w:val="auto"/>
                    </w:rPr>
                    <w:t>1</w:t>
                  </w:r>
                </w:p>
              </w:tc>
              <w:tc>
                <w:tcPr>
                  <w:tcW w:w="1158" w:type="pct"/>
                  <w:vAlign w:val="center"/>
                </w:tcPr>
                <w:p w14:paraId="6F873516">
                  <w:pPr>
                    <w:jc w:val="center"/>
                    <w:rPr>
                      <w:color w:val="auto"/>
                    </w:rPr>
                  </w:pPr>
                  <w:r>
                    <w:rPr>
                      <w:rFonts w:hint="eastAsia"/>
                      <w:color w:val="auto"/>
                    </w:rPr>
                    <w:t>研发室</w:t>
                  </w:r>
                </w:p>
              </w:tc>
            </w:tr>
            <w:tr w14:paraId="732C3E9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4A43C0E4">
                  <w:pPr>
                    <w:jc w:val="center"/>
                    <w:rPr>
                      <w:color w:val="auto"/>
                    </w:rPr>
                  </w:pPr>
                  <w:r>
                    <w:rPr>
                      <w:color w:val="auto"/>
                    </w:rPr>
                    <w:t>5</w:t>
                  </w:r>
                </w:p>
              </w:tc>
              <w:tc>
                <w:tcPr>
                  <w:tcW w:w="1174" w:type="pct"/>
                  <w:vAlign w:val="center"/>
                </w:tcPr>
                <w:p w14:paraId="244BD83A">
                  <w:pPr>
                    <w:jc w:val="center"/>
                    <w:rPr>
                      <w:color w:val="auto"/>
                    </w:rPr>
                  </w:pPr>
                  <w:r>
                    <w:rPr>
                      <w:color w:val="auto"/>
                    </w:rPr>
                    <w:t>鼓风干燥箱</w:t>
                  </w:r>
                </w:p>
              </w:tc>
              <w:tc>
                <w:tcPr>
                  <w:tcW w:w="1426" w:type="pct"/>
                  <w:vAlign w:val="center"/>
                </w:tcPr>
                <w:p w14:paraId="0CB2E40B">
                  <w:pPr>
                    <w:jc w:val="center"/>
                    <w:rPr>
                      <w:color w:val="auto"/>
                    </w:rPr>
                  </w:pPr>
                  <w:r>
                    <w:rPr>
                      <w:color w:val="auto"/>
                    </w:rPr>
                    <w:t>DHG-9075A</w:t>
                  </w:r>
                </w:p>
              </w:tc>
              <w:tc>
                <w:tcPr>
                  <w:tcW w:w="776" w:type="pct"/>
                  <w:vAlign w:val="center"/>
                </w:tcPr>
                <w:p w14:paraId="45E32B99">
                  <w:pPr>
                    <w:jc w:val="center"/>
                    <w:rPr>
                      <w:color w:val="auto"/>
                    </w:rPr>
                  </w:pPr>
                  <w:r>
                    <w:rPr>
                      <w:color w:val="auto"/>
                    </w:rPr>
                    <w:t>1</w:t>
                  </w:r>
                </w:p>
              </w:tc>
              <w:tc>
                <w:tcPr>
                  <w:tcW w:w="1158" w:type="pct"/>
                  <w:vAlign w:val="center"/>
                </w:tcPr>
                <w:p w14:paraId="370C6FDD">
                  <w:pPr>
                    <w:jc w:val="center"/>
                    <w:rPr>
                      <w:color w:val="auto"/>
                    </w:rPr>
                  </w:pPr>
                  <w:r>
                    <w:rPr>
                      <w:rFonts w:hint="eastAsia"/>
                      <w:color w:val="auto"/>
                    </w:rPr>
                    <w:t>研发室</w:t>
                  </w:r>
                </w:p>
              </w:tc>
            </w:tr>
            <w:tr w14:paraId="2BEABBD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52" w:hRule="atLeast"/>
                <w:jc w:val="center"/>
              </w:trPr>
              <w:tc>
                <w:tcPr>
                  <w:tcW w:w="463" w:type="pct"/>
                  <w:vAlign w:val="center"/>
                </w:tcPr>
                <w:p w14:paraId="036AD1E6">
                  <w:pPr>
                    <w:jc w:val="center"/>
                    <w:rPr>
                      <w:color w:val="auto"/>
                    </w:rPr>
                  </w:pPr>
                  <w:r>
                    <w:rPr>
                      <w:color w:val="auto"/>
                    </w:rPr>
                    <w:t>6</w:t>
                  </w:r>
                </w:p>
              </w:tc>
              <w:tc>
                <w:tcPr>
                  <w:tcW w:w="1174" w:type="pct"/>
                  <w:vAlign w:val="center"/>
                </w:tcPr>
                <w:p w14:paraId="34031556">
                  <w:pPr>
                    <w:jc w:val="center"/>
                    <w:rPr>
                      <w:color w:val="auto"/>
                    </w:rPr>
                  </w:pPr>
                  <w:r>
                    <w:rPr>
                      <w:color w:val="auto"/>
                    </w:rPr>
                    <w:t>真空油泵</w:t>
                  </w:r>
                </w:p>
              </w:tc>
              <w:tc>
                <w:tcPr>
                  <w:tcW w:w="1426" w:type="pct"/>
                  <w:vAlign w:val="center"/>
                </w:tcPr>
                <w:p w14:paraId="7556413B">
                  <w:pPr>
                    <w:jc w:val="center"/>
                    <w:rPr>
                      <w:color w:val="auto"/>
                    </w:rPr>
                  </w:pPr>
                  <w:r>
                    <w:rPr>
                      <w:color w:val="auto"/>
                    </w:rPr>
                    <w:t>2XZ-4</w:t>
                  </w:r>
                </w:p>
              </w:tc>
              <w:tc>
                <w:tcPr>
                  <w:tcW w:w="776" w:type="pct"/>
                  <w:vAlign w:val="center"/>
                </w:tcPr>
                <w:p w14:paraId="09116F18">
                  <w:pPr>
                    <w:jc w:val="center"/>
                    <w:rPr>
                      <w:color w:val="auto"/>
                    </w:rPr>
                  </w:pPr>
                  <w:r>
                    <w:rPr>
                      <w:color w:val="auto"/>
                    </w:rPr>
                    <w:t>1</w:t>
                  </w:r>
                </w:p>
              </w:tc>
              <w:tc>
                <w:tcPr>
                  <w:tcW w:w="1158" w:type="pct"/>
                  <w:vAlign w:val="center"/>
                </w:tcPr>
                <w:p w14:paraId="7CDFAC87">
                  <w:pPr>
                    <w:jc w:val="center"/>
                    <w:rPr>
                      <w:color w:val="auto"/>
                    </w:rPr>
                  </w:pPr>
                  <w:r>
                    <w:rPr>
                      <w:rFonts w:hint="eastAsia"/>
                      <w:color w:val="auto"/>
                    </w:rPr>
                    <w:t>研发室</w:t>
                  </w:r>
                </w:p>
              </w:tc>
            </w:tr>
            <w:tr w14:paraId="664EE6E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673415AB">
                  <w:pPr>
                    <w:jc w:val="center"/>
                    <w:rPr>
                      <w:color w:val="auto"/>
                    </w:rPr>
                  </w:pPr>
                  <w:r>
                    <w:rPr>
                      <w:color w:val="auto"/>
                    </w:rPr>
                    <w:t>7</w:t>
                  </w:r>
                </w:p>
              </w:tc>
              <w:tc>
                <w:tcPr>
                  <w:tcW w:w="1174" w:type="pct"/>
                  <w:vAlign w:val="center"/>
                </w:tcPr>
                <w:p w14:paraId="54302BAB">
                  <w:pPr>
                    <w:jc w:val="center"/>
                    <w:rPr>
                      <w:color w:val="auto"/>
                    </w:rPr>
                  </w:pPr>
                  <w:r>
                    <w:rPr>
                      <w:color w:val="auto"/>
                    </w:rPr>
                    <w:t>气相色谱仪</w:t>
                  </w:r>
                </w:p>
              </w:tc>
              <w:tc>
                <w:tcPr>
                  <w:tcW w:w="1426" w:type="pct"/>
                  <w:vAlign w:val="center"/>
                </w:tcPr>
                <w:p w14:paraId="57082433">
                  <w:pPr>
                    <w:jc w:val="center"/>
                    <w:rPr>
                      <w:color w:val="auto"/>
                    </w:rPr>
                  </w:pPr>
                  <w:r>
                    <w:rPr>
                      <w:color w:val="auto"/>
                    </w:rPr>
                    <w:t>8890-7697A</w:t>
                  </w:r>
                </w:p>
              </w:tc>
              <w:tc>
                <w:tcPr>
                  <w:tcW w:w="776" w:type="pct"/>
                  <w:vAlign w:val="center"/>
                </w:tcPr>
                <w:p w14:paraId="6E6193A3">
                  <w:pPr>
                    <w:jc w:val="center"/>
                    <w:rPr>
                      <w:color w:val="auto"/>
                    </w:rPr>
                  </w:pPr>
                  <w:r>
                    <w:rPr>
                      <w:color w:val="auto"/>
                    </w:rPr>
                    <w:t>1</w:t>
                  </w:r>
                </w:p>
              </w:tc>
              <w:tc>
                <w:tcPr>
                  <w:tcW w:w="1158" w:type="pct"/>
                  <w:vAlign w:val="center"/>
                </w:tcPr>
                <w:p w14:paraId="3069CF9F">
                  <w:pPr>
                    <w:jc w:val="center"/>
                    <w:rPr>
                      <w:color w:val="auto"/>
                    </w:rPr>
                  </w:pPr>
                  <w:r>
                    <w:rPr>
                      <w:rFonts w:hint="eastAsia"/>
                      <w:color w:val="auto"/>
                    </w:rPr>
                    <w:t>研发室</w:t>
                  </w:r>
                </w:p>
              </w:tc>
            </w:tr>
            <w:tr w14:paraId="0E21747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7BFCBAC0">
                  <w:pPr>
                    <w:jc w:val="center"/>
                    <w:rPr>
                      <w:color w:val="auto"/>
                    </w:rPr>
                  </w:pPr>
                  <w:r>
                    <w:rPr>
                      <w:color w:val="auto"/>
                    </w:rPr>
                    <w:t>8</w:t>
                  </w:r>
                </w:p>
              </w:tc>
              <w:tc>
                <w:tcPr>
                  <w:tcW w:w="1174" w:type="pct"/>
                  <w:vAlign w:val="center"/>
                </w:tcPr>
                <w:p w14:paraId="2995569B">
                  <w:pPr>
                    <w:jc w:val="center"/>
                    <w:rPr>
                      <w:color w:val="auto"/>
                    </w:rPr>
                  </w:pPr>
                  <w:r>
                    <w:rPr>
                      <w:color w:val="auto"/>
                    </w:rPr>
                    <w:t>空气发生器</w:t>
                  </w:r>
                </w:p>
              </w:tc>
              <w:tc>
                <w:tcPr>
                  <w:tcW w:w="1426" w:type="pct"/>
                  <w:vAlign w:val="center"/>
                </w:tcPr>
                <w:p w14:paraId="61283FB7">
                  <w:pPr>
                    <w:jc w:val="center"/>
                    <w:rPr>
                      <w:color w:val="auto"/>
                    </w:rPr>
                  </w:pPr>
                  <w:r>
                    <w:rPr>
                      <w:color w:val="auto"/>
                    </w:rPr>
                    <w:t>GA-380A</w:t>
                  </w:r>
                </w:p>
              </w:tc>
              <w:tc>
                <w:tcPr>
                  <w:tcW w:w="776" w:type="pct"/>
                  <w:vAlign w:val="center"/>
                </w:tcPr>
                <w:p w14:paraId="60212D4A">
                  <w:pPr>
                    <w:jc w:val="center"/>
                    <w:rPr>
                      <w:color w:val="auto"/>
                    </w:rPr>
                  </w:pPr>
                  <w:r>
                    <w:rPr>
                      <w:color w:val="auto"/>
                    </w:rPr>
                    <w:t>1</w:t>
                  </w:r>
                </w:p>
              </w:tc>
              <w:tc>
                <w:tcPr>
                  <w:tcW w:w="1158" w:type="pct"/>
                  <w:vAlign w:val="center"/>
                </w:tcPr>
                <w:p w14:paraId="73D3599B">
                  <w:pPr>
                    <w:jc w:val="center"/>
                    <w:rPr>
                      <w:color w:val="auto"/>
                    </w:rPr>
                  </w:pPr>
                  <w:r>
                    <w:rPr>
                      <w:rFonts w:hint="eastAsia"/>
                      <w:color w:val="auto"/>
                    </w:rPr>
                    <w:t>研发室</w:t>
                  </w:r>
                </w:p>
              </w:tc>
            </w:tr>
            <w:tr w14:paraId="454D0A1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3" w:type="pct"/>
                  <w:vAlign w:val="center"/>
                </w:tcPr>
                <w:p w14:paraId="347DB519">
                  <w:pPr>
                    <w:jc w:val="center"/>
                    <w:rPr>
                      <w:color w:val="auto"/>
                    </w:rPr>
                  </w:pPr>
                  <w:r>
                    <w:rPr>
                      <w:color w:val="auto"/>
                    </w:rPr>
                    <w:t>9</w:t>
                  </w:r>
                </w:p>
              </w:tc>
              <w:tc>
                <w:tcPr>
                  <w:tcW w:w="1174" w:type="pct"/>
                  <w:vAlign w:val="center"/>
                </w:tcPr>
                <w:p w14:paraId="55995EF1">
                  <w:pPr>
                    <w:jc w:val="center"/>
                    <w:rPr>
                      <w:color w:val="auto"/>
                    </w:rPr>
                  </w:pPr>
                  <w:r>
                    <w:rPr>
                      <w:color w:val="auto"/>
                    </w:rPr>
                    <w:t>氢气发生器</w:t>
                  </w:r>
                </w:p>
              </w:tc>
              <w:tc>
                <w:tcPr>
                  <w:tcW w:w="1426" w:type="pct"/>
                  <w:vAlign w:val="center"/>
                </w:tcPr>
                <w:p w14:paraId="77DC1BBD">
                  <w:pPr>
                    <w:jc w:val="center"/>
                    <w:rPr>
                      <w:color w:val="auto"/>
                    </w:rPr>
                  </w:pPr>
                  <w:r>
                    <w:rPr>
                      <w:color w:val="auto"/>
                    </w:rPr>
                    <w:t>GH-400</w:t>
                  </w:r>
                </w:p>
              </w:tc>
              <w:tc>
                <w:tcPr>
                  <w:tcW w:w="776" w:type="pct"/>
                  <w:vAlign w:val="center"/>
                </w:tcPr>
                <w:p w14:paraId="522119D8">
                  <w:pPr>
                    <w:jc w:val="center"/>
                    <w:rPr>
                      <w:color w:val="auto"/>
                    </w:rPr>
                  </w:pPr>
                  <w:r>
                    <w:rPr>
                      <w:color w:val="auto"/>
                    </w:rPr>
                    <w:t>1</w:t>
                  </w:r>
                </w:p>
              </w:tc>
              <w:tc>
                <w:tcPr>
                  <w:tcW w:w="1158" w:type="pct"/>
                  <w:vAlign w:val="center"/>
                </w:tcPr>
                <w:p w14:paraId="5AE95ACB">
                  <w:pPr>
                    <w:jc w:val="center"/>
                    <w:rPr>
                      <w:color w:val="auto"/>
                    </w:rPr>
                  </w:pPr>
                  <w:r>
                    <w:rPr>
                      <w:rFonts w:hint="eastAsia"/>
                      <w:color w:val="auto"/>
                    </w:rPr>
                    <w:t>研发室</w:t>
                  </w:r>
                </w:p>
              </w:tc>
            </w:tr>
            <w:tr w14:paraId="63747C0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37890739">
                  <w:pPr>
                    <w:jc w:val="center"/>
                    <w:rPr>
                      <w:color w:val="auto"/>
                    </w:rPr>
                  </w:pPr>
                  <w:r>
                    <w:rPr>
                      <w:color w:val="auto"/>
                    </w:rPr>
                    <w:t>10</w:t>
                  </w:r>
                </w:p>
              </w:tc>
              <w:tc>
                <w:tcPr>
                  <w:tcW w:w="1174" w:type="pct"/>
                  <w:vAlign w:val="center"/>
                </w:tcPr>
                <w:p w14:paraId="1EE6DAA5">
                  <w:pPr>
                    <w:jc w:val="center"/>
                    <w:rPr>
                      <w:rFonts w:hint="default" w:eastAsia="宋体"/>
                      <w:color w:val="auto"/>
                      <w:lang w:val="en-US" w:eastAsia="zh-CN"/>
                    </w:rPr>
                  </w:pPr>
                  <w:r>
                    <w:rPr>
                      <w:rFonts w:hint="eastAsia"/>
                      <w:color w:val="FF0000"/>
                      <w:lang w:val="en-US" w:eastAsia="zh-CN"/>
                    </w:rPr>
                    <w:t>卧式循环水泵</w:t>
                  </w:r>
                </w:p>
              </w:tc>
              <w:tc>
                <w:tcPr>
                  <w:tcW w:w="1426" w:type="pct"/>
                  <w:vAlign w:val="center"/>
                </w:tcPr>
                <w:p w14:paraId="195EA39E">
                  <w:pPr>
                    <w:jc w:val="center"/>
                    <w:rPr>
                      <w:rFonts w:hint="eastAsia" w:eastAsia="宋体"/>
                      <w:color w:val="auto"/>
                      <w:lang w:val="en-US" w:eastAsia="zh-CN"/>
                    </w:rPr>
                  </w:pPr>
                  <w:r>
                    <w:rPr>
                      <w:rFonts w:hint="eastAsia"/>
                      <w:color w:val="auto"/>
                      <w:lang w:val="en-US" w:eastAsia="zh-CN"/>
                    </w:rPr>
                    <w:t>/</w:t>
                  </w:r>
                </w:p>
              </w:tc>
              <w:tc>
                <w:tcPr>
                  <w:tcW w:w="776" w:type="pct"/>
                  <w:vAlign w:val="center"/>
                </w:tcPr>
                <w:p w14:paraId="5EB7964D">
                  <w:pPr>
                    <w:jc w:val="center"/>
                    <w:rPr>
                      <w:rFonts w:hint="eastAsia" w:eastAsia="宋体"/>
                      <w:color w:val="auto"/>
                      <w:lang w:val="en-US" w:eastAsia="zh-CN"/>
                    </w:rPr>
                  </w:pPr>
                  <w:r>
                    <w:rPr>
                      <w:rFonts w:hint="eastAsia"/>
                      <w:color w:val="auto"/>
                      <w:lang w:val="en-US" w:eastAsia="zh-CN"/>
                    </w:rPr>
                    <w:t>2</w:t>
                  </w:r>
                </w:p>
              </w:tc>
              <w:tc>
                <w:tcPr>
                  <w:tcW w:w="1158" w:type="pct"/>
                  <w:vAlign w:val="center"/>
                </w:tcPr>
                <w:p w14:paraId="440DE0C3">
                  <w:pPr>
                    <w:jc w:val="center"/>
                    <w:rPr>
                      <w:color w:val="FF0000"/>
                    </w:rPr>
                  </w:pPr>
                  <w:r>
                    <w:rPr>
                      <w:rFonts w:hint="eastAsia"/>
                      <w:color w:val="FF0000"/>
                    </w:rPr>
                    <w:t>研发室</w:t>
                  </w:r>
                </w:p>
              </w:tc>
            </w:tr>
            <w:tr w14:paraId="54E76E8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06C79EB9">
                  <w:pPr>
                    <w:jc w:val="center"/>
                    <w:rPr>
                      <w:color w:val="auto"/>
                    </w:rPr>
                  </w:pPr>
                  <w:r>
                    <w:rPr>
                      <w:color w:val="auto"/>
                    </w:rPr>
                    <w:t>11</w:t>
                  </w:r>
                </w:p>
              </w:tc>
              <w:tc>
                <w:tcPr>
                  <w:tcW w:w="1174" w:type="pct"/>
                  <w:vAlign w:val="center"/>
                </w:tcPr>
                <w:p w14:paraId="3320C1D3">
                  <w:pPr>
                    <w:jc w:val="center"/>
                    <w:rPr>
                      <w:rFonts w:hint="default" w:eastAsia="宋体"/>
                      <w:color w:val="auto"/>
                      <w:lang w:val="en-US" w:eastAsia="zh-CN"/>
                    </w:rPr>
                  </w:pPr>
                  <w:r>
                    <w:rPr>
                      <w:rFonts w:hint="eastAsia"/>
                      <w:color w:val="FF0000"/>
                      <w:lang w:val="en-US" w:eastAsia="zh-CN"/>
                    </w:rPr>
                    <w:t>高真空泵</w:t>
                  </w:r>
                </w:p>
              </w:tc>
              <w:tc>
                <w:tcPr>
                  <w:tcW w:w="1426" w:type="pct"/>
                  <w:vAlign w:val="center"/>
                </w:tcPr>
                <w:p w14:paraId="0AB89259">
                  <w:pPr>
                    <w:jc w:val="center"/>
                    <w:rPr>
                      <w:rFonts w:hint="eastAsia" w:eastAsia="宋体"/>
                      <w:color w:val="auto"/>
                      <w:lang w:val="en-US" w:eastAsia="zh-CN"/>
                    </w:rPr>
                  </w:pPr>
                  <w:r>
                    <w:rPr>
                      <w:rFonts w:hint="eastAsia"/>
                      <w:color w:val="auto"/>
                      <w:lang w:val="en-US" w:eastAsia="zh-CN"/>
                    </w:rPr>
                    <w:t>/</w:t>
                  </w:r>
                </w:p>
              </w:tc>
              <w:tc>
                <w:tcPr>
                  <w:tcW w:w="776" w:type="pct"/>
                  <w:vAlign w:val="center"/>
                </w:tcPr>
                <w:p w14:paraId="65D319E0">
                  <w:pPr>
                    <w:jc w:val="center"/>
                    <w:rPr>
                      <w:rFonts w:hint="eastAsia" w:eastAsia="宋体"/>
                      <w:color w:val="auto"/>
                      <w:lang w:val="en-US" w:eastAsia="zh-CN"/>
                    </w:rPr>
                  </w:pPr>
                  <w:r>
                    <w:rPr>
                      <w:rFonts w:hint="eastAsia"/>
                      <w:color w:val="auto"/>
                      <w:lang w:val="en-US" w:eastAsia="zh-CN"/>
                    </w:rPr>
                    <w:t>3</w:t>
                  </w:r>
                </w:p>
              </w:tc>
              <w:tc>
                <w:tcPr>
                  <w:tcW w:w="1158" w:type="pct"/>
                  <w:vAlign w:val="center"/>
                </w:tcPr>
                <w:p w14:paraId="6E949365">
                  <w:pPr>
                    <w:jc w:val="center"/>
                    <w:rPr>
                      <w:color w:val="FF0000"/>
                    </w:rPr>
                  </w:pPr>
                  <w:r>
                    <w:rPr>
                      <w:rFonts w:hint="eastAsia"/>
                      <w:color w:val="FF0000"/>
                    </w:rPr>
                    <w:t>研发室</w:t>
                  </w:r>
                </w:p>
              </w:tc>
            </w:tr>
            <w:tr w14:paraId="4AA91D0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4D88B737">
                  <w:pPr>
                    <w:jc w:val="center"/>
                    <w:rPr>
                      <w:color w:val="auto"/>
                    </w:rPr>
                  </w:pPr>
                  <w:r>
                    <w:rPr>
                      <w:color w:val="auto"/>
                    </w:rPr>
                    <w:t>12</w:t>
                  </w:r>
                </w:p>
              </w:tc>
              <w:tc>
                <w:tcPr>
                  <w:tcW w:w="1174" w:type="pct"/>
                  <w:shd w:val="clear" w:color="auto" w:fill="auto"/>
                  <w:vAlign w:val="center"/>
                </w:tcPr>
                <w:p w14:paraId="10E9A854">
                  <w:pPr>
                    <w:jc w:val="center"/>
                    <w:rPr>
                      <w:rFonts w:ascii="Times New Roman" w:hAnsi="Times New Roman" w:eastAsia="宋体" w:cs="Times New Roman"/>
                      <w:color w:val="auto"/>
                      <w:kern w:val="2"/>
                      <w:sz w:val="21"/>
                      <w:szCs w:val="24"/>
                      <w:lang w:val="en-US" w:eastAsia="zh-CN" w:bidi="ar-SA"/>
                    </w:rPr>
                  </w:pPr>
                  <w:r>
                    <w:rPr>
                      <w:color w:val="auto"/>
                    </w:rPr>
                    <w:t>电子天平</w:t>
                  </w:r>
                </w:p>
              </w:tc>
              <w:tc>
                <w:tcPr>
                  <w:tcW w:w="1426" w:type="pct"/>
                  <w:shd w:val="clear" w:color="auto" w:fill="auto"/>
                  <w:vAlign w:val="center"/>
                </w:tcPr>
                <w:p w14:paraId="6EEB4ED8">
                  <w:pPr>
                    <w:jc w:val="center"/>
                    <w:rPr>
                      <w:rFonts w:ascii="Times New Roman" w:hAnsi="Times New Roman" w:eastAsia="宋体" w:cs="Times New Roman"/>
                      <w:color w:val="auto"/>
                      <w:kern w:val="2"/>
                      <w:sz w:val="21"/>
                      <w:szCs w:val="24"/>
                      <w:lang w:val="en-US" w:eastAsia="zh-CN" w:bidi="ar-SA"/>
                    </w:rPr>
                  </w:pPr>
                  <w:r>
                    <w:rPr>
                      <w:color w:val="auto"/>
                    </w:rPr>
                    <w:t>梅特勒/赛多利斯</w:t>
                  </w:r>
                </w:p>
              </w:tc>
              <w:tc>
                <w:tcPr>
                  <w:tcW w:w="776" w:type="pct"/>
                  <w:shd w:val="clear" w:color="auto" w:fill="auto"/>
                  <w:vAlign w:val="center"/>
                </w:tcPr>
                <w:p w14:paraId="543C9460">
                  <w:pPr>
                    <w:jc w:val="center"/>
                    <w:rPr>
                      <w:rFonts w:ascii="Times New Roman" w:hAnsi="Times New Roman" w:eastAsia="宋体" w:cs="Times New Roman"/>
                      <w:color w:val="auto"/>
                      <w:kern w:val="2"/>
                      <w:sz w:val="21"/>
                      <w:szCs w:val="24"/>
                      <w:lang w:val="en-US" w:eastAsia="zh-CN" w:bidi="ar-SA"/>
                    </w:rPr>
                  </w:pPr>
                  <w:r>
                    <w:rPr>
                      <w:color w:val="auto"/>
                    </w:rPr>
                    <w:t>9</w:t>
                  </w:r>
                </w:p>
              </w:tc>
              <w:tc>
                <w:tcPr>
                  <w:tcW w:w="1158" w:type="pct"/>
                  <w:shd w:val="clear" w:color="auto" w:fill="auto"/>
                  <w:vAlign w:val="center"/>
                </w:tcPr>
                <w:p w14:paraId="331513E6">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400EB8B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54CC1B91">
                  <w:pPr>
                    <w:jc w:val="center"/>
                    <w:rPr>
                      <w:color w:val="auto"/>
                    </w:rPr>
                  </w:pPr>
                  <w:r>
                    <w:rPr>
                      <w:color w:val="auto"/>
                    </w:rPr>
                    <w:t>13</w:t>
                  </w:r>
                </w:p>
              </w:tc>
              <w:tc>
                <w:tcPr>
                  <w:tcW w:w="1174" w:type="pct"/>
                  <w:shd w:val="clear" w:color="auto" w:fill="auto"/>
                  <w:vAlign w:val="center"/>
                </w:tcPr>
                <w:p w14:paraId="354A6B15">
                  <w:pPr>
                    <w:jc w:val="center"/>
                    <w:rPr>
                      <w:rFonts w:ascii="Times New Roman" w:hAnsi="Times New Roman" w:eastAsia="宋体" w:cs="Times New Roman"/>
                      <w:color w:val="auto"/>
                      <w:kern w:val="2"/>
                      <w:sz w:val="21"/>
                      <w:szCs w:val="24"/>
                      <w:lang w:val="en-US" w:eastAsia="zh-CN" w:bidi="ar-SA"/>
                    </w:rPr>
                  </w:pPr>
                  <w:r>
                    <w:rPr>
                      <w:color w:val="auto"/>
                    </w:rPr>
                    <w:t>稳定性试验箱</w:t>
                  </w:r>
                </w:p>
              </w:tc>
              <w:tc>
                <w:tcPr>
                  <w:tcW w:w="1426" w:type="pct"/>
                  <w:shd w:val="clear" w:color="auto" w:fill="auto"/>
                  <w:vAlign w:val="center"/>
                </w:tcPr>
                <w:p w14:paraId="02FAE391">
                  <w:pPr>
                    <w:jc w:val="center"/>
                    <w:rPr>
                      <w:rFonts w:ascii="Times New Roman" w:hAnsi="Times New Roman" w:eastAsia="宋体" w:cs="Times New Roman"/>
                      <w:color w:val="auto"/>
                      <w:kern w:val="2"/>
                      <w:sz w:val="21"/>
                      <w:szCs w:val="24"/>
                      <w:lang w:val="en-US" w:eastAsia="zh-CN" w:bidi="ar-SA"/>
                    </w:rPr>
                  </w:pPr>
                  <w:r>
                    <w:rPr>
                      <w:color w:val="auto"/>
                    </w:rPr>
                    <w:t>待定</w:t>
                  </w:r>
                </w:p>
              </w:tc>
              <w:tc>
                <w:tcPr>
                  <w:tcW w:w="776" w:type="pct"/>
                  <w:shd w:val="clear" w:color="auto" w:fill="auto"/>
                  <w:vAlign w:val="center"/>
                </w:tcPr>
                <w:p w14:paraId="6DF8EA78">
                  <w:pPr>
                    <w:jc w:val="center"/>
                    <w:rPr>
                      <w:rFonts w:ascii="Times New Roman" w:hAnsi="Times New Roman" w:eastAsia="宋体" w:cs="Times New Roman"/>
                      <w:color w:val="auto"/>
                      <w:kern w:val="2"/>
                      <w:sz w:val="21"/>
                      <w:szCs w:val="24"/>
                      <w:lang w:val="en-US" w:eastAsia="zh-CN" w:bidi="ar-SA"/>
                    </w:rPr>
                  </w:pPr>
                  <w:r>
                    <w:rPr>
                      <w:color w:val="auto"/>
                    </w:rPr>
                    <w:t>11</w:t>
                  </w:r>
                </w:p>
              </w:tc>
              <w:tc>
                <w:tcPr>
                  <w:tcW w:w="1158" w:type="pct"/>
                  <w:shd w:val="clear" w:color="auto" w:fill="auto"/>
                  <w:vAlign w:val="top"/>
                </w:tcPr>
                <w:p w14:paraId="0147F1AA">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51B424C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0FD1E40F">
                  <w:pPr>
                    <w:jc w:val="center"/>
                    <w:rPr>
                      <w:color w:val="auto"/>
                    </w:rPr>
                  </w:pPr>
                  <w:r>
                    <w:rPr>
                      <w:color w:val="auto"/>
                    </w:rPr>
                    <w:t>14</w:t>
                  </w:r>
                </w:p>
              </w:tc>
              <w:tc>
                <w:tcPr>
                  <w:tcW w:w="1174" w:type="pct"/>
                  <w:shd w:val="clear" w:color="auto" w:fill="auto"/>
                  <w:vAlign w:val="center"/>
                </w:tcPr>
                <w:p w14:paraId="0226D7A3">
                  <w:pPr>
                    <w:jc w:val="center"/>
                    <w:rPr>
                      <w:rFonts w:ascii="Times New Roman" w:hAnsi="Times New Roman" w:eastAsia="宋体" w:cs="Times New Roman"/>
                      <w:color w:val="auto"/>
                      <w:kern w:val="2"/>
                      <w:sz w:val="21"/>
                      <w:szCs w:val="24"/>
                      <w:lang w:val="en-US" w:eastAsia="zh-CN" w:bidi="ar-SA"/>
                    </w:rPr>
                  </w:pPr>
                  <w:r>
                    <w:rPr>
                      <w:color w:val="auto"/>
                    </w:rPr>
                    <w:t>温湿度探测器</w:t>
                  </w:r>
                </w:p>
              </w:tc>
              <w:tc>
                <w:tcPr>
                  <w:tcW w:w="1426" w:type="pct"/>
                  <w:shd w:val="clear" w:color="auto" w:fill="auto"/>
                  <w:vAlign w:val="center"/>
                </w:tcPr>
                <w:p w14:paraId="272B46EF">
                  <w:pPr>
                    <w:jc w:val="center"/>
                    <w:rPr>
                      <w:rFonts w:ascii="Times New Roman" w:hAnsi="Times New Roman" w:eastAsia="宋体" w:cs="Times New Roman"/>
                      <w:color w:val="auto"/>
                      <w:kern w:val="2"/>
                      <w:sz w:val="21"/>
                      <w:szCs w:val="24"/>
                      <w:lang w:val="en-US" w:eastAsia="zh-CN" w:bidi="ar-SA"/>
                    </w:rPr>
                  </w:pPr>
                  <w:r>
                    <w:rPr>
                      <w:color w:val="auto"/>
                    </w:rPr>
                    <w:t>待定</w:t>
                  </w:r>
                </w:p>
              </w:tc>
              <w:tc>
                <w:tcPr>
                  <w:tcW w:w="776" w:type="pct"/>
                  <w:shd w:val="clear" w:color="auto" w:fill="auto"/>
                  <w:vAlign w:val="center"/>
                </w:tcPr>
                <w:p w14:paraId="424CF394">
                  <w:pPr>
                    <w:jc w:val="center"/>
                    <w:rPr>
                      <w:rFonts w:ascii="Times New Roman" w:hAnsi="Times New Roman" w:eastAsia="宋体" w:cs="Times New Roman"/>
                      <w:color w:val="auto"/>
                      <w:kern w:val="2"/>
                      <w:sz w:val="21"/>
                      <w:szCs w:val="24"/>
                      <w:lang w:val="en-US" w:eastAsia="zh-CN" w:bidi="ar-SA"/>
                    </w:rPr>
                  </w:pPr>
                  <w:r>
                    <w:rPr>
                      <w:color w:val="auto"/>
                    </w:rPr>
                    <w:t>4</w:t>
                  </w:r>
                </w:p>
              </w:tc>
              <w:tc>
                <w:tcPr>
                  <w:tcW w:w="1158" w:type="pct"/>
                  <w:shd w:val="clear" w:color="auto" w:fill="auto"/>
                  <w:vAlign w:val="top"/>
                </w:tcPr>
                <w:p w14:paraId="1D293A74">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3E9CC0C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06F36EFD">
                  <w:pPr>
                    <w:jc w:val="center"/>
                    <w:rPr>
                      <w:color w:val="auto"/>
                    </w:rPr>
                  </w:pPr>
                  <w:r>
                    <w:rPr>
                      <w:color w:val="auto"/>
                    </w:rPr>
                    <w:t>15</w:t>
                  </w:r>
                </w:p>
              </w:tc>
              <w:tc>
                <w:tcPr>
                  <w:tcW w:w="1174" w:type="pct"/>
                  <w:shd w:val="clear" w:color="auto" w:fill="auto"/>
                  <w:vAlign w:val="center"/>
                </w:tcPr>
                <w:p w14:paraId="43F59615">
                  <w:pPr>
                    <w:jc w:val="center"/>
                    <w:rPr>
                      <w:rFonts w:ascii="Times New Roman" w:hAnsi="Times New Roman" w:eastAsia="宋体" w:cs="Times New Roman"/>
                      <w:color w:val="auto"/>
                      <w:kern w:val="2"/>
                      <w:sz w:val="21"/>
                      <w:szCs w:val="24"/>
                      <w:lang w:val="en-US" w:eastAsia="zh-CN" w:bidi="ar-SA"/>
                    </w:rPr>
                  </w:pPr>
                  <w:r>
                    <w:rPr>
                      <w:color w:val="auto"/>
                    </w:rPr>
                    <w:t>紫外可见分光光度计</w:t>
                  </w:r>
                </w:p>
              </w:tc>
              <w:tc>
                <w:tcPr>
                  <w:tcW w:w="1426" w:type="pct"/>
                  <w:shd w:val="clear" w:color="auto" w:fill="auto"/>
                  <w:vAlign w:val="center"/>
                </w:tcPr>
                <w:p w14:paraId="3F8B89FB">
                  <w:pPr>
                    <w:jc w:val="center"/>
                    <w:rPr>
                      <w:rFonts w:ascii="Times New Roman" w:hAnsi="Times New Roman" w:eastAsia="宋体" w:cs="Times New Roman"/>
                      <w:color w:val="auto"/>
                      <w:kern w:val="2"/>
                      <w:sz w:val="21"/>
                      <w:szCs w:val="24"/>
                      <w:lang w:val="en-US" w:eastAsia="zh-CN" w:bidi="ar-SA"/>
                    </w:rPr>
                  </w:pPr>
                  <w:r>
                    <w:rPr>
                      <w:color w:val="auto"/>
                    </w:rPr>
                    <w:t>梅特勒/PE/</w:t>
                  </w:r>
                </w:p>
              </w:tc>
              <w:tc>
                <w:tcPr>
                  <w:tcW w:w="776" w:type="pct"/>
                  <w:shd w:val="clear" w:color="auto" w:fill="auto"/>
                  <w:vAlign w:val="center"/>
                </w:tcPr>
                <w:p w14:paraId="673940AB">
                  <w:pPr>
                    <w:jc w:val="center"/>
                    <w:rPr>
                      <w:rFonts w:ascii="Times New Roman" w:hAnsi="Times New Roman" w:eastAsia="宋体" w:cs="Times New Roman"/>
                      <w:color w:val="auto"/>
                      <w:kern w:val="2"/>
                      <w:sz w:val="21"/>
                      <w:szCs w:val="24"/>
                      <w:lang w:val="en-US" w:eastAsia="zh-CN" w:bidi="ar-SA"/>
                    </w:rPr>
                  </w:pPr>
                  <w:r>
                    <w:rPr>
                      <w:color w:val="auto"/>
                    </w:rPr>
                    <w:t>1</w:t>
                  </w:r>
                </w:p>
              </w:tc>
              <w:tc>
                <w:tcPr>
                  <w:tcW w:w="1158" w:type="pct"/>
                  <w:shd w:val="clear" w:color="auto" w:fill="auto"/>
                  <w:vAlign w:val="center"/>
                </w:tcPr>
                <w:p w14:paraId="1A72BBD6">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22443BA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1E9D844B">
                  <w:pPr>
                    <w:jc w:val="center"/>
                    <w:rPr>
                      <w:color w:val="auto"/>
                    </w:rPr>
                  </w:pPr>
                  <w:r>
                    <w:rPr>
                      <w:color w:val="auto"/>
                    </w:rPr>
                    <w:t>16</w:t>
                  </w:r>
                </w:p>
              </w:tc>
              <w:tc>
                <w:tcPr>
                  <w:tcW w:w="1174" w:type="pct"/>
                  <w:shd w:val="clear" w:color="auto" w:fill="auto"/>
                  <w:vAlign w:val="center"/>
                </w:tcPr>
                <w:p w14:paraId="1BE8E27A">
                  <w:pPr>
                    <w:jc w:val="center"/>
                    <w:rPr>
                      <w:rFonts w:ascii="Times New Roman" w:hAnsi="Times New Roman" w:eastAsia="宋体" w:cs="Times New Roman"/>
                      <w:color w:val="auto"/>
                      <w:kern w:val="2"/>
                      <w:sz w:val="21"/>
                      <w:szCs w:val="24"/>
                      <w:lang w:val="en-US" w:eastAsia="zh-CN" w:bidi="ar-SA"/>
                    </w:rPr>
                  </w:pPr>
                  <w:r>
                    <w:rPr>
                      <w:color w:val="auto"/>
                    </w:rPr>
                    <w:t>旋光仪</w:t>
                  </w:r>
                </w:p>
              </w:tc>
              <w:tc>
                <w:tcPr>
                  <w:tcW w:w="1426" w:type="pct"/>
                  <w:shd w:val="clear" w:color="auto" w:fill="auto"/>
                  <w:vAlign w:val="center"/>
                </w:tcPr>
                <w:p w14:paraId="504522C2">
                  <w:pPr>
                    <w:jc w:val="center"/>
                    <w:rPr>
                      <w:rFonts w:ascii="Times New Roman" w:hAnsi="Times New Roman" w:eastAsia="宋体" w:cs="Times New Roman"/>
                      <w:color w:val="auto"/>
                      <w:kern w:val="2"/>
                      <w:sz w:val="21"/>
                      <w:szCs w:val="24"/>
                      <w:lang w:val="en-US" w:eastAsia="zh-CN" w:bidi="ar-SA"/>
                    </w:rPr>
                  </w:pPr>
                  <w:r>
                    <w:rPr>
                      <w:color w:val="auto"/>
                    </w:rPr>
                    <w:t>鲁道夫</w:t>
                  </w:r>
                </w:p>
              </w:tc>
              <w:tc>
                <w:tcPr>
                  <w:tcW w:w="776" w:type="pct"/>
                  <w:shd w:val="clear" w:color="auto" w:fill="auto"/>
                  <w:vAlign w:val="center"/>
                </w:tcPr>
                <w:p w14:paraId="07534E69">
                  <w:pPr>
                    <w:jc w:val="center"/>
                    <w:rPr>
                      <w:rFonts w:ascii="Times New Roman" w:hAnsi="Times New Roman" w:eastAsia="宋体" w:cs="Times New Roman"/>
                      <w:color w:val="auto"/>
                      <w:kern w:val="2"/>
                      <w:sz w:val="21"/>
                      <w:szCs w:val="24"/>
                      <w:lang w:val="en-US" w:eastAsia="zh-CN" w:bidi="ar-SA"/>
                    </w:rPr>
                  </w:pPr>
                  <w:r>
                    <w:rPr>
                      <w:color w:val="auto"/>
                    </w:rPr>
                    <w:t>1</w:t>
                  </w:r>
                </w:p>
              </w:tc>
              <w:tc>
                <w:tcPr>
                  <w:tcW w:w="1158" w:type="pct"/>
                  <w:shd w:val="clear" w:color="auto" w:fill="auto"/>
                  <w:vAlign w:val="center"/>
                </w:tcPr>
                <w:p w14:paraId="21F3D522">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31A51B5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2EB1B915">
                  <w:pPr>
                    <w:jc w:val="center"/>
                    <w:rPr>
                      <w:color w:val="auto"/>
                    </w:rPr>
                  </w:pPr>
                  <w:r>
                    <w:rPr>
                      <w:color w:val="auto"/>
                    </w:rPr>
                    <w:t>17</w:t>
                  </w:r>
                </w:p>
              </w:tc>
              <w:tc>
                <w:tcPr>
                  <w:tcW w:w="1174" w:type="pct"/>
                  <w:shd w:val="clear" w:color="auto" w:fill="auto"/>
                  <w:vAlign w:val="center"/>
                </w:tcPr>
                <w:p w14:paraId="731629AD">
                  <w:pPr>
                    <w:jc w:val="center"/>
                    <w:rPr>
                      <w:rFonts w:ascii="Times New Roman" w:hAnsi="Times New Roman" w:eastAsia="宋体" w:cs="Times New Roman"/>
                      <w:color w:val="auto"/>
                      <w:kern w:val="2"/>
                      <w:sz w:val="21"/>
                      <w:szCs w:val="24"/>
                      <w:lang w:val="en-US" w:eastAsia="zh-CN" w:bidi="ar-SA"/>
                    </w:rPr>
                  </w:pPr>
                  <w:r>
                    <w:rPr>
                      <w:color w:val="auto"/>
                    </w:rPr>
                    <w:t>熔点仪</w:t>
                  </w:r>
                </w:p>
              </w:tc>
              <w:tc>
                <w:tcPr>
                  <w:tcW w:w="1426" w:type="pct"/>
                  <w:shd w:val="clear" w:color="auto" w:fill="auto"/>
                  <w:vAlign w:val="center"/>
                </w:tcPr>
                <w:p w14:paraId="3449C3E4">
                  <w:pPr>
                    <w:jc w:val="center"/>
                    <w:rPr>
                      <w:rFonts w:ascii="Times New Roman" w:hAnsi="Times New Roman" w:eastAsia="宋体" w:cs="Times New Roman"/>
                      <w:color w:val="auto"/>
                      <w:kern w:val="2"/>
                      <w:sz w:val="21"/>
                      <w:szCs w:val="24"/>
                      <w:lang w:val="en-US" w:eastAsia="zh-CN" w:bidi="ar-SA"/>
                    </w:rPr>
                  </w:pPr>
                  <w:r>
                    <w:rPr>
                      <w:color w:val="auto"/>
                    </w:rPr>
                    <w:t>待定</w:t>
                  </w:r>
                </w:p>
              </w:tc>
              <w:tc>
                <w:tcPr>
                  <w:tcW w:w="776" w:type="pct"/>
                  <w:shd w:val="clear" w:color="auto" w:fill="auto"/>
                  <w:vAlign w:val="center"/>
                </w:tcPr>
                <w:p w14:paraId="0CECC6FE">
                  <w:pPr>
                    <w:jc w:val="center"/>
                    <w:rPr>
                      <w:rFonts w:ascii="Times New Roman" w:hAnsi="Times New Roman" w:eastAsia="宋体" w:cs="Times New Roman"/>
                      <w:color w:val="auto"/>
                      <w:kern w:val="2"/>
                      <w:sz w:val="21"/>
                      <w:szCs w:val="24"/>
                      <w:lang w:val="en-US" w:eastAsia="zh-CN" w:bidi="ar-SA"/>
                    </w:rPr>
                  </w:pPr>
                  <w:r>
                    <w:rPr>
                      <w:color w:val="auto"/>
                    </w:rPr>
                    <w:t>2</w:t>
                  </w:r>
                </w:p>
              </w:tc>
              <w:tc>
                <w:tcPr>
                  <w:tcW w:w="1158" w:type="pct"/>
                  <w:shd w:val="clear" w:color="auto" w:fill="auto"/>
                  <w:vAlign w:val="center"/>
                </w:tcPr>
                <w:p w14:paraId="729AA47C">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000AB5A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2615A60E">
                  <w:pPr>
                    <w:jc w:val="center"/>
                    <w:rPr>
                      <w:color w:val="auto"/>
                    </w:rPr>
                  </w:pPr>
                  <w:r>
                    <w:rPr>
                      <w:color w:val="auto"/>
                    </w:rPr>
                    <w:t>18</w:t>
                  </w:r>
                </w:p>
              </w:tc>
              <w:tc>
                <w:tcPr>
                  <w:tcW w:w="1174" w:type="pct"/>
                  <w:shd w:val="clear" w:color="auto" w:fill="auto"/>
                  <w:vAlign w:val="center"/>
                </w:tcPr>
                <w:p w14:paraId="27902055">
                  <w:pPr>
                    <w:jc w:val="center"/>
                    <w:rPr>
                      <w:rFonts w:ascii="Times New Roman" w:hAnsi="Times New Roman" w:eastAsia="宋体" w:cs="Times New Roman"/>
                      <w:color w:val="auto"/>
                      <w:kern w:val="2"/>
                      <w:sz w:val="21"/>
                      <w:szCs w:val="24"/>
                      <w:lang w:val="en-US" w:eastAsia="zh-CN" w:bidi="ar-SA"/>
                    </w:rPr>
                  </w:pPr>
                  <w:r>
                    <w:rPr>
                      <w:color w:val="auto"/>
                    </w:rPr>
                    <w:t>多层试剂</w:t>
                  </w:r>
                  <w:r>
                    <w:rPr>
                      <w:rFonts w:hint="eastAsia"/>
                      <w:color w:val="auto"/>
                    </w:rPr>
                    <w:t>架</w:t>
                  </w:r>
                </w:p>
              </w:tc>
              <w:tc>
                <w:tcPr>
                  <w:tcW w:w="1426" w:type="pct"/>
                  <w:shd w:val="clear" w:color="auto" w:fill="auto"/>
                  <w:vAlign w:val="center"/>
                </w:tcPr>
                <w:p w14:paraId="5F352E06">
                  <w:pPr>
                    <w:jc w:val="center"/>
                    <w:rPr>
                      <w:rFonts w:ascii="Times New Roman" w:hAnsi="Times New Roman" w:eastAsia="宋体" w:cs="Times New Roman"/>
                      <w:color w:val="auto"/>
                      <w:kern w:val="2"/>
                      <w:sz w:val="21"/>
                      <w:szCs w:val="24"/>
                      <w:lang w:val="en-US" w:eastAsia="zh-CN" w:bidi="ar-SA"/>
                    </w:rPr>
                  </w:pPr>
                  <w:r>
                    <w:rPr>
                      <w:rFonts w:hint="eastAsia"/>
                      <w:color w:val="auto"/>
                    </w:rPr>
                    <w:t>/</w:t>
                  </w:r>
                </w:p>
              </w:tc>
              <w:tc>
                <w:tcPr>
                  <w:tcW w:w="776" w:type="pct"/>
                  <w:shd w:val="clear" w:color="auto" w:fill="auto"/>
                  <w:vAlign w:val="center"/>
                </w:tcPr>
                <w:p w14:paraId="16339185">
                  <w:pPr>
                    <w:jc w:val="center"/>
                    <w:rPr>
                      <w:rFonts w:ascii="Times New Roman" w:hAnsi="Times New Roman" w:eastAsia="宋体" w:cs="Times New Roman"/>
                      <w:color w:val="auto"/>
                      <w:kern w:val="2"/>
                      <w:sz w:val="21"/>
                      <w:szCs w:val="24"/>
                      <w:lang w:val="en-US" w:eastAsia="zh-CN" w:bidi="ar-SA"/>
                    </w:rPr>
                  </w:pPr>
                  <w:r>
                    <w:rPr>
                      <w:color w:val="auto"/>
                    </w:rPr>
                    <w:t>8</w:t>
                  </w:r>
                </w:p>
              </w:tc>
              <w:tc>
                <w:tcPr>
                  <w:tcW w:w="1158" w:type="pct"/>
                  <w:shd w:val="clear" w:color="auto" w:fill="auto"/>
                  <w:vAlign w:val="center"/>
                </w:tcPr>
                <w:p w14:paraId="53626006">
                  <w:pPr>
                    <w:jc w:val="center"/>
                    <w:rPr>
                      <w:rFonts w:ascii="Times New Roman" w:hAnsi="Times New Roman" w:eastAsia="宋体" w:cs="Times New Roman"/>
                      <w:color w:val="auto"/>
                      <w:kern w:val="2"/>
                      <w:sz w:val="21"/>
                      <w:szCs w:val="24"/>
                      <w:lang w:val="en-US" w:eastAsia="zh-CN" w:bidi="ar-SA"/>
                    </w:rPr>
                  </w:pPr>
                  <w:r>
                    <w:rPr>
                      <w:rFonts w:hint="eastAsia"/>
                      <w:color w:val="auto"/>
                    </w:rPr>
                    <w:t>仓库</w:t>
                  </w:r>
                </w:p>
              </w:tc>
            </w:tr>
            <w:tr w14:paraId="382D6A0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tcBorders>
                    <w:bottom w:val="single" w:color="000000" w:sz="10" w:space="0"/>
                  </w:tcBorders>
                  <w:vAlign w:val="center"/>
                </w:tcPr>
                <w:p w14:paraId="35E86C1D">
                  <w:pPr>
                    <w:jc w:val="center"/>
                    <w:rPr>
                      <w:color w:val="auto"/>
                    </w:rPr>
                  </w:pPr>
                  <w:r>
                    <w:rPr>
                      <w:color w:val="auto"/>
                    </w:rPr>
                    <w:t>19</w:t>
                  </w:r>
                </w:p>
              </w:tc>
              <w:tc>
                <w:tcPr>
                  <w:tcW w:w="1174" w:type="pct"/>
                  <w:tcBorders>
                    <w:bottom w:val="single" w:color="000000" w:sz="10" w:space="0"/>
                  </w:tcBorders>
                  <w:shd w:val="clear" w:color="auto" w:fill="auto"/>
                  <w:vAlign w:val="center"/>
                </w:tcPr>
                <w:p w14:paraId="30886C34">
                  <w:pPr>
                    <w:jc w:val="center"/>
                    <w:rPr>
                      <w:rFonts w:ascii="Times New Roman" w:hAnsi="Times New Roman" w:eastAsia="宋体" w:cs="Times New Roman"/>
                      <w:color w:val="auto"/>
                      <w:kern w:val="2"/>
                      <w:sz w:val="21"/>
                      <w:szCs w:val="24"/>
                      <w:lang w:val="en-US" w:eastAsia="zh-CN" w:bidi="ar-SA"/>
                    </w:rPr>
                  </w:pPr>
                  <w:r>
                    <w:rPr>
                      <w:color w:val="auto"/>
                    </w:rPr>
                    <w:t>货架</w:t>
                  </w:r>
                </w:p>
              </w:tc>
              <w:tc>
                <w:tcPr>
                  <w:tcW w:w="1426" w:type="pct"/>
                  <w:tcBorders>
                    <w:bottom w:val="single" w:color="000000" w:sz="10" w:space="0"/>
                  </w:tcBorders>
                  <w:shd w:val="clear" w:color="auto" w:fill="auto"/>
                  <w:vAlign w:val="center"/>
                </w:tcPr>
                <w:p w14:paraId="7CABDBEE">
                  <w:pPr>
                    <w:jc w:val="center"/>
                    <w:rPr>
                      <w:rFonts w:ascii="Times New Roman" w:hAnsi="Times New Roman" w:eastAsia="宋体" w:cs="Times New Roman"/>
                      <w:color w:val="auto"/>
                      <w:kern w:val="2"/>
                      <w:sz w:val="21"/>
                      <w:szCs w:val="24"/>
                      <w:lang w:val="en-US" w:eastAsia="zh-CN" w:bidi="ar-SA"/>
                    </w:rPr>
                  </w:pPr>
                  <w:r>
                    <w:rPr>
                      <w:color w:val="auto"/>
                    </w:rPr>
                    <w:t>待定</w:t>
                  </w:r>
                </w:p>
              </w:tc>
              <w:tc>
                <w:tcPr>
                  <w:tcW w:w="776" w:type="pct"/>
                  <w:tcBorders>
                    <w:bottom w:val="single" w:color="000000" w:sz="10" w:space="0"/>
                  </w:tcBorders>
                  <w:shd w:val="clear" w:color="auto" w:fill="auto"/>
                  <w:vAlign w:val="center"/>
                </w:tcPr>
                <w:p w14:paraId="68213FE1">
                  <w:pPr>
                    <w:jc w:val="center"/>
                    <w:rPr>
                      <w:rFonts w:ascii="Times New Roman" w:hAnsi="Times New Roman" w:eastAsia="宋体" w:cs="Times New Roman"/>
                      <w:color w:val="auto"/>
                      <w:kern w:val="2"/>
                      <w:sz w:val="21"/>
                      <w:szCs w:val="24"/>
                      <w:lang w:val="en-US" w:eastAsia="zh-CN" w:bidi="ar-SA"/>
                    </w:rPr>
                  </w:pPr>
                  <w:r>
                    <w:rPr>
                      <w:color w:val="auto"/>
                    </w:rPr>
                    <w:t>4</w:t>
                  </w:r>
                </w:p>
              </w:tc>
              <w:tc>
                <w:tcPr>
                  <w:tcW w:w="1158" w:type="pct"/>
                  <w:tcBorders>
                    <w:bottom w:val="single" w:color="000000" w:sz="10" w:space="0"/>
                  </w:tcBorders>
                  <w:shd w:val="clear" w:color="auto" w:fill="auto"/>
                  <w:vAlign w:val="center"/>
                </w:tcPr>
                <w:p w14:paraId="5E9C95D8">
                  <w:pPr>
                    <w:jc w:val="center"/>
                    <w:rPr>
                      <w:rFonts w:ascii="Times New Roman" w:hAnsi="Times New Roman" w:eastAsia="宋体" w:cs="Times New Roman"/>
                      <w:color w:val="auto"/>
                      <w:kern w:val="2"/>
                      <w:sz w:val="21"/>
                      <w:szCs w:val="24"/>
                      <w:lang w:val="en-US" w:eastAsia="zh-CN" w:bidi="ar-SA"/>
                    </w:rPr>
                  </w:pPr>
                  <w:r>
                    <w:rPr>
                      <w:rFonts w:hint="eastAsia"/>
                      <w:color w:val="auto"/>
                    </w:rPr>
                    <w:t>仓库</w:t>
                  </w:r>
                </w:p>
              </w:tc>
            </w:tr>
            <w:tr w14:paraId="11EF536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41490088">
                  <w:pPr>
                    <w:jc w:val="center"/>
                    <w:rPr>
                      <w:color w:val="auto"/>
                    </w:rPr>
                  </w:pPr>
                  <w:r>
                    <w:rPr>
                      <w:color w:val="auto"/>
                    </w:rPr>
                    <w:t>20</w:t>
                  </w:r>
                </w:p>
              </w:tc>
              <w:tc>
                <w:tcPr>
                  <w:tcW w:w="1174" w:type="pct"/>
                  <w:shd w:val="clear" w:color="auto" w:fill="auto"/>
                  <w:vAlign w:val="center"/>
                </w:tcPr>
                <w:p w14:paraId="28A63C85">
                  <w:pPr>
                    <w:jc w:val="center"/>
                    <w:rPr>
                      <w:rFonts w:ascii="Times New Roman" w:hAnsi="Times New Roman" w:eastAsia="宋体" w:cs="Times New Roman"/>
                      <w:color w:val="auto"/>
                      <w:kern w:val="2"/>
                      <w:sz w:val="21"/>
                      <w:szCs w:val="24"/>
                      <w:lang w:val="en-US" w:eastAsia="zh-CN" w:bidi="ar-SA"/>
                    </w:rPr>
                  </w:pPr>
                  <w:r>
                    <w:rPr>
                      <w:color w:val="auto"/>
                    </w:rPr>
                    <w:t>旋蒸2L</w:t>
                  </w:r>
                </w:p>
              </w:tc>
              <w:tc>
                <w:tcPr>
                  <w:tcW w:w="1426" w:type="pct"/>
                  <w:shd w:val="clear" w:color="auto" w:fill="auto"/>
                  <w:vAlign w:val="center"/>
                </w:tcPr>
                <w:p w14:paraId="0C6C8F5D">
                  <w:pPr>
                    <w:jc w:val="center"/>
                    <w:rPr>
                      <w:rFonts w:ascii="Times New Roman" w:hAnsi="Times New Roman" w:eastAsia="宋体" w:cs="Times New Roman"/>
                      <w:color w:val="auto"/>
                      <w:kern w:val="2"/>
                      <w:sz w:val="21"/>
                      <w:szCs w:val="24"/>
                      <w:lang w:val="en-US" w:eastAsia="zh-CN" w:bidi="ar-SA"/>
                    </w:rPr>
                  </w:pPr>
                  <w:r>
                    <w:rPr>
                      <w:rFonts w:hint="eastAsia"/>
                      <w:color w:val="auto"/>
                    </w:rPr>
                    <w:t>/</w:t>
                  </w:r>
                </w:p>
              </w:tc>
              <w:tc>
                <w:tcPr>
                  <w:tcW w:w="776" w:type="pct"/>
                  <w:shd w:val="clear" w:color="auto" w:fill="auto"/>
                  <w:vAlign w:val="center"/>
                </w:tcPr>
                <w:p w14:paraId="3BC49C7B">
                  <w:pPr>
                    <w:jc w:val="center"/>
                    <w:rPr>
                      <w:rFonts w:ascii="Times New Roman" w:hAnsi="Times New Roman" w:eastAsia="宋体" w:cs="Times New Roman"/>
                      <w:color w:val="auto"/>
                      <w:kern w:val="2"/>
                      <w:sz w:val="21"/>
                      <w:szCs w:val="24"/>
                      <w:lang w:val="en-US" w:eastAsia="zh-CN" w:bidi="ar-SA"/>
                    </w:rPr>
                  </w:pPr>
                  <w:r>
                    <w:rPr>
                      <w:color w:val="auto"/>
                    </w:rPr>
                    <w:t>2</w:t>
                  </w:r>
                </w:p>
              </w:tc>
              <w:tc>
                <w:tcPr>
                  <w:tcW w:w="1158" w:type="pct"/>
                  <w:shd w:val="clear" w:color="auto" w:fill="auto"/>
                  <w:vAlign w:val="center"/>
                </w:tcPr>
                <w:p w14:paraId="00B3EF48">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5473A5D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255F83BE">
                  <w:pPr>
                    <w:jc w:val="center"/>
                    <w:rPr>
                      <w:color w:val="auto"/>
                    </w:rPr>
                  </w:pPr>
                  <w:r>
                    <w:rPr>
                      <w:color w:val="auto"/>
                    </w:rPr>
                    <w:t>21</w:t>
                  </w:r>
                </w:p>
              </w:tc>
              <w:tc>
                <w:tcPr>
                  <w:tcW w:w="1174" w:type="pct"/>
                  <w:shd w:val="clear" w:color="auto" w:fill="auto"/>
                  <w:vAlign w:val="center"/>
                </w:tcPr>
                <w:p w14:paraId="5C4DCF86">
                  <w:pPr>
                    <w:jc w:val="center"/>
                    <w:rPr>
                      <w:rFonts w:ascii="Times New Roman" w:hAnsi="Times New Roman" w:eastAsia="宋体" w:cs="Times New Roman"/>
                      <w:color w:val="auto"/>
                      <w:kern w:val="2"/>
                      <w:sz w:val="21"/>
                      <w:szCs w:val="24"/>
                      <w:lang w:val="en-US" w:eastAsia="zh-CN" w:bidi="ar-SA"/>
                    </w:rPr>
                  </w:pPr>
                  <w:r>
                    <w:rPr>
                      <w:color w:val="auto"/>
                    </w:rPr>
                    <w:t>-20冷却循环泵</w:t>
                  </w:r>
                </w:p>
              </w:tc>
              <w:tc>
                <w:tcPr>
                  <w:tcW w:w="1426" w:type="pct"/>
                  <w:shd w:val="clear" w:color="auto" w:fill="auto"/>
                  <w:vAlign w:val="center"/>
                </w:tcPr>
                <w:p w14:paraId="301F326B">
                  <w:pPr>
                    <w:jc w:val="center"/>
                    <w:rPr>
                      <w:rFonts w:ascii="Times New Roman" w:hAnsi="Times New Roman" w:eastAsia="宋体" w:cs="Times New Roman"/>
                      <w:color w:val="auto"/>
                      <w:kern w:val="2"/>
                      <w:sz w:val="21"/>
                      <w:szCs w:val="24"/>
                      <w:lang w:val="en-US" w:eastAsia="zh-CN" w:bidi="ar-SA"/>
                    </w:rPr>
                  </w:pPr>
                  <w:r>
                    <w:rPr>
                      <w:rFonts w:hint="eastAsia"/>
                      <w:color w:val="auto"/>
                    </w:rPr>
                    <w:t>/</w:t>
                  </w:r>
                </w:p>
              </w:tc>
              <w:tc>
                <w:tcPr>
                  <w:tcW w:w="776" w:type="pct"/>
                  <w:shd w:val="clear" w:color="auto" w:fill="auto"/>
                  <w:vAlign w:val="center"/>
                </w:tcPr>
                <w:p w14:paraId="37DDEFDD">
                  <w:pPr>
                    <w:jc w:val="center"/>
                    <w:rPr>
                      <w:rFonts w:ascii="Times New Roman" w:hAnsi="Times New Roman" w:eastAsia="宋体" w:cs="Times New Roman"/>
                      <w:color w:val="auto"/>
                      <w:kern w:val="2"/>
                      <w:sz w:val="21"/>
                      <w:szCs w:val="24"/>
                      <w:lang w:val="en-US" w:eastAsia="zh-CN" w:bidi="ar-SA"/>
                    </w:rPr>
                  </w:pPr>
                  <w:r>
                    <w:rPr>
                      <w:color w:val="auto"/>
                    </w:rPr>
                    <w:t>3</w:t>
                  </w:r>
                </w:p>
              </w:tc>
              <w:tc>
                <w:tcPr>
                  <w:tcW w:w="1158" w:type="pct"/>
                  <w:shd w:val="clear" w:color="auto" w:fill="auto"/>
                  <w:vAlign w:val="center"/>
                </w:tcPr>
                <w:p w14:paraId="5847C594">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43935B2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73AF0D16">
                  <w:pPr>
                    <w:jc w:val="center"/>
                    <w:rPr>
                      <w:color w:val="auto"/>
                    </w:rPr>
                  </w:pPr>
                  <w:r>
                    <w:rPr>
                      <w:color w:val="auto"/>
                    </w:rPr>
                    <w:t>22</w:t>
                  </w:r>
                </w:p>
              </w:tc>
              <w:tc>
                <w:tcPr>
                  <w:tcW w:w="1174" w:type="pct"/>
                  <w:shd w:val="clear" w:color="auto" w:fill="auto"/>
                  <w:vAlign w:val="center"/>
                </w:tcPr>
                <w:p w14:paraId="1D960439">
                  <w:pPr>
                    <w:jc w:val="center"/>
                    <w:rPr>
                      <w:rFonts w:ascii="Times New Roman" w:hAnsi="Times New Roman" w:eastAsia="宋体" w:cs="Times New Roman"/>
                      <w:color w:val="auto"/>
                      <w:kern w:val="2"/>
                      <w:sz w:val="21"/>
                      <w:szCs w:val="24"/>
                      <w:lang w:val="en-US" w:eastAsia="zh-CN" w:bidi="ar-SA"/>
                    </w:rPr>
                  </w:pPr>
                  <w:r>
                    <w:rPr>
                      <w:color w:val="auto"/>
                    </w:rPr>
                    <w:t>台式循环真空泵</w:t>
                  </w:r>
                </w:p>
              </w:tc>
              <w:tc>
                <w:tcPr>
                  <w:tcW w:w="1426" w:type="pct"/>
                  <w:shd w:val="clear" w:color="auto" w:fill="auto"/>
                  <w:vAlign w:val="center"/>
                </w:tcPr>
                <w:p w14:paraId="1F2CC2AB">
                  <w:pPr>
                    <w:jc w:val="center"/>
                    <w:rPr>
                      <w:rFonts w:ascii="Times New Roman" w:hAnsi="Times New Roman" w:eastAsia="宋体" w:cs="Times New Roman"/>
                      <w:color w:val="auto"/>
                      <w:kern w:val="2"/>
                      <w:sz w:val="21"/>
                      <w:szCs w:val="24"/>
                      <w:lang w:val="en-US" w:eastAsia="zh-CN" w:bidi="ar-SA"/>
                    </w:rPr>
                  </w:pPr>
                  <w:r>
                    <w:rPr>
                      <w:color w:val="auto"/>
                    </w:rPr>
                    <w:t>SHZ-D</w:t>
                  </w:r>
                  <w:r>
                    <w:rPr>
                      <w:rFonts w:hint="eastAsia"/>
                      <w:color w:val="auto"/>
                    </w:rPr>
                    <w:t>（</w:t>
                  </w:r>
                  <w:r>
                    <w:rPr>
                      <w:color w:val="auto"/>
                    </w:rPr>
                    <w:t>Ⅲ</w:t>
                  </w:r>
                  <w:r>
                    <w:rPr>
                      <w:rFonts w:hint="eastAsia"/>
                      <w:color w:val="auto"/>
                    </w:rPr>
                    <w:t>）</w:t>
                  </w:r>
                  <w:r>
                    <w:rPr>
                      <w:color w:val="auto"/>
                    </w:rPr>
                    <w:t>四表四抽头</w:t>
                  </w:r>
                </w:p>
              </w:tc>
              <w:tc>
                <w:tcPr>
                  <w:tcW w:w="776" w:type="pct"/>
                  <w:shd w:val="clear" w:color="auto" w:fill="auto"/>
                  <w:vAlign w:val="center"/>
                </w:tcPr>
                <w:p w14:paraId="1334EA4C">
                  <w:pPr>
                    <w:jc w:val="center"/>
                    <w:rPr>
                      <w:rFonts w:ascii="Times New Roman" w:hAnsi="Times New Roman" w:eastAsia="宋体" w:cs="Times New Roman"/>
                      <w:color w:val="auto"/>
                      <w:kern w:val="2"/>
                      <w:sz w:val="21"/>
                      <w:szCs w:val="24"/>
                      <w:lang w:val="en-US" w:eastAsia="zh-CN" w:bidi="ar-SA"/>
                    </w:rPr>
                  </w:pPr>
                  <w:r>
                    <w:rPr>
                      <w:color w:val="auto"/>
                    </w:rPr>
                    <w:t>2</w:t>
                  </w:r>
                </w:p>
              </w:tc>
              <w:tc>
                <w:tcPr>
                  <w:tcW w:w="1158" w:type="pct"/>
                  <w:shd w:val="clear" w:color="auto" w:fill="auto"/>
                  <w:vAlign w:val="center"/>
                </w:tcPr>
                <w:p w14:paraId="700D26B8">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03E5F63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071BC540">
                  <w:pPr>
                    <w:jc w:val="center"/>
                    <w:rPr>
                      <w:color w:val="auto"/>
                    </w:rPr>
                  </w:pPr>
                  <w:r>
                    <w:rPr>
                      <w:color w:val="auto"/>
                    </w:rPr>
                    <w:t>23</w:t>
                  </w:r>
                </w:p>
              </w:tc>
              <w:tc>
                <w:tcPr>
                  <w:tcW w:w="1174" w:type="pct"/>
                  <w:shd w:val="clear" w:color="auto" w:fill="auto"/>
                  <w:vAlign w:val="center"/>
                </w:tcPr>
                <w:p w14:paraId="4F6AEDEF">
                  <w:pPr>
                    <w:jc w:val="center"/>
                    <w:rPr>
                      <w:rFonts w:ascii="Times New Roman" w:hAnsi="Times New Roman" w:eastAsia="宋体" w:cs="Times New Roman"/>
                      <w:color w:val="auto"/>
                      <w:kern w:val="2"/>
                      <w:sz w:val="21"/>
                      <w:szCs w:val="24"/>
                      <w:lang w:val="en-US" w:eastAsia="zh-CN" w:bidi="ar-SA"/>
                    </w:rPr>
                  </w:pPr>
                  <w:r>
                    <w:rPr>
                      <w:color w:val="auto"/>
                    </w:rPr>
                    <w:t>磁力搅拌器</w:t>
                  </w:r>
                </w:p>
              </w:tc>
              <w:tc>
                <w:tcPr>
                  <w:tcW w:w="1426" w:type="pct"/>
                  <w:shd w:val="clear" w:color="auto" w:fill="auto"/>
                  <w:vAlign w:val="center"/>
                </w:tcPr>
                <w:p w14:paraId="5436C0D1">
                  <w:pPr>
                    <w:jc w:val="center"/>
                    <w:rPr>
                      <w:rFonts w:ascii="Times New Roman" w:hAnsi="Times New Roman" w:eastAsia="宋体" w:cs="Times New Roman"/>
                      <w:color w:val="auto"/>
                      <w:kern w:val="2"/>
                      <w:sz w:val="21"/>
                      <w:szCs w:val="24"/>
                      <w:lang w:val="en-US" w:eastAsia="zh-CN" w:bidi="ar-SA"/>
                    </w:rPr>
                  </w:pPr>
                  <w:r>
                    <w:rPr>
                      <w:rFonts w:hint="eastAsia"/>
                      <w:color w:val="auto"/>
                    </w:rPr>
                    <w:t>/</w:t>
                  </w:r>
                </w:p>
              </w:tc>
              <w:tc>
                <w:tcPr>
                  <w:tcW w:w="776" w:type="pct"/>
                  <w:shd w:val="clear" w:color="auto" w:fill="auto"/>
                  <w:vAlign w:val="center"/>
                </w:tcPr>
                <w:p w14:paraId="538FE758">
                  <w:pPr>
                    <w:jc w:val="center"/>
                    <w:rPr>
                      <w:rFonts w:ascii="Times New Roman" w:hAnsi="Times New Roman" w:eastAsia="宋体" w:cs="Times New Roman"/>
                      <w:color w:val="auto"/>
                      <w:kern w:val="2"/>
                      <w:sz w:val="21"/>
                      <w:szCs w:val="24"/>
                      <w:lang w:val="en-US" w:eastAsia="zh-CN" w:bidi="ar-SA"/>
                    </w:rPr>
                  </w:pPr>
                  <w:r>
                    <w:rPr>
                      <w:color w:val="auto"/>
                    </w:rPr>
                    <w:t>5</w:t>
                  </w:r>
                </w:p>
              </w:tc>
              <w:tc>
                <w:tcPr>
                  <w:tcW w:w="1158" w:type="pct"/>
                  <w:shd w:val="clear" w:color="auto" w:fill="auto"/>
                  <w:vAlign w:val="center"/>
                </w:tcPr>
                <w:p w14:paraId="52AAF781">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6E7CDE8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28237A78">
                  <w:pPr>
                    <w:jc w:val="center"/>
                    <w:rPr>
                      <w:color w:val="auto"/>
                    </w:rPr>
                  </w:pPr>
                  <w:r>
                    <w:rPr>
                      <w:color w:val="auto"/>
                    </w:rPr>
                    <w:t>24</w:t>
                  </w:r>
                </w:p>
              </w:tc>
              <w:tc>
                <w:tcPr>
                  <w:tcW w:w="1174" w:type="pct"/>
                  <w:shd w:val="clear" w:color="auto" w:fill="auto"/>
                  <w:vAlign w:val="center"/>
                </w:tcPr>
                <w:p w14:paraId="741E02F1">
                  <w:pPr>
                    <w:jc w:val="center"/>
                    <w:rPr>
                      <w:rFonts w:ascii="Times New Roman" w:hAnsi="Times New Roman" w:eastAsia="宋体" w:cs="Times New Roman"/>
                      <w:color w:val="auto"/>
                      <w:kern w:val="2"/>
                      <w:sz w:val="21"/>
                      <w:szCs w:val="24"/>
                      <w:lang w:val="en-US" w:eastAsia="zh-CN" w:bidi="ar-SA"/>
                    </w:rPr>
                  </w:pPr>
                  <w:r>
                    <w:rPr>
                      <w:color w:val="auto"/>
                    </w:rPr>
                    <w:t>机械搅拌器</w:t>
                  </w:r>
                </w:p>
              </w:tc>
              <w:tc>
                <w:tcPr>
                  <w:tcW w:w="1426" w:type="pct"/>
                  <w:shd w:val="clear" w:color="auto" w:fill="auto"/>
                  <w:vAlign w:val="center"/>
                </w:tcPr>
                <w:p w14:paraId="3E63BDFA">
                  <w:pPr>
                    <w:jc w:val="center"/>
                    <w:rPr>
                      <w:rFonts w:ascii="Times New Roman" w:hAnsi="Times New Roman" w:eastAsia="宋体" w:cs="Times New Roman"/>
                      <w:color w:val="auto"/>
                      <w:kern w:val="2"/>
                      <w:sz w:val="21"/>
                      <w:szCs w:val="24"/>
                      <w:lang w:val="en-US" w:eastAsia="zh-CN" w:bidi="ar-SA"/>
                    </w:rPr>
                  </w:pPr>
                  <w:r>
                    <w:rPr>
                      <w:rFonts w:hint="eastAsia"/>
                      <w:color w:val="auto"/>
                    </w:rPr>
                    <w:t>/</w:t>
                  </w:r>
                </w:p>
              </w:tc>
              <w:tc>
                <w:tcPr>
                  <w:tcW w:w="776" w:type="pct"/>
                  <w:shd w:val="clear" w:color="auto" w:fill="auto"/>
                  <w:vAlign w:val="center"/>
                </w:tcPr>
                <w:p w14:paraId="137C055A">
                  <w:pPr>
                    <w:jc w:val="center"/>
                    <w:rPr>
                      <w:rFonts w:ascii="Times New Roman" w:hAnsi="Times New Roman" w:eastAsia="宋体" w:cs="Times New Roman"/>
                      <w:color w:val="auto"/>
                      <w:kern w:val="2"/>
                      <w:sz w:val="21"/>
                      <w:szCs w:val="24"/>
                      <w:lang w:val="en-US" w:eastAsia="zh-CN" w:bidi="ar-SA"/>
                    </w:rPr>
                  </w:pPr>
                  <w:r>
                    <w:rPr>
                      <w:color w:val="auto"/>
                    </w:rPr>
                    <w:t>2</w:t>
                  </w:r>
                </w:p>
              </w:tc>
              <w:tc>
                <w:tcPr>
                  <w:tcW w:w="1158" w:type="pct"/>
                  <w:shd w:val="clear" w:color="auto" w:fill="auto"/>
                  <w:vAlign w:val="center"/>
                </w:tcPr>
                <w:p w14:paraId="17E605E5">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6506682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47710388">
                  <w:pPr>
                    <w:jc w:val="center"/>
                    <w:rPr>
                      <w:color w:val="auto"/>
                    </w:rPr>
                  </w:pPr>
                  <w:r>
                    <w:rPr>
                      <w:color w:val="auto"/>
                    </w:rPr>
                    <w:t>25</w:t>
                  </w:r>
                </w:p>
              </w:tc>
              <w:tc>
                <w:tcPr>
                  <w:tcW w:w="1174" w:type="pct"/>
                  <w:shd w:val="clear" w:color="auto" w:fill="auto"/>
                  <w:vAlign w:val="center"/>
                </w:tcPr>
                <w:p w14:paraId="55A15E3C">
                  <w:pPr>
                    <w:jc w:val="center"/>
                    <w:rPr>
                      <w:rFonts w:ascii="Times New Roman" w:hAnsi="Times New Roman" w:eastAsia="宋体" w:cs="Times New Roman"/>
                      <w:color w:val="auto"/>
                      <w:kern w:val="2"/>
                      <w:sz w:val="21"/>
                      <w:szCs w:val="24"/>
                      <w:lang w:val="en-US" w:eastAsia="zh-CN" w:bidi="ar-SA"/>
                    </w:rPr>
                  </w:pPr>
                  <w:r>
                    <w:rPr>
                      <w:color w:val="auto"/>
                    </w:rPr>
                    <w:t>冰</w:t>
                  </w:r>
                  <w:r>
                    <w:rPr>
                      <w:rFonts w:hint="eastAsia"/>
                      <w:color w:val="auto"/>
                    </w:rPr>
                    <w:t>柜</w:t>
                  </w:r>
                </w:p>
              </w:tc>
              <w:tc>
                <w:tcPr>
                  <w:tcW w:w="1426" w:type="pct"/>
                  <w:shd w:val="clear" w:color="auto" w:fill="auto"/>
                  <w:vAlign w:val="center"/>
                </w:tcPr>
                <w:p w14:paraId="2AA8F7DE">
                  <w:pPr>
                    <w:jc w:val="center"/>
                    <w:rPr>
                      <w:rFonts w:ascii="Times New Roman" w:hAnsi="Times New Roman" w:eastAsia="宋体" w:cs="Times New Roman"/>
                      <w:color w:val="auto"/>
                      <w:kern w:val="2"/>
                      <w:sz w:val="21"/>
                      <w:szCs w:val="24"/>
                      <w:lang w:val="en-US" w:eastAsia="zh-CN" w:bidi="ar-SA"/>
                    </w:rPr>
                  </w:pPr>
                  <w:r>
                    <w:rPr>
                      <w:rFonts w:hint="eastAsia"/>
                      <w:color w:val="auto"/>
                    </w:rPr>
                    <w:t>/</w:t>
                  </w:r>
                </w:p>
              </w:tc>
              <w:tc>
                <w:tcPr>
                  <w:tcW w:w="776" w:type="pct"/>
                  <w:shd w:val="clear" w:color="auto" w:fill="auto"/>
                  <w:vAlign w:val="center"/>
                </w:tcPr>
                <w:p w14:paraId="2F39D1D9">
                  <w:pPr>
                    <w:jc w:val="center"/>
                    <w:rPr>
                      <w:rFonts w:ascii="Times New Roman" w:hAnsi="Times New Roman" w:eastAsia="宋体" w:cs="Times New Roman"/>
                      <w:color w:val="auto"/>
                      <w:kern w:val="2"/>
                      <w:sz w:val="21"/>
                      <w:szCs w:val="24"/>
                      <w:lang w:val="en-US" w:eastAsia="zh-CN" w:bidi="ar-SA"/>
                    </w:rPr>
                  </w:pPr>
                  <w:r>
                    <w:rPr>
                      <w:color w:val="auto"/>
                    </w:rPr>
                    <w:t>1</w:t>
                  </w:r>
                </w:p>
              </w:tc>
              <w:tc>
                <w:tcPr>
                  <w:tcW w:w="1158" w:type="pct"/>
                  <w:shd w:val="clear" w:color="auto" w:fill="auto"/>
                  <w:vAlign w:val="center"/>
                </w:tcPr>
                <w:p w14:paraId="58342F46">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7B5F74A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41D72E5C">
                  <w:pPr>
                    <w:jc w:val="center"/>
                    <w:rPr>
                      <w:color w:val="auto"/>
                    </w:rPr>
                  </w:pPr>
                  <w:r>
                    <w:rPr>
                      <w:color w:val="auto"/>
                    </w:rPr>
                    <w:t>26</w:t>
                  </w:r>
                </w:p>
              </w:tc>
              <w:tc>
                <w:tcPr>
                  <w:tcW w:w="1174" w:type="pct"/>
                  <w:shd w:val="clear" w:color="auto" w:fill="auto"/>
                  <w:vAlign w:val="center"/>
                </w:tcPr>
                <w:p w14:paraId="771A591C">
                  <w:pPr>
                    <w:jc w:val="center"/>
                    <w:rPr>
                      <w:rFonts w:ascii="Times New Roman" w:hAnsi="Times New Roman" w:eastAsia="宋体" w:cs="Times New Roman"/>
                      <w:color w:val="auto"/>
                      <w:kern w:val="2"/>
                      <w:sz w:val="21"/>
                      <w:szCs w:val="24"/>
                      <w:lang w:val="en-US" w:eastAsia="zh-CN" w:bidi="ar-SA"/>
                    </w:rPr>
                  </w:pPr>
                  <w:r>
                    <w:rPr>
                      <w:color w:val="auto"/>
                    </w:rPr>
                    <w:t>中压氢化反应仪</w:t>
                  </w:r>
                </w:p>
              </w:tc>
              <w:tc>
                <w:tcPr>
                  <w:tcW w:w="1426" w:type="pct"/>
                  <w:shd w:val="clear" w:color="auto" w:fill="auto"/>
                  <w:vAlign w:val="center"/>
                </w:tcPr>
                <w:p w14:paraId="48D97145">
                  <w:pPr>
                    <w:jc w:val="center"/>
                    <w:rPr>
                      <w:rFonts w:ascii="Times New Roman" w:hAnsi="Times New Roman" w:eastAsia="宋体" w:cs="Times New Roman"/>
                      <w:color w:val="auto"/>
                      <w:kern w:val="2"/>
                      <w:sz w:val="21"/>
                      <w:szCs w:val="24"/>
                      <w:lang w:val="en-US" w:eastAsia="zh-CN" w:bidi="ar-SA"/>
                    </w:rPr>
                  </w:pPr>
                  <w:r>
                    <w:rPr>
                      <w:color w:val="auto"/>
                    </w:rPr>
                    <w:t>BLT-2000（2L）</w:t>
                  </w:r>
                </w:p>
              </w:tc>
              <w:tc>
                <w:tcPr>
                  <w:tcW w:w="776" w:type="pct"/>
                  <w:shd w:val="clear" w:color="auto" w:fill="auto"/>
                  <w:vAlign w:val="center"/>
                </w:tcPr>
                <w:p w14:paraId="58DB45B2">
                  <w:pPr>
                    <w:jc w:val="center"/>
                    <w:rPr>
                      <w:rFonts w:ascii="Times New Roman" w:hAnsi="Times New Roman" w:eastAsia="宋体" w:cs="Times New Roman"/>
                      <w:color w:val="auto"/>
                      <w:kern w:val="2"/>
                      <w:sz w:val="21"/>
                      <w:szCs w:val="24"/>
                      <w:lang w:val="en-US" w:eastAsia="zh-CN" w:bidi="ar-SA"/>
                    </w:rPr>
                  </w:pPr>
                  <w:r>
                    <w:rPr>
                      <w:color w:val="auto"/>
                    </w:rPr>
                    <w:t>1</w:t>
                  </w:r>
                </w:p>
              </w:tc>
              <w:tc>
                <w:tcPr>
                  <w:tcW w:w="1158" w:type="pct"/>
                  <w:shd w:val="clear" w:color="auto" w:fill="auto"/>
                  <w:vAlign w:val="center"/>
                </w:tcPr>
                <w:p w14:paraId="6F0DB180">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1E97C88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180B464C">
                  <w:pPr>
                    <w:jc w:val="center"/>
                    <w:rPr>
                      <w:color w:val="auto"/>
                    </w:rPr>
                  </w:pPr>
                  <w:r>
                    <w:rPr>
                      <w:color w:val="auto"/>
                    </w:rPr>
                    <w:t>27</w:t>
                  </w:r>
                </w:p>
              </w:tc>
              <w:tc>
                <w:tcPr>
                  <w:tcW w:w="1174" w:type="pct"/>
                  <w:shd w:val="clear" w:color="auto" w:fill="auto"/>
                  <w:vAlign w:val="center"/>
                </w:tcPr>
                <w:p w14:paraId="03948F6E">
                  <w:pPr>
                    <w:jc w:val="center"/>
                    <w:rPr>
                      <w:rFonts w:ascii="Times New Roman" w:hAnsi="Times New Roman" w:eastAsia="宋体" w:cs="Times New Roman"/>
                      <w:color w:val="auto"/>
                      <w:kern w:val="2"/>
                      <w:sz w:val="21"/>
                      <w:szCs w:val="24"/>
                      <w:lang w:val="en-US" w:eastAsia="zh-CN" w:bidi="ar-SA"/>
                    </w:rPr>
                  </w:pPr>
                  <w:r>
                    <w:rPr>
                      <w:rFonts w:hint="eastAsia"/>
                      <w:color w:val="auto"/>
                    </w:rPr>
                    <w:t>紫外灯</w:t>
                  </w:r>
                </w:p>
              </w:tc>
              <w:tc>
                <w:tcPr>
                  <w:tcW w:w="1426" w:type="pct"/>
                  <w:shd w:val="clear" w:color="auto" w:fill="auto"/>
                  <w:vAlign w:val="center"/>
                </w:tcPr>
                <w:p w14:paraId="754F1CD0">
                  <w:pPr>
                    <w:jc w:val="center"/>
                    <w:rPr>
                      <w:rFonts w:ascii="Times New Roman" w:hAnsi="Times New Roman" w:eastAsia="宋体" w:cs="Times New Roman"/>
                      <w:color w:val="auto"/>
                      <w:kern w:val="2"/>
                      <w:sz w:val="21"/>
                      <w:szCs w:val="24"/>
                      <w:lang w:val="en-US" w:eastAsia="zh-CN" w:bidi="ar-SA"/>
                    </w:rPr>
                  </w:pPr>
                  <w:r>
                    <w:rPr>
                      <w:rFonts w:hint="eastAsia"/>
                      <w:color w:val="auto"/>
                    </w:rPr>
                    <w:t>/</w:t>
                  </w:r>
                </w:p>
              </w:tc>
              <w:tc>
                <w:tcPr>
                  <w:tcW w:w="776" w:type="pct"/>
                  <w:shd w:val="clear" w:color="auto" w:fill="auto"/>
                  <w:vAlign w:val="center"/>
                </w:tcPr>
                <w:p w14:paraId="77115E0E">
                  <w:pPr>
                    <w:jc w:val="center"/>
                    <w:rPr>
                      <w:rFonts w:ascii="Times New Roman" w:hAnsi="Times New Roman" w:eastAsia="宋体" w:cs="Times New Roman"/>
                      <w:color w:val="auto"/>
                      <w:kern w:val="2"/>
                      <w:sz w:val="21"/>
                      <w:szCs w:val="24"/>
                      <w:lang w:val="en-US" w:eastAsia="zh-CN" w:bidi="ar-SA"/>
                    </w:rPr>
                  </w:pPr>
                  <w:r>
                    <w:rPr>
                      <w:color w:val="auto"/>
                    </w:rPr>
                    <w:t>2</w:t>
                  </w:r>
                </w:p>
              </w:tc>
              <w:tc>
                <w:tcPr>
                  <w:tcW w:w="1158" w:type="pct"/>
                  <w:shd w:val="clear" w:color="auto" w:fill="auto"/>
                  <w:vAlign w:val="center"/>
                </w:tcPr>
                <w:p w14:paraId="70524115">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3E2A6DB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3FF4AD4C">
                  <w:pPr>
                    <w:jc w:val="center"/>
                    <w:rPr>
                      <w:color w:val="auto"/>
                    </w:rPr>
                  </w:pPr>
                  <w:r>
                    <w:rPr>
                      <w:color w:val="auto"/>
                    </w:rPr>
                    <w:t>28</w:t>
                  </w:r>
                </w:p>
              </w:tc>
              <w:tc>
                <w:tcPr>
                  <w:tcW w:w="1174" w:type="pct"/>
                  <w:shd w:val="clear" w:color="auto" w:fill="auto"/>
                  <w:vAlign w:val="center"/>
                </w:tcPr>
                <w:p w14:paraId="28A916AD">
                  <w:pPr>
                    <w:jc w:val="center"/>
                    <w:rPr>
                      <w:rFonts w:ascii="Times New Roman" w:hAnsi="Times New Roman" w:eastAsia="宋体" w:cs="Times New Roman"/>
                      <w:color w:val="auto"/>
                      <w:kern w:val="2"/>
                      <w:sz w:val="21"/>
                      <w:szCs w:val="24"/>
                      <w:lang w:val="en-US" w:eastAsia="zh-CN" w:bidi="ar-SA"/>
                    </w:rPr>
                  </w:pPr>
                  <w:r>
                    <w:rPr>
                      <w:color w:val="auto"/>
                    </w:rPr>
                    <w:t>旋转蒸发仪</w:t>
                  </w:r>
                </w:p>
              </w:tc>
              <w:tc>
                <w:tcPr>
                  <w:tcW w:w="1426" w:type="pct"/>
                  <w:shd w:val="clear" w:color="auto" w:fill="auto"/>
                  <w:vAlign w:val="center"/>
                </w:tcPr>
                <w:p w14:paraId="79D7AB0F">
                  <w:pPr>
                    <w:jc w:val="center"/>
                    <w:rPr>
                      <w:rFonts w:ascii="Times New Roman" w:hAnsi="Times New Roman" w:eastAsia="宋体" w:cs="Times New Roman"/>
                      <w:color w:val="auto"/>
                      <w:kern w:val="2"/>
                      <w:sz w:val="21"/>
                      <w:szCs w:val="24"/>
                      <w:lang w:val="en-US" w:eastAsia="zh-CN" w:bidi="ar-SA"/>
                    </w:rPr>
                  </w:pPr>
                  <w:r>
                    <w:rPr>
                      <w:color w:val="auto"/>
                    </w:rPr>
                    <w:t>R1050</w:t>
                  </w:r>
                </w:p>
              </w:tc>
              <w:tc>
                <w:tcPr>
                  <w:tcW w:w="776" w:type="pct"/>
                  <w:shd w:val="clear" w:color="auto" w:fill="auto"/>
                  <w:vAlign w:val="center"/>
                </w:tcPr>
                <w:p w14:paraId="61CA51D6">
                  <w:pPr>
                    <w:jc w:val="center"/>
                    <w:rPr>
                      <w:rFonts w:ascii="Times New Roman" w:hAnsi="Times New Roman" w:eastAsia="宋体" w:cs="Times New Roman"/>
                      <w:color w:val="auto"/>
                      <w:kern w:val="2"/>
                      <w:sz w:val="21"/>
                      <w:szCs w:val="24"/>
                      <w:lang w:val="en-US" w:eastAsia="zh-CN" w:bidi="ar-SA"/>
                    </w:rPr>
                  </w:pPr>
                  <w:r>
                    <w:rPr>
                      <w:color w:val="auto"/>
                    </w:rPr>
                    <w:t>1</w:t>
                  </w:r>
                </w:p>
              </w:tc>
              <w:tc>
                <w:tcPr>
                  <w:tcW w:w="1158" w:type="pct"/>
                  <w:shd w:val="clear" w:color="auto" w:fill="auto"/>
                  <w:vAlign w:val="center"/>
                </w:tcPr>
                <w:p w14:paraId="29B27475">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42B7757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shd w:val="clear" w:color="auto" w:fill="auto"/>
                  <w:vAlign w:val="center"/>
                </w:tcPr>
                <w:p w14:paraId="37784BA8">
                  <w:pPr>
                    <w:jc w:val="center"/>
                    <w:rPr>
                      <w:rFonts w:ascii="Times New Roman" w:hAnsi="Times New Roman" w:eastAsia="宋体" w:cs="Times New Roman"/>
                      <w:color w:val="auto"/>
                      <w:kern w:val="2"/>
                      <w:sz w:val="21"/>
                      <w:szCs w:val="24"/>
                      <w:lang w:val="en-US" w:eastAsia="zh-CN" w:bidi="ar-SA"/>
                    </w:rPr>
                  </w:pPr>
                  <w:r>
                    <w:rPr>
                      <w:color w:val="auto"/>
                    </w:rPr>
                    <w:t>29</w:t>
                  </w:r>
                </w:p>
              </w:tc>
              <w:tc>
                <w:tcPr>
                  <w:tcW w:w="1977" w:type="dxa"/>
                  <w:shd w:val="clear" w:color="auto" w:fill="auto"/>
                  <w:vAlign w:val="center"/>
                </w:tcPr>
                <w:p w14:paraId="5C223DCE">
                  <w:pPr>
                    <w:jc w:val="center"/>
                    <w:rPr>
                      <w:color w:val="FF0000"/>
                    </w:rPr>
                  </w:pPr>
                  <w:r>
                    <w:rPr>
                      <w:rFonts w:hint="eastAsia"/>
                      <w:color w:val="FF0000"/>
                      <w:szCs w:val="21"/>
                      <w:lang w:val="en-US" w:eastAsia="zh-CN"/>
                    </w:rPr>
                    <w:t>反应瓶</w:t>
                  </w:r>
                </w:p>
              </w:tc>
              <w:tc>
                <w:tcPr>
                  <w:tcW w:w="2402" w:type="dxa"/>
                  <w:shd w:val="clear" w:color="auto" w:fill="auto"/>
                  <w:vAlign w:val="center"/>
                </w:tcPr>
                <w:p w14:paraId="6EFBA39D">
                  <w:pPr>
                    <w:jc w:val="center"/>
                    <w:rPr>
                      <w:color w:val="FF0000"/>
                    </w:rPr>
                  </w:pPr>
                  <w:r>
                    <w:rPr>
                      <w:rFonts w:hint="eastAsia"/>
                      <w:color w:val="FF0000"/>
                      <w:szCs w:val="21"/>
                      <w:lang w:val="en-US" w:eastAsia="zh-CN"/>
                    </w:rPr>
                    <w:t>500mL、10000mL</w:t>
                  </w:r>
                </w:p>
              </w:tc>
              <w:tc>
                <w:tcPr>
                  <w:tcW w:w="1307" w:type="dxa"/>
                  <w:shd w:val="clear" w:color="auto" w:fill="auto"/>
                  <w:vAlign w:val="center"/>
                </w:tcPr>
                <w:p w14:paraId="4A77310F">
                  <w:pPr>
                    <w:jc w:val="center"/>
                    <w:rPr>
                      <w:color w:val="FF0000"/>
                    </w:rPr>
                  </w:pPr>
                  <w:r>
                    <w:rPr>
                      <w:rFonts w:hint="eastAsia"/>
                      <w:color w:val="FF0000"/>
                      <w:szCs w:val="21"/>
                      <w:lang w:val="en-US" w:eastAsia="zh-CN"/>
                    </w:rPr>
                    <w:t>20</w:t>
                  </w:r>
                </w:p>
              </w:tc>
              <w:tc>
                <w:tcPr>
                  <w:tcW w:w="1951" w:type="dxa"/>
                  <w:shd w:val="clear" w:color="auto" w:fill="auto"/>
                  <w:vAlign w:val="center"/>
                </w:tcPr>
                <w:p w14:paraId="2BED7F7A">
                  <w:pPr>
                    <w:ind w:left="0" w:leftChars="0" w:firstLine="0" w:firstLineChars="0"/>
                    <w:jc w:val="center"/>
                    <w:rPr>
                      <w:rFonts w:hint="eastAsia"/>
                      <w:color w:val="FF0000"/>
                    </w:rPr>
                  </w:pPr>
                  <w:r>
                    <w:rPr>
                      <w:rFonts w:hint="eastAsia"/>
                      <w:color w:val="FF0000"/>
                    </w:rPr>
                    <w:t>研发室</w:t>
                  </w:r>
                </w:p>
              </w:tc>
            </w:tr>
            <w:tr w14:paraId="2F311A5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shd w:val="clear" w:color="auto" w:fill="auto"/>
                  <w:vAlign w:val="center"/>
                </w:tcPr>
                <w:p w14:paraId="69E3490D">
                  <w:pPr>
                    <w:jc w:val="center"/>
                    <w:rPr>
                      <w:rFonts w:ascii="Times New Roman" w:hAnsi="Times New Roman" w:eastAsia="宋体" w:cs="Times New Roman"/>
                      <w:color w:val="auto"/>
                      <w:kern w:val="2"/>
                      <w:sz w:val="21"/>
                      <w:szCs w:val="24"/>
                      <w:lang w:val="en-US" w:eastAsia="zh-CN" w:bidi="ar-SA"/>
                    </w:rPr>
                  </w:pPr>
                  <w:r>
                    <w:rPr>
                      <w:rFonts w:hint="eastAsia"/>
                      <w:color w:val="auto"/>
                    </w:rPr>
                    <w:t>30</w:t>
                  </w:r>
                </w:p>
              </w:tc>
              <w:tc>
                <w:tcPr>
                  <w:tcW w:w="1977" w:type="dxa"/>
                  <w:shd w:val="clear" w:color="auto" w:fill="auto"/>
                  <w:vAlign w:val="center"/>
                </w:tcPr>
                <w:p w14:paraId="56B2E2C0">
                  <w:pPr>
                    <w:jc w:val="center"/>
                    <w:rPr>
                      <w:color w:val="FF0000"/>
                    </w:rPr>
                  </w:pPr>
                  <w:r>
                    <w:rPr>
                      <w:rFonts w:hint="eastAsia"/>
                      <w:color w:val="FF0000"/>
                      <w:szCs w:val="21"/>
                      <w:lang w:val="en-US" w:eastAsia="zh-CN"/>
                    </w:rPr>
                    <w:t>试管、烧杯、烧瓶、滴定管等</w:t>
                  </w:r>
                </w:p>
              </w:tc>
              <w:tc>
                <w:tcPr>
                  <w:tcW w:w="2402" w:type="dxa"/>
                  <w:shd w:val="clear" w:color="auto" w:fill="auto"/>
                  <w:vAlign w:val="center"/>
                </w:tcPr>
                <w:p w14:paraId="44698AA6">
                  <w:pPr>
                    <w:jc w:val="center"/>
                    <w:rPr>
                      <w:color w:val="FF0000"/>
                    </w:rPr>
                  </w:pPr>
                  <w:r>
                    <w:rPr>
                      <w:rFonts w:hint="eastAsia"/>
                      <w:color w:val="FF0000"/>
                      <w:szCs w:val="21"/>
                      <w:lang w:val="en-US" w:eastAsia="zh-CN"/>
                    </w:rPr>
                    <w:t>/</w:t>
                  </w:r>
                </w:p>
              </w:tc>
              <w:tc>
                <w:tcPr>
                  <w:tcW w:w="1307" w:type="dxa"/>
                  <w:shd w:val="clear" w:color="auto" w:fill="auto"/>
                  <w:vAlign w:val="center"/>
                </w:tcPr>
                <w:p w14:paraId="3689B5F7">
                  <w:pPr>
                    <w:jc w:val="center"/>
                    <w:rPr>
                      <w:color w:val="FF0000"/>
                    </w:rPr>
                  </w:pPr>
                  <w:r>
                    <w:rPr>
                      <w:rFonts w:hint="eastAsia"/>
                      <w:color w:val="FF0000"/>
                      <w:szCs w:val="21"/>
                      <w:lang w:val="en-US" w:eastAsia="zh-CN"/>
                    </w:rPr>
                    <w:t>若干</w:t>
                  </w:r>
                </w:p>
              </w:tc>
              <w:tc>
                <w:tcPr>
                  <w:tcW w:w="1951" w:type="dxa"/>
                  <w:shd w:val="clear" w:color="auto" w:fill="auto"/>
                  <w:vAlign w:val="center"/>
                </w:tcPr>
                <w:p w14:paraId="36386FFA">
                  <w:pPr>
                    <w:ind w:left="0" w:leftChars="0" w:firstLine="0" w:firstLineChars="0"/>
                    <w:jc w:val="center"/>
                    <w:rPr>
                      <w:rFonts w:hint="eastAsia"/>
                      <w:color w:val="FF0000"/>
                    </w:rPr>
                  </w:pPr>
                  <w:r>
                    <w:rPr>
                      <w:rFonts w:hint="eastAsia"/>
                      <w:color w:val="FF0000"/>
                    </w:rPr>
                    <w:t>研发室</w:t>
                  </w:r>
                </w:p>
              </w:tc>
            </w:tr>
            <w:tr w14:paraId="092EB40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shd w:val="clear" w:color="auto" w:fill="auto"/>
                  <w:vAlign w:val="center"/>
                </w:tcPr>
                <w:p w14:paraId="7CBEFA2F">
                  <w:pPr>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31</w:t>
                  </w:r>
                </w:p>
              </w:tc>
              <w:tc>
                <w:tcPr>
                  <w:tcW w:w="1174" w:type="pct"/>
                  <w:shd w:val="clear" w:color="auto" w:fill="auto"/>
                  <w:vAlign w:val="center"/>
                </w:tcPr>
                <w:p w14:paraId="4590E9F0">
                  <w:pPr>
                    <w:jc w:val="center"/>
                    <w:rPr>
                      <w:rFonts w:ascii="Times New Roman" w:hAnsi="Times New Roman" w:eastAsia="宋体" w:cs="Times New Roman"/>
                      <w:color w:val="auto"/>
                      <w:kern w:val="2"/>
                      <w:sz w:val="21"/>
                      <w:szCs w:val="24"/>
                      <w:lang w:val="en-US" w:eastAsia="zh-CN" w:bidi="ar-SA"/>
                    </w:rPr>
                  </w:pPr>
                  <w:r>
                    <w:rPr>
                      <w:rFonts w:hint="eastAsia"/>
                      <w:color w:val="auto"/>
                    </w:rPr>
                    <w:t>通风橱</w:t>
                  </w:r>
                </w:p>
              </w:tc>
              <w:tc>
                <w:tcPr>
                  <w:tcW w:w="1426" w:type="pct"/>
                  <w:shd w:val="clear" w:color="auto" w:fill="auto"/>
                  <w:vAlign w:val="center"/>
                </w:tcPr>
                <w:p w14:paraId="636B889B">
                  <w:pPr>
                    <w:jc w:val="center"/>
                    <w:rPr>
                      <w:rFonts w:ascii="Times New Roman" w:hAnsi="Times New Roman" w:eastAsia="宋体" w:cs="Times New Roman"/>
                      <w:color w:val="auto"/>
                      <w:kern w:val="2"/>
                      <w:sz w:val="21"/>
                      <w:szCs w:val="24"/>
                      <w:lang w:val="en-US" w:eastAsia="zh-CN" w:bidi="ar-SA"/>
                    </w:rPr>
                  </w:pPr>
                  <w:r>
                    <w:rPr>
                      <w:rFonts w:hint="eastAsia"/>
                      <w:color w:val="auto"/>
                    </w:rPr>
                    <w:t>/</w:t>
                  </w:r>
                </w:p>
              </w:tc>
              <w:tc>
                <w:tcPr>
                  <w:tcW w:w="776" w:type="pct"/>
                  <w:shd w:val="clear" w:color="auto" w:fill="auto"/>
                  <w:vAlign w:val="center"/>
                </w:tcPr>
                <w:p w14:paraId="2F649C25">
                  <w:pPr>
                    <w:jc w:val="center"/>
                    <w:rPr>
                      <w:rFonts w:ascii="Times New Roman" w:hAnsi="Times New Roman" w:eastAsia="宋体" w:cs="Times New Roman"/>
                      <w:color w:val="auto"/>
                      <w:kern w:val="2"/>
                      <w:sz w:val="21"/>
                      <w:szCs w:val="24"/>
                      <w:lang w:val="en-US" w:eastAsia="zh-CN" w:bidi="ar-SA"/>
                    </w:rPr>
                  </w:pPr>
                  <w:r>
                    <w:rPr>
                      <w:rFonts w:hint="eastAsia"/>
                      <w:color w:val="auto"/>
                    </w:rPr>
                    <w:t>4</w:t>
                  </w:r>
                </w:p>
              </w:tc>
              <w:tc>
                <w:tcPr>
                  <w:tcW w:w="1158" w:type="pct"/>
                  <w:shd w:val="clear" w:color="auto" w:fill="auto"/>
                  <w:vAlign w:val="center"/>
                </w:tcPr>
                <w:p w14:paraId="41C6F841">
                  <w:pPr>
                    <w:jc w:val="center"/>
                    <w:rPr>
                      <w:rFonts w:ascii="Times New Roman" w:hAnsi="Times New Roman" w:eastAsia="宋体" w:cs="Times New Roman"/>
                      <w:color w:val="auto"/>
                      <w:kern w:val="2"/>
                      <w:sz w:val="21"/>
                      <w:szCs w:val="24"/>
                      <w:lang w:val="en-US" w:eastAsia="zh-CN" w:bidi="ar-SA"/>
                    </w:rPr>
                  </w:pPr>
                  <w:r>
                    <w:rPr>
                      <w:rFonts w:hint="eastAsia"/>
                      <w:color w:val="auto"/>
                    </w:rPr>
                    <w:t>研发室</w:t>
                  </w:r>
                </w:p>
              </w:tc>
            </w:tr>
            <w:tr w14:paraId="596C9DE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63" w:type="pct"/>
                  <w:vAlign w:val="center"/>
                </w:tcPr>
                <w:p w14:paraId="5FBD1EEC">
                  <w:pPr>
                    <w:jc w:val="center"/>
                    <w:rPr>
                      <w:rFonts w:hint="default" w:eastAsia="宋体"/>
                      <w:color w:val="auto"/>
                      <w:lang w:val="en-US" w:eastAsia="zh-CN"/>
                    </w:rPr>
                  </w:pPr>
                  <w:r>
                    <w:rPr>
                      <w:rFonts w:hint="eastAsia"/>
                      <w:color w:val="auto"/>
                      <w:lang w:val="en-US" w:eastAsia="zh-CN"/>
                    </w:rPr>
                    <w:t>32</w:t>
                  </w:r>
                </w:p>
              </w:tc>
              <w:tc>
                <w:tcPr>
                  <w:tcW w:w="1174" w:type="pct"/>
                  <w:shd w:val="clear" w:color="auto" w:fill="auto"/>
                  <w:vAlign w:val="center"/>
                </w:tcPr>
                <w:p w14:paraId="75582E48">
                  <w:pPr>
                    <w:jc w:val="center"/>
                    <w:rPr>
                      <w:rFonts w:ascii="Times New Roman" w:hAnsi="Times New Roman" w:eastAsia="宋体" w:cs="Times New Roman"/>
                      <w:color w:val="auto"/>
                      <w:kern w:val="2"/>
                      <w:sz w:val="21"/>
                      <w:szCs w:val="24"/>
                      <w:lang w:val="en-US" w:eastAsia="zh-CN" w:bidi="ar-SA"/>
                    </w:rPr>
                  </w:pPr>
                  <w:r>
                    <w:rPr>
                      <w:rFonts w:hint="eastAsia"/>
                      <w:color w:val="auto"/>
                    </w:rPr>
                    <w:t>活性炭吸附装置</w:t>
                  </w:r>
                </w:p>
              </w:tc>
              <w:tc>
                <w:tcPr>
                  <w:tcW w:w="1426" w:type="pct"/>
                  <w:shd w:val="clear" w:color="auto" w:fill="auto"/>
                  <w:vAlign w:val="center"/>
                </w:tcPr>
                <w:p w14:paraId="52F4653C">
                  <w:pPr>
                    <w:jc w:val="center"/>
                    <w:rPr>
                      <w:rFonts w:ascii="Times New Roman" w:hAnsi="Times New Roman" w:eastAsia="宋体" w:cs="Times New Roman"/>
                      <w:color w:val="auto"/>
                      <w:kern w:val="2"/>
                      <w:sz w:val="21"/>
                      <w:szCs w:val="24"/>
                      <w:lang w:val="en-US" w:eastAsia="zh-CN" w:bidi="ar-SA"/>
                    </w:rPr>
                  </w:pPr>
                  <w:r>
                    <w:rPr>
                      <w:rFonts w:hint="eastAsia"/>
                      <w:color w:val="auto"/>
                    </w:rPr>
                    <w:t>风机风量（8773-13936m</w:t>
                  </w:r>
                  <w:r>
                    <w:rPr>
                      <w:rFonts w:hint="eastAsia"/>
                      <w:color w:val="auto"/>
                      <w:vertAlign w:val="superscript"/>
                    </w:rPr>
                    <w:t>3</w:t>
                  </w:r>
                  <w:r>
                    <w:rPr>
                      <w:rFonts w:hint="eastAsia"/>
                      <w:color w:val="auto"/>
                    </w:rPr>
                    <w:t>）</w:t>
                  </w:r>
                </w:p>
              </w:tc>
              <w:tc>
                <w:tcPr>
                  <w:tcW w:w="776" w:type="pct"/>
                  <w:shd w:val="clear" w:color="auto" w:fill="auto"/>
                  <w:vAlign w:val="center"/>
                </w:tcPr>
                <w:p w14:paraId="04DC89FD">
                  <w:pPr>
                    <w:jc w:val="center"/>
                    <w:rPr>
                      <w:rFonts w:ascii="Times New Roman" w:hAnsi="Times New Roman" w:eastAsia="宋体" w:cs="Times New Roman"/>
                      <w:color w:val="auto"/>
                      <w:kern w:val="2"/>
                      <w:sz w:val="21"/>
                      <w:szCs w:val="24"/>
                      <w:lang w:val="en-US" w:eastAsia="zh-CN" w:bidi="ar-SA"/>
                    </w:rPr>
                  </w:pPr>
                  <w:r>
                    <w:rPr>
                      <w:rFonts w:hint="eastAsia"/>
                      <w:color w:val="auto"/>
                    </w:rPr>
                    <w:t>1</w:t>
                  </w:r>
                </w:p>
              </w:tc>
              <w:tc>
                <w:tcPr>
                  <w:tcW w:w="1158" w:type="pct"/>
                  <w:shd w:val="clear" w:color="auto" w:fill="auto"/>
                  <w:vAlign w:val="center"/>
                </w:tcPr>
                <w:p w14:paraId="1BA66490">
                  <w:pPr>
                    <w:jc w:val="center"/>
                    <w:rPr>
                      <w:rFonts w:ascii="Times New Roman" w:hAnsi="Times New Roman" w:eastAsia="宋体" w:cs="Times New Roman"/>
                      <w:color w:val="auto"/>
                      <w:kern w:val="2"/>
                      <w:sz w:val="21"/>
                      <w:szCs w:val="24"/>
                      <w:lang w:val="en-US" w:eastAsia="zh-CN" w:bidi="ar-SA"/>
                    </w:rPr>
                  </w:pPr>
                  <w:r>
                    <w:rPr>
                      <w:rFonts w:hint="eastAsia"/>
                      <w:color w:val="auto"/>
                    </w:rPr>
                    <w:t>楼顶</w:t>
                  </w:r>
                </w:p>
              </w:tc>
            </w:tr>
          </w:tbl>
          <w:p w14:paraId="28A334D4">
            <w:pPr>
              <w:spacing w:line="360" w:lineRule="auto"/>
              <w:ind w:firstLine="482" w:firstLineChars="200"/>
              <w:rPr>
                <w:b/>
                <w:color w:val="auto"/>
                <w:kern w:val="0"/>
                <w:sz w:val="24"/>
                <w:szCs w:val="20"/>
              </w:rPr>
            </w:pPr>
            <w:r>
              <w:rPr>
                <w:b/>
                <w:color w:val="auto"/>
                <w:kern w:val="0"/>
                <w:sz w:val="24"/>
                <w:szCs w:val="20"/>
              </w:rPr>
              <w:t>2、</w:t>
            </w:r>
            <w:bookmarkStart w:id="3" w:name="_Toc200961231"/>
            <w:bookmarkStart w:id="4" w:name="_Toc200961391"/>
            <w:bookmarkStart w:id="5" w:name="_Toc177024812"/>
            <w:bookmarkStart w:id="6" w:name="_Toc177024663"/>
            <w:r>
              <w:rPr>
                <w:b/>
                <w:color w:val="auto"/>
                <w:kern w:val="0"/>
                <w:sz w:val="24"/>
                <w:szCs w:val="20"/>
              </w:rPr>
              <w:t>公用工程</w:t>
            </w:r>
          </w:p>
          <w:bookmarkEnd w:id="3"/>
          <w:bookmarkEnd w:id="4"/>
          <w:bookmarkEnd w:id="5"/>
          <w:bookmarkEnd w:id="6"/>
          <w:p w14:paraId="182E67CD">
            <w:pPr>
              <w:spacing w:line="360" w:lineRule="auto"/>
              <w:ind w:firstLine="480" w:firstLineChars="200"/>
              <w:rPr>
                <w:color w:val="auto"/>
                <w:kern w:val="0"/>
                <w:sz w:val="24"/>
                <w:szCs w:val="22"/>
              </w:rPr>
            </w:pPr>
            <w:r>
              <w:rPr>
                <w:color w:val="auto"/>
                <w:kern w:val="0"/>
                <w:sz w:val="24"/>
                <w:szCs w:val="22"/>
              </w:rPr>
              <w:t>（1）给水</w:t>
            </w:r>
          </w:p>
          <w:p w14:paraId="4750CFF1">
            <w:pPr>
              <w:spacing w:line="360" w:lineRule="auto"/>
              <w:ind w:firstLine="480" w:firstLineChars="200"/>
              <w:rPr>
                <w:color w:val="auto"/>
                <w:kern w:val="0"/>
                <w:sz w:val="24"/>
              </w:rPr>
            </w:pPr>
            <w:r>
              <w:rPr>
                <w:rFonts w:hint="eastAsia"/>
                <w:color w:val="auto"/>
                <w:kern w:val="0"/>
                <w:sz w:val="24"/>
                <w:szCs w:val="22"/>
              </w:rPr>
              <w:t>本</w:t>
            </w:r>
            <w:r>
              <w:rPr>
                <w:color w:val="auto"/>
                <w:kern w:val="0"/>
                <w:sz w:val="24"/>
                <w:szCs w:val="22"/>
                <w:lang w:val="zh-TW"/>
              </w:rPr>
              <w:t>项目</w:t>
            </w:r>
            <w:r>
              <w:rPr>
                <w:color w:val="auto"/>
                <w:kern w:val="0"/>
                <w:sz w:val="24"/>
                <w:szCs w:val="22"/>
              </w:rPr>
              <w:t>用水</w:t>
            </w:r>
            <w:r>
              <w:rPr>
                <w:rFonts w:hint="eastAsia"/>
                <w:color w:val="auto"/>
                <w:kern w:val="0"/>
                <w:sz w:val="24"/>
                <w:szCs w:val="22"/>
              </w:rPr>
              <w:t>主要为员工生活用水、设备及仪器清洗用水、实验平台及车间清洁用水，均依托西安生漆涂料研究所现有给水管网</w:t>
            </w:r>
            <w:r>
              <w:rPr>
                <w:color w:val="auto"/>
                <w:kern w:val="0"/>
                <w:sz w:val="24"/>
              </w:rPr>
              <w:t>。</w:t>
            </w:r>
          </w:p>
          <w:p w14:paraId="0246360C">
            <w:pPr>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w:instrText>
            </w:r>
            <w:r>
              <w:rPr>
                <w:rFonts w:hint="eastAsia"/>
                <w:color w:val="auto"/>
                <w:kern w:val="0"/>
                <w:sz w:val="24"/>
              </w:rPr>
              <w:instrText xml:space="preserve">= 1 \* GB3</w:instrText>
            </w:r>
            <w:r>
              <w:rPr>
                <w:color w:val="auto"/>
                <w:kern w:val="0"/>
                <w:sz w:val="24"/>
              </w:rPr>
              <w:instrText xml:space="preserve"> </w:instrText>
            </w:r>
            <w:r>
              <w:rPr>
                <w:color w:val="auto"/>
                <w:kern w:val="0"/>
                <w:sz w:val="24"/>
              </w:rPr>
              <w:fldChar w:fldCharType="separate"/>
            </w:r>
            <w:r>
              <w:rPr>
                <w:rFonts w:hint="eastAsia"/>
                <w:color w:val="auto"/>
                <w:kern w:val="0"/>
                <w:sz w:val="24"/>
              </w:rPr>
              <w:t>①</w:t>
            </w:r>
            <w:r>
              <w:rPr>
                <w:color w:val="auto"/>
                <w:kern w:val="0"/>
                <w:sz w:val="24"/>
              </w:rPr>
              <w:fldChar w:fldCharType="end"/>
            </w:r>
            <w:r>
              <w:rPr>
                <w:rFonts w:hint="eastAsia"/>
                <w:color w:val="auto"/>
                <w:kern w:val="0"/>
                <w:sz w:val="24"/>
              </w:rPr>
              <w:t>生活用水：</w:t>
            </w:r>
            <w:r>
              <w:rPr>
                <w:color w:val="auto"/>
                <w:kern w:val="0"/>
                <w:sz w:val="24"/>
              </w:rPr>
              <w:t>本项目劳动定员</w:t>
            </w:r>
            <w:r>
              <w:rPr>
                <w:rFonts w:hint="eastAsia"/>
                <w:color w:val="auto"/>
                <w:kern w:val="0"/>
                <w:sz w:val="24"/>
              </w:rPr>
              <w:t>5</w:t>
            </w:r>
            <w:r>
              <w:rPr>
                <w:color w:val="auto"/>
                <w:kern w:val="0"/>
                <w:sz w:val="24"/>
              </w:rPr>
              <w:t>人，</w:t>
            </w:r>
            <w:r>
              <w:rPr>
                <w:rFonts w:hint="eastAsia"/>
                <w:color w:val="auto"/>
                <w:kern w:val="0"/>
                <w:sz w:val="24"/>
              </w:rPr>
              <w:t>厂区不提供食宿，</w:t>
            </w:r>
            <w:r>
              <w:rPr>
                <w:rFonts w:cs="宋体"/>
                <w:color w:val="auto"/>
                <w:kern w:val="0"/>
                <w:sz w:val="24"/>
              </w:rPr>
              <w:t>年工作时间</w:t>
            </w:r>
            <w:r>
              <w:rPr>
                <w:rFonts w:hint="eastAsia" w:cs="宋体"/>
                <w:color w:val="auto"/>
                <w:kern w:val="0"/>
                <w:sz w:val="24"/>
              </w:rPr>
              <w:t>240</w:t>
            </w:r>
            <w:r>
              <w:rPr>
                <w:rFonts w:cs="宋体"/>
                <w:color w:val="auto"/>
                <w:kern w:val="0"/>
                <w:sz w:val="24"/>
              </w:rPr>
              <w:t>d</w:t>
            </w:r>
            <w:r>
              <w:rPr>
                <w:rFonts w:hint="eastAsia" w:cs="宋体"/>
                <w:color w:val="auto"/>
                <w:kern w:val="0"/>
                <w:sz w:val="24"/>
              </w:rPr>
              <w:t>。</w:t>
            </w:r>
            <w:r>
              <w:rPr>
                <w:bCs/>
                <w:color w:val="auto"/>
                <w:sz w:val="24"/>
              </w:rPr>
              <w:t>员工办公生活用水量参照《行业用水定额》（DB61/T943-2020）</w:t>
            </w:r>
            <w:r>
              <w:rPr>
                <w:rFonts w:hint="eastAsia"/>
                <w:bCs/>
                <w:color w:val="auto"/>
                <w:sz w:val="24"/>
              </w:rPr>
              <w:t>中“行政办公及科研院所”</w:t>
            </w:r>
            <w:r>
              <w:rPr>
                <w:bCs/>
                <w:color w:val="auto"/>
                <w:sz w:val="24"/>
              </w:rPr>
              <w:t>，按照</w:t>
            </w:r>
            <w:r>
              <w:rPr>
                <w:rFonts w:hint="eastAsia"/>
                <w:bCs/>
                <w:color w:val="auto"/>
                <w:sz w:val="24"/>
              </w:rPr>
              <w:t>先进值10m</w:t>
            </w:r>
            <w:r>
              <w:rPr>
                <w:bCs/>
                <w:color w:val="auto"/>
                <w:sz w:val="24"/>
                <w:vertAlign w:val="superscript"/>
              </w:rPr>
              <w:t>3</w:t>
            </w:r>
            <w:r>
              <w:rPr>
                <w:bCs/>
                <w:color w:val="auto"/>
                <w:sz w:val="24"/>
              </w:rPr>
              <w:t>/（人·</w:t>
            </w:r>
            <w:r>
              <w:rPr>
                <w:rFonts w:hint="eastAsia"/>
                <w:bCs/>
                <w:color w:val="auto"/>
                <w:sz w:val="24"/>
              </w:rPr>
              <w:t>a</w:t>
            </w:r>
            <w:r>
              <w:rPr>
                <w:bCs/>
                <w:color w:val="auto"/>
                <w:sz w:val="24"/>
              </w:rPr>
              <w:t>）计</w:t>
            </w:r>
            <w:r>
              <w:rPr>
                <w:rFonts w:hint="eastAsia"/>
                <w:bCs/>
                <w:color w:val="auto"/>
                <w:sz w:val="24"/>
              </w:rPr>
              <w:t>，则员工生活用水量0.208</w:t>
            </w:r>
            <w:r>
              <w:rPr>
                <w:bCs/>
                <w:color w:val="auto"/>
                <w:sz w:val="24"/>
              </w:rPr>
              <w:t>m</w:t>
            </w:r>
            <w:r>
              <w:rPr>
                <w:bCs/>
                <w:color w:val="auto"/>
                <w:sz w:val="24"/>
                <w:vertAlign w:val="superscript"/>
              </w:rPr>
              <w:t>3</w:t>
            </w:r>
            <w:r>
              <w:rPr>
                <w:bCs/>
                <w:color w:val="auto"/>
                <w:sz w:val="24"/>
              </w:rPr>
              <w:t>/d</w:t>
            </w:r>
            <w:r>
              <w:rPr>
                <w:rFonts w:hint="eastAsia"/>
                <w:bCs/>
                <w:color w:val="auto"/>
                <w:sz w:val="24"/>
              </w:rPr>
              <w:t>（50</w:t>
            </w:r>
            <w:r>
              <w:rPr>
                <w:bCs/>
                <w:color w:val="auto"/>
                <w:sz w:val="24"/>
              </w:rPr>
              <w:t>m</w:t>
            </w:r>
            <w:r>
              <w:rPr>
                <w:bCs/>
                <w:color w:val="auto"/>
                <w:sz w:val="24"/>
                <w:vertAlign w:val="superscript"/>
              </w:rPr>
              <w:t>3</w:t>
            </w:r>
            <w:r>
              <w:rPr>
                <w:bCs/>
                <w:color w:val="auto"/>
                <w:sz w:val="24"/>
              </w:rPr>
              <w:t>/a</w:t>
            </w:r>
            <w:r>
              <w:rPr>
                <w:rFonts w:hint="eastAsia"/>
                <w:bCs/>
                <w:color w:val="auto"/>
                <w:sz w:val="24"/>
              </w:rPr>
              <w:t>）</w:t>
            </w:r>
            <w:r>
              <w:rPr>
                <w:color w:val="auto"/>
                <w:kern w:val="0"/>
                <w:sz w:val="24"/>
              </w:rPr>
              <w:t>。</w:t>
            </w:r>
          </w:p>
          <w:p w14:paraId="5A940BED">
            <w:pPr>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w:instrText>
            </w:r>
            <w:r>
              <w:rPr>
                <w:rFonts w:hint="eastAsia"/>
                <w:color w:val="auto"/>
                <w:kern w:val="0"/>
                <w:sz w:val="24"/>
              </w:rPr>
              <w:instrText xml:space="preserve">= 2 \* GB3</w:instrText>
            </w:r>
            <w:r>
              <w:rPr>
                <w:color w:val="auto"/>
                <w:kern w:val="0"/>
                <w:sz w:val="24"/>
              </w:rPr>
              <w:instrText xml:space="preserve"> </w:instrText>
            </w:r>
            <w:r>
              <w:rPr>
                <w:color w:val="auto"/>
                <w:kern w:val="0"/>
                <w:sz w:val="24"/>
              </w:rPr>
              <w:fldChar w:fldCharType="separate"/>
            </w:r>
            <w:r>
              <w:rPr>
                <w:rFonts w:hint="eastAsia"/>
                <w:color w:val="auto"/>
                <w:kern w:val="0"/>
                <w:sz w:val="24"/>
              </w:rPr>
              <w:t>②</w:t>
            </w:r>
            <w:r>
              <w:rPr>
                <w:color w:val="auto"/>
                <w:kern w:val="0"/>
                <w:sz w:val="24"/>
              </w:rPr>
              <w:fldChar w:fldCharType="end"/>
            </w:r>
            <w:r>
              <w:rPr>
                <w:rFonts w:hint="eastAsia"/>
                <w:color w:val="auto"/>
                <w:kern w:val="0"/>
                <w:sz w:val="24"/>
              </w:rPr>
              <w:t>设备及仪器清洗用水：实验结束后，需要将实验设备、仪器和玻璃器皿等进行清洗，以便下一个实验能够顺利进行</w:t>
            </w:r>
            <w:r>
              <w:rPr>
                <w:color w:val="auto"/>
                <w:sz w:val="24"/>
              </w:rPr>
              <w:t>，</w:t>
            </w:r>
            <w:r>
              <w:rPr>
                <w:rFonts w:hint="eastAsia"/>
                <w:color w:val="FF0000"/>
                <w:sz w:val="24"/>
                <w:lang w:val="en-US" w:eastAsia="zh-CN"/>
              </w:rPr>
              <w:t>清洗</w:t>
            </w:r>
            <w:r>
              <w:rPr>
                <w:color w:val="FF0000"/>
                <w:sz w:val="24"/>
              </w:rPr>
              <w:t>用水</w:t>
            </w:r>
            <w:r>
              <w:rPr>
                <w:rFonts w:hint="eastAsia"/>
                <w:color w:val="FF0000"/>
                <w:sz w:val="24"/>
                <w:lang w:val="en-US" w:eastAsia="zh-CN"/>
              </w:rPr>
              <w:t>主要</w:t>
            </w:r>
            <w:r>
              <w:rPr>
                <w:color w:val="FF0000"/>
                <w:sz w:val="24"/>
              </w:rPr>
              <w:t>为自来水</w:t>
            </w:r>
            <w:r>
              <w:rPr>
                <w:rFonts w:hint="eastAsia"/>
                <w:color w:val="FF0000"/>
                <w:sz w:val="24"/>
                <w:lang w:eastAsia="zh-CN"/>
              </w:rPr>
              <w:t>，</w:t>
            </w:r>
            <w:r>
              <w:rPr>
                <w:rFonts w:hint="eastAsia"/>
                <w:color w:val="FF0000"/>
                <w:sz w:val="24"/>
                <w:lang w:val="en-US" w:eastAsia="zh-CN"/>
              </w:rPr>
              <w:t>部分实验设备及仪器清洗需使用纯水，纯水来源为外购桶装纯净水</w:t>
            </w:r>
            <w:r>
              <w:rPr>
                <w:rFonts w:hint="eastAsia"/>
                <w:color w:val="auto"/>
                <w:kern w:val="0"/>
                <w:sz w:val="24"/>
              </w:rPr>
              <w:t>。根据企业提供的资料，本项目清洗</w:t>
            </w:r>
            <w:r>
              <w:rPr>
                <w:rFonts w:hint="eastAsia"/>
                <w:color w:val="auto"/>
                <w:kern w:val="0"/>
                <w:sz w:val="24"/>
                <w:lang w:val="en-US" w:eastAsia="zh-CN"/>
              </w:rPr>
              <w:t>自来水</w:t>
            </w:r>
            <w:r>
              <w:rPr>
                <w:rFonts w:hint="eastAsia"/>
                <w:color w:val="auto"/>
                <w:kern w:val="0"/>
                <w:sz w:val="24"/>
              </w:rPr>
              <w:t>用量为0.05</w:t>
            </w:r>
            <w:r>
              <w:rPr>
                <w:color w:val="auto"/>
                <w:kern w:val="0"/>
                <w:sz w:val="24"/>
              </w:rPr>
              <w:t>m</w:t>
            </w:r>
            <w:r>
              <w:rPr>
                <w:color w:val="auto"/>
                <w:kern w:val="0"/>
                <w:sz w:val="24"/>
                <w:vertAlign w:val="superscript"/>
              </w:rPr>
              <w:t>3</w:t>
            </w:r>
            <w:r>
              <w:rPr>
                <w:color w:val="auto"/>
                <w:kern w:val="0"/>
                <w:sz w:val="24"/>
              </w:rPr>
              <w:t>/</w:t>
            </w:r>
            <w:r>
              <w:rPr>
                <w:rFonts w:hint="eastAsia"/>
                <w:color w:val="auto"/>
                <w:kern w:val="0"/>
                <w:sz w:val="24"/>
              </w:rPr>
              <w:t>d（12</w:t>
            </w:r>
            <w:r>
              <w:rPr>
                <w:color w:val="auto"/>
                <w:kern w:val="0"/>
                <w:sz w:val="24"/>
              </w:rPr>
              <w:t>m</w:t>
            </w:r>
            <w:r>
              <w:rPr>
                <w:color w:val="auto"/>
                <w:kern w:val="0"/>
                <w:sz w:val="24"/>
                <w:vertAlign w:val="superscript"/>
              </w:rPr>
              <w:t>3</w:t>
            </w:r>
            <w:r>
              <w:rPr>
                <w:rFonts w:hint="eastAsia"/>
                <w:color w:val="auto"/>
                <w:kern w:val="0"/>
                <w:sz w:val="24"/>
              </w:rPr>
              <w:t>/a）</w:t>
            </w:r>
            <w:r>
              <w:rPr>
                <w:rFonts w:hint="eastAsia"/>
                <w:color w:val="auto"/>
                <w:kern w:val="0"/>
                <w:sz w:val="24"/>
                <w:lang w:eastAsia="zh-CN"/>
              </w:rPr>
              <w:t>；</w:t>
            </w:r>
            <w:r>
              <w:rPr>
                <w:rFonts w:hint="eastAsia"/>
                <w:color w:val="FF0000"/>
                <w:kern w:val="0"/>
                <w:sz w:val="24"/>
                <w:lang w:val="en-US" w:eastAsia="zh-CN"/>
              </w:rPr>
              <w:t>清洗纯水用量为0.005</w:t>
            </w:r>
            <w:r>
              <w:rPr>
                <w:color w:val="FF0000"/>
                <w:kern w:val="0"/>
                <w:sz w:val="24"/>
              </w:rPr>
              <w:t>m</w:t>
            </w:r>
            <w:r>
              <w:rPr>
                <w:color w:val="FF0000"/>
                <w:kern w:val="0"/>
                <w:sz w:val="24"/>
                <w:vertAlign w:val="superscript"/>
              </w:rPr>
              <w:t>3</w:t>
            </w:r>
            <w:r>
              <w:rPr>
                <w:color w:val="FF0000"/>
                <w:kern w:val="0"/>
                <w:sz w:val="24"/>
              </w:rPr>
              <w:t>/</w:t>
            </w:r>
            <w:r>
              <w:rPr>
                <w:rFonts w:hint="eastAsia"/>
                <w:color w:val="FF0000"/>
                <w:kern w:val="0"/>
                <w:sz w:val="24"/>
              </w:rPr>
              <w:t>d（</w:t>
            </w:r>
            <w:r>
              <w:rPr>
                <w:rFonts w:hint="eastAsia"/>
                <w:color w:val="FF0000"/>
                <w:kern w:val="0"/>
                <w:sz w:val="24"/>
                <w:lang w:val="en-US" w:eastAsia="zh-CN"/>
              </w:rPr>
              <w:t>1.</w:t>
            </w:r>
            <w:r>
              <w:rPr>
                <w:rFonts w:hint="eastAsia"/>
                <w:color w:val="FF0000"/>
                <w:kern w:val="0"/>
                <w:sz w:val="24"/>
              </w:rPr>
              <w:t>2</w:t>
            </w:r>
            <w:r>
              <w:rPr>
                <w:color w:val="FF0000"/>
                <w:kern w:val="0"/>
                <w:sz w:val="24"/>
              </w:rPr>
              <w:t>m</w:t>
            </w:r>
            <w:r>
              <w:rPr>
                <w:color w:val="FF0000"/>
                <w:kern w:val="0"/>
                <w:sz w:val="24"/>
                <w:vertAlign w:val="superscript"/>
              </w:rPr>
              <w:t>3</w:t>
            </w:r>
            <w:r>
              <w:rPr>
                <w:rFonts w:hint="eastAsia"/>
                <w:color w:val="FF0000"/>
                <w:kern w:val="0"/>
                <w:sz w:val="24"/>
              </w:rPr>
              <w:t>/a）</w:t>
            </w:r>
            <w:r>
              <w:rPr>
                <w:rFonts w:hint="eastAsia"/>
                <w:color w:val="FF0000"/>
                <w:kern w:val="0"/>
                <w:sz w:val="24"/>
                <w:lang w:eastAsia="zh-CN"/>
              </w:rPr>
              <w:t>；</w:t>
            </w:r>
            <w:r>
              <w:rPr>
                <w:rFonts w:hint="eastAsia"/>
                <w:color w:val="FF0000"/>
                <w:kern w:val="0"/>
                <w:sz w:val="24"/>
                <w:lang w:val="en-US" w:eastAsia="zh-CN"/>
              </w:rPr>
              <w:t>合计用水量为0.055</w:t>
            </w:r>
            <w:r>
              <w:rPr>
                <w:color w:val="FF0000"/>
                <w:kern w:val="0"/>
                <w:sz w:val="24"/>
              </w:rPr>
              <w:t>m</w:t>
            </w:r>
            <w:r>
              <w:rPr>
                <w:color w:val="FF0000"/>
                <w:kern w:val="0"/>
                <w:sz w:val="24"/>
                <w:vertAlign w:val="superscript"/>
              </w:rPr>
              <w:t>3</w:t>
            </w:r>
            <w:r>
              <w:rPr>
                <w:color w:val="FF0000"/>
                <w:kern w:val="0"/>
                <w:sz w:val="24"/>
              </w:rPr>
              <w:t>/</w:t>
            </w:r>
            <w:r>
              <w:rPr>
                <w:rFonts w:hint="eastAsia"/>
                <w:color w:val="FF0000"/>
                <w:kern w:val="0"/>
                <w:sz w:val="24"/>
              </w:rPr>
              <w:t>d（1</w:t>
            </w:r>
            <w:r>
              <w:rPr>
                <w:rFonts w:hint="eastAsia"/>
                <w:color w:val="FF0000"/>
                <w:kern w:val="0"/>
                <w:sz w:val="24"/>
                <w:lang w:val="en-US" w:eastAsia="zh-CN"/>
              </w:rPr>
              <w:t>3.2</w:t>
            </w:r>
            <w:r>
              <w:rPr>
                <w:color w:val="FF0000"/>
                <w:kern w:val="0"/>
                <w:sz w:val="24"/>
              </w:rPr>
              <w:t>m</w:t>
            </w:r>
            <w:r>
              <w:rPr>
                <w:color w:val="FF0000"/>
                <w:kern w:val="0"/>
                <w:sz w:val="24"/>
                <w:vertAlign w:val="superscript"/>
              </w:rPr>
              <w:t>3</w:t>
            </w:r>
            <w:r>
              <w:rPr>
                <w:rFonts w:hint="eastAsia"/>
                <w:color w:val="FF0000"/>
                <w:kern w:val="0"/>
                <w:sz w:val="24"/>
              </w:rPr>
              <w:t>/a）</w:t>
            </w:r>
            <w:r>
              <w:rPr>
                <w:rFonts w:hint="eastAsia"/>
                <w:color w:val="auto"/>
                <w:sz w:val="24"/>
              </w:rPr>
              <w:t>。</w:t>
            </w:r>
          </w:p>
          <w:p w14:paraId="7C9A6B52">
            <w:pPr>
              <w:pStyle w:val="9"/>
              <w:spacing w:after="0" w:line="360" w:lineRule="auto"/>
              <w:ind w:left="0" w:leftChars="0" w:firstLine="480"/>
              <w:rPr>
                <w:color w:val="auto"/>
                <w:szCs w:val="24"/>
              </w:rPr>
            </w:pPr>
            <w:r>
              <w:rPr>
                <w:color w:val="auto"/>
                <w:szCs w:val="24"/>
              </w:rPr>
              <w:t>③</w:t>
            </w:r>
            <w:r>
              <w:rPr>
                <w:rFonts w:hint="eastAsia" w:ascii="宋体" w:hAnsi="宋体" w:cs="宋体"/>
                <w:color w:val="auto"/>
                <w:szCs w:val="22"/>
              </w:rPr>
              <w:t>实验平台及车间</w:t>
            </w:r>
            <w:r>
              <w:rPr>
                <w:color w:val="auto"/>
                <w:szCs w:val="24"/>
              </w:rPr>
              <w:t>清洁用水：</w:t>
            </w:r>
            <w:r>
              <w:rPr>
                <w:rFonts w:hint="eastAsia"/>
                <w:color w:val="auto"/>
                <w:szCs w:val="24"/>
              </w:rPr>
              <w:t>项目需定期对</w:t>
            </w:r>
            <w:r>
              <w:rPr>
                <w:color w:val="auto"/>
                <w:szCs w:val="24"/>
              </w:rPr>
              <w:t>实验平台及车间</w:t>
            </w:r>
            <w:r>
              <w:rPr>
                <w:rFonts w:hint="eastAsia"/>
                <w:color w:val="auto"/>
                <w:szCs w:val="24"/>
              </w:rPr>
              <w:t>进行清洁</w:t>
            </w:r>
            <w:r>
              <w:rPr>
                <w:color w:val="auto"/>
                <w:szCs w:val="24"/>
              </w:rPr>
              <w:t>，清洁用水为自来水，根据建设单位提供的资料</w:t>
            </w:r>
            <w:r>
              <w:rPr>
                <w:rFonts w:hint="eastAsia"/>
                <w:color w:val="auto"/>
                <w:szCs w:val="24"/>
              </w:rPr>
              <w:t>，项目清洁用水为0.1</w:t>
            </w:r>
            <w:r>
              <w:rPr>
                <w:color w:val="auto"/>
                <w:szCs w:val="24"/>
              </w:rPr>
              <w:t>m</w:t>
            </w:r>
            <w:r>
              <w:rPr>
                <w:color w:val="auto"/>
                <w:szCs w:val="24"/>
                <w:vertAlign w:val="superscript"/>
              </w:rPr>
              <w:t>3</w:t>
            </w:r>
            <w:r>
              <w:rPr>
                <w:color w:val="auto"/>
                <w:szCs w:val="24"/>
              </w:rPr>
              <w:t>/</w:t>
            </w:r>
            <w:r>
              <w:rPr>
                <w:rFonts w:hint="eastAsia"/>
                <w:color w:val="auto"/>
                <w:szCs w:val="24"/>
              </w:rPr>
              <w:t>d（24</w:t>
            </w:r>
            <w:r>
              <w:rPr>
                <w:color w:val="auto"/>
                <w:szCs w:val="24"/>
              </w:rPr>
              <w:t>m</w:t>
            </w:r>
            <w:r>
              <w:rPr>
                <w:color w:val="auto"/>
                <w:szCs w:val="24"/>
                <w:vertAlign w:val="superscript"/>
              </w:rPr>
              <w:t>3</w:t>
            </w:r>
            <w:r>
              <w:rPr>
                <w:rFonts w:hint="eastAsia"/>
                <w:color w:val="auto"/>
                <w:szCs w:val="24"/>
              </w:rPr>
              <w:t>/a）。</w:t>
            </w:r>
          </w:p>
          <w:p w14:paraId="4B143308">
            <w:pPr>
              <w:spacing w:line="360" w:lineRule="auto"/>
              <w:ind w:firstLine="480" w:firstLineChars="200"/>
              <w:rPr>
                <w:color w:val="FF0000"/>
                <w:kern w:val="0"/>
                <w:sz w:val="24"/>
              </w:rPr>
            </w:pPr>
            <w:r>
              <w:rPr>
                <w:rFonts w:hint="eastAsia"/>
                <w:color w:val="FF0000"/>
                <w:kern w:val="0"/>
                <w:sz w:val="24"/>
              </w:rPr>
              <w:t>综上，本项目新鲜用水为0.3</w:t>
            </w:r>
            <w:r>
              <w:rPr>
                <w:rFonts w:hint="eastAsia"/>
                <w:color w:val="FF0000"/>
                <w:kern w:val="0"/>
                <w:sz w:val="24"/>
                <w:lang w:val="en-US" w:eastAsia="zh-CN"/>
              </w:rPr>
              <w:t>63</w:t>
            </w:r>
            <w:r>
              <w:rPr>
                <w:color w:val="FF0000"/>
                <w:kern w:val="0"/>
                <w:sz w:val="24"/>
              </w:rPr>
              <w:t>m</w:t>
            </w:r>
            <w:r>
              <w:rPr>
                <w:color w:val="FF0000"/>
                <w:kern w:val="0"/>
                <w:sz w:val="24"/>
                <w:vertAlign w:val="superscript"/>
              </w:rPr>
              <w:t>3</w:t>
            </w:r>
            <w:r>
              <w:rPr>
                <w:color w:val="FF0000"/>
                <w:kern w:val="0"/>
                <w:sz w:val="24"/>
              </w:rPr>
              <w:t>/</w:t>
            </w:r>
            <w:r>
              <w:rPr>
                <w:rFonts w:hint="eastAsia"/>
                <w:color w:val="FF0000"/>
                <w:kern w:val="0"/>
                <w:sz w:val="24"/>
              </w:rPr>
              <w:t>d（</w:t>
            </w:r>
            <w:r>
              <w:rPr>
                <w:rFonts w:hint="eastAsia"/>
                <w:color w:val="FF0000"/>
                <w:kern w:val="0"/>
                <w:sz w:val="24"/>
                <w:lang w:val="en-US" w:eastAsia="zh-CN"/>
              </w:rPr>
              <w:t>87.2</w:t>
            </w:r>
            <w:r>
              <w:rPr>
                <w:rFonts w:hint="eastAsia"/>
                <w:color w:val="FF0000"/>
                <w:kern w:val="0"/>
                <w:sz w:val="24"/>
              </w:rPr>
              <w:t>m</w:t>
            </w:r>
            <w:r>
              <w:rPr>
                <w:rFonts w:hint="eastAsia"/>
                <w:color w:val="FF0000"/>
                <w:kern w:val="0"/>
                <w:sz w:val="24"/>
                <w:vertAlign w:val="superscript"/>
              </w:rPr>
              <w:t>3</w:t>
            </w:r>
            <w:r>
              <w:rPr>
                <w:rFonts w:hint="eastAsia"/>
                <w:color w:val="FF0000"/>
                <w:kern w:val="0"/>
                <w:sz w:val="24"/>
              </w:rPr>
              <w:t>/a）。</w:t>
            </w:r>
          </w:p>
          <w:p w14:paraId="60F698B0">
            <w:pPr>
              <w:spacing w:line="360" w:lineRule="auto"/>
              <w:ind w:firstLine="480" w:firstLineChars="200"/>
              <w:rPr>
                <w:color w:val="auto"/>
                <w:kern w:val="0"/>
                <w:sz w:val="24"/>
              </w:rPr>
            </w:pPr>
            <w:r>
              <w:rPr>
                <w:color w:val="auto"/>
                <w:kern w:val="0"/>
                <w:sz w:val="24"/>
              </w:rPr>
              <w:t>（2）排水</w:t>
            </w:r>
          </w:p>
          <w:p w14:paraId="6F4C8F85">
            <w:pPr>
              <w:spacing w:line="360" w:lineRule="auto"/>
              <w:ind w:firstLine="480" w:firstLineChars="200"/>
              <w:rPr>
                <w:color w:val="auto"/>
                <w:kern w:val="0"/>
                <w:sz w:val="24"/>
              </w:rPr>
            </w:pPr>
            <w:r>
              <w:rPr>
                <w:rFonts w:hint="eastAsia"/>
                <w:color w:val="auto"/>
                <w:kern w:val="0"/>
                <w:sz w:val="24"/>
              </w:rPr>
              <w:t>项目排水主要为生活污水、实验平台及车间清洁废水、设备及仪器清洗废水。</w:t>
            </w:r>
          </w:p>
          <w:p w14:paraId="672ADD9F">
            <w:pPr>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w:instrText>
            </w:r>
            <w:r>
              <w:rPr>
                <w:rFonts w:hint="eastAsia"/>
                <w:color w:val="auto"/>
                <w:kern w:val="0"/>
                <w:sz w:val="24"/>
              </w:rPr>
              <w:instrText xml:space="preserve">= 1 \* GB3</w:instrText>
            </w:r>
            <w:r>
              <w:rPr>
                <w:color w:val="auto"/>
                <w:kern w:val="0"/>
                <w:sz w:val="24"/>
              </w:rPr>
              <w:instrText xml:space="preserve"> </w:instrText>
            </w:r>
            <w:r>
              <w:rPr>
                <w:color w:val="auto"/>
                <w:kern w:val="0"/>
                <w:sz w:val="24"/>
              </w:rPr>
              <w:fldChar w:fldCharType="separate"/>
            </w:r>
            <w:r>
              <w:rPr>
                <w:rFonts w:hint="eastAsia"/>
                <w:color w:val="auto"/>
                <w:kern w:val="0"/>
                <w:sz w:val="24"/>
              </w:rPr>
              <w:t>①</w:t>
            </w:r>
            <w:r>
              <w:rPr>
                <w:color w:val="auto"/>
                <w:kern w:val="0"/>
                <w:sz w:val="24"/>
              </w:rPr>
              <w:fldChar w:fldCharType="end"/>
            </w:r>
            <w:r>
              <w:rPr>
                <w:rFonts w:hint="eastAsia"/>
                <w:color w:val="auto"/>
                <w:kern w:val="0"/>
                <w:sz w:val="24"/>
              </w:rPr>
              <w:t>生活用水：</w:t>
            </w:r>
            <w:r>
              <w:rPr>
                <w:color w:val="auto"/>
                <w:kern w:val="0"/>
                <w:sz w:val="24"/>
              </w:rPr>
              <w:t>生活污水产生量按照新鲜用水量的80%计算，则废水产生量为</w:t>
            </w:r>
            <w:r>
              <w:rPr>
                <w:rFonts w:hint="eastAsia"/>
                <w:color w:val="auto"/>
                <w:kern w:val="0"/>
                <w:sz w:val="24"/>
              </w:rPr>
              <w:t>0.167</w:t>
            </w:r>
            <w:r>
              <w:rPr>
                <w:color w:val="auto"/>
                <w:kern w:val="0"/>
                <w:sz w:val="24"/>
              </w:rPr>
              <w:t>m</w:t>
            </w:r>
            <w:r>
              <w:rPr>
                <w:color w:val="auto"/>
                <w:kern w:val="0"/>
                <w:sz w:val="24"/>
                <w:vertAlign w:val="superscript"/>
              </w:rPr>
              <w:t>3</w:t>
            </w:r>
            <w:r>
              <w:rPr>
                <w:color w:val="auto"/>
                <w:kern w:val="0"/>
                <w:sz w:val="24"/>
              </w:rPr>
              <w:t>/</w:t>
            </w:r>
            <w:r>
              <w:rPr>
                <w:rFonts w:hint="eastAsia"/>
                <w:color w:val="auto"/>
                <w:kern w:val="0"/>
                <w:sz w:val="24"/>
              </w:rPr>
              <w:t>d（40</w:t>
            </w:r>
            <w:r>
              <w:rPr>
                <w:color w:val="auto"/>
                <w:kern w:val="0"/>
                <w:sz w:val="24"/>
              </w:rPr>
              <w:t>m</w:t>
            </w:r>
            <w:r>
              <w:rPr>
                <w:color w:val="auto"/>
                <w:kern w:val="0"/>
                <w:sz w:val="24"/>
                <w:vertAlign w:val="superscript"/>
              </w:rPr>
              <w:t>3</w:t>
            </w:r>
            <w:r>
              <w:rPr>
                <w:color w:val="auto"/>
                <w:kern w:val="0"/>
                <w:sz w:val="24"/>
              </w:rPr>
              <w:t>/a</w:t>
            </w:r>
            <w:r>
              <w:rPr>
                <w:rFonts w:hint="eastAsia"/>
                <w:color w:val="auto"/>
                <w:kern w:val="0"/>
                <w:sz w:val="24"/>
              </w:rPr>
              <w:t>）</w:t>
            </w:r>
            <w:r>
              <w:rPr>
                <w:color w:val="auto"/>
                <w:kern w:val="0"/>
                <w:sz w:val="24"/>
              </w:rPr>
              <w:t>。</w:t>
            </w:r>
          </w:p>
          <w:p w14:paraId="728503C9">
            <w:pPr>
              <w:autoSpaceDN w:val="0"/>
              <w:spacing w:line="360" w:lineRule="auto"/>
              <w:ind w:firstLine="480" w:firstLineChars="200"/>
              <w:rPr>
                <w:color w:val="auto"/>
                <w:kern w:val="0"/>
                <w:sz w:val="24"/>
              </w:rPr>
            </w:pPr>
            <w:r>
              <w:rPr>
                <w:color w:val="auto"/>
                <w:kern w:val="0"/>
                <w:sz w:val="24"/>
              </w:rPr>
              <w:fldChar w:fldCharType="begin"/>
            </w:r>
            <w:r>
              <w:rPr>
                <w:color w:val="auto"/>
                <w:kern w:val="0"/>
                <w:sz w:val="24"/>
              </w:rPr>
              <w:instrText xml:space="preserve"> </w:instrText>
            </w:r>
            <w:r>
              <w:rPr>
                <w:rFonts w:hint="eastAsia"/>
                <w:color w:val="auto"/>
                <w:kern w:val="0"/>
                <w:sz w:val="24"/>
              </w:rPr>
              <w:instrText xml:space="preserve">= 2 \* GB3</w:instrText>
            </w:r>
            <w:r>
              <w:rPr>
                <w:color w:val="auto"/>
                <w:kern w:val="0"/>
                <w:sz w:val="24"/>
              </w:rPr>
              <w:instrText xml:space="preserve"> </w:instrText>
            </w:r>
            <w:r>
              <w:rPr>
                <w:color w:val="auto"/>
                <w:kern w:val="0"/>
                <w:sz w:val="24"/>
              </w:rPr>
              <w:fldChar w:fldCharType="separate"/>
            </w:r>
            <w:r>
              <w:rPr>
                <w:rFonts w:hint="eastAsia"/>
                <w:color w:val="auto"/>
                <w:kern w:val="0"/>
                <w:sz w:val="24"/>
              </w:rPr>
              <w:t>②</w:t>
            </w:r>
            <w:r>
              <w:rPr>
                <w:color w:val="auto"/>
                <w:kern w:val="0"/>
                <w:sz w:val="24"/>
              </w:rPr>
              <w:fldChar w:fldCharType="end"/>
            </w:r>
            <w:r>
              <w:rPr>
                <w:rFonts w:hint="eastAsia"/>
                <w:color w:val="auto"/>
                <w:kern w:val="0"/>
                <w:sz w:val="24"/>
              </w:rPr>
              <w:t>设备及仪器清洗废水：根据建设单位提供资料，清洗废水排放量按总用水量的80%计，则设备及仪器清洗废水量为</w:t>
            </w:r>
            <w:r>
              <w:rPr>
                <w:rFonts w:hint="eastAsia"/>
                <w:color w:val="auto"/>
                <w:kern w:val="0"/>
                <w:sz w:val="24"/>
                <w:lang w:val="en-US" w:eastAsia="zh-CN"/>
              </w:rPr>
              <w:t>10.5</w:t>
            </w:r>
            <w:r>
              <w:rPr>
                <w:rFonts w:hint="eastAsia"/>
                <w:color w:val="auto"/>
                <w:kern w:val="0"/>
                <w:sz w:val="24"/>
              </w:rPr>
              <w:t>6m</w:t>
            </w:r>
            <w:r>
              <w:rPr>
                <w:rFonts w:hint="eastAsia"/>
                <w:color w:val="auto"/>
                <w:kern w:val="0"/>
                <w:sz w:val="24"/>
                <w:vertAlign w:val="superscript"/>
              </w:rPr>
              <w:t>3</w:t>
            </w:r>
            <w:r>
              <w:rPr>
                <w:rFonts w:hint="eastAsia"/>
                <w:color w:val="auto"/>
                <w:kern w:val="0"/>
                <w:sz w:val="24"/>
              </w:rPr>
              <w:t>/a，</w:t>
            </w:r>
            <w:r>
              <w:rPr>
                <w:rFonts w:hint="eastAsia"/>
                <w:color w:val="FF0000"/>
                <w:kern w:val="0"/>
                <w:sz w:val="24"/>
              </w:rPr>
              <w:t>其中初次清洗废水量约占</w:t>
            </w:r>
            <w:r>
              <w:rPr>
                <w:rFonts w:hint="eastAsia"/>
                <w:color w:val="FF0000"/>
                <w:kern w:val="0"/>
                <w:sz w:val="24"/>
                <w:lang w:val="en-US" w:eastAsia="zh-CN"/>
              </w:rPr>
              <w:t>前两道</w:t>
            </w:r>
            <w:r>
              <w:rPr>
                <w:rFonts w:hint="eastAsia"/>
                <w:color w:val="FF0000"/>
                <w:kern w:val="0"/>
                <w:sz w:val="24"/>
              </w:rPr>
              <w:t>清洗废水量的</w:t>
            </w:r>
            <w:r>
              <w:rPr>
                <w:rFonts w:hint="eastAsia"/>
                <w:color w:val="FF0000"/>
                <w:kern w:val="0"/>
                <w:sz w:val="24"/>
                <w:lang w:val="en-US" w:eastAsia="zh-CN"/>
              </w:rPr>
              <w:t>3</w:t>
            </w:r>
            <w:r>
              <w:rPr>
                <w:rFonts w:hint="eastAsia"/>
                <w:color w:val="FF0000"/>
                <w:kern w:val="0"/>
                <w:sz w:val="24"/>
              </w:rPr>
              <w:t>0%，初次清洗废水量约为</w:t>
            </w:r>
            <w:r>
              <w:rPr>
                <w:rFonts w:hint="eastAsia"/>
                <w:color w:val="FF0000"/>
                <w:kern w:val="0"/>
                <w:sz w:val="24"/>
                <w:lang w:eastAsia="zh-CN"/>
              </w:rPr>
              <w:t>3.</w:t>
            </w:r>
            <w:r>
              <w:rPr>
                <w:rFonts w:hint="eastAsia"/>
                <w:color w:val="FF0000"/>
                <w:kern w:val="0"/>
                <w:sz w:val="24"/>
                <w:lang w:val="en-US" w:eastAsia="zh-CN"/>
              </w:rPr>
              <w:t>168</w:t>
            </w:r>
            <w:r>
              <w:rPr>
                <w:rFonts w:hint="eastAsia"/>
                <w:color w:val="FF0000"/>
                <w:kern w:val="0"/>
                <w:sz w:val="24"/>
              </w:rPr>
              <w:t>t/a，</w:t>
            </w:r>
            <w:r>
              <w:rPr>
                <w:rFonts w:hint="eastAsia"/>
                <w:color w:val="auto"/>
                <w:kern w:val="0"/>
                <w:sz w:val="24"/>
              </w:rPr>
              <w:t>该部分废液作为危废处置，</w:t>
            </w:r>
            <w:r>
              <w:rPr>
                <w:rFonts w:hint="eastAsia"/>
                <w:color w:val="FF0000"/>
                <w:kern w:val="0"/>
                <w:sz w:val="24"/>
                <w:lang w:val="en-US" w:eastAsia="zh-CN"/>
              </w:rPr>
              <w:t>剩余清洗废水</w:t>
            </w:r>
            <w:r>
              <w:rPr>
                <w:rFonts w:hint="eastAsia"/>
                <w:color w:val="FF0000"/>
                <w:kern w:val="0"/>
                <w:sz w:val="24"/>
                <w:lang w:eastAsia="zh-CN"/>
              </w:rPr>
              <w:t>0.0</w:t>
            </w:r>
            <w:r>
              <w:rPr>
                <w:rFonts w:hint="eastAsia"/>
                <w:color w:val="FF0000"/>
                <w:kern w:val="0"/>
                <w:sz w:val="24"/>
                <w:lang w:val="en-US" w:eastAsia="zh-CN"/>
              </w:rPr>
              <w:t>31</w:t>
            </w:r>
            <w:r>
              <w:rPr>
                <w:color w:val="FF0000"/>
                <w:kern w:val="0"/>
                <w:sz w:val="24"/>
              </w:rPr>
              <w:t>m</w:t>
            </w:r>
            <w:r>
              <w:rPr>
                <w:color w:val="FF0000"/>
                <w:kern w:val="0"/>
                <w:sz w:val="24"/>
                <w:vertAlign w:val="superscript"/>
              </w:rPr>
              <w:t>3</w:t>
            </w:r>
            <w:r>
              <w:rPr>
                <w:color w:val="FF0000"/>
                <w:kern w:val="0"/>
                <w:sz w:val="24"/>
              </w:rPr>
              <w:t>/</w:t>
            </w:r>
            <w:r>
              <w:rPr>
                <w:rFonts w:hint="eastAsia"/>
                <w:color w:val="FF0000"/>
                <w:kern w:val="0"/>
                <w:sz w:val="24"/>
              </w:rPr>
              <w:t>d（</w:t>
            </w:r>
            <w:r>
              <w:rPr>
                <w:rFonts w:hint="eastAsia"/>
                <w:color w:val="FF0000"/>
                <w:kern w:val="0"/>
                <w:sz w:val="24"/>
                <w:lang w:val="en-US" w:eastAsia="zh-CN"/>
              </w:rPr>
              <w:t>7.392</w:t>
            </w:r>
            <w:r>
              <w:rPr>
                <w:color w:val="FF0000"/>
                <w:kern w:val="0"/>
                <w:sz w:val="24"/>
              </w:rPr>
              <w:t>m</w:t>
            </w:r>
            <w:r>
              <w:rPr>
                <w:color w:val="FF0000"/>
                <w:kern w:val="0"/>
                <w:sz w:val="24"/>
                <w:vertAlign w:val="superscript"/>
              </w:rPr>
              <w:t>3</w:t>
            </w:r>
            <w:r>
              <w:rPr>
                <w:rFonts w:hint="eastAsia"/>
                <w:color w:val="FF0000"/>
                <w:kern w:val="0"/>
                <w:sz w:val="24"/>
              </w:rPr>
              <w:t>/a）</w:t>
            </w:r>
            <w:r>
              <w:rPr>
                <w:rFonts w:hint="eastAsia"/>
                <w:bCs/>
                <w:color w:val="auto"/>
                <w:sz w:val="24"/>
              </w:rPr>
              <w:t>依托</w:t>
            </w:r>
            <w:r>
              <w:rPr>
                <w:rFonts w:hint="eastAsia"/>
                <w:color w:val="auto"/>
                <w:kern w:val="0"/>
                <w:sz w:val="24"/>
              </w:rPr>
              <w:t>西安生漆涂料研究所</w:t>
            </w:r>
            <w:r>
              <w:rPr>
                <w:rFonts w:hint="eastAsia"/>
                <w:bCs/>
                <w:color w:val="auto"/>
                <w:sz w:val="24"/>
              </w:rPr>
              <w:t>化粪池（50m</w:t>
            </w:r>
            <w:r>
              <w:rPr>
                <w:rFonts w:hint="eastAsia"/>
                <w:bCs/>
                <w:color w:val="auto"/>
                <w:sz w:val="24"/>
                <w:vertAlign w:val="superscript"/>
              </w:rPr>
              <w:t>3</w:t>
            </w:r>
            <w:r>
              <w:rPr>
                <w:rFonts w:hint="eastAsia"/>
                <w:bCs/>
                <w:color w:val="auto"/>
                <w:sz w:val="24"/>
              </w:rPr>
              <w:t>）及地埋式一体化污水处理设施（10m</w:t>
            </w:r>
            <w:r>
              <w:rPr>
                <w:rFonts w:hint="eastAsia"/>
                <w:bCs/>
                <w:color w:val="auto"/>
                <w:sz w:val="24"/>
                <w:vertAlign w:val="superscript"/>
              </w:rPr>
              <w:t>3</w:t>
            </w:r>
            <w:r>
              <w:rPr>
                <w:rFonts w:hint="eastAsia"/>
                <w:bCs/>
                <w:color w:val="auto"/>
                <w:sz w:val="24"/>
              </w:rPr>
              <w:t>/d）处理后经市政管网排入沣西新城渭河污水处理厂处理</w:t>
            </w:r>
            <w:r>
              <w:rPr>
                <w:rFonts w:hint="eastAsia"/>
                <w:color w:val="auto"/>
                <w:kern w:val="0"/>
                <w:sz w:val="24"/>
              </w:rPr>
              <w:t>。</w:t>
            </w:r>
          </w:p>
          <w:p w14:paraId="73EF2CDA">
            <w:pPr>
              <w:spacing w:line="360" w:lineRule="auto"/>
              <w:ind w:firstLine="480" w:firstLineChars="200"/>
              <w:rPr>
                <w:color w:val="auto"/>
                <w:kern w:val="0"/>
                <w:sz w:val="24"/>
                <w:highlight w:val="yellow"/>
              </w:rPr>
            </w:pPr>
            <w:r>
              <w:rPr>
                <w:rFonts w:hint="eastAsia"/>
                <w:color w:val="auto"/>
                <w:sz w:val="24"/>
              </w:rPr>
              <w:fldChar w:fldCharType="begin"/>
            </w:r>
            <w:r>
              <w:rPr>
                <w:color w:val="auto"/>
                <w:sz w:val="24"/>
              </w:rPr>
              <w:instrText xml:space="preserve"> = 3 \* GB3 </w:instrText>
            </w:r>
            <w:r>
              <w:rPr>
                <w:rFonts w:hint="eastAsia"/>
                <w:color w:val="auto"/>
                <w:sz w:val="24"/>
              </w:rPr>
              <w:fldChar w:fldCharType="separate"/>
            </w:r>
            <w:r>
              <w:rPr>
                <w:rFonts w:hint="eastAsia"/>
                <w:color w:val="auto"/>
                <w:sz w:val="24"/>
              </w:rPr>
              <w:t>③</w:t>
            </w:r>
            <w:r>
              <w:rPr>
                <w:rFonts w:hint="eastAsia"/>
                <w:color w:val="auto"/>
                <w:sz w:val="24"/>
              </w:rPr>
              <w:fldChar w:fldCharType="end"/>
            </w:r>
            <w:r>
              <w:rPr>
                <w:rFonts w:hint="eastAsia"/>
                <w:color w:val="auto"/>
                <w:kern w:val="0"/>
                <w:sz w:val="24"/>
              </w:rPr>
              <w:t>实验平台及车间清洁废水：根据建设单位提供资料，项目清洁废水量按总用水量的80%计，则废水产生量为0.08</w:t>
            </w:r>
            <w:r>
              <w:rPr>
                <w:color w:val="auto"/>
                <w:kern w:val="0"/>
                <w:sz w:val="24"/>
              </w:rPr>
              <w:t>m</w:t>
            </w:r>
            <w:r>
              <w:rPr>
                <w:color w:val="auto"/>
                <w:kern w:val="0"/>
                <w:sz w:val="24"/>
                <w:vertAlign w:val="superscript"/>
              </w:rPr>
              <w:t>3</w:t>
            </w:r>
            <w:r>
              <w:rPr>
                <w:color w:val="auto"/>
                <w:kern w:val="0"/>
                <w:sz w:val="24"/>
              </w:rPr>
              <w:t>/</w:t>
            </w:r>
            <w:r>
              <w:rPr>
                <w:rFonts w:hint="eastAsia"/>
                <w:color w:val="auto"/>
                <w:kern w:val="0"/>
                <w:sz w:val="24"/>
              </w:rPr>
              <w:t>d（19.2</w:t>
            </w:r>
            <w:r>
              <w:rPr>
                <w:color w:val="auto"/>
                <w:kern w:val="0"/>
                <w:sz w:val="24"/>
              </w:rPr>
              <w:t>m</w:t>
            </w:r>
            <w:r>
              <w:rPr>
                <w:color w:val="auto"/>
                <w:kern w:val="0"/>
                <w:sz w:val="24"/>
                <w:vertAlign w:val="superscript"/>
              </w:rPr>
              <w:t>3</w:t>
            </w:r>
            <w:r>
              <w:rPr>
                <w:rFonts w:hint="eastAsia"/>
                <w:color w:val="auto"/>
                <w:kern w:val="0"/>
                <w:sz w:val="24"/>
              </w:rPr>
              <w:t>/a）。</w:t>
            </w:r>
          </w:p>
          <w:p w14:paraId="3998AAB2">
            <w:pPr>
              <w:adjustRightInd w:val="0"/>
              <w:snapToGrid w:val="0"/>
              <w:spacing w:line="360" w:lineRule="auto"/>
              <w:ind w:firstLine="480" w:firstLineChars="200"/>
              <w:rPr>
                <w:rFonts w:cs="宋体"/>
                <w:color w:val="auto"/>
                <w:kern w:val="0"/>
                <w:sz w:val="24"/>
              </w:rPr>
            </w:pPr>
            <w:r>
              <w:rPr>
                <w:rFonts w:hint="eastAsia" w:cs="宋体"/>
                <w:color w:val="auto"/>
                <w:kern w:val="0"/>
                <w:sz w:val="24"/>
              </w:rPr>
              <w:t>综上，本</w:t>
            </w:r>
            <w:r>
              <w:rPr>
                <w:rFonts w:cs="宋体"/>
                <w:color w:val="auto"/>
                <w:kern w:val="0"/>
                <w:sz w:val="24"/>
              </w:rPr>
              <w:t>项目</w:t>
            </w:r>
            <w:r>
              <w:rPr>
                <w:rFonts w:hint="eastAsia" w:cs="宋体"/>
                <w:color w:val="auto"/>
                <w:kern w:val="0"/>
                <w:sz w:val="24"/>
              </w:rPr>
              <w:t>生活污水、设备及仪器清洗废水、实验平台及车间清洁废水总产生量</w:t>
            </w:r>
            <w:r>
              <w:rPr>
                <w:rFonts w:hint="eastAsia" w:cs="宋体"/>
                <w:color w:val="FF0000"/>
                <w:kern w:val="0"/>
                <w:sz w:val="24"/>
              </w:rPr>
              <w:t>0.2</w:t>
            </w:r>
            <w:r>
              <w:rPr>
                <w:rFonts w:hint="eastAsia" w:cs="宋体"/>
                <w:color w:val="FF0000"/>
                <w:kern w:val="0"/>
                <w:sz w:val="24"/>
                <w:lang w:val="en-US" w:eastAsia="zh-CN"/>
              </w:rPr>
              <w:t>81</w:t>
            </w:r>
            <w:r>
              <w:rPr>
                <w:color w:val="FF0000"/>
                <w:kern w:val="0"/>
                <w:sz w:val="24"/>
              </w:rPr>
              <w:t>m</w:t>
            </w:r>
            <w:r>
              <w:rPr>
                <w:color w:val="FF0000"/>
                <w:kern w:val="0"/>
                <w:sz w:val="24"/>
                <w:vertAlign w:val="superscript"/>
              </w:rPr>
              <w:t>3</w:t>
            </w:r>
            <w:r>
              <w:rPr>
                <w:color w:val="FF0000"/>
                <w:kern w:val="0"/>
                <w:sz w:val="24"/>
              </w:rPr>
              <w:t>/</w:t>
            </w:r>
            <w:r>
              <w:rPr>
                <w:rFonts w:hint="eastAsia"/>
                <w:color w:val="FF0000"/>
                <w:kern w:val="0"/>
                <w:sz w:val="24"/>
              </w:rPr>
              <w:t>d（</w:t>
            </w:r>
            <w:r>
              <w:rPr>
                <w:rFonts w:hint="eastAsia"/>
                <w:color w:val="FF0000"/>
                <w:kern w:val="0"/>
                <w:sz w:val="24"/>
                <w:lang w:val="en-US" w:eastAsia="zh-CN"/>
              </w:rPr>
              <w:t>67.552</w:t>
            </w:r>
            <w:r>
              <w:rPr>
                <w:rFonts w:hint="eastAsia"/>
                <w:color w:val="FF0000"/>
                <w:kern w:val="0"/>
                <w:sz w:val="24"/>
              </w:rPr>
              <w:t>m</w:t>
            </w:r>
            <w:r>
              <w:rPr>
                <w:rFonts w:hint="eastAsia"/>
                <w:color w:val="FF0000"/>
                <w:kern w:val="0"/>
                <w:sz w:val="24"/>
                <w:vertAlign w:val="superscript"/>
              </w:rPr>
              <w:t>3</w:t>
            </w:r>
            <w:r>
              <w:rPr>
                <w:rFonts w:hint="eastAsia"/>
                <w:color w:val="FF0000"/>
                <w:kern w:val="0"/>
                <w:sz w:val="24"/>
              </w:rPr>
              <w:t>/a）</w:t>
            </w:r>
            <w:r>
              <w:rPr>
                <w:rFonts w:hint="eastAsia" w:cs="宋体"/>
                <w:color w:val="auto"/>
                <w:kern w:val="0"/>
                <w:sz w:val="24"/>
              </w:rPr>
              <w:t>，</w:t>
            </w:r>
            <w:r>
              <w:rPr>
                <w:rFonts w:hint="eastAsia"/>
                <w:bCs/>
                <w:color w:val="auto"/>
                <w:sz w:val="24"/>
              </w:rPr>
              <w:t>依托</w:t>
            </w:r>
            <w:r>
              <w:rPr>
                <w:rFonts w:hint="eastAsia"/>
                <w:color w:val="auto"/>
                <w:kern w:val="0"/>
                <w:sz w:val="24"/>
              </w:rPr>
              <w:t>西安生漆涂料研究所</w:t>
            </w:r>
            <w:r>
              <w:rPr>
                <w:rFonts w:hint="eastAsia"/>
                <w:bCs/>
                <w:color w:val="auto"/>
                <w:sz w:val="24"/>
              </w:rPr>
              <w:t>化粪池（50m</w:t>
            </w:r>
            <w:r>
              <w:rPr>
                <w:rFonts w:hint="eastAsia"/>
                <w:bCs/>
                <w:color w:val="auto"/>
                <w:sz w:val="24"/>
                <w:vertAlign w:val="superscript"/>
              </w:rPr>
              <w:t>3</w:t>
            </w:r>
            <w:r>
              <w:rPr>
                <w:rFonts w:hint="eastAsia"/>
                <w:bCs/>
                <w:color w:val="auto"/>
                <w:sz w:val="24"/>
              </w:rPr>
              <w:t>）及地埋式一体化污水处理设施（10m</w:t>
            </w:r>
            <w:r>
              <w:rPr>
                <w:rFonts w:hint="eastAsia"/>
                <w:bCs/>
                <w:color w:val="auto"/>
                <w:sz w:val="24"/>
                <w:vertAlign w:val="superscript"/>
              </w:rPr>
              <w:t>3</w:t>
            </w:r>
            <w:r>
              <w:rPr>
                <w:rFonts w:hint="eastAsia"/>
                <w:bCs/>
                <w:color w:val="auto"/>
                <w:sz w:val="24"/>
              </w:rPr>
              <w:t>/d）处理后经市政管网排入沣西新城渭河污水处理厂处理</w:t>
            </w:r>
            <w:r>
              <w:rPr>
                <w:rFonts w:hint="eastAsia" w:cs="宋体"/>
                <w:color w:val="auto"/>
                <w:kern w:val="0"/>
                <w:sz w:val="24"/>
              </w:rPr>
              <w:t>。</w:t>
            </w:r>
          </w:p>
          <w:p w14:paraId="30D9401D">
            <w:pPr>
              <w:autoSpaceDN w:val="0"/>
              <w:spacing w:line="360" w:lineRule="auto"/>
              <w:ind w:firstLine="480" w:firstLineChars="200"/>
              <w:rPr>
                <w:color w:val="auto"/>
                <w:kern w:val="0"/>
                <w:sz w:val="24"/>
              </w:rPr>
            </w:pPr>
            <w:r>
              <w:rPr>
                <w:color w:val="auto"/>
                <w:kern w:val="0"/>
                <w:sz w:val="24"/>
              </w:rPr>
              <w:t>具体用水及排水情况见下</w:t>
            </w:r>
            <w:r>
              <w:rPr>
                <w:rFonts w:hint="eastAsia"/>
                <w:color w:val="auto"/>
                <w:kern w:val="0"/>
                <w:sz w:val="24"/>
              </w:rPr>
              <w:t>图及下</w:t>
            </w:r>
            <w:r>
              <w:rPr>
                <w:color w:val="auto"/>
                <w:kern w:val="0"/>
                <w:sz w:val="24"/>
              </w:rPr>
              <w:t>表。</w:t>
            </w:r>
          </w:p>
          <w:p w14:paraId="197D5D06">
            <w:pPr>
              <w:jc w:val="center"/>
              <w:rPr>
                <w:b/>
                <w:color w:val="auto"/>
                <w:kern w:val="0"/>
                <w:szCs w:val="21"/>
              </w:rPr>
            </w:pPr>
            <w:r>
              <w:rPr>
                <w:b/>
                <w:color w:val="auto"/>
                <w:kern w:val="0"/>
                <w:szCs w:val="21"/>
              </w:rPr>
              <w:t>表</w:t>
            </w:r>
            <w:r>
              <w:rPr>
                <w:rFonts w:hint="eastAsia"/>
                <w:b/>
                <w:color w:val="auto"/>
                <w:kern w:val="0"/>
                <w:szCs w:val="21"/>
              </w:rPr>
              <w:t xml:space="preserve">2-6   </w:t>
            </w:r>
            <w:r>
              <w:rPr>
                <w:b/>
                <w:color w:val="auto"/>
                <w:kern w:val="0"/>
                <w:szCs w:val="21"/>
              </w:rPr>
              <w:t>本项目用水及排水情况一览表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216"/>
              <w:gridCol w:w="1323"/>
              <w:gridCol w:w="1428"/>
              <w:gridCol w:w="1383"/>
              <w:gridCol w:w="1304"/>
            </w:tblGrid>
            <w:tr w14:paraId="039F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31" w:type="pct"/>
                  <w:vAlign w:val="center"/>
                </w:tcPr>
                <w:p w14:paraId="79666367">
                  <w:pPr>
                    <w:autoSpaceDE w:val="0"/>
                    <w:autoSpaceDN w:val="0"/>
                    <w:jc w:val="center"/>
                    <w:rPr>
                      <w:color w:val="auto"/>
                      <w:kern w:val="0"/>
                      <w:szCs w:val="21"/>
                    </w:rPr>
                  </w:pPr>
                  <w:r>
                    <w:rPr>
                      <w:color w:val="auto"/>
                      <w:kern w:val="0"/>
                      <w:szCs w:val="21"/>
                    </w:rPr>
                    <w:t>序号</w:t>
                  </w:r>
                </w:p>
              </w:tc>
              <w:tc>
                <w:tcPr>
                  <w:tcW w:w="1322" w:type="pct"/>
                  <w:vAlign w:val="center"/>
                </w:tcPr>
                <w:p w14:paraId="68005768">
                  <w:pPr>
                    <w:autoSpaceDE w:val="0"/>
                    <w:autoSpaceDN w:val="0"/>
                    <w:jc w:val="center"/>
                    <w:rPr>
                      <w:color w:val="auto"/>
                      <w:kern w:val="0"/>
                      <w:szCs w:val="21"/>
                    </w:rPr>
                  </w:pPr>
                  <w:r>
                    <w:rPr>
                      <w:color w:val="auto"/>
                      <w:kern w:val="0"/>
                      <w:szCs w:val="21"/>
                    </w:rPr>
                    <w:t>名称</w:t>
                  </w:r>
                </w:p>
              </w:tc>
              <w:tc>
                <w:tcPr>
                  <w:tcW w:w="789" w:type="pct"/>
                  <w:vAlign w:val="center"/>
                </w:tcPr>
                <w:p w14:paraId="70262DAF">
                  <w:pPr>
                    <w:autoSpaceDE w:val="0"/>
                    <w:autoSpaceDN w:val="0"/>
                    <w:jc w:val="center"/>
                    <w:rPr>
                      <w:color w:val="auto"/>
                      <w:kern w:val="0"/>
                      <w:szCs w:val="21"/>
                    </w:rPr>
                  </w:pPr>
                  <w:r>
                    <w:rPr>
                      <w:color w:val="auto"/>
                      <w:kern w:val="0"/>
                      <w:szCs w:val="21"/>
                    </w:rPr>
                    <w:t>用水量m</w:t>
                  </w:r>
                  <w:r>
                    <w:rPr>
                      <w:color w:val="auto"/>
                      <w:kern w:val="0"/>
                      <w:szCs w:val="21"/>
                      <w:vertAlign w:val="superscript"/>
                    </w:rPr>
                    <w:t>3</w:t>
                  </w:r>
                  <w:r>
                    <w:rPr>
                      <w:color w:val="auto"/>
                      <w:kern w:val="0"/>
                      <w:szCs w:val="21"/>
                    </w:rPr>
                    <w:t>/</w:t>
                  </w:r>
                  <w:r>
                    <w:rPr>
                      <w:rFonts w:hint="eastAsia"/>
                      <w:color w:val="auto"/>
                      <w:kern w:val="0"/>
                      <w:szCs w:val="21"/>
                    </w:rPr>
                    <w:t>d</w:t>
                  </w:r>
                </w:p>
              </w:tc>
              <w:tc>
                <w:tcPr>
                  <w:tcW w:w="852" w:type="pct"/>
                  <w:vAlign w:val="center"/>
                </w:tcPr>
                <w:p w14:paraId="03B38AEA">
                  <w:pPr>
                    <w:autoSpaceDE w:val="0"/>
                    <w:autoSpaceDN w:val="0"/>
                    <w:jc w:val="center"/>
                    <w:rPr>
                      <w:color w:val="auto"/>
                      <w:kern w:val="0"/>
                      <w:szCs w:val="21"/>
                    </w:rPr>
                  </w:pPr>
                  <w:r>
                    <w:rPr>
                      <w:rFonts w:hint="eastAsia"/>
                      <w:color w:val="auto"/>
                      <w:kern w:val="0"/>
                      <w:szCs w:val="21"/>
                    </w:rPr>
                    <w:t>用水量</w:t>
                  </w:r>
                  <w:r>
                    <w:rPr>
                      <w:color w:val="auto"/>
                      <w:kern w:val="0"/>
                      <w:sz w:val="24"/>
                    </w:rPr>
                    <w:t>m</w:t>
                  </w:r>
                  <w:r>
                    <w:rPr>
                      <w:color w:val="auto"/>
                      <w:kern w:val="0"/>
                      <w:sz w:val="24"/>
                      <w:vertAlign w:val="superscript"/>
                    </w:rPr>
                    <w:t>3</w:t>
                  </w:r>
                  <w:r>
                    <w:rPr>
                      <w:color w:val="auto"/>
                      <w:kern w:val="0"/>
                      <w:sz w:val="24"/>
                    </w:rPr>
                    <w:t>/a</w:t>
                  </w:r>
                </w:p>
              </w:tc>
              <w:tc>
                <w:tcPr>
                  <w:tcW w:w="825" w:type="pct"/>
                  <w:vAlign w:val="center"/>
                </w:tcPr>
                <w:p w14:paraId="19E4DBB2">
                  <w:pPr>
                    <w:autoSpaceDE w:val="0"/>
                    <w:autoSpaceDN w:val="0"/>
                    <w:jc w:val="center"/>
                    <w:rPr>
                      <w:color w:val="auto"/>
                      <w:kern w:val="0"/>
                      <w:szCs w:val="21"/>
                    </w:rPr>
                  </w:pPr>
                  <w:r>
                    <w:rPr>
                      <w:rFonts w:hint="eastAsia"/>
                      <w:color w:val="auto"/>
                      <w:kern w:val="0"/>
                      <w:szCs w:val="21"/>
                    </w:rPr>
                    <w:t>排水</w:t>
                  </w:r>
                  <w:r>
                    <w:rPr>
                      <w:color w:val="auto"/>
                      <w:kern w:val="0"/>
                      <w:szCs w:val="21"/>
                    </w:rPr>
                    <w:t>量m</w:t>
                  </w:r>
                  <w:r>
                    <w:rPr>
                      <w:color w:val="auto"/>
                      <w:kern w:val="0"/>
                      <w:szCs w:val="21"/>
                      <w:vertAlign w:val="superscript"/>
                    </w:rPr>
                    <w:t>3</w:t>
                  </w:r>
                  <w:r>
                    <w:rPr>
                      <w:color w:val="auto"/>
                      <w:kern w:val="0"/>
                      <w:szCs w:val="21"/>
                    </w:rPr>
                    <w:t>/</w:t>
                  </w:r>
                  <w:r>
                    <w:rPr>
                      <w:rFonts w:hint="eastAsia"/>
                      <w:color w:val="auto"/>
                      <w:kern w:val="0"/>
                      <w:szCs w:val="21"/>
                    </w:rPr>
                    <w:t>d</w:t>
                  </w:r>
                </w:p>
              </w:tc>
              <w:tc>
                <w:tcPr>
                  <w:tcW w:w="778" w:type="pct"/>
                  <w:vAlign w:val="center"/>
                </w:tcPr>
                <w:p w14:paraId="7BCD0757">
                  <w:pPr>
                    <w:autoSpaceDE w:val="0"/>
                    <w:autoSpaceDN w:val="0"/>
                    <w:jc w:val="center"/>
                    <w:rPr>
                      <w:color w:val="auto"/>
                      <w:kern w:val="0"/>
                      <w:szCs w:val="21"/>
                    </w:rPr>
                  </w:pPr>
                  <w:r>
                    <w:rPr>
                      <w:rFonts w:hint="eastAsia"/>
                      <w:color w:val="auto"/>
                      <w:kern w:val="0"/>
                      <w:szCs w:val="21"/>
                    </w:rPr>
                    <w:t>排水</w:t>
                  </w:r>
                  <w:r>
                    <w:rPr>
                      <w:color w:val="auto"/>
                      <w:kern w:val="0"/>
                      <w:szCs w:val="21"/>
                    </w:rPr>
                    <w:t>量</w:t>
                  </w:r>
                  <w:r>
                    <w:rPr>
                      <w:color w:val="auto"/>
                      <w:kern w:val="0"/>
                      <w:sz w:val="24"/>
                    </w:rPr>
                    <w:t>m</w:t>
                  </w:r>
                  <w:r>
                    <w:rPr>
                      <w:color w:val="auto"/>
                      <w:kern w:val="0"/>
                      <w:sz w:val="24"/>
                      <w:vertAlign w:val="superscript"/>
                    </w:rPr>
                    <w:t>3</w:t>
                  </w:r>
                  <w:r>
                    <w:rPr>
                      <w:color w:val="auto"/>
                      <w:kern w:val="0"/>
                      <w:sz w:val="24"/>
                    </w:rPr>
                    <w:t>/a</w:t>
                  </w:r>
                </w:p>
              </w:tc>
            </w:tr>
            <w:tr w14:paraId="6B82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31" w:type="pct"/>
                  <w:vAlign w:val="center"/>
                </w:tcPr>
                <w:p w14:paraId="18FD7EE7">
                  <w:pPr>
                    <w:autoSpaceDE w:val="0"/>
                    <w:autoSpaceDN w:val="0"/>
                    <w:jc w:val="center"/>
                    <w:rPr>
                      <w:color w:val="auto"/>
                      <w:kern w:val="0"/>
                      <w:szCs w:val="21"/>
                    </w:rPr>
                  </w:pPr>
                  <w:r>
                    <w:rPr>
                      <w:color w:val="auto"/>
                      <w:kern w:val="0"/>
                      <w:szCs w:val="21"/>
                    </w:rPr>
                    <w:t>1</w:t>
                  </w:r>
                </w:p>
              </w:tc>
              <w:tc>
                <w:tcPr>
                  <w:tcW w:w="1322" w:type="pct"/>
                  <w:vAlign w:val="center"/>
                </w:tcPr>
                <w:p w14:paraId="4FFA18AB">
                  <w:pPr>
                    <w:autoSpaceDE w:val="0"/>
                    <w:autoSpaceDN w:val="0"/>
                    <w:jc w:val="center"/>
                    <w:rPr>
                      <w:color w:val="auto"/>
                      <w:kern w:val="0"/>
                      <w:szCs w:val="21"/>
                    </w:rPr>
                  </w:pPr>
                  <w:r>
                    <w:rPr>
                      <w:color w:val="auto"/>
                      <w:kern w:val="0"/>
                      <w:szCs w:val="21"/>
                    </w:rPr>
                    <w:t>生活用水</w:t>
                  </w:r>
                </w:p>
              </w:tc>
              <w:tc>
                <w:tcPr>
                  <w:tcW w:w="789" w:type="pct"/>
                  <w:vAlign w:val="center"/>
                </w:tcPr>
                <w:p w14:paraId="48912D2A">
                  <w:pPr>
                    <w:autoSpaceDE w:val="0"/>
                    <w:autoSpaceDN w:val="0"/>
                    <w:jc w:val="center"/>
                    <w:rPr>
                      <w:color w:val="auto"/>
                      <w:kern w:val="0"/>
                      <w:szCs w:val="21"/>
                    </w:rPr>
                  </w:pPr>
                  <w:r>
                    <w:rPr>
                      <w:rFonts w:hint="eastAsia"/>
                      <w:color w:val="auto"/>
                      <w:kern w:val="0"/>
                      <w:szCs w:val="21"/>
                    </w:rPr>
                    <w:t>0.208</w:t>
                  </w:r>
                </w:p>
              </w:tc>
              <w:tc>
                <w:tcPr>
                  <w:tcW w:w="852" w:type="pct"/>
                  <w:vAlign w:val="center"/>
                </w:tcPr>
                <w:p w14:paraId="047E8452">
                  <w:pPr>
                    <w:autoSpaceDE w:val="0"/>
                    <w:autoSpaceDN w:val="0"/>
                    <w:jc w:val="center"/>
                    <w:rPr>
                      <w:color w:val="auto"/>
                      <w:kern w:val="0"/>
                      <w:szCs w:val="21"/>
                    </w:rPr>
                  </w:pPr>
                  <w:r>
                    <w:rPr>
                      <w:rFonts w:hint="eastAsia"/>
                      <w:color w:val="auto"/>
                      <w:kern w:val="0"/>
                      <w:szCs w:val="21"/>
                    </w:rPr>
                    <w:t>50</w:t>
                  </w:r>
                </w:p>
              </w:tc>
              <w:tc>
                <w:tcPr>
                  <w:tcW w:w="825" w:type="pct"/>
                  <w:vAlign w:val="center"/>
                </w:tcPr>
                <w:p w14:paraId="04A6EC06">
                  <w:pPr>
                    <w:autoSpaceDE w:val="0"/>
                    <w:autoSpaceDN w:val="0"/>
                    <w:jc w:val="center"/>
                    <w:rPr>
                      <w:color w:val="auto"/>
                      <w:kern w:val="21"/>
                      <w:szCs w:val="21"/>
                    </w:rPr>
                  </w:pPr>
                  <w:r>
                    <w:rPr>
                      <w:rFonts w:hint="eastAsia"/>
                      <w:color w:val="auto"/>
                      <w:kern w:val="21"/>
                      <w:szCs w:val="21"/>
                    </w:rPr>
                    <w:t>0.167</w:t>
                  </w:r>
                </w:p>
              </w:tc>
              <w:tc>
                <w:tcPr>
                  <w:tcW w:w="778" w:type="pct"/>
                  <w:vAlign w:val="center"/>
                </w:tcPr>
                <w:p w14:paraId="12B9586E">
                  <w:pPr>
                    <w:autoSpaceDE w:val="0"/>
                    <w:autoSpaceDN w:val="0"/>
                    <w:jc w:val="center"/>
                    <w:rPr>
                      <w:color w:val="auto"/>
                      <w:kern w:val="21"/>
                      <w:szCs w:val="21"/>
                    </w:rPr>
                  </w:pPr>
                  <w:r>
                    <w:rPr>
                      <w:rFonts w:hint="eastAsia"/>
                      <w:color w:val="auto"/>
                      <w:kern w:val="21"/>
                      <w:szCs w:val="21"/>
                    </w:rPr>
                    <w:t>40</w:t>
                  </w:r>
                </w:p>
              </w:tc>
            </w:tr>
            <w:tr w14:paraId="546E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pct"/>
                  <w:vAlign w:val="center"/>
                </w:tcPr>
                <w:p w14:paraId="7E1B23BB">
                  <w:pPr>
                    <w:autoSpaceDE w:val="0"/>
                    <w:autoSpaceDN w:val="0"/>
                    <w:jc w:val="center"/>
                    <w:rPr>
                      <w:color w:val="auto"/>
                      <w:kern w:val="0"/>
                      <w:szCs w:val="21"/>
                    </w:rPr>
                  </w:pPr>
                  <w:r>
                    <w:rPr>
                      <w:rFonts w:hint="eastAsia"/>
                      <w:color w:val="auto"/>
                      <w:kern w:val="0"/>
                      <w:szCs w:val="21"/>
                    </w:rPr>
                    <w:t>2</w:t>
                  </w:r>
                </w:p>
              </w:tc>
              <w:tc>
                <w:tcPr>
                  <w:tcW w:w="1322" w:type="pct"/>
                  <w:vAlign w:val="center"/>
                </w:tcPr>
                <w:p w14:paraId="7236BF88">
                  <w:pPr>
                    <w:autoSpaceDE w:val="0"/>
                    <w:autoSpaceDN w:val="0"/>
                    <w:jc w:val="center"/>
                    <w:rPr>
                      <w:color w:val="auto"/>
                      <w:kern w:val="0"/>
                      <w:szCs w:val="21"/>
                    </w:rPr>
                  </w:pPr>
                  <w:r>
                    <w:rPr>
                      <w:rFonts w:hint="eastAsia"/>
                      <w:color w:val="auto"/>
                      <w:kern w:val="0"/>
                      <w:szCs w:val="21"/>
                    </w:rPr>
                    <w:t>设备及仪器清洗用水</w:t>
                  </w:r>
                </w:p>
              </w:tc>
              <w:tc>
                <w:tcPr>
                  <w:tcW w:w="789" w:type="pct"/>
                  <w:vAlign w:val="center"/>
                </w:tcPr>
                <w:p w14:paraId="395EB553">
                  <w:pPr>
                    <w:autoSpaceDE w:val="0"/>
                    <w:autoSpaceDN w:val="0"/>
                    <w:jc w:val="center"/>
                    <w:rPr>
                      <w:rFonts w:hint="default" w:eastAsia="宋体"/>
                      <w:color w:val="FF0000"/>
                      <w:kern w:val="0"/>
                      <w:szCs w:val="21"/>
                      <w:lang w:val="en-US" w:eastAsia="zh-CN"/>
                    </w:rPr>
                  </w:pPr>
                  <w:r>
                    <w:rPr>
                      <w:rFonts w:hint="eastAsia"/>
                      <w:color w:val="FF0000"/>
                      <w:kern w:val="0"/>
                      <w:szCs w:val="21"/>
                      <w:lang w:val="en-US" w:eastAsia="zh-CN"/>
                    </w:rPr>
                    <w:t>0.055</w:t>
                  </w:r>
                </w:p>
              </w:tc>
              <w:tc>
                <w:tcPr>
                  <w:tcW w:w="852" w:type="pct"/>
                  <w:vAlign w:val="center"/>
                </w:tcPr>
                <w:p w14:paraId="015F00CE">
                  <w:pPr>
                    <w:autoSpaceDE w:val="0"/>
                    <w:autoSpaceDN w:val="0"/>
                    <w:jc w:val="center"/>
                    <w:rPr>
                      <w:rFonts w:hint="default" w:eastAsia="宋体"/>
                      <w:color w:val="FF0000"/>
                      <w:kern w:val="0"/>
                      <w:szCs w:val="21"/>
                      <w:lang w:val="en-US" w:eastAsia="zh-CN"/>
                    </w:rPr>
                  </w:pPr>
                  <w:r>
                    <w:rPr>
                      <w:rFonts w:hint="eastAsia"/>
                      <w:color w:val="FF0000"/>
                      <w:kern w:val="0"/>
                      <w:szCs w:val="21"/>
                      <w:lang w:val="en-US" w:eastAsia="zh-CN"/>
                    </w:rPr>
                    <w:t>13.2</w:t>
                  </w:r>
                </w:p>
              </w:tc>
              <w:tc>
                <w:tcPr>
                  <w:tcW w:w="825" w:type="pct"/>
                  <w:vAlign w:val="center"/>
                </w:tcPr>
                <w:p w14:paraId="34AE9589">
                  <w:pPr>
                    <w:autoSpaceDE w:val="0"/>
                    <w:autoSpaceDN w:val="0"/>
                    <w:jc w:val="center"/>
                    <w:rPr>
                      <w:rFonts w:hint="default" w:eastAsia="宋体"/>
                      <w:color w:val="FF0000"/>
                      <w:kern w:val="21"/>
                      <w:szCs w:val="21"/>
                      <w:lang w:val="en-US" w:eastAsia="zh-CN"/>
                    </w:rPr>
                  </w:pPr>
                  <w:r>
                    <w:rPr>
                      <w:rFonts w:hint="eastAsia"/>
                      <w:color w:val="FF0000"/>
                      <w:kern w:val="21"/>
                      <w:szCs w:val="21"/>
                      <w:lang w:val="en-US" w:eastAsia="zh-CN"/>
                    </w:rPr>
                    <w:t>0.031</w:t>
                  </w:r>
                </w:p>
              </w:tc>
              <w:tc>
                <w:tcPr>
                  <w:tcW w:w="778" w:type="pct"/>
                  <w:vAlign w:val="center"/>
                </w:tcPr>
                <w:p w14:paraId="28AB732D">
                  <w:pPr>
                    <w:autoSpaceDE w:val="0"/>
                    <w:autoSpaceDN w:val="0"/>
                    <w:jc w:val="center"/>
                    <w:rPr>
                      <w:rFonts w:hint="default" w:eastAsia="宋体"/>
                      <w:color w:val="FF0000"/>
                      <w:kern w:val="21"/>
                      <w:szCs w:val="21"/>
                      <w:lang w:val="en-US" w:eastAsia="zh-CN"/>
                    </w:rPr>
                  </w:pPr>
                  <w:r>
                    <w:rPr>
                      <w:rFonts w:hint="eastAsia"/>
                      <w:color w:val="FF0000"/>
                      <w:kern w:val="21"/>
                      <w:szCs w:val="21"/>
                      <w:lang w:val="en-US" w:eastAsia="zh-CN"/>
                    </w:rPr>
                    <w:t>7.392</w:t>
                  </w:r>
                </w:p>
              </w:tc>
            </w:tr>
            <w:tr w14:paraId="2C3C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431" w:type="pct"/>
                  <w:vAlign w:val="center"/>
                </w:tcPr>
                <w:p w14:paraId="275F4C08">
                  <w:pPr>
                    <w:autoSpaceDE w:val="0"/>
                    <w:autoSpaceDN w:val="0"/>
                    <w:jc w:val="center"/>
                    <w:rPr>
                      <w:color w:val="auto"/>
                      <w:kern w:val="0"/>
                      <w:szCs w:val="21"/>
                    </w:rPr>
                  </w:pPr>
                  <w:r>
                    <w:rPr>
                      <w:rFonts w:hint="eastAsia"/>
                      <w:color w:val="auto"/>
                      <w:kern w:val="0"/>
                      <w:szCs w:val="21"/>
                    </w:rPr>
                    <w:t>3</w:t>
                  </w:r>
                </w:p>
              </w:tc>
              <w:tc>
                <w:tcPr>
                  <w:tcW w:w="1322" w:type="pct"/>
                  <w:vAlign w:val="center"/>
                </w:tcPr>
                <w:p w14:paraId="0DF49D23">
                  <w:pPr>
                    <w:autoSpaceDE w:val="0"/>
                    <w:autoSpaceDN w:val="0"/>
                    <w:jc w:val="center"/>
                    <w:rPr>
                      <w:color w:val="auto"/>
                      <w:kern w:val="0"/>
                      <w:szCs w:val="21"/>
                    </w:rPr>
                  </w:pPr>
                  <w:r>
                    <w:rPr>
                      <w:rFonts w:hint="eastAsia"/>
                      <w:color w:val="auto"/>
                      <w:kern w:val="0"/>
                      <w:szCs w:val="21"/>
                    </w:rPr>
                    <w:t>实验平台及车间清洗用水</w:t>
                  </w:r>
                </w:p>
              </w:tc>
              <w:tc>
                <w:tcPr>
                  <w:tcW w:w="789" w:type="pct"/>
                  <w:vAlign w:val="center"/>
                </w:tcPr>
                <w:p w14:paraId="7C3CED1A">
                  <w:pPr>
                    <w:autoSpaceDE w:val="0"/>
                    <w:autoSpaceDN w:val="0"/>
                    <w:jc w:val="center"/>
                    <w:rPr>
                      <w:color w:val="auto"/>
                      <w:kern w:val="0"/>
                      <w:szCs w:val="21"/>
                    </w:rPr>
                  </w:pPr>
                  <w:r>
                    <w:rPr>
                      <w:rFonts w:hint="eastAsia"/>
                      <w:color w:val="auto"/>
                      <w:kern w:val="0"/>
                      <w:szCs w:val="21"/>
                    </w:rPr>
                    <w:t>0.1</w:t>
                  </w:r>
                </w:p>
              </w:tc>
              <w:tc>
                <w:tcPr>
                  <w:tcW w:w="852" w:type="pct"/>
                  <w:vAlign w:val="center"/>
                </w:tcPr>
                <w:p w14:paraId="4860F0C9">
                  <w:pPr>
                    <w:autoSpaceDE w:val="0"/>
                    <w:autoSpaceDN w:val="0"/>
                    <w:jc w:val="center"/>
                    <w:rPr>
                      <w:color w:val="auto"/>
                      <w:kern w:val="0"/>
                      <w:szCs w:val="21"/>
                    </w:rPr>
                  </w:pPr>
                  <w:r>
                    <w:rPr>
                      <w:rFonts w:hint="eastAsia"/>
                      <w:color w:val="auto"/>
                      <w:kern w:val="0"/>
                      <w:szCs w:val="21"/>
                    </w:rPr>
                    <w:t>24</w:t>
                  </w:r>
                </w:p>
              </w:tc>
              <w:tc>
                <w:tcPr>
                  <w:tcW w:w="825" w:type="pct"/>
                  <w:vAlign w:val="center"/>
                </w:tcPr>
                <w:p w14:paraId="4A02300D">
                  <w:pPr>
                    <w:autoSpaceDE w:val="0"/>
                    <w:autoSpaceDN w:val="0"/>
                    <w:jc w:val="center"/>
                    <w:rPr>
                      <w:color w:val="auto"/>
                      <w:kern w:val="21"/>
                      <w:szCs w:val="21"/>
                    </w:rPr>
                  </w:pPr>
                  <w:r>
                    <w:rPr>
                      <w:rFonts w:hint="eastAsia"/>
                      <w:color w:val="auto"/>
                      <w:kern w:val="21"/>
                      <w:szCs w:val="21"/>
                    </w:rPr>
                    <w:t>0.08</w:t>
                  </w:r>
                </w:p>
              </w:tc>
              <w:tc>
                <w:tcPr>
                  <w:tcW w:w="778" w:type="pct"/>
                  <w:vAlign w:val="center"/>
                </w:tcPr>
                <w:p w14:paraId="50FA452D">
                  <w:pPr>
                    <w:autoSpaceDE w:val="0"/>
                    <w:autoSpaceDN w:val="0"/>
                    <w:jc w:val="center"/>
                    <w:rPr>
                      <w:color w:val="auto"/>
                      <w:kern w:val="21"/>
                      <w:szCs w:val="21"/>
                    </w:rPr>
                  </w:pPr>
                  <w:r>
                    <w:rPr>
                      <w:rFonts w:hint="eastAsia"/>
                      <w:color w:val="auto"/>
                      <w:kern w:val="21"/>
                      <w:szCs w:val="21"/>
                    </w:rPr>
                    <w:t>19.2</w:t>
                  </w:r>
                </w:p>
              </w:tc>
            </w:tr>
            <w:tr w14:paraId="4732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753" w:type="pct"/>
                  <w:gridSpan w:val="2"/>
                  <w:vAlign w:val="center"/>
                </w:tcPr>
                <w:p w14:paraId="3215FB5D">
                  <w:pPr>
                    <w:autoSpaceDE w:val="0"/>
                    <w:autoSpaceDN w:val="0"/>
                    <w:jc w:val="center"/>
                    <w:rPr>
                      <w:color w:val="auto"/>
                      <w:kern w:val="0"/>
                      <w:szCs w:val="21"/>
                    </w:rPr>
                  </w:pPr>
                  <w:r>
                    <w:rPr>
                      <w:rFonts w:hint="eastAsia"/>
                      <w:color w:val="auto"/>
                      <w:kern w:val="0"/>
                      <w:szCs w:val="21"/>
                    </w:rPr>
                    <w:t>合计</w:t>
                  </w:r>
                </w:p>
              </w:tc>
              <w:tc>
                <w:tcPr>
                  <w:tcW w:w="789" w:type="pct"/>
                  <w:vAlign w:val="center"/>
                </w:tcPr>
                <w:p w14:paraId="1058F1BC">
                  <w:pPr>
                    <w:autoSpaceDE w:val="0"/>
                    <w:autoSpaceDN w:val="0"/>
                    <w:jc w:val="center"/>
                    <w:rPr>
                      <w:rFonts w:hint="default" w:eastAsia="宋体"/>
                      <w:color w:val="FF0000"/>
                      <w:kern w:val="0"/>
                      <w:szCs w:val="21"/>
                      <w:lang w:val="en-US" w:eastAsia="zh-CN"/>
                    </w:rPr>
                  </w:pPr>
                  <w:r>
                    <w:rPr>
                      <w:rFonts w:hint="eastAsia"/>
                      <w:color w:val="FF0000"/>
                      <w:kern w:val="0"/>
                      <w:szCs w:val="21"/>
                      <w:lang w:val="en-US" w:eastAsia="zh-CN"/>
                    </w:rPr>
                    <w:t>0.363</w:t>
                  </w:r>
                </w:p>
              </w:tc>
              <w:tc>
                <w:tcPr>
                  <w:tcW w:w="852" w:type="pct"/>
                  <w:vAlign w:val="center"/>
                </w:tcPr>
                <w:p w14:paraId="3F3E6FB2">
                  <w:pPr>
                    <w:autoSpaceDE w:val="0"/>
                    <w:autoSpaceDN w:val="0"/>
                    <w:jc w:val="center"/>
                    <w:rPr>
                      <w:rFonts w:hint="default" w:eastAsia="宋体"/>
                      <w:color w:val="FF0000"/>
                      <w:kern w:val="0"/>
                      <w:szCs w:val="21"/>
                      <w:lang w:val="en-US" w:eastAsia="zh-CN"/>
                    </w:rPr>
                  </w:pPr>
                  <w:r>
                    <w:rPr>
                      <w:rFonts w:hint="eastAsia"/>
                      <w:color w:val="FF0000"/>
                      <w:kern w:val="0"/>
                      <w:szCs w:val="21"/>
                      <w:lang w:val="en-US" w:eastAsia="zh-CN"/>
                    </w:rPr>
                    <w:t>87.2</w:t>
                  </w:r>
                </w:p>
              </w:tc>
              <w:tc>
                <w:tcPr>
                  <w:tcW w:w="825" w:type="pct"/>
                  <w:vAlign w:val="center"/>
                </w:tcPr>
                <w:p w14:paraId="594FD48E">
                  <w:pPr>
                    <w:widowControl/>
                    <w:jc w:val="center"/>
                    <w:textAlignment w:val="center"/>
                    <w:rPr>
                      <w:rFonts w:hint="default" w:eastAsia="宋体"/>
                      <w:color w:val="FF0000"/>
                      <w:kern w:val="21"/>
                      <w:szCs w:val="21"/>
                      <w:lang w:val="en-US" w:eastAsia="zh-CN"/>
                    </w:rPr>
                  </w:pPr>
                  <w:r>
                    <w:rPr>
                      <w:rFonts w:hint="eastAsia"/>
                      <w:color w:val="FF0000"/>
                      <w:kern w:val="21"/>
                      <w:szCs w:val="21"/>
                      <w:lang w:val="en-US" w:eastAsia="zh-CN"/>
                    </w:rPr>
                    <w:t>0.278</w:t>
                  </w:r>
                </w:p>
              </w:tc>
              <w:tc>
                <w:tcPr>
                  <w:tcW w:w="778" w:type="pct"/>
                  <w:vAlign w:val="center"/>
                </w:tcPr>
                <w:p w14:paraId="669A4412">
                  <w:pPr>
                    <w:widowControl/>
                    <w:jc w:val="center"/>
                    <w:textAlignment w:val="center"/>
                    <w:rPr>
                      <w:rFonts w:hint="default" w:eastAsia="宋体"/>
                      <w:color w:val="FF0000"/>
                      <w:kern w:val="21"/>
                      <w:szCs w:val="21"/>
                      <w:lang w:val="en-US" w:eastAsia="zh-CN"/>
                    </w:rPr>
                  </w:pPr>
                  <w:r>
                    <w:rPr>
                      <w:rFonts w:hint="eastAsia"/>
                      <w:color w:val="FF0000"/>
                      <w:kern w:val="21"/>
                      <w:szCs w:val="21"/>
                      <w:lang w:val="en-US" w:eastAsia="zh-CN"/>
                    </w:rPr>
                    <w:t>66.592</w:t>
                  </w:r>
                </w:p>
              </w:tc>
            </w:tr>
          </w:tbl>
          <w:p w14:paraId="6E4F95BC">
            <w:pPr>
              <w:autoSpaceDN w:val="0"/>
              <w:jc w:val="center"/>
              <w:rPr>
                <w:color w:val="auto"/>
                <w:kern w:val="0"/>
                <w:sz w:val="24"/>
                <w:szCs w:val="20"/>
              </w:rPr>
            </w:pPr>
            <w:r>
              <w:rPr>
                <w:rFonts w:hint="eastAsia" w:eastAsia="宋体"/>
                <w:b/>
                <w:color w:val="auto"/>
                <w:kern w:val="0"/>
                <w:szCs w:val="21"/>
                <w:lang w:eastAsia="zh-CN"/>
              </w:rPr>
              <w:drawing>
                <wp:inline distT="0" distB="0" distL="114300" distR="114300">
                  <wp:extent cx="5312410" cy="3134360"/>
                  <wp:effectExtent l="0" t="0" r="2540" b="889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9"/>
                          <a:srcRect l="4022" t="4588" r="2900" b="6709"/>
                          <a:stretch>
                            <a:fillRect/>
                          </a:stretch>
                        </pic:blipFill>
                        <pic:spPr>
                          <a:xfrm>
                            <a:off x="0" y="0"/>
                            <a:ext cx="5312410" cy="3134360"/>
                          </a:xfrm>
                          <a:prstGeom prst="rect">
                            <a:avLst/>
                          </a:prstGeom>
                        </pic:spPr>
                      </pic:pic>
                    </a:graphicData>
                  </a:graphic>
                </wp:inline>
              </w:drawing>
            </w:r>
          </w:p>
          <w:p w14:paraId="7E3041A8">
            <w:pPr>
              <w:jc w:val="center"/>
              <w:rPr>
                <w:rFonts w:hint="eastAsia" w:eastAsia="宋体"/>
                <w:b/>
                <w:color w:val="FF0000"/>
                <w:kern w:val="0"/>
                <w:szCs w:val="21"/>
                <w:lang w:eastAsia="zh-CN"/>
              </w:rPr>
            </w:pPr>
            <w:r>
              <w:rPr>
                <w:b/>
                <w:color w:val="FF0000"/>
                <w:kern w:val="0"/>
                <w:szCs w:val="21"/>
              </w:rPr>
              <w:t>图</w:t>
            </w:r>
            <w:r>
              <w:rPr>
                <w:rFonts w:hint="eastAsia"/>
                <w:b/>
                <w:color w:val="FF0000"/>
                <w:kern w:val="0"/>
                <w:szCs w:val="21"/>
              </w:rPr>
              <w:t>2-1   本项目</w:t>
            </w:r>
            <w:r>
              <w:rPr>
                <w:b/>
                <w:color w:val="FF0000"/>
                <w:kern w:val="0"/>
                <w:szCs w:val="21"/>
              </w:rPr>
              <w:t>水平衡图（m</w:t>
            </w:r>
            <w:r>
              <w:rPr>
                <w:b/>
                <w:color w:val="FF0000"/>
                <w:kern w:val="0"/>
                <w:szCs w:val="21"/>
                <w:vertAlign w:val="superscript"/>
              </w:rPr>
              <w:t>3</w:t>
            </w:r>
            <w:r>
              <w:rPr>
                <w:b/>
                <w:color w:val="FF0000"/>
                <w:kern w:val="0"/>
                <w:szCs w:val="21"/>
              </w:rPr>
              <w:t>/</w:t>
            </w:r>
            <w:r>
              <w:rPr>
                <w:rFonts w:hint="eastAsia"/>
                <w:b/>
                <w:color w:val="FF0000"/>
                <w:kern w:val="0"/>
                <w:szCs w:val="21"/>
              </w:rPr>
              <w:t>a</w:t>
            </w:r>
            <w:r>
              <w:rPr>
                <w:b/>
                <w:color w:val="FF0000"/>
                <w:kern w:val="0"/>
                <w:szCs w:val="21"/>
              </w:rPr>
              <w:t>）</w:t>
            </w:r>
          </w:p>
          <w:p w14:paraId="1C53CDAF">
            <w:pPr>
              <w:spacing w:line="360" w:lineRule="auto"/>
              <w:ind w:firstLine="480" w:firstLineChars="200"/>
              <w:rPr>
                <w:color w:val="auto"/>
                <w:kern w:val="0"/>
                <w:sz w:val="24"/>
                <w:szCs w:val="20"/>
              </w:rPr>
            </w:pPr>
            <w:r>
              <w:rPr>
                <w:color w:val="auto"/>
                <w:kern w:val="0"/>
                <w:sz w:val="24"/>
              </w:rPr>
              <w:t>（3</w:t>
            </w:r>
            <w:r>
              <w:rPr>
                <w:color w:val="auto"/>
                <w:kern w:val="0"/>
                <w:sz w:val="24"/>
                <w:szCs w:val="20"/>
              </w:rPr>
              <w:t>）供电</w:t>
            </w:r>
          </w:p>
          <w:p w14:paraId="56066B98">
            <w:pPr>
              <w:spacing w:line="360" w:lineRule="auto"/>
              <w:ind w:firstLine="480" w:firstLineChars="200"/>
              <w:rPr>
                <w:color w:val="auto"/>
                <w:kern w:val="0"/>
                <w:sz w:val="24"/>
                <w:szCs w:val="20"/>
              </w:rPr>
            </w:pPr>
            <w:r>
              <w:rPr>
                <w:color w:val="auto"/>
                <w:kern w:val="0"/>
                <w:sz w:val="24"/>
                <w:szCs w:val="20"/>
              </w:rPr>
              <w:t>项目供电电源由市政电网接入。</w:t>
            </w:r>
          </w:p>
          <w:p w14:paraId="4F5A88D3">
            <w:pPr>
              <w:spacing w:line="360" w:lineRule="auto"/>
              <w:ind w:firstLine="480" w:firstLineChars="200"/>
              <w:rPr>
                <w:color w:val="auto"/>
                <w:kern w:val="0"/>
                <w:sz w:val="24"/>
                <w:szCs w:val="20"/>
              </w:rPr>
            </w:pPr>
            <w:r>
              <w:rPr>
                <w:color w:val="auto"/>
                <w:kern w:val="0"/>
                <w:sz w:val="24"/>
                <w:szCs w:val="20"/>
              </w:rPr>
              <w:t>（4）采暖及制冷</w:t>
            </w:r>
          </w:p>
          <w:p w14:paraId="5F3FE1FD">
            <w:pPr>
              <w:spacing w:line="360" w:lineRule="auto"/>
              <w:ind w:firstLine="480" w:firstLineChars="200"/>
              <w:rPr>
                <w:color w:val="auto"/>
                <w:kern w:val="0"/>
                <w:sz w:val="24"/>
                <w:szCs w:val="20"/>
              </w:rPr>
            </w:pPr>
            <w:r>
              <w:rPr>
                <w:color w:val="auto"/>
                <w:kern w:val="0"/>
                <w:sz w:val="24"/>
                <w:szCs w:val="20"/>
              </w:rPr>
              <w:t>办公室</w:t>
            </w:r>
            <w:r>
              <w:rPr>
                <w:rFonts w:hint="eastAsia"/>
                <w:color w:val="auto"/>
                <w:kern w:val="0"/>
                <w:sz w:val="24"/>
                <w:szCs w:val="20"/>
              </w:rPr>
              <w:t>采用</w:t>
            </w:r>
            <w:r>
              <w:rPr>
                <w:color w:val="auto"/>
                <w:kern w:val="0"/>
                <w:sz w:val="24"/>
                <w:szCs w:val="20"/>
              </w:rPr>
              <w:t>分体式空调采暖、制冷。</w:t>
            </w:r>
          </w:p>
          <w:p w14:paraId="30CD90DC">
            <w:pPr>
              <w:spacing w:line="360" w:lineRule="auto"/>
              <w:ind w:firstLine="482" w:firstLineChars="200"/>
              <w:rPr>
                <w:b/>
                <w:color w:val="auto"/>
                <w:kern w:val="0"/>
                <w:sz w:val="24"/>
                <w:szCs w:val="20"/>
              </w:rPr>
            </w:pPr>
            <w:r>
              <w:rPr>
                <w:b/>
                <w:color w:val="auto"/>
                <w:kern w:val="0"/>
                <w:sz w:val="24"/>
                <w:szCs w:val="20"/>
              </w:rPr>
              <w:t>3</w:t>
            </w:r>
            <w:r>
              <w:rPr>
                <w:rFonts w:hint="eastAsia"/>
                <w:b/>
                <w:color w:val="auto"/>
                <w:kern w:val="0"/>
                <w:sz w:val="24"/>
                <w:szCs w:val="20"/>
              </w:rPr>
              <w:t>、</w:t>
            </w:r>
            <w:r>
              <w:rPr>
                <w:b/>
                <w:color w:val="auto"/>
                <w:kern w:val="0"/>
                <w:sz w:val="24"/>
                <w:szCs w:val="20"/>
              </w:rPr>
              <w:t>劳动定员及工作制度</w:t>
            </w:r>
          </w:p>
          <w:p w14:paraId="593B1B9E">
            <w:pPr>
              <w:spacing w:line="360" w:lineRule="auto"/>
              <w:ind w:firstLine="480" w:firstLineChars="200"/>
              <w:rPr>
                <w:color w:val="auto"/>
                <w:kern w:val="0"/>
                <w:sz w:val="24"/>
                <w:szCs w:val="22"/>
                <w:lang w:val="zh-TW"/>
              </w:rPr>
            </w:pPr>
            <w:r>
              <w:rPr>
                <w:rFonts w:hint="eastAsia"/>
                <w:color w:val="auto"/>
                <w:kern w:val="0"/>
                <w:sz w:val="24"/>
                <w:szCs w:val="20"/>
              </w:rPr>
              <w:t>本</w:t>
            </w:r>
            <w:r>
              <w:rPr>
                <w:color w:val="auto"/>
                <w:kern w:val="0"/>
                <w:sz w:val="24"/>
                <w:szCs w:val="20"/>
              </w:rPr>
              <w:t>项目</w:t>
            </w:r>
            <w:r>
              <w:rPr>
                <w:rFonts w:hint="eastAsia"/>
                <w:color w:val="auto"/>
                <w:kern w:val="0"/>
                <w:sz w:val="24"/>
                <w:szCs w:val="20"/>
              </w:rPr>
              <w:t>建成后</w:t>
            </w:r>
            <w:r>
              <w:rPr>
                <w:color w:val="auto"/>
                <w:kern w:val="0"/>
                <w:sz w:val="24"/>
                <w:szCs w:val="20"/>
              </w:rPr>
              <w:t>劳动</w:t>
            </w:r>
            <w:r>
              <w:rPr>
                <w:color w:val="auto"/>
                <w:kern w:val="0"/>
                <w:sz w:val="24"/>
                <w:szCs w:val="22"/>
                <w:lang w:val="zh-TW" w:eastAsia="zh-TW"/>
              </w:rPr>
              <w:t>定员</w:t>
            </w:r>
            <w:r>
              <w:rPr>
                <w:rFonts w:hint="eastAsia"/>
                <w:color w:val="auto"/>
                <w:kern w:val="0"/>
                <w:sz w:val="24"/>
                <w:szCs w:val="22"/>
              </w:rPr>
              <w:t>5</w:t>
            </w:r>
            <w:r>
              <w:rPr>
                <w:color w:val="auto"/>
                <w:kern w:val="0"/>
                <w:sz w:val="24"/>
                <w:szCs w:val="22"/>
                <w:lang w:val="zh-TW" w:eastAsia="zh-TW"/>
              </w:rPr>
              <w:t>人</w:t>
            </w:r>
            <w:r>
              <w:rPr>
                <w:color w:val="auto"/>
                <w:kern w:val="0"/>
                <w:sz w:val="24"/>
                <w:szCs w:val="22"/>
              </w:rPr>
              <w:t>，每</w:t>
            </w:r>
            <w:r>
              <w:rPr>
                <w:rFonts w:hint="eastAsia"/>
                <w:color w:val="auto"/>
                <w:kern w:val="0"/>
                <w:sz w:val="24"/>
                <w:szCs w:val="22"/>
              </w:rPr>
              <w:t>班</w:t>
            </w:r>
            <w:r>
              <w:rPr>
                <w:color w:val="auto"/>
                <w:kern w:val="0"/>
                <w:sz w:val="24"/>
                <w:szCs w:val="22"/>
              </w:rPr>
              <w:t>工作</w:t>
            </w:r>
            <w:r>
              <w:rPr>
                <w:rFonts w:hint="eastAsia"/>
                <w:color w:val="auto"/>
                <w:kern w:val="0"/>
                <w:sz w:val="24"/>
                <w:szCs w:val="22"/>
              </w:rPr>
              <w:t>8</w:t>
            </w:r>
            <w:r>
              <w:rPr>
                <w:color w:val="auto"/>
                <w:kern w:val="0"/>
                <w:sz w:val="24"/>
                <w:szCs w:val="22"/>
              </w:rPr>
              <w:t>h</w:t>
            </w:r>
            <w:r>
              <w:rPr>
                <w:color w:val="auto"/>
                <w:kern w:val="0"/>
                <w:sz w:val="24"/>
                <w:szCs w:val="22"/>
                <w:lang w:val="zh-TW"/>
              </w:rPr>
              <w:t>，</w:t>
            </w:r>
            <w:r>
              <w:rPr>
                <w:rFonts w:hint="eastAsia"/>
                <w:color w:val="auto"/>
                <w:kern w:val="0"/>
                <w:sz w:val="24"/>
                <w:szCs w:val="22"/>
              </w:rPr>
              <w:t>每天1班，</w:t>
            </w:r>
            <w:r>
              <w:rPr>
                <w:color w:val="auto"/>
                <w:kern w:val="0"/>
                <w:sz w:val="24"/>
                <w:szCs w:val="22"/>
                <w:lang w:val="zh-TW"/>
              </w:rPr>
              <w:t>年工作</w:t>
            </w:r>
            <w:r>
              <w:rPr>
                <w:rFonts w:hint="eastAsia"/>
                <w:color w:val="auto"/>
                <w:kern w:val="0"/>
                <w:sz w:val="24"/>
                <w:szCs w:val="22"/>
              </w:rPr>
              <w:t>240</w:t>
            </w:r>
            <w:r>
              <w:rPr>
                <w:color w:val="auto"/>
                <w:kern w:val="0"/>
                <w:sz w:val="24"/>
                <w:szCs w:val="22"/>
                <w:lang w:val="zh-TW"/>
              </w:rPr>
              <w:t>天。</w:t>
            </w:r>
          </w:p>
          <w:p w14:paraId="4B9F521E">
            <w:pPr>
              <w:adjustRightInd w:val="0"/>
              <w:spacing w:line="360" w:lineRule="auto"/>
              <w:ind w:firstLine="482" w:firstLineChars="200"/>
              <w:rPr>
                <w:b/>
                <w:bCs/>
                <w:color w:val="auto"/>
                <w:sz w:val="24"/>
              </w:rPr>
            </w:pPr>
            <w:r>
              <w:rPr>
                <w:rFonts w:hint="eastAsia"/>
                <w:b/>
                <w:bCs/>
                <w:color w:val="auto"/>
                <w:sz w:val="24"/>
              </w:rPr>
              <w:t>4、平面布置合理性分析</w:t>
            </w:r>
          </w:p>
          <w:p w14:paraId="3A1E1AF2">
            <w:pPr>
              <w:spacing w:line="360" w:lineRule="auto"/>
              <w:ind w:firstLine="480" w:firstLineChars="200"/>
              <w:rPr>
                <w:color w:val="auto"/>
                <w:kern w:val="0"/>
                <w:sz w:val="24"/>
              </w:rPr>
            </w:pPr>
            <w:r>
              <w:rPr>
                <w:bCs/>
                <w:color w:val="auto"/>
                <w:kern w:val="0"/>
                <w:sz w:val="24"/>
              </w:rPr>
              <w:t>本项目</w:t>
            </w:r>
            <w:r>
              <w:rPr>
                <w:rFonts w:hint="eastAsia"/>
                <w:color w:val="auto"/>
                <w:kern w:val="0"/>
                <w:sz w:val="24"/>
              </w:rPr>
              <w:t>位于陕西省西咸新区沣西新城秀雅路995号西安生漆涂料研究所五号楼</w:t>
            </w:r>
            <w:r>
              <w:rPr>
                <w:rFonts w:hint="eastAsia"/>
                <w:color w:val="auto"/>
                <w:kern w:val="0"/>
                <w:sz w:val="24"/>
                <w:lang w:val="en-US" w:eastAsia="zh-CN"/>
              </w:rPr>
              <w:t>三</w:t>
            </w:r>
            <w:r>
              <w:rPr>
                <w:rFonts w:hint="eastAsia"/>
                <w:color w:val="FF0000"/>
                <w:kern w:val="0"/>
                <w:sz w:val="24"/>
                <w:lang w:val="en-US" w:eastAsia="zh-CN"/>
              </w:rPr>
              <w:t>层及四层</w:t>
            </w:r>
            <w:r>
              <w:rPr>
                <w:rFonts w:hint="eastAsia"/>
                <w:color w:val="FF0000"/>
                <w:kern w:val="0"/>
                <w:sz w:val="24"/>
              </w:rPr>
              <w:t>，研发室</w:t>
            </w:r>
            <w:r>
              <w:rPr>
                <w:rFonts w:hint="eastAsia"/>
                <w:color w:val="FF0000"/>
                <w:kern w:val="0"/>
                <w:sz w:val="24"/>
                <w:lang w:val="en-US" w:eastAsia="zh-CN"/>
              </w:rPr>
              <w:t>及库房位于三层，</w:t>
            </w:r>
            <w:r>
              <w:rPr>
                <w:rFonts w:hint="eastAsia"/>
                <w:color w:val="FF0000"/>
                <w:kern w:val="0"/>
                <w:sz w:val="24"/>
              </w:rPr>
              <w:t>办公室</w:t>
            </w:r>
            <w:r>
              <w:rPr>
                <w:rFonts w:hint="eastAsia"/>
                <w:color w:val="FF0000"/>
                <w:kern w:val="0"/>
                <w:sz w:val="24"/>
                <w:lang w:val="en-US" w:eastAsia="zh-CN"/>
              </w:rPr>
              <w:t>位于四层</w:t>
            </w:r>
            <w:r>
              <w:rPr>
                <w:rFonts w:hint="eastAsia"/>
                <w:color w:val="auto"/>
                <w:kern w:val="0"/>
                <w:sz w:val="24"/>
              </w:rPr>
              <w:t>，研发过程产生的有机废气通风橱收集后经“活性炭吸附装置”处理后经23m高DA001排气筒排放，“活性炭吸附装置”位于楼顶。各功能区单独设置，分区合理</w:t>
            </w:r>
            <w:r>
              <w:rPr>
                <w:color w:val="auto"/>
                <w:kern w:val="0"/>
                <w:sz w:val="24"/>
              </w:rPr>
              <w:t>。</w:t>
            </w:r>
          </w:p>
          <w:p w14:paraId="2FFC8BC8">
            <w:pPr>
              <w:spacing w:line="360" w:lineRule="auto"/>
              <w:ind w:firstLine="480" w:firstLineChars="200"/>
              <w:rPr>
                <w:color w:val="auto"/>
                <w:kern w:val="0"/>
                <w:sz w:val="24"/>
              </w:rPr>
            </w:pPr>
          </w:p>
          <w:p w14:paraId="55D56E0A">
            <w:pPr>
              <w:spacing w:line="360" w:lineRule="auto"/>
              <w:rPr>
                <w:color w:val="auto"/>
                <w:kern w:val="0"/>
                <w:sz w:val="24"/>
              </w:rPr>
            </w:pPr>
          </w:p>
        </w:tc>
      </w:tr>
      <w:tr w14:paraId="75DE2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3" w:type="dxa"/>
            <w:vAlign w:val="center"/>
          </w:tcPr>
          <w:p w14:paraId="1B29318D">
            <w:pPr>
              <w:widowControl/>
              <w:adjustRightInd w:val="0"/>
              <w:snapToGrid w:val="0"/>
              <w:jc w:val="center"/>
              <w:rPr>
                <w:color w:val="auto"/>
                <w:kern w:val="0"/>
                <w:szCs w:val="21"/>
              </w:rPr>
            </w:pPr>
            <w:r>
              <w:rPr>
                <w:color w:val="auto"/>
                <w:kern w:val="0"/>
                <w:sz w:val="24"/>
              </w:rPr>
              <w:t>工艺流程和产排污环节</w:t>
            </w:r>
          </w:p>
        </w:tc>
        <w:tc>
          <w:tcPr>
            <w:tcW w:w="8587" w:type="dxa"/>
          </w:tcPr>
          <w:p w14:paraId="165EB422">
            <w:pPr>
              <w:spacing w:line="360" w:lineRule="auto"/>
              <w:ind w:firstLine="482" w:firstLineChars="200"/>
              <w:rPr>
                <w:b/>
                <w:bCs/>
                <w:color w:val="auto"/>
                <w:kern w:val="0"/>
                <w:sz w:val="24"/>
                <w:szCs w:val="20"/>
              </w:rPr>
            </w:pPr>
            <w:r>
              <w:rPr>
                <w:rFonts w:hint="eastAsia"/>
                <w:b/>
                <w:bCs/>
                <w:color w:val="auto"/>
                <w:kern w:val="0"/>
                <w:sz w:val="24"/>
                <w:szCs w:val="20"/>
              </w:rPr>
              <w:t>1</w:t>
            </w:r>
            <w:r>
              <w:rPr>
                <w:b/>
                <w:bCs/>
                <w:color w:val="auto"/>
                <w:kern w:val="0"/>
                <w:sz w:val="24"/>
                <w:szCs w:val="20"/>
              </w:rPr>
              <w:t>、施工期工艺流程</w:t>
            </w:r>
          </w:p>
          <w:p w14:paraId="4A3141E2">
            <w:pPr>
              <w:spacing w:line="360" w:lineRule="auto"/>
              <w:ind w:firstLine="480" w:firstLineChars="200"/>
              <w:rPr>
                <w:color w:val="auto"/>
                <w:kern w:val="0"/>
                <w:sz w:val="24"/>
              </w:rPr>
            </w:pPr>
            <w:r>
              <w:rPr>
                <w:rFonts w:hint="eastAsia"/>
                <w:color w:val="auto"/>
                <w:kern w:val="0"/>
                <w:sz w:val="24"/>
              </w:rPr>
              <w:t>本项目施工期主要为设备安装。施工过程中主要产生少量的安装废气、噪声和固废及施工人员生活污水。</w:t>
            </w:r>
          </w:p>
          <w:p w14:paraId="5EB96A85">
            <w:pPr>
              <w:spacing w:line="360" w:lineRule="auto"/>
              <w:ind w:firstLine="480" w:firstLineChars="200"/>
              <w:rPr>
                <w:color w:val="auto"/>
                <w:kern w:val="0"/>
                <w:sz w:val="24"/>
              </w:rPr>
            </w:pPr>
            <w:r>
              <w:rPr>
                <w:color w:val="auto"/>
                <w:kern w:val="0"/>
                <w:sz w:val="24"/>
              </w:rPr>
              <w:t>项目施工期较短，施工量较小，施工结束后污染也随之消失，对环境影响较小。</w:t>
            </w:r>
          </w:p>
          <w:p w14:paraId="0A384DFB">
            <w:pPr>
              <w:jc w:val="center"/>
              <w:rPr>
                <w:b/>
                <w:bCs/>
                <w:color w:val="auto"/>
                <w:szCs w:val="21"/>
              </w:rPr>
            </w:pPr>
            <w:r>
              <w:rPr>
                <w:b/>
                <w:bCs/>
                <w:color w:val="auto"/>
                <w:szCs w:val="21"/>
              </w:rPr>
              <w:drawing>
                <wp:inline distT="0" distB="0" distL="114300" distR="114300">
                  <wp:extent cx="3037205" cy="1059815"/>
                  <wp:effectExtent l="0" t="0" r="0" b="6985"/>
                  <wp:docPr id="3" name="图片 2" descr="C:/Users/Administrator/AppData/Local/Temp/wps.Qdzwz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AppData/Local/Temp/wps.Qdzwzswps"/>
                          <pic:cNvPicPr>
                            <a:picLocks noChangeAspect="1"/>
                          </pic:cNvPicPr>
                        </pic:nvPicPr>
                        <pic:blipFill>
                          <a:blip r:embed="rId10"/>
                          <a:srcRect t="24467" b="16566"/>
                          <a:stretch>
                            <a:fillRect/>
                          </a:stretch>
                        </pic:blipFill>
                        <pic:spPr>
                          <a:xfrm>
                            <a:off x="0" y="0"/>
                            <a:ext cx="3037205" cy="1059815"/>
                          </a:xfrm>
                          <a:prstGeom prst="rect">
                            <a:avLst/>
                          </a:prstGeom>
                          <a:noFill/>
                          <a:ln>
                            <a:noFill/>
                          </a:ln>
                        </pic:spPr>
                      </pic:pic>
                    </a:graphicData>
                  </a:graphic>
                </wp:inline>
              </w:drawing>
            </w:r>
          </w:p>
          <w:p w14:paraId="2D144B9C">
            <w:pPr>
              <w:spacing w:line="360" w:lineRule="auto"/>
              <w:jc w:val="center"/>
              <w:rPr>
                <w:b/>
                <w:bCs/>
                <w:color w:val="auto"/>
                <w:szCs w:val="21"/>
              </w:rPr>
            </w:pPr>
            <w:r>
              <w:rPr>
                <w:b/>
                <w:bCs/>
                <w:color w:val="auto"/>
                <w:szCs w:val="21"/>
              </w:rPr>
              <w:t>图2</w:t>
            </w:r>
            <w:r>
              <w:rPr>
                <w:rFonts w:hint="eastAsia"/>
                <w:b/>
                <w:bCs/>
                <w:color w:val="auto"/>
                <w:szCs w:val="21"/>
              </w:rPr>
              <w:t xml:space="preserve">-2   </w:t>
            </w:r>
            <w:r>
              <w:rPr>
                <w:b/>
                <w:bCs/>
                <w:color w:val="auto"/>
                <w:szCs w:val="21"/>
              </w:rPr>
              <w:t>施工期工艺流程及产污环节图</w:t>
            </w:r>
          </w:p>
          <w:p w14:paraId="7EA566B3">
            <w:pPr>
              <w:spacing w:line="360" w:lineRule="auto"/>
              <w:ind w:firstLine="482" w:firstLineChars="200"/>
              <w:rPr>
                <w:b/>
                <w:bCs/>
                <w:color w:val="auto"/>
                <w:kern w:val="0"/>
                <w:sz w:val="24"/>
                <w:szCs w:val="20"/>
              </w:rPr>
            </w:pPr>
            <w:r>
              <w:rPr>
                <w:rFonts w:hint="eastAsia"/>
                <w:b/>
                <w:bCs/>
                <w:color w:val="auto"/>
                <w:kern w:val="0"/>
                <w:sz w:val="24"/>
                <w:szCs w:val="20"/>
              </w:rPr>
              <w:t>2</w:t>
            </w:r>
            <w:r>
              <w:rPr>
                <w:b/>
                <w:bCs/>
                <w:color w:val="auto"/>
                <w:kern w:val="0"/>
                <w:sz w:val="24"/>
                <w:szCs w:val="20"/>
              </w:rPr>
              <w:t>、营运期工艺流程</w:t>
            </w:r>
          </w:p>
          <w:p w14:paraId="2A61E8B9">
            <w:pPr>
              <w:adjustRightInd w:val="0"/>
              <w:spacing w:line="360" w:lineRule="auto"/>
              <w:ind w:firstLine="480" w:firstLineChars="200"/>
              <w:rPr>
                <w:color w:val="auto"/>
                <w:kern w:val="0"/>
                <w:sz w:val="24"/>
                <w:szCs w:val="22"/>
              </w:rPr>
            </w:pPr>
            <w:r>
              <w:rPr>
                <w:color w:val="auto"/>
                <w:kern w:val="0"/>
                <w:sz w:val="24"/>
                <w:szCs w:val="22"/>
              </w:rPr>
              <w:t>本项目</w:t>
            </w:r>
            <w:r>
              <w:rPr>
                <w:rFonts w:hint="eastAsia"/>
                <w:color w:val="auto"/>
                <w:kern w:val="0"/>
                <w:sz w:val="24"/>
                <w:szCs w:val="20"/>
              </w:rPr>
              <w:t>医药中间体合成、光刻胶中间体合成、有机小分子合成</w:t>
            </w:r>
            <w:r>
              <w:rPr>
                <w:color w:val="auto"/>
                <w:kern w:val="0"/>
                <w:sz w:val="24"/>
                <w:szCs w:val="22"/>
              </w:rPr>
              <w:t>实验工艺相近，主要概括为以下阶段：</w:t>
            </w:r>
          </w:p>
          <w:p w14:paraId="5B601995">
            <w:pPr>
              <w:adjustRightInd w:val="0"/>
              <w:spacing w:line="360" w:lineRule="auto"/>
              <w:ind w:firstLine="480" w:firstLineChars="200"/>
              <w:rPr>
                <w:rFonts w:hint="default" w:eastAsia="宋体"/>
                <w:color w:val="auto"/>
                <w:kern w:val="0"/>
                <w:sz w:val="24"/>
                <w:szCs w:val="22"/>
                <w:lang w:val="en-US" w:eastAsia="zh-CN"/>
              </w:rPr>
            </w:pPr>
            <w:r>
              <w:rPr>
                <w:color w:val="FF0000"/>
                <w:kern w:val="0"/>
                <w:sz w:val="24"/>
                <w:szCs w:val="22"/>
              </w:rPr>
              <w:t>（1）</w:t>
            </w:r>
            <w:r>
              <w:rPr>
                <w:rFonts w:hint="eastAsia"/>
                <w:color w:val="FF0000"/>
                <w:kern w:val="0"/>
                <w:sz w:val="24"/>
                <w:szCs w:val="22"/>
                <w:lang w:val="en-US" w:eastAsia="zh-CN"/>
              </w:rPr>
              <w:t>制定合成路径：实验室收到需要合成的目标分子的结构后，查询</w:t>
            </w:r>
            <w:r>
              <w:rPr>
                <w:rFonts w:hint="eastAsia"/>
                <w:color w:val="FF0000"/>
                <w:spacing w:val="0"/>
                <w:sz w:val="24"/>
                <w:szCs w:val="24"/>
                <w:lang w:val="en-US" w:eastAsia="zh-CN"/>
              </w:rPr>
              <w:t>相同或类似的文献工艺以确定其化学性质和反应性，并根据目标分子的结构，初步设计合理的合成路径，并在后续的研发过程中，不断对其优化，以确保高效合成目标产物。</w:t>
            </w:r>
          </w:p>
          <w:p w14:paraId="40CA414B">
            <w:pPr>
              <w:adjustRightInd w:val="0"/>
              <w:spacing w:line="360" w:lineRule="auto"/>
              <w:ind w:firstLine="480" w:firstLineChars="200"/>
              <w:rPr>
                <w:rFonts w:hint="default"/>
                <w:color w:val="FF0000"/>
                <w:kern w:val="0"/>
                <w:sz w:val="24"/>
                <w:szCs w:val="22"/>
                <w:lang w:val="en-US" w:eastAsia="zh-CN"/>
              </w:rPr>
            </w:pPr>
            <w:r>
              <w:rPr>
                <w:rFonts w:hint="eastAsia"/>
                <w:color w:val="FF0000"/>
                <w:kern w:val="0"/>
                <w:sz w:val="24"/>
                <w:szCs w:val="22"/>
                <w:lang w:eastAsia="zh-CN"/>
              </w:rPr>
              <w:t>（</w:t>
            </w:r>
            <w:r>
              <w:rPr>
                <w:rFonts w:hint="eastAsia"/>
                <w:color w:val="FF0000"/>
                <w:kern w:val="0"/>
                <w:sz w:val="24"/>
                <w:szCs w:val="22"/>
                <w:lang w:val="en-US" w:eastAsia="zh-CN"/>
              </w:rPr>
              <w:t>2</w:t>
            </w:r>
            <w:r>
              <w:rPr>
                <w:rFonts w:hint="eastAsia"/>
                <w:color w:val="FF0000"/>
                <w:kern w:val="0"/>
                <w:sz w:val="24"/>
                <w:szCs w:val="22"/>
                <w:lang w:eastAsia="zh-CN"/>
              </w:rPr>
              <w:t>）</w:t>
            </w:r>
            <w:r>
              <w:rPr>
                <w:rFonts w:hint="eastAsia"/>
                <w:color w:val="FF0000"/>
                <w:kern w:val="0"/>
                <w:sz w:val="24"/>
                <w:szCs w:val="22"/>
                <w:lang w:val="en-US" w:eastAsia="zh-CN"/>
              </w:rPr>
              <w:t>投料：根据制定的合成路径，初步确定各原辅料的用量比例，</w:t>
            </w:r>
            <w:r>
              <w:rPr>
                <w:color w:val="FF0000"/>
                <w:kern w:val="0"/>
                <w:sz w:val="24"/>
                <w:szCs w:val="22"/>
              </w:rPr>
              <w:t>选取合适的反应容器，</w:t>
            </w:r>
            <w:r>
              <w:rPr>
                <w:rFonts w:hint="eastAsia"/>
                <w:color w:val="FF0000"/>
                <w:kern w:val="0"/>
                <w:sz w:val="24"/>
                <w:szCs w:val="22"/>
                <w:lang w:val="en-US" w:eastAsia="zh-CN"/>
              </w:rPr>
              <w:t>人工将固态物料用电子天平称量后加入反应容器内的有机溶剂中；固态物料每次投料过程中用量很小，且人工直接加入有机溶剂内，产生的颗粒物极少，可忽略不计；</w:t>
            </w:r>
            <w:r>
              <w:rPr>
                <w:color w:val="FF0000"/>
                <w:kern w:val="0"/>
                <w:sz w:val="24"/>
                <w:szCs w:val="22"/>
              </w:rPr>
              <w:t>该过程产生废试剂瓶S</w:t>
            </w:r>
            <w:r>
              <w:rPr>
                <w:rFonts w:hint="eastAsia"/>
                <w:color w:val="FF0000"/>
                <w:kern w:val="0"/>
                <w:sz w:val="24"/>
                <w:szCs w:val="22"/>
              </w:rPr>
              <w:t>1</w:t>
            </w:r>
            <w:r>
              <w:rPr>
                <w:color w:val="FF0000"/>
                <w:kern w:val="0"/>
                <w:sz w:val="24"/>
                <w:szCs w:val="22"/>
              </w:rPr>
              <w:t>、废包装材料S</w:t>
            </w:r>
            <w:r>
              <w:rPr>
                <w:rFonts w:hint="eastAsia"/>
                <w:color w:val="FF0000"/>
                <w:kern w:val="0"/>
                <w:sz w:val="24"/>
                <w:szCs w:val="22"/>
              </w:rPr>
              <w:t>8</w:t>
            </w:r>
            <w:r>
              <w:rPr>
                <w:color w:val="FF0000"/>
                <w:kern w:val="0"/>
                <w:sz w:val="24"/>
                <w:szCs w:val="22"/>
              </w:rPr>
              <w:t>、设备噪声N</w:t>
            </w:r>
            <w:r>
              <w:rPr>
                <w:rFonts w:hint="eastAsia"/>
                <w:color w:val="FF0000"/>
                <w:kern w:val="0"/>
                <w:sz w:val="24"/>
                <w:szCs w:val="22"/>
              </w:rPr>
              <w:t>等</w:t>
            </w:r>
            <w:r>
              <w:rPr>
                <w:color w:val="FF0000"/>
                <w:kern w:val="0"/>
                <w:sz w:val="24"/>
                <w:szCs w:val="22"/>
              </w:rPr>
              <w:t>。</w:t>
            </w:r>
          </w:p>
          <w:p w14:paraId="639CECCA">
            <w:pPr>
              <w:adjustRightInd w:val="0"/>
              <w:spacing w:line="360" w:lineRule="auto"/>
              <w:ind w:firstLine="480" w:firstLineChars="200"/>
              <w:rPr>
                <w:rFonts w:hint="default"/>
                <w:color w:val="auto"/>
                <w:kern w:val="0"/>
                <w:sz w:val="24"/>
                <w:szCs w:val="22"/>
                <w:lang w:val="en-US" w:eastAsia="zh-CN"/>
              </w:rPr>
            </w:pPr>
            <w:r>
              <w:rPr>
                <w:rFonts w:hint="eastAsia"/>
                <w:color w:val="auto"/>
                <w:kern w:val="0"/>
                <w:sz w:val="24"/>
                <w:szCs w:val="22"/>
                <w:lang w:eastAsia="zh-CN"/>
              </w:rPr>
              <w:t>（</w:t>
            </w:r>
            <w:r>
              <w:rPr>
                <w:rFonts w:hint="eastAsia"/>
                <w:color w:val="auto"/>
                <w:kern w:val="0"/>
                <w:sz w:val="24"/>
                <w:szCs w:val="22"/>
                <w:lang w:val="en-US" w:eastAsia="zh-CN"/>
              </w:rPr>
              <w:t>3</w:t>
            </w:r>
            <w:r>
              <w:rPr>
                <w:rFonts w:hint="eastAsia"/>
                <w:color w:val="auto"/>
                <w:kern w:val="0"/>
                <w:sz w:val="24"/>
                <w:szCs w:val="22"/>
                <w:lang w:eastAsia="zh-CN"/>
              </w:rPr>
              <w:t>）</w:t>
            </w:r>
            <w:r>
              <w:rPr>
                <w:rFonts w:hint="eastAsia"/>
                <w:color w:val="auto"/>
                <w:kern w:val="0"/>
                <w:sz w:val="24"/>
                <w:szCs w:val="22"/>
                <w:lang w:val="en-US" w:eastAsia="zh-CN"/>
              </w:rPr>
              <w:t>搅拌反应：</w:t>
            </w:r>
            <w:r>
              <w:rPr>
                <w:color w:val="auto"/>
                <w:kern w:val="0"/>
                <w:sz w:val="24"/>
                <w:szCs w:val="22"/>
              </w:rPr>
              <w:t>采用电加热方式缓慢升温（或采用冰盐水等进行低温反应），</w:t>
            </w:r>
            <w:r>
              <w:rPr>
                <w:rFonts w:hint="eastAsia"/>
                <w:color w:val="FF0000"/>
                <w:kern w:val="0"/>
                <w:sz w:val="24"/>
                <w:szCs w:val="22"/>
                <w:lang w:val="en-US" w:eastAsia="zh-CN"/>
              </w:rPr>
              <w:t>用搅拌器不断对反应容器内的物料进行搅拌，对实验数据进行记录，同时在反应过程中间隔一定时间多次取样留存，留存的样品委托有资质单位进行检测，根据检测结果</w:t>
            </w:r>
            <w:r>
              <w:rPr>
                <w:color w:val="FF0000"/>
                <w:kern w:val="0"/>
                <w:sz w:val="24"/>
                <w:szCs w:val="22"/>
              </w:rPr>
              <w:t>判定反应进行的程度，结束反应并降温进行后处理；</w:t>
            </w:r>
            <w:r>
              <w:rPr>
                <w:color w:val="auto"/>
                <w:kern w:val="0"/>
                <w:sz w:val="24"/>
                <w:szCs w:val="22"/>
              </w:rPr>
              <w:t>该过程产生</w:t>
            </w:r>
            <w:r>
              <w:rPr>
                <w:rFonts w:hint="eastAsia"/>
                <w:color w:val="auto"/>
                <w:kern w:val="0"/>
                <w:sz w:val="24"/>
                <w:szCs w:val="22"/>
              </w:rPr>
              <w:t>研发废气</w:t>
            </w:r>
            <w:r>
              <w:rPr>
                <w:color w:val="auto"/>
                <w:kern w:val="0"/>
                <w:sz w:val="24"/>
                <w:szCs w:val="22"/>
              </w:rPr>
              <w:t>G1，实验</w:t>
            </w:r>
            <w:r>
              <w:rPr>
                <w:rFonts w:hint="eastAsia"/>
                <w:color w:val="auto"/>
                <w:kern w:val="0"/>
                <w:sz w:val="24"/>
                <w:szCs w:val="22"/>
              </w:rPr>
              <w:t>室</w:t>
            </w:r>
            <w:r>
              <w:rPr>
                <w:color w:val="auto"/>
                <w:kern w:val="0"/>
                <w:sz w:val="24"/>
                <w:szCs w:val="22"/>
              </w:rPr>
              <w:t>废液S</w:t>
            </w:r>
            <w:r>
              <w:rPr>
                <w:rFonts w:hint="eastAsia"/>
                <w:color w:val="auto"/>
                <w:kern w:val="0"/>
                <w:sz w:val="24"/>
                <w:szCs w:val="22"/>
              </w:rPr>
              <w:t>2</w:t>
            </w:r>
            <w:r>
              <w:rPr>
                <w:color w:val="auto"/>
                <w:kern w:val="0"/>
                <w:sz w:val="24"/>
                <w:szCs w:val="22"/>
              </w:rPr>
              <w:t>、设备噪声N</w:t>
            </w:r>
            <w:r>
              <w:rPr>
                <w:rFonts w:hint="eastAsia"/>
                <w:color w:val="auto"/>
                <w:kern w:val="0"/>
                <w:sz w:val="24"/>
                <w:szCs w:val="22"/>
              </w:rPr>
              <w:t>等。</w:t>
            </w:r>
          </w:p>
          <w:p w14:paraId="02DC5DF9">
            <w:pPr>
              <w:adjustRightInd w:val="0"/>
              <w:spacing w:line="360" w:lineRule="auto"/>
              <w:ind w:firstLine="480" w:firstLineChars="200"/>
              <w:rPr>
                <w:color w:val="auto"/>
                <w:kern w:val="0"/>
                <w:sz w:val="24"/>
                <w:szCs w:val="22"/>
              </w:rPr>
            </w:pPr>
            <w:r>
              <w:rPr>
                <w:color w:val="auto"/>
                <w:kern w:val="0"/>
                <w:sz w:val="24"/>
                <w:szCs w:val="22"/>
              </w:rPr>
              <w:t>（4）后处理：一般采用溶剂萃取、过滤、洗涤、脱色等操作；</w:t>
            </w:r>
            <w:r>
              <w:rPr>
                <w:rFonts w:hint="eastAsia"/>
                <w:color w:val="auto"/>
                <w:spacing w:val="-2"/>
                <w:sz w:val="24"/>
                <w:szCs w:val="24"/>
                <w:lang w:val="en-US" w:eastAsia="zh-CN"/>
              </w:rPr>
              <w:t>对实验数据进行记录，</w:t>
            </w:r>
            <w:r>
              <w:rPr>
                <w:rFonts w:hint="eastAsia"/>
                <w:color w:val="FF0000"/>
                <w:kern w:val="0"/>
                <w:sz w:val="24"/>
                <w:szCs w:val="22"/>
                <w:lang w:val="en-US" w:eastAsia="zh-CN"/>
              </w:rPr>
              <w:t>中间隔一定时间多次取样留存，留存的样品委托有资质单位进行检测，以便优化合成路径；</w:t>
            </w:r>
            <w:r>
              <w:rPr>
                <w:color w:val="auto"/>
                <w:kern w:val="0"/>
                <w:sz w:val="24"/>
                <w:szCs w:val="22"/>
              </w:rPr>
              <w:t>该过程产生</w:t>
            </w:r>
            <w:r>
              <w:rPr>
                <w:rFonts w:hint="eastAsia"/>
                <w:color w:val="auto"/>
                <w:kern w:val="0"/>
                <w:sz w:val="24"/>
                <w:szCs w:val="22"/>
              </w:rPr>
              <w:t>研发废气</w:t>
            </w:r>
            <w:r>
              <w:rPr>
                <w:color w:val="auto"/>
                <w:kern w:val="0"/>
                <w:sz w:val="24"/>
                <w:szCs w:val="22"/>
              </w:rPr>
              <w:t>G1</w:t>
            </w:r>
            <w:r>
              <w:rPr>
                <w:rFonts w:hint="eastAsia"/>
                <w:color w:val="auto"/>
                <w:kern w:val="0"/>
                <w:sz w:val="24"/>
                <w:szCs w:val="22"/>
              </w:rPr>
              <w:t>、</w:t>
            </w:r>
            <w:r>
              <w:rPr>
                <w:color w:val="auto"/>
                <w:kern w:val="0"/>
                <w:sz w:val="24"/>
                <w:szCs w:val="22"/>
              </w:rPr>
              <w:t>实验室废液S</w:t>
            </w:r>
            <w:r>
              <w:rPr>
                <w:rFonts w:hint="eastAsia"/>
                <w:color w:val="auto"/>
                <w:kern w:val="0"/>
                <w:sz w:val="24"/>
                <w:szCs w:val="22"/>
              </w:rPr>
              <w:t>2</w:t>
            </w:r>
            <w:r>
              <w:rPr>
                <w:color w:val="auto"/>
                <w:kern w:val="0"/>
                <w:sz w:val="24"/>
                <w:szCs w:val="22"/>
              </w:rPr>
              <w:t>、设备噪声N</w:t>
            </w:r>
            <w:r>
              <w:rPr>
                <w:rFonts w:hint="eastAsia"/>
                <w:color w:val="auto"/>
                <w:kern w:val="0"/>
                <w:sz w:val="24"/>
                <w:szCs w:val="22"/>
              </w:rPr>
              <w:t>等</w:t>
            </w:r>
            <w:r>
              <w:rPr>
                <w:color w:val="auto"/>
                <w:kern w:val="0"/>
                <w:sz w:val="24"/>
                <w:szCs w:val="22"/>
              </w:rPr>
              <w:t>。</w:t>
            </w:r>
          </w:p>
          <w:p w14:paraId="5B0DC6A3">
            <w:pPr>
              <w:adjustRightInd w:val="0"/>
              <w:spacing w:line="360" w:lineRule="auto"/>
              <w:ind w:firstLine="480" w:firstLineChars="200"/>
              <w:rPr>
                <w:color w:val="auto"/>
                <w:kern w:val="0"/>
                <w:sz w:val="24"/>
                <w:szCs w:val="22"/>
              </w:rPr>
            </w:pPr>
            <w:r>
              <w:rPr>
                <w:color w:val="auto"/>
                <w:kern w:val="0"/>
                <w:sz w:val="24"/>
                <w:szCs w:val="22"/>
              </w:rPr>
              <w:t>（5）溶剂旋干：采用旋转蒸发仪把溶剂蒸干，最终得到固体粗品或液态粗品；</w:t>
            </w:r>
            <w:r>
              <w:rPr>
                <w:rFonts w:hint="eastAsia"/>
                <w:color w:val="auto"/>
                <w:spacing w:val="-2"/>
                <w:sz w:val="24"/>
                <w:szCs w:val="24"/>
                <w:lang w:val="en-US" w:eastAsia="zh-CN"/>
              </w:rPr>
              <w:t>对实验数据进行记录，</w:t>
            </w:r>
            <w:r>
              <w:rPr>
                <w:rFonts w:hint="eastAsia"/>
                <w:color w:val="FF0000"/>
                <w:kern w:val="0"/>
                <w:sz w:val="24"/>
                <w:szCs w:val="22"/>
                <w:lang w:val="en-US" w:eastAsia="zh-CN"/>
              </w:rPr>
              <w:t>同时取样留存，留存的样品委托有资质单位进行检测，以便优化合成路径；</w:t>
            </w:r>
            <w:r>
              <w:rPr>
                <w:color w:val="auto"/>
                <w:kern w:val="0"/>
                <w:sz w:val="24"/>
                <w:szCs w:val="22"/>
              </w:rPr>
              <w:t>该过程产生</w:t>
            </w:r>
            <w:r>
              <w:rPr>
                <w:rFonts w:hint="eastAsia"/>
                <w:color w:val="auto"/>
                <w:kern w:val="0"/>
                <w:sz w:val="24"/>
                <w:szCs w:val="22"/>
              </w:rPr>
              <w:t>研发废气</w:t>
            </w:r>
            <w:r>
              <w:rPr>
                <w:color w:val="auto"/>
                <w:kern w:val="0"/>
                <w:sz w:val="24"/>
                <w:szCs w:val="22"/>
              </w:rPr>
              <w:t>G1、设备噪声N</w:t>
            </w:r>
            <w:r>
              <w:rPr>
                <w:rFonts w:hint="eastAsia"/>
                <w:color w:val="auto"/>
                <w:kern w:val="0"/>
                <w:sz w:val="24"/>
                <w:szCs w:val="22"/>
              </w:rPr>
              <w:t>等</w:t>
            </w:r>
            <w:r>
              <w:rPr>
                <w:color w:val="auto"/>
                <w:kern w:val="0"/>
                <w:sz w:val="24"/>
                <w:szCs w:val="22"/>
              </w:rPr>
              <w:t>。</w:t>
            </w:r>
          </w:p>
          <w:p w14:paraId="3A8A495D">
            <w:pPr>
              <w:adjustRightInd w:val="0"/>
              <w:spacing w:line="360" w:lineRule="auto"/>
              <w:ind w:firstLine="480" w:firstLineChars="200"/>
              <w:rPr>
                <w:color w:val="auto"/>
                <w:kern w:val="0"/>
                <w:sz w:val="24"/>
                <w:szCs w:val="22"/>
              </w:rPr>
            </w:pPr>
            <w:r>
              <w:rPr>
                <w:color w:val="auto"/>
                <w:kern w:val="0"/>
                <w:sz w:val="24"/>
                <w:szCs w:val="22"/>
              </w:rPr>
              <w:t>（6）</w:t>
            </w:r>
            <w:r>
              <w:rPr>
                <w:rFonts w:hint="eastAsia"/>
                <w:color w:val="auto"/>
                <w:kern w:val="0"/>
                <w:sz w:val="24"/>
                <w:szCs w:val="22"/>
                <w:lang w:val="en-US" w:eastAsia="zh-CN"/>
              </w:rPr>
              <w:t>冷凝</w:t>
            </w:r>
            <w:r>
              <w:rPr>
                <w:color w:val="auto"/>
                <w:kern w:val="0"/>
                <w:sz w:val="24"/>
                <w:szCs w:val="22"/>
              </w:rPr>
              <w:t>提纯：</w:t>
            </w:r>
            <w:r>
              <w:rPr>
                <w:rFonts w:hint="eastAsia"/>
                <w:color w:val="FF0000"/>
                <w:kern w:val="0"/>
                <w:sz w:val="24"/>
                <w:szCs w:val="22"/>
                <w:lang w:val="en-US" w:eastAsia="zh-CN"/>
              </w:rPr>
              <w:t>利用不同物料沸点差异，</w:t>
            </w:r>
            <w:r>
              <w:rPr>
                <w:color w:val="auto"/>
                <w:kern w:val="0"/>
                <w:sz w:val="24"/>
                <w:szCs w:val="22"/>
              </w:rPr>
              <w:t>固体粗品一般采用重结晶方式提纯，</w:t>
            </w:r>
            <w:r>
              <w:rPr>
                <w:color w:val="FF0000"/>
                <w:kern w:val="0"/>
                <w:sz w:val="24"/>
                <w:szCs w:val="22"/>
              </w:rPr>
              <w:t>液体粗品一般采用蒸馏或精馏方式提纯</w:t>
            </w:r>
            <w:r>
              <w:rPr>
                <w:color w:val="auto"/>
                <w:kern w:val="0"/>
                <w:sz w:val="24"/>
                <w:szCs w:val="22"/>
              </w:rPr>
              <w:t>，提纯后得到最终的目标产物。该过程产生</w:t>
            </w:r>
            <w:r>
              <w:rPr>
                <w:rFonts w:hint="eastAsia"/>
                <w:color w:val="auto"/>
                <w:kern w:val="0"/>
                <w:sz w:val="24"/>
                <w:szCs w:val="22"/>
              </w:rPr>
              <w:t>研发</w:t>
            </w:r>
            <w:r>
              <w:rPr>
                <w:color w:val="auto"/>
                <w:kern w:val="0"/>
                <w:sz w:val="24"/>
                <w:szCs w:val="22"/>
              </w:rPr>
              <w:t>废气G1，实验室废液S</w:t>
            </w:r>
            <w:r>
              <w:rPr>
                <w:rFonts w:hint="eastAsia"/>
                <w:color w:val="auto"/>
                <w:kern w:val="0"/>
                <w:sz w:val="24"/>
                <w:szCs w:val="22"/>
              </w:rPr>
              <w:t>2等</w:t>
            </w:r>
            <w:r>
              <w:rPr>
                <w:color w:val="auto"/>
                <w:kern w:val="0"/>
                <w:sz w:val="24"/>
                <w:szCs w:val="22"/>
              </w:rPr>
              <w:t>。</w:t>
            </w:r>
          </w:p>
          <w:p w14:paraId="662D3FB6">
            <w:pPr>
              <w:adjustRightInd w:val="0"/>
              <w:spacing w:line="360" w:lineRule="auto"/>
              <w:ind w:firstLine="480" w:firstLineChars="200"/>
              <w:rPr>
                <w:color w:val="auto"/>
                <w:kern w:val="0"/>
                <w:sz w:val="24"/>
                <w:szCs w:val="22"/>
              </w:rPr>
            </w:pPr>
            <w:r>
              <w:rPr>
                <w:color w:val="auto"/>
                <w:kern w:val="0"/>
                <w:sz w:val="24"/>
                <w:szCs w:val="22"/>
              </w:rPr>
              <w:t>a）反应温度：反应温度一般控制在-100℃~250℃之间，采用电加热作为热源。</w:t>
            </w:r>
          </w:p>
          <w:p w14:paraId="70F21B88">
            <w:pPr>
              <w:adjustRightInd w:val="0"/>
              <w:spacing w:line="360" w:lineRule="auto"/>
              <w:ind w:firstLine="480" w:firstLineChars="200"/>
              <w:rPr>
                <w:color w:val="auto"/>
                <w:kern w:val="0"/>
                <w:sz w:val="24"/>
                <w:szCs w:val="22"/>
              </w:rPr>
            </w:pPr>
            <w:r>
              <w:rPr>
                <w:color w:val="auto"/>
                <w:kern w:val="0"/>
                <w:sz w:val="24"/>
                <w:szCs w:val="22"/>
              </w:rPr>
              <w:t>b）反应压力：过程基本为常压。</w:t>
            </w:r>
          </w:p>
          <w:p w14:paraId="13171843">
            <w:pPr>
              <w:adjustRightInd w:val="0"/>
              <w:spacing w:line="360" w:lineRule="auto"/>
              <w:ind w:firstLine="480" w:firstLineChars="200"/>
              <w:rPr>
                <w:color w:val="auto"/>
                <w:kern w:val="0"/>
                <w:sz w:val="24"/>
                <w:szCs w:val="22"/>
              </w:rPr>
            </w:pPr>
            <w:r>
              <w:rPr>
                <w:color w:val="auto"/>
                <w:kern w:val="0"/>
                <w:sz w:val="24"/>
                <w:szCs w:val="22"/>
              </w:rPr>
              <w:t>c）反应时间：根据不同的工艺、装料量，每批次料生产时间一般控制在1~2小时之间。</w:t>
            </w:r>
          </w:p>
          <w:p w14:paraId="3EA5E543">
            <w:pPr>
              <w:adjustRightInd w:val="0"/>
              <w:spacing w:line="360" w:lineRule="auto"/>
              <w:ind w:firstLine="480" w:firstLineChars="200"/>
              <w:rPr>
                <w:rFonts w:hint="eastAsia" w:eastAsia="宋体"/>
                <w:color w:val="FF0000"/>
                <w:lang w:val="en-US" w:eastAsia="zh-CN"/>
              </w:rPr>
            </w:pPr>
            <w:r>
              <w:rPr>
                <w:color w:val="FF0000"/>
                <w:kern w:val="0"/>
                <w:sz w:val="24"/>
                <w:szCs w:val="22"/>
              </w:rPr>
              <w:t>（7）</w:t>
            </w:r>
            <w:r>
              <w:rPr>
                <w:rFonts w:hint="eastAsia"/>
                <w:color w:val="FF0000"/>
                <w:kern w:val="0"/>
                <w:sz w:val="24"/>
                <w:szCs w:val="22"/>
                <w:lang w:val="en-US" w:eastAsia="zh-CN"/>
              </w:rPr>
              <w:t>干燥：固态粗品</w:t>
            </w:r>
            <w:r>
              <w:rPr>
                <w:color w:val="FF0000"/>
                <w:sz w:val="24"/>
              </w:rPr>
              <w:t>装入烘盘，送入干燥箱进行干燥，得</w:t>
            </w:r>
            <w:r>
              <w:rPr>
                <w:rFonts w:hint="eastAsia"/>
                <w:color w:val="FF0000"/>
                <w:sz w:val="24"/>
                <w:lang w:val="en-US" w:eastAsia="zh-CN"/>
              </w:rPr>
              <w:t>到目标产物。</w:t>
            </w:r>
          </w:p>
          <w:p w14:paraId="60DA10AD">
            <w:pPr>
              <w:adjustRightInd w:val="0"/>
              <w:spacing w:line="360" w:lineRule="auto"/>
              <w:ind w:firstLine="480" w:firstLineChars="200"/>
              <w:rPr>
                <w:color w:val="auto"/>
                <w:kern w:val="0"/>
                <w:sz w:val="24"/>
                <w:szCs w:val="22"/>
              </w:rPr>
            </w:pPr>
            <w:r>
              <w:rPr>
                <w:rFonts w:hint="eastAsia"/>
                <w:color w:val="auto"/>
                <w:kern w:val="0"/>
                <w:sz w:val="24"/>
                <w:szCs w:val="22"/>
                <w:lang w:eastAsia="zh-CN"/>
              </w:rPr>
              <w:t>（</w:t>
            </w:r>
            <w:r>
              <w:rPr>
                <w:rFonts w:hint="eastAsia"/>
                <w:color w:val="auto"/>
                <w:kern w:val="0"/>
                <w:sz w:val="24"/>
                <w:szCs w:val="22"/>
                <w:lang w:val="en-US" w:eastAsia="zh-CN"/>
              </w:rPr>
              <w:t>8</w:t>
            </w:r>
            <w:r>
              <w:rPr>
                <w:rFonts w:hint="eastAsia"/>
                <w:color w:val="auto"/>
                <w:kern w:val="0"/>
                <w:sz w:val="24"/>
                <w:szCs w:val="22"/>
                <w:lang w:eastAsia="zh-CN"/>
              </w:rPr>
              <w:t>）</w:t>
            </w:r>
            <w:r>
              <w:rPr>
                <w:color w:val="auto"/>
                <w:kern w:val="0"/>
                <w:sz w:val="24"/>
                <w:szCs w:val="22"/>
              </w:rPr>
              <w:t>检测分析：</w:t>
            </w:r>
            <w:r>
              <w:rPr>
                <w:color w:val="FF0000"/>
                <w:kern w:val="0"/>
                <w:sz w:val="24"/>
                <w:szCs w:val="22"/>
              </w:rPr>
              <w:t>通过气相、液相</w:t>
            </w:r>
            <w:r>
              <w:rPr>
                <w:rFonts w:hint="eastAsia"/>
                <w:color w:val="FF0000"/>
                <w:kern w:val="0"/>
                <w:sz w:val="24"/>
                <w:szCs w:val="22"/>
                <w:lang w:val="en-US" w:eastAsia="zh-CN"/>
              </w:rPr>
              <w:t>色谱</w:t>
            </w:r>
            <w:r>
              <w:rPr>
                <w:color w:val="FF0000"/>
                <w:kern w:val="0"/>
                <w:sz w:val="24"/>
                <w:szCs w:val="22"/>
              </w:rPr>
              <w:t>检测设备</w:t>
            </w:r>
            <w:r>
              <w:rPr>
                <w:rFonts w:hint="eastAsia"/>
                <w:color w:val="FF0000"/>
                <w:kern w:val="0"/>
                <w:sz w:val="24"/>
                <w:szCs w:val="22"/>
                <w:lang w:eastAsia="zh-CN"/>
              </w:rPr>
              <w:t>、</w:t>
            </w:r>
            <w:r>
              <w:rPr>
                <w:rFonts w:hint="eastAsia"/>
                <w:color w:val="FF0000"/>
                <w:kern w:val="0"/>
                <w:sz w:val="24"/>
                <w:szCs w:val="22"/>
              </w:rPr>
              <w:t>稳定性试验箱</w:t>
            </w:r>
            <w:r>
              <w:rPr>
                <w:rFonts w:hint="eastAsia"/>
                <w:color w:val="FF0000"/>
                <w:kern w:val="0"/>
                <w:sz w:val="24"/>
                <w:szCs w:val="22"/>
                <w:lang w:eastAsia="zh-CN"/>
              </w:rPr>
              <w:t>、</w:t>
            </w:r>
            <w:r>
              <w:rPr>
                <w:rFonts w:hint="eastAsia"/>
                <w:color w:val="FF0000"/>
                <w:kern w:val="0"/>
                <w:sz w:val="24"/>
                <w:szCs w:val="22"/>
              </w:rPr>
              <w:t>温湿度探测器</w:t>
            </w:r>
            <w:r>
              <w:rPr>
                <w:rFonts w:hint="eastAsia"/>
                <w:color w:val="FF0000"/>
                <w:kern w:val="0"/>
                <w:sz w:val="24"/>
                <w:szCs w:val="22"/>
                <w:lang w:eastAsia="zh-CN"/>
              </w:rPr>
              <w:t>、</w:t>
            </w:r>
            <w:r>
              <w:rPr>
                <w:rFonts w:hint="eastAsia"/>
                <w:color w:val="FF0000"/>
                <w:kern w:val="0"/>
                <w:sz w:val="24"/>
                <w:szCs w:val="22"/>
              </w:rPr>
              <w:t>紫外可见分光光度计</w:t>
            </w:r>
            <w:r>
              <w:rPr>
                <w:rFonts w:hint="eastAsia"/>
                <w:color w:val="FF0000"/>
                <w:kern w:val="0"/>
                <w:sz w:val="24"/>
                <w:szCs w:val="22"/>
                <w:lang w:val="en-US" w:eastAsia="zh-CN"/>
              </w:rPr>
              <w:t>等各类检测设备初步</w:t>
            </w:r>
            <w:r>
              <w:rPr>
                <w:color w:val="FF0000"/>
                <w:kern w:val="0"/>
                <w:sz w:val="24"/>
                <w:szCs w:val="22"/>
              </w:rPr>
              <w:t>检测目标产物样品</w:t>
            </w:r>
            <w:r>
              <w:rPr>
                <w:rFonts w:hint="eastAsia"/>
                <w:color w:val="FF0000"/>
                <w:kern w:val="0"/>
                <w:sz w:val="24"/>
                <w:szCs w:val="22"/>
                <w:lang w:val="en-US" w:eastAsia="zh-CN"/>
              </w:rPr>
              <w:t>外观、纯度、稳定性、水分含量等指标，较为复杂的杂质、重金属、残留溶剂等指标委托西安交大分析测试中心、河南郑州手性技术研究院进行检测，根据检测结果优化合成路径；最终</w:t>
            </w:r>
            <w:r>
              <w:rPr>
                <w:color w:val="auto"/>
                <w:kern w:val="0"/>
                <w:sz w:val="24"/>
                <w:szCs w:val="22"/>
              </w:rPr>
              <w:t>未符合预期效果的样品作为危废处置，符合预期效果即可整理资料，归档入库；</w:t>
            </w:r>
            <w:r>
              <w:rPr>
                <w:rFonts w:hint="eastAsia"/>
                <w:color w:val="auto"/>
                <w:kern w:val="0"/>
                <w:sz w:val="24"/>
                <w:szCs w:val="22"/>
                <w:lang w:val="en-US" w:eastAsia="zh-CN"/>
              </w:rPr>
              <w:t>并</w:t>
            </w:r>
            <w:r>
              <w:rPr>
                <w:color w:val="auto"/>
                <w:kern w:val="0"/>
                <w:sz w:val="24"/>
                <w:szCs w:val="22"/>
              </w:rPr>
              <w:t>将制备及应用工艺路线整理成技术报告，进行技术转让。该过程产生</w:t>
            </w:r>
            <w:r>
              <w:rPr>
                <w:rFonts w:hint="eastAsia"/>
                <w:color w:val="auto"/>
                <w:kern w:val="0"/>
                <w:sz w:val="24"/>
                <w:szCs w:val="22"/>
              </w:rPr>
              <w:t>研发</w:t>
            </w:r>
            <w:r>
              <w:rPr>
                <w:color w:val="auto"/>
                <w:kern w:val="0"/>
                <w:sz w:val="24"/>
                <w:szCs w:val="22"/>
              </w:rPr>
              <w:t>废气G1，实验室废液S</w:t>
            </w:r>
            <w:r>
              <w:rPr>
                <w:rFonts w:hint="eastAsia"/>
                <w:color w:val="auto"/>
                <w:kern w:val="0"/>
                <w:sz w:val="24"/>
                <w:szCs w:val="22"/>
              </w:rPr>
              <w:t>2</w:t>
            </w:r>
            <w:r>
              <w:rPr>
                <w:color w:val="auto"/>
                <w:kern w:val="0"/>
                <w:sz w:val="24"/>
                <w:szCs w:val="22"/>
              </w:rPr>
              <w:t>、</w:t>
            </w:r>
            <w:r>
              <w:rPr>
                <w:rFonts w:hint="eastAsia"/>
                <w:color w:val="auto"/>
                <w:kern w:val="0"/>
                <w:sz w:val="24"/>
                <w:szCs w:val="22"/>
              </w:rPr>
              <w:t>固态实验废物S4、</w:t>
            </w:r>
            <w:r>
              <w:rPr>
                <w:color w:val="auto"/>
                <w:kern w:val="0"/>
                <w:sz w:val="24"/>
                <w:szCs w:val="22"/>
              </w:rPr>
              <w:t>设备噪声N</w:t>
            </w:r>
            <w:r>
              <w:rPr>
                <w:rFonts w:hint="eastAsia"/>
                <w:color w:val="auto"/>
                <w:kern w:val="0"/>
                <w:sz w:val="24"/>
                <w:szCs w:val="22"/>
              </w:rPr>
              <w:t>等</w:t>
            </w:r>
            <w:r>
              <w:rPr>
                <w:color w:val="auto"/>
                <w:kern w:val="0"/>
                <w:sz w:val="24"/>
                <w:szCs w:val="22"/>
              </w:rPr>
              <w:t>。</w:t>
            </w:r>
          </w:p>
          <w:p w14:paraId="3FF73B79">
            <w:pPr>
              <w:spacing w:line="360" w:lineRule="auto"/>
              <w:jc w:val="center"/>
              <w:rPr>
                <w:rFonts w:hint="eastAsia"/>
                <w:b/>
                <w:bCs/>
                <w:color w:val="auto"/>
                <w:szCs w:val="21"/>
              </w:rPr>
            </w:pPr>
            <w:r>
              <w:rPr>
                <w:rFonts w:hint="eastAsia"/>
                <w:b/>
                <w:bCs/>
                <w:color w:val="auto"/>
                <w:szCs w:val="21"/>
              </w:rPr>
              <w:drawing>
                <wp:inline distT="0" distB="0" distL="114300" distR="114300">
                  <wp:extent cx="5027930" cy="2003425"/>
                  <wp:effectExtent l="0" t="0" r="1270" b="15875"/>
                  <wp:docPr id="9"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2" descr="wps"/>
                          <pic:cNvPicPr>
                            <a:picLocks noChangeAspect="1"/>
                          </pic:cNvPicPr>
                        </pic:nvPicPr>
                        <pic:blipFill>
                          <a:blip r:embed="rId11"/>
                          <a:srcRect l="3187" t="9741" r="4930" b="9052"/>
                          <a:stretch>
                            <a:fillRect/>
                          </a:stretch>
                        </pic:blipFill>
                        <pic:spPr>
                          <a:xfrm>
                            <a:off x="0" y="0"/>
                            <a:ext cx="5027930" cy="2003425"/>
                          </a:xfrm>
                          <a:prstGeom prst="rect">
                            <a:avLst/>
                          </a:prstGeom>
                        </pic:spPr>
                      </pic:pic>
                    </a:graphicData>
                  </a:graphic>
                </wp:inline>
              </w:drawing>
            </w:r>
          </w:p>
          <w:p w14:paraId="28BEB748">
            <w:pPr>
              <w:spacing w:line="360" w:lineRule="auto"/>
              <w:jc w:val="center"/>
              <w:rPr>
                <w:b/>
                <w:bCs/>
                <w:color w:val="auto"/>
                <w:sz w:val="24"/>
              </w:rPr>
            </w:pPr>
            <w:r>
              <w:rPr>
                <w:rFonts w:hint="eastAsia"/>
                <w:b/>
                <w:bCs/>
                <w:color w:val="auto"/>
                <w:szCs w:val="21"/>
              </w:rPr>
              <w:t>图2-3   工艺流程和产污环节图</w:t>
            </w:r>
          </w:p>
          <w:p w14:paraId="378A175A">
            <w:pPr>
              <w:spacing w:line="360" w:lineRule="auto"/>
              <w:ind w:firstLine="422" w:firstLineChars="175"/>
              <w:rPr>
                <w:rFonts w:ascii="宋体" w:hAnsi="宋体"/>
                <w:b/>
                <w:bCs/>
                <w:color w:val="auto"/>
                <w:kern w:val="21"/>
                <w:sz w:val="24"/>
              </w:rPr>
            </w:pPr>
            <w:r>
              <w:rPr>
                <w:rFonts w:hint="eastAsia"/>
                <w:b/>
                <w:bCs/>
                <w:color w:val="auto"/>
                <w:sz w:val="24"/>
              </w:rPr>
              <w:t>3、</w:t>
            </w:r>
            <w:r>
              <w:rPr>
                <w:b/>
                <w:bCs/>
                <w:color w:val="auto"/>
                <w:kern w:val="21"/>
                <w:sz w:val="24"/>
              </w:rPr>
              <w:t>产污环</w:t>
            </w:r>
            <w:r>
              <w:rPr>
                <w:rFonts w:hint="eastAsia" w:ascii="宋体" w:hAnsi="宋体"/>
                <w:b/>
                <w:bCs/>
                <w:color w:val="auto"/>
                <w:kern w:val="21"/>
                <w:sz w:val="24"/>
              </w:rPr>
              <w:t>节</w:t>
            </w:r>
          </w:p>
          <w:p w14:paraId="47AEBB80">
            <w:pPr>
              <w:jc w:val="center"/>
              <w:rPr>
                <w:b/>
                <w:bCs/>
                <w:color w:val="auto"/>
                <w:szCs w:val="21"/>
              </w:rPr>
            </w:pPr>
            <w:r>
              <w:rPr>
                <w:b/>
                <w:bCs/>
                <w:color w:val="auto"/>
                <w:szCs w:val="21"/>
              </w:rPr>
              <w:t>表</w:t>
            </w:r>
            <w:r>
              <w:rPr>
                <w:rFonts w:hint="eastAsia"/>
                <w:b/>
                <w:bCs/>
                <w:color w:val="auto"/>
                <w:szCs w:val="21"/>
              </w:rPr>
              <w:t xml:space="preserve">2-7  </w:t>
            </w:r>
            <w:r>
              <w:rPr>
                <w:b/>
                <w:bCs/>
                <w:color w:val="auto"/>
                <w:szCs w:val="21"/>
              </w:rPr>
              <w:t xml:space="preserve"> 营运期主要污染工序</w:t>
            </w:r>
          </w:p>
          <w:tbl>
            <w:tblPr>
              <w:tblStyle w:val="18"/>
              <w:tblW w:w="4981"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785"/>
              <w:gridCol w:w="2490"/>
              <w:gridCol w:w="3176"/>
            </w:tblGrid>
            <w:tr w14:paraId="15B5AF6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tcBorders>
                    <w:tl2br w:val="nil"/>
                    <w:tr2bl w:val="nil"/>
                  </w:tcBorders>
                  <w:vAlign w:val="center"/>
                </w:tcPr>
                <w:p w14:paraId="155BF53E">
                  <w:pPr>
                    <w:jc w:val="center"/>
                    <w:rPr>
                      <w:bCs/>
                      <w:color w:val="auto"/>
                      <w:szCs w:val="21"/>
                    </w:rPr>
                  </w:pPr>
                  <w:r>
                    <w:rPr>
                      <w:bCs/>
                      <w:color w:val="auto"/>
                      <w:szCs w:val="21"/>
                    </w:rPr>
                    <w:t>污染</w:t>
                  </w:r>
                  <w:r>
                    <w:rPr>
                      <w:rFonts w:hint="eastAsia"/>
                      <w:bCs/>
                      <w:color w:val="auto"/>
                      <w:szCs w:val="21"/>
                    </w:rPr>
                    <w:t>物</w:t>
                  </w:r>
                  <w:r>
                    <w:rPr>
                      <w:bCs/>
                      <w:color w:val="auto"/>
                      <w:szCs w:val="21"/>
                    </w:rPr>
                    <w:t>类别</w:t>
                  </w:r>
                </w:p>
              </w:tc>
              <w:tc>
                <w:tcPr>
                  <w:tcW w:w="1068" w:type="pct"/>
                  <w:tcBorders>
                    <w:tl2br w:val="nil"/>
                    <w:tr2bl w:val="nil"/>
                  </w:tcBorders>
                  <w:vAlign w:val="center"/>
                </w:tcPr>
                <w:p w14:paraId="03DC19E7">
                  <w:pPr>
                    <w:jc w:val="center"/>
                    <w:rPr>
                      <w:bCs/>
                      <w:color w:val="auto"/>
                      <w:szCs w:val="21"/>
                    </w:rPr>
                  </w:pPr>
                  <w:r>
                    <w:rPr>
                      <w:bCs/>
                      <w:color w:val="auto"/>
                      <w:szCs w:val="21"/>
                    </w:rPr>
                    <w:t>污染源名称</w:t>
                  </w:r>
                </w:p>
              </w:tc>
              <w:tc>
                <w:tcPr>
                  <w:tcW w:w="1490" w:type="pct"/>
                  <w:tcBorders>
                    <w:tl2br w:val="nil"/>
                    <w:tr2bl w:val="nil"/>
                  </w:tcBorders>
                  <w:vAlign w:val="center"/>
                </w:tcPr>
                <w:p w14:paraId="2DDA663F">
                  <w:pPr>
                    <w:jc w:val="center"/>
                    <w:rPr>
                      <w:bCs/>
                      <w:color w:val="auto"/>
                      <w:szCs w:val="21"/>
                    </w:rPr>
                  </w:pPr>
                  <w:r>
                    <w:rPr>
                      <w:bCs/>
                      <w:color w:val="auto"/>
                      <w:szCs w:val="21"/>
                    </w:rPr>
                    <w:t>产生工序</w:t>
                  </w:r>
                </w:p>
              </w:tc>
              <w:tc>
                <w:tcPr>
                  <w:tcW w:w="1900" w:type="pct"/>
                  <w:tcBorders>
                    <w:tl2br w:val="nil"/>
                    <w:tr2bl w:val="nil"/>
                  </w:tcBorders>
                  <w:vAlign w:val="center"/>
                </w:tcPr>
                <w:p w14:paraId="2E9142A0">
                  <w:pPr>
                    <w:jc w:val="center"/>
                    <w:rPr>
                      <w:bCs/>
                      <w:color w:val="auto"/>
                      <w:szCs w:val="21"/>
                    </w:rPr>
                  </w:pPr>
                  <w:r>
                    <w:rPr>
                      <w:bCs/>
                      <w:color w:val="auto"/>
                      <w:szCs w:val="21"/>
                    </w:rPr>
                    <w:t>主要污染因子</w:t>
                  </w:r>
                </w:p>
              </w:tc>
            </w:tr>
            <w:tr w14:paraId="3A1ACEB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tcBorders>
                    <w:tl2br w:val="nil"/>
                    <w:tr2bl w:val="nil"/>
                  </w:tcBorders>
                  <w:vAlign w:val="center"/>
                </w:tcPr>
                <w:p w14:paraId="7616832A">
                  <w:pPr>
                    <w:jc w:val="center"/>
                    <w:rPr>
                      <w:bCs/>
                      <w:color w:val="auto"/>
                      <w:szCs w:val="21"/>
                    </w:rPr>
                  </w:pPr>
                  <w:r>
                    <w:rPr>
                      <w:rFonts w:hint="eastAsia"/>
                      <w:bCs/>
                      <w:color w:val="auto"/>
                      <w:szCs w:val="21"/>
                    </w:rPr>
                    <w:t>废气</w:t>
                  </w:r>
                </w:p>
              </w:tc>
              <w:tc>
                <w:tcPr>
                  <w:tcW w:w="1068" w:type="pct"/>
                  <w:tcBorders>
                    <w:tl2br w:val="nil"/>
                    <w:tr2bl w:val="nil"/>
                  </w:tcBorders>
                  <w:vAlign w:val="center"/>
                </w:tcPr>
                <w:p w14:paraId="58B2DB6A">
                  <w:pPr>
                    <w:jc w:val="center"/>
                    <w:rPr>
                      <w:bCs/>
                      <w:color w:val="auto"/>
                      <w:szCs w:val="21"/>
                    </w:rPr>
                  </w:pPr>
                  <w:r>
                    <w:rPr>
                      <w:rFonts w:hint="eastAsia"/>
                      <w:bCs/>
                      <w:color w:val="auto"/>
                      <w:szCs w:val="21"/>
                    </w:rPr>
                    <w:t>研发废气</w:t>
                  </w:r>
                </w:p>
              </w:tc>
              <w:tc>
                <w:tcPr>
                  <w:tcW w:w="1490" w:type="pct"/>
                  <w:tcBorders>
                    <w:tl2br w:val="nil"/>
                    <w:tr2bl w:val="nil"/>
                  </w:tcBorders>
                  <w:vAlign w:val="center"/>
                </w:tcPr>
                <w:p w14:paraId="609866C5">
                  <w:pPr>
                    <w:jc w:val="center"/>
                    <w:rPr>
                      <w:bCs/>
                      <w:color w:val="auto"/>
                      <w:szCs w:val="21"/>
                    </w:rPr>
                  </w:pPr>
                  <w:r>
                    <w:rPr>
                      <w:rFonts w:hint="eastAsia"/>
                      <w:bCs/>
                      <w:color w:val="auto"/>
                      <w:szCs w:val="21"/>
                    </w:rPr>
                    <w:t>投料反应、后处理、</w:t>
                  </w:r>
                  <w:r>
                    <w:rPr>
                      <w:rFonts w:hint="eastAsia"/>
                      <w:bCs/>
                      <w:color w:val="auto"/>
                      <w:szCs w:val="21"/>
                      <w:lang w:val="en-US" w:eastAsia="zh-CN"/>
                    </w:rPr>
                    <w:t>溶剂</w:t>
                  </w:r>
                  <w:r>
                    <w:rPr>
                      <w:rFonts w:hint="eastAsia"/>
                      <w:bCs/>
                      <w:color w:val="auto"/>
                      <w:szCs w:val="21"/>
                    </w:rPr>
                    <w:t>旋干、</w:t>
                  </w:r>
                  <w:r>
                    <w:rPr>
                      <w:rFonts w:hint="eastAsia"/>
                      <w:bCs/>
                      <w:color w:val="auto"/>
                      <w:szCs w:val="21"/>
                      <w:lang w:val="en-US" w:eastAsia="zh-CN"/>
                    </w:rPr>
                    <w:t>冷凝</w:t>
                  </w:r>
                  <w:r>
                    <w:rPr>
                      <w:rFonts w:hint="eastAsia"/>
                      <w:bCs/>
                      <w:color w:val="auto"/>
                      <w:szCs w:val="21"/>
                    </w:rPr>
                    <w:t>提纯、检验</w:t>
                  </w:r>
                </w:p>
              </w:tc>
              <w:tc>
                <w:tcPr>
                  <w:tcW w:w="1900" w:type="pct"/>
                  <w:tcBorders>
                    <w:tl2br w:val="nil"/>
                    <w:tr2bl w:val="nil"/>
                  </w:tcBorders>
                  <w:vAlign w:val="center"/>
                </w:tcPr>
                <w:p w14:paraId="51AB77AB">
                  <w:pPr>
                    <w:jc w:val="center"/>
                    <w:rPr>
                      <w:rFonts w:hint="default" w:eastAsia="宋体"/>
                      <w:bCs/>
                      <w:color w:val="auto"/>
                      <w:szCs w:val="21"/>
                      <w:lang w:val="en-US" w:eastAsia="zh-CN"/>
                    </w:rPr>
                  </w:pPr>
                  <w:r>
                    <w:rPr>
                      <w:rFonts w:hint="eastAsia"/>
                      <w:bCs/>
                      <w:color w:val="auto"/>
                      <w:szCs w:val="21"/>
                    </w:rPr>
                    <w:t>非甲烷总烃</w:t>
                  </w:r>
                </w:p>
              </w:tc>
            </w:tr>
            <w:tr w14:paraId="03980CA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40" w:type="pct"/>
                  <w:vMerge w:val="restart"/>
                  <w:tcBorders>
                    <w:tl2br w:val="nil"/>
                    <w:tr2bl w:val="nil"/>
                  </w:tcBorders>
                  <w:vAlign w:val="center"/>
                </w:tcPr>
                <w:p w14:paraId="3179E68D">
                  <w:pPr>
                    <w:jc w:val="center"/>
                    <w:rPr>
                      <w:bCs/>
                      <w:color w:val="auto"/>
                      <w:szCs w:val="21"/>
                    </w:rPr>
                  </w:pPr>
                  <w:r>
                    <w:rPr>
                      <w:rFonts w:hint="eastAsia"/>
                      <w:bCs/>
                      <w:color w:val="auto"/>
                      <w:szCs w:val="21"/>
                    </w:rPr>
                    <w:t>废水</w:t>
                  </w:r>
                </w:p>
              </w:tc>
              <w:tc>
                <w:tcPr>
                  <w:tcW w:w="1068" w:type="pct"/>
                  <w:tcBorders>
                    <w:tl2br w:val="nil"/>
                    <w:tr2bl w:val="nil"/>
                  </w:tcBorders>
                  <w:vAlign w:val="center"/>
                </w:tcPr>
                <w:p w14:paraId="2C8E8A69">
                  <w:pPr>
                    <w:jc w:val="center"/>
                    <w:rPr>
                      <w:bCs/>
                      <w:color w:val="auto"/>
                      <w:szCs w:val="21"/>
                    </w:rPr>
                  </w:pPr>
                  <w:r>
                    <w:rPr>
                      <w:bCs/>
                      <w:color w:val="auto"/>
                      <w:szCs w:val="21"/>
                    </w:rPr>
                    <w:t>设备及仪器清洗用水</w:t>
                  </w:r>
                  <w:r>
                    <w:rPr>
                      <w:rFonts w:hint="eastAsia"/>
                      <w:bCs/>
                      <w:color w:val="auto"/>
                      <w:szCs w:val="21"/>
                    </w:rPr>
                    <w:t>、</w:t>
                  </w:r>
                  <w:r>
                    <w:rPr>
                      <w:bCs/>
                      <w:color w:val="auto"/>
                      <w:szCs w:val="21"/>
                    </w:rPr>
                    <w:t>实验平台及车间清洁用水</w:t>
                  </w:r>
                </w:p>
              </w:tc>
              <w:tc>
                <w:tcPr>
                  <w:tcW w:w="1490" w:type="pct"/>
                  <w:tcBorders>
                    <w:tl2br w:val="nil"/>
                    <w:tr2bl w:val="nil"/>
                  </w:tcBorders>
                  <w:vAlign w:val="center"/>
                </w:tcPr>
                <w:p w14:paraId="7360BA27">
                  <w:pPr>
                    <w:jc w:val="center"/>
                    <w:rPr>
                      <w:bCs/>
                      <w:color w:val="auto"/>
                      <w:szCs w:val="21"/>
                    </w:rPr>
                  </w:pPr>
                  <w:r>
                    <w:rPr>
                      <w:rFonts w:hint="eastAsia"/>
                      <w:bCs/>
                      <w:color w:val="auto"/>
                      <w:szCs w:val="21"/>
                    </w:rPr>
                    <w:t>清洗</w:t>
                  </w:r>
                </w:p>
              </w:tc>
              <w:tc>
                <w:tcPr>
                  <w:tcW w:w="1900" w:type="pct"/>
                  <w:tcBorders>
                    <w:tl2br w:val="nil"/>
                    <w:tr2bl w:val="nil"/>
                  </w:tcBorders>
                  <w:vAlign w:val="center"/>
                </w:tcPr>
                <w:p w14:paraId="60D26C77">
                  <w:pPr>
                    <w:jc w:val="center"/>
                    <w:rPr>
                      <w:rFonts w:hint="eastAsia" w:eastAsia="宋体"/>
                      <w:bCs/>
                      <w:color w:val="auto"/>
                      <w:szCs w:val="21"/>
                      <w:lang w:eastAsia="zh-CN"/>
                    </w:rPr>
                  </w:pPr>
                  <w:r>
                    <w:rPr>
                      <w:rFonts w:hint="eastAsia"/>
                      <w:color w:val="auto"/>
                    </w:rPr>
                    <w:t>pH、</w:t>
                  </w:r>
                  <w:r>
                    <w:rPr>
                      <w:rFonts w:hint="eastAsia"/>
                      <w:bCs/>
                      <w:color w:val="auto"/>
                      <w:szCs w:val="21"/>
                    </w:rPr>
                    <w:t>COD、BOD</w:t>
                  </w:r>
                  <w:r>
                    <w:rPr>
                      <w:rFonts w:hint="eastAsia"/>
                      <w:bCs/>
                      <w:color w:val="auto"/>
                      <w:szCs w:val="21"/>
                      <w:vertAlign w:val="subscript"/>
                    </w:rPr>
                    <w:t>5</w:t>
                  </w:r>
                  <w:r>
                    <w:rPr>
                      <w:rFonts w:hint="eastAsia"/>
                      <w:bCs/>
                      <w:color w:val="auto"/>
                      <w:szCs w:val="21"/>
                    </w:rPr>
                    <w:t>、SS、NH</w:t>
                  </w:r>
                  <w:r>
                    <w:rPr>
                      <w:rFonts w:hint="eastAsia"/>
                      <w:bCs/>
                      <w:color w:val="auto"/>
                      <w:szCs w:val="21"/>
                      <w:vertAlign w:val="subscript"/>
                    </w:rPr>
                    <w:t>3</w:t>
                  </w:r>
                  <w:r>
                    <w:rPr>
                      <w:rFonts w:hint="eastAsia"/>
                      <w:bCs/>
                      <w:color w:val="auto"/>
                      <w:szCs w:val="21"/>
                    </w:rPr>
                    <w:t>-N</w:t>
                  </w:r>
                  <w:r>
                    <w:rPr>
                      <w:rFonts w:hint="eastAsia"/>
                      <w:bCs/>
                      <w:color w:val="auto"/>
                      <w:szCs w:val="21"/>
                      <w:lang w:val="en-US" w:eastAsia="zh-CN"/>
                    </w:rPr>
                    <w:t>等</w:t>
                  </w:r>
                </w:p>
              </w:tc>
            </w:tr>
            <w:tr w14:paraId="3B194CA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40" w:type="pct"/>
                  <w:vMerge w:val="continue"/>
                  <w:tcBorders>
                    <w:tl2br w:val="nil"/>
                    <w:tr2bl w:val="nil"/>
                  </w:tcBorders>
                  <w:vAlign w:val="center"/>
                </w:tcPr>
                <w:p w14:paraId="7B29A945">
                  <w:pPr>
                    <w:jc w:val="center"/>
                    <w:rPr>
                      <w:color w:val="auto"/>
                    </w:rPr>
                  </w:pPr>
                </w:p>
              </w:tc>
              <w:tc>
                <w:tcPr>
                  <w:tcW w:w="1068" w:type="pct"/>
                  <w:tcBorders>
                    <w:tl2br w:val="nil"/>
                    <w:tr2bl w:val="nil"/>
                  </w:tcBorders>
                  <w:vAlign w:val="center"/>
                </w:tcPr>
                <w:p w14:paraId="084FB707">
                  <w:pPr>
                    <w:jc w:val="center"/>
                    <w:rPr>
                      <w:bCs/>
                      <w:color w:val="auto"/>
                      <w:szCs w:val="21"/>
                    </w:rPr>
                  </w:pPr>
                  <w:r>
                    <w:rPr>
                      <w:rFonts w:hint="eastAsia"/>
                      <w:bCs/>
                      <w:color w:val="auto"/>
                      <w:szCs w:val="21"/>
                    </w:rPr>
                    <w:t>生活污水</w:t>
                  </w:r>
                </w:p>
              </w:tc>
              <w:tc>
                <w:tcPr>
                  <w:tcW w:w="1490" w:type="pct"/>
                  <w:tcBorders>
                    <w:tl2br w:val="nil"/>
                    <w:tr2bl w:val="nil"/>
                  </w:tcBorders>
                  <w:vAlign w:val="center"/>
                </w:tcPr>
                <w:p w14:paraId="752D3DDD">
                  <w:pPr>
                    <w:jc w:val="center"/>
                    <w:rPr>
                      <w:bCs/>
                      <w:color w:val="auto"/>
                      <w:szCs w:val="21"/>
                    </w:rPr>
                  </w:pPr>
                  <w:r>
                    <w:rPr>
                      <w:rFonts w:hint="eastAsia"/>
                      <w:bCs/>
                      <w:color w:val="auto"/>
                      <w:szCs w:val="21"/>
                    </w:rPr>
                    <w:t>员工日常生活</w:t>
                  </w:r>
                </w:p>
              </w:tc>
              <w:tc>
                <w:tcPr>
                  <w:tcW w:w="1900" w:type="pct"/>
                  <w:tcBorders>
                    <w:tl2br w:val="nil"/>
                    <w:tr2bl w:val="nil"/>
                  </w:tcBorders>
                  <w:vAlign w:val="center"/>
                </w:tcPr>
                <w:p w14:paraId="63AB3B92">
                  <w:pPr>
                    <w:jc w:val="center"/>
                    <w:rPr>
                      <w:bCs/>
                      <w:color w:val="auto"/>
                      <w:szCs w:val="21"/>
                    </w:rPr>
                  </w:pPr>
                  <w:r>
                    <w:rPr>
                      <w:rFonts w:hint="eastAsia"/>
                      <w:color w:val="auto"/>
                    </w:rPr>
                    <w:t>pH、</w:t>
                  </w:r>
                  <w:r>
                    <w:rPr>
                      <w:rFonts w:hint="eastAsia"/>
                      <w:bCs/>
                      <w:color w:val="auto"/>
                      <w:szCs w:val="21"/>
                    </w:rPr>
                    <w:t>COD、BOD</w:t>
                  </w:r>
                  <w:r>
                    <w:rPr>
                      <w:rFonts w:hint="eastAsia"/>
                      <w:bCs/>
                      <w:color w:val="auto"/>
                      <w:szCs w:val="21"/>
                      <w:vertAlign w:val="subscript"/>
                    </w:rPr>
                    <w:t>5</w:t>
                  </w:r>
                  <w:r>
                    <w:rPr>
                      <w:rFonts w:hint="eastAsia"/>
                      <w:bCs/>
                      <w:color w:val="auto"/>
                      <w:szCs w:val="21"/>
                    </w:rPr>
                    <w:t>、SS、NH</w:t>
                  </w:r>
                  <w:r>
                    <w:rPr>
                      <w:rFonts w:hint="eastAsia"/>
                      <w:bCs/>
                      <w:color w:val="auto"/>
                      <w:szCs w:val="21"/>
                      <w:vertAlign w:val="subscript"/>
                    </w:rPr>
                    <w:t>3</w:t>
                  </w:r>
                  <w:r>
                    <w:rPr>
                      <w:rFonts w:hint="eastAsia"/>
                      <w:bCs/>
                      <w:color w:val="auto"/>
                      <w:szCs w:val="21"/>
                    </w:rPr>
                    <w:t>-N</w:t>
                  </w:r>
                  <w:r>
                    <w:rPr>
                      <w:rFonts w:hint="eastAsia"/>
                      <w:bCs/>
                      <w:color w:val="auto"/>
                      <w:szCs w:val="21"/>
                      <w:lang w:val="en-US" w:eastAsia="zh-CN"/>
                    </w:rPr>
                    <w:t>等</w:t>
                  </w:r>
                </w:p>
              </w:tc>
            </w:tr>
            <w:tr w14:paraId="5FB03AE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tcBorders>
                    <w:tl2br w:val="nil"/>
                    <w:tr2bl w:val="nil"/>
                  </w:tcBorders>
                  <w:vAlign w:val="center"/>
                </w:tcPr>
                <w:p w14:paraId="549E3267">
                  <w:pPr>
                    <w:jc w:val="center"/>
                    <w:rPr>
                      <w:bCs/>
                      <w:color w:val="auto"/>
                      <w:szCs w:val="21"/>
                    </w:rPr>
                  </w:pPr>
                  <w:r>
                    <w:rPr>
                      <w:rFonts w:hint="eastAsia"/>
                      <w:bCs/>
                      <w:color w:val="auto"/>
                      <w:szCs w:val="21"/>
                    </w:rPr>
                    <w:t>噪声</w:t>
                  </w:r>
                </w:p>
              </w:tc>
              <w:tc>
                <w:tcPr>
                  <w:tcW w:w="1068" w:type="pct"/>
                  <w:tcBorders>
                    <w:tl2br w:val="nil"/>
                    <w:tr2bl w:val="nil"/>
                  </w:tcBorders>
                  <w:vAlign w:val="center"/>
                </w:tcPr>
                <w:p w14:paraId="540078CD">
                  <w:pPr>
                    <w:jc w:val="center"/>
                    <w:rPr>
                      <w:bCs/>
                      <w:color w:val="auto"/>
                      <w:szCs w:val="21"/>
                    </w:rPr>
                  </w:pPr>
                  <w:r>
                    <w:rPr>
                      <w:rFonts w:hint="eastAsia"/>
                      <w:bCs/>
                      <w:color w:val="auto"/>
                      <w:szCs w:val="21"/>
                    </w:rPr>
                    <w:t>设备运行噪声</w:t>
                  </w:r>
                </w:p>
              </w:tc>
              <w:tc>
                <w:tcPr>
                  <w:tcW w:w="1490" w:type="pct"/>
                  <w:tcBorders>
                    <w:tl2br w:val="nil"/>
                    <w:tr2bl w:val="nil"/>
                  </w:tcBorders>
                  <w:vAlign w:val="center"/>
                </w:tcPr>
                <w:p w14:paraId="31273314">
                  <w:pPr>
                    <w:jc w:val="center"/>
                    <w:rPr>
                      <w:bCs/>
                      <w:color w:val="auto"/>
                      <w:szCs w:val="21"/>
                    </w:rPr>
                  </w:pPr>
                  <w:r>
                    <w:rPr>
                      <w:rFonts w:hint="eastAsia"/>
                      <w:bCs/>
                      <w:color w:val="auto"/>
                      <w:szCs w:val="21"/>
                    </w:rPr>
                    <w:t>投料反应、后处理、</w:t>
                  </w:r>
                  <w:r>
                    <w:rPr>
                      <w:rFonts w:hint="eastAsia"/>
                      <w:bCs/>
                      <w:color w:val="auto"/>
                      <w:szCs w:val="21"/>
                      <w:lang w:val="en-US" w:eastAsia="zh-CN"/>
                    </w:rPr>
                    <w:t>溶剂</w:t>
                  </w:r>
                  <w:r>
                    <w:rPr>
                      <w:rFonts w:hint="eastAsia"/>
                      <w:bCs/>
                      <w:color w:val="auto"/>
                      <w:szCs w:val="21"/>
                    </w:rPr>
                    <w:t>旋干、</w:t>
                  </w:r>
                  <w:r>
                    <w:rPr>
                      <w:rFonts w:hint="eastAsia"/>
                      <w:bCs/>
                      <w:color w:val="auto"/>
                      <w:szCs w:val="21"/>
                      <w:lang w:val="en-US" w:eastAsia="zh-CN"/>
                    </w:rPr>
                    <w:t>冷凝</w:t>
                  </w:r>
                  <w:r>
                    <w:rPr>
                      <w:rFonts w:hint="eastAsia"/>
                      <w:bCs/>
                      <w:color w:val="auto"/>
                      <w:szCs w:val="21"/>
                    </w:rPr>
                    <w:t>提纯、检验、废气处理</w:t>
                  </w:r>
                </w:p>
              </w:tc>
              <w:tc>
                <w:tcPr>
                  <w:tcW w:w="1900" w:type="pct"/>
                  <w:tcBorders>
                    <w:tl2br w:val="nil"/>
                    <w:tr2bl w:val="nil"/>
                  </w:tcBorders>
                  <w:vAlign w:val="center"/>
                </w:tcPr>
                <w:p w14:paraId="47DF619A">
                  <w:pPr>
                    <w:jc w:val="center"/>
                    <w:rPr>
                      <w:bCs/>
                      <w:color w:val="auto"/>
                      <w:szCs w:val="21"/>
                    </w:rPr>
                  </w:pPr>
                  <w:r>
                    <w:rPr>
                      <w:rFonts w:hint="eastAsia"/>
                      <w:bCs/>
                      <w:color w:val="auto"/>
                      <w:szCs w:val="21"/>
                    </w:rPr>
                    <w:t>噪声</w:t>
                  </w:r>
                </w:p>
              </w:tc>
            </w:tr>
            <w:tr w14:paraId="3E623DD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vMerge w:val="restart"/>
                  <w:tcBorders>
                    <w:tl2br w:val="nil"/>
                    <w:tr2bl w:val="nil"/>
                  </w:tcBorders>
                  <w:vAlign w:val="center"/>
                </w:tcPr>
                <w:p w14:paraId="06D036E4">
                  <w:pPr>
                    <w:jc w:val="center"/>
                    <w:rPr>
                      <w:bCs/>
                      <w:color w:val="auto"/>
                      <w:szCs w:val="21"/>
                    </w:rPr>
                  </w:pPr>
                  <w:r>
                    <w:rPr>
                      <w:bCs/>
                      <w:color w:val="auto"/>
                      <w:szCs w:val="21"/>
                    </w:rPr>
                    <w:t>固废</w:t>
                  </w:r>
                </w:p>
              </w:tc>
              <w:tc>
                <w:tcPr>
                  <w:tcW w:w="1068" w:type="pct"/>
                  <w:tcBorders>
                    <w:tl2br w:val="nil"/>
                    <w:tr2bl w:val="nil"/>
                  </w:tcBorders>
                  <w:vAlign w:val="center"/>
                </w:tcPr>
                <w:p w14:paraId="7CD6782E">
                  <w:pPr>
                    <w:jc w:val="center"/>
                    <w:rPr>
                      <w:bCs/>
                      <w:color w:val="auto"/>
                      <w:szCs w:val="21"/>
                    </w:rPr>
                  </w:pPr>
                  <w:r>
                    <w:rPr>
                      <w:rFonts w:hint="eastAsia"/>
                      <w:bCs/>
                      <w:color w:val="auto"/>
                      <w:szCs w:val="21"/>
                    </w:rPr>
                    <w:t>一般固体废物</w:t>
                  </w:r>
                </w:p>
              </w:tc>
              <w:tc>
                <w:tcPr>
                  <w:tcW w:w="1490" w:type="pct"/>
                  <w:tcBorders>
                    <w:tl2br w:val="nil"/>
                    <w:tr2bl w:val="nil"/>
                  </w:tcBorders>
                  <w:vAlign w:val="center"/>
                </w:tcPr>
                <w:p w14:paraId="4ACD751F">
                  <w:pPr>
                    <w:jc w:val="center"/>
                    <w:rPr>
                      <w:bCs/>
                      <w:color w:val="auto"/>
                      <w:szCs w:val="21"/>
                    </w:rPr>
                  </w:pPr>
                  <w:r>
                    <w:rPr>
                      <w:rFonts w:hint="eastAsia"/>
                      <w:bCs/>
                      <w:color w:val="auto"/>
                      <w:szCs w:val="21"/>
                    </w:rPr>
                    <w:t>入库</w:t>
                  </w:r>
                </w:p>
              </w:tc>
              <w:tc>
                <w:tcPr>
                  <w:tcW w:w="1900" w:type="pct"/>
                  <w:tcBorders>
                    <w:tl2br w:val="nil"/>
                    <w:tr2bl w:val="nil"/>
                  </w:tcBorders>
                  <w:vAlign w:val="center"/>
                </w:tcPr>
                <w:p w14:paraId="4712FC34">
                  <w:pPr>
                    <w:jc w:val="center"/>
                    <w:rPr>
                      <w:bCs/>
                      <w:color w:val="auto"/>
                      <w:szCs w:val="21"/>
                    </w:rPr>
                  </w:pPr>
                  <w:r>
                    <w:rPr>
                      <w:rFonts w:hint="eastAsia"/>
                      <w:bCs/>
                      <w:color w:val="auto"/>
                      <w:szCs w:val="21"/>
                    </w:rPr>
                    <w:t>废包装材料S7</w:t>
                  </w:r>
                </w:p>
              </w:tc>
            </w:tr>
            <w:tr w14:paraId="520E22E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vMerge w:val="continue"/>
                  <w:tcBorders>
                    <w:tl2br w:val="nil"/>
                    <w:tr2bl w:val="nil"/>
                  </w:tcBorders>
                  <w:vAlign w:val="center"/>
                </w:tcPr>
                <w:p w14:paraId="59EB50F9">
                  <w:pPr>
                    <w:jc w:val="center"/>
                    <w:rPr>
                      <w:bCs/>
                      <w:color w:val="auto"/>
                      <w:szCs w:val="21"/>
                    </w:rPr>
                  </w:pPr>
                </w:p>
              </w:tc>
              <w:tc>
                <w:tcPr>
                  <w:tcW w:w="1068" w:type="pct"/>
                  <w:vMerge w:val="restart"/>
                  <w:tcBorders>
                    <w:tl2br w:val="nil"/>
                    <w:tr2bl w:val="nil"/>
                  </w:tcBorders>
                  <w:vAlign w:val="center"/>
                </w:tcPr>
                <w:p w14:paraId="338E4191">
                  <w:pPr>
                    <w:jc w:val="center"/>
                    <w:rPr>
                      <w:bCs/>
                      <w:color w:val="auto"/>
                      <w:szCs w:val="21"/>
                    </w:rPr>
                  </w:pPr>
                  <w:r>
                    <w:rPr>
                      <w:rFonts w:hint="eastAsia"/>
                      <w:bCs/>
                      <w:color w:val="auto"/>
                      <w:szCs w:val="21"/>
                    </w:rPr>
                    <w:t>危险废物</w:t>
                  </w:r>
                </w:p>
              </w:tc>
              <w:tc>
                <w:tcPr>
                  <w:tcW w:w="1490" w:type="pct"/>
                  <w:tcBorders>
                    <w:tl2br w:val="nil"/>
                    <w:tr2bl w:val="nil"/>
                  </w:tcBorders>
                  <w:vAlign w:val="center"/>
                </w:tcPr>
                <w:p w14:paraId="73761ABC">
                  <w:pPr>
                    <w:jc w:val="center"/>
                    <w:rPr>
                      <w:bCs/>
                      <w:color w:val="auto"/>
                      <w:szCs w:val="21"/>
                    </w:rPr>
                  </w:pPr>
                  <w:r>
                    <w:rPr>
                      <w:rFonts w:hint="eastAsia"/>
                      <w:bCs/>
                      <w:color w:val="auto"/>
                      <w:szCs w:val="21"/>
                    </w:rPr>
                    <w:t>入库、投料、后处理、提纯、检验</w:t>
                  </w:r>
                </w:p>
              </w:tc>
              <w:tc>
                <w:tcPr>
                  <w:tcW w:w="1900" w:type="pct"/>
                  <w:tcBorders>
                    <w:tl2br w:val="nil"/>
                    <w:tr2bl w:val="nil"/>
                  </w:tcBorders>
                  <w:vAlign w:val="center"/>
                </w:tcPr>
                <w:p w14:paraId="14EC8DF1">
                  <w:pPr>
                    <w:jc w:val="center"/>
                    <w:rPr>
                      <w:bCs/>
                      <w:color w:val="auto"/>
                      <w:szCs w:val="21"/>
                    </w:rPr>
                  </w:pPr>
                  <w:r>
                    <w:rPr>
                      <w:rFonts w:hint="eastAsia"/>
                      <w:bCs/>
                      <w:color w:val="auto"/>
                      <w:szCs w:val="21"/>
                    </w:rPr>
                    <w:t>废试剂瓶及玻璃器皿S1、实验室废液S2、初洗废水S3、固态实验废物S4、废手套及抹布S5</w:t>
                  </w:r>
                </w:p>
              </w:tc>
            </w:tr>
            <w:tr w14:paraId="2019266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pct"/>
                  <w:vMerge w:val="continue"/>
                  <w:tcBorders>
                    <w:tl2br w:val="nil"/>
                    <w:tr2bl w:val="nil"/>
                  </w:tcBorders>
                  <w:vAlign w:val="center"/>
                </w:tcPr>
                <w:p w14:paraId="035DD548">
                  <w:pPr>
                    <w:jc w:val="center"/>
                    <w:rPr>
                      <w:bCs/>
                      <w:color w:val="auto"/>
                      <w:szCs w:val="21"/>
                    </w:rPr>
                  </w:pPr>
                </w:p>
              </w:tc>
              <w:tc>
                <w:tcPr>
                  <w:tcW w:w="1068" w:type="pct"/>
                  <w:vMerge w:val="continue"/>
                  <w:tcBorders>
                    <w:tl2br w:val="nil"/>
                    <w:tr2bl w:val="nil"/>
                  </w:tcBorders>
                  <w:vAlign w:val="center"/>
                </w:tcPr>
                <w:p w14:paraId="41CBEB12">
                  <w:pPr>
                    <w:jc w:val="center"/>
                    <w:rPr>
                      <w:bCs/>
                      <w:color w:val="auto"/>
                      <w:szCs w:val="21"/>
                    </w:rPr>
                  </w:pPr>
                </w:p>
              </w:tc>
              <w:tc>
                <w:tcPr>
                  <w:tcW w:w="1490" w:type="pct"/>
                  <w:tcBorders>
                    <w:tl2br w:val="nil"/>
                    <w:tr2bl w:val="nil"/>
                  </w:tcBorders>
                  <w:vAlign w:val="center"/>
                </w:tcPr>
                <w:p w14:paraId="4705E90E">
                  <w:pPr>
                    <w:jc w:val="center"/>
                    <w:rPr>
                      <w:bCs/>
                      <w:color w:val="auto"/>
                      <w:szCs w:val="21"/>
                    </w:rPr>
                  </w:pPr>
                  <w:r>
                    <w:rPr>
                      <w:rFonts w:hint="eastAsia"/>
                      <w:bCs/>
                      <w:color w:val="auto"/>
                      <w:szCs w:val="21"/>
                    </w:rPr>
                    <w:t>废气处理</w:t>
                  </w:r>
                </w:p>
              </w:tc>
              <w:tc>
                <w:tcPr>
                  <w:tcW w:w="1900" w:type="pct"/>
                  <w:tcBorders>
                    <w:tl2br w:val="nil"/>
                    <w:tr2bl w:val="nil"/>
                  </w:tcBorders>
                  <w:vAlign w:val="center"/>
                </w:tcPr>
                <w:p w14:paraId="48CA9DEB">
                  <w:pPr>
                    <w:jc w:val="center"/>
                    <w:rPr>
                      <w:bCs/>
                      <w:color w:val="auto"/>
                      <w:szCs w:val="21"/>
                    </w:rPr>
                  </w:pPr>
                  <w:r>
                    <w:rPr>
                      <w:rFonts w:hint="eastAsia"/>
                      <w:bCs/>
                      <w:color w:val="auto"/>
                      <w:szCs w:val="21"/>
                    </w:rPr>
                    <w:t>废活性炭S6</w:t>
                  </w:r>
                </w:p>
              </w:tc>
            </w:tr>
            <w:tr w14:paraId="23A97AC0">
              <w:tblPrEx>
                <w:tblCellMar>
                  <w:top w:w="0" w:type="dxa"/>
                  <w:left w:w="108" w:type="dxa"/>
                  <w:bottom w:w="0" w:type="dxa"/>
                  <w:right w:w="108" w:type="dxa"/>
                </w:tblCellMar>
              </w:tblPrEx>
              <w:trPr>
                <w:jc w:val="center"/>
              </w:trPr>
              <w:tc>
                <w:tcPr>
                  <w:tcW w:w="540" w:type="pct"/>
                  <w:vMerge w:val="continue"/>
                  <w:tcBorders>
                    <w:tl2br w:val="nil"/>
                    <w:tr2bl w:val="nil"/>
                  </w:tcBorders>
                  <w:vAlign w:val="center"/>
                </w:tcPr>
                <w:p w14:paraId="7FE3E635">
                  <w:pPr>
                    <w:jc w:val="center"/>
                    <w:rPr>
                      <w:bCs/>
                      <w:color w:val="auto"/>
                      <w:szCs w:val="21"/>
                    </w:rPr>
                  </w:pPr>
                </w:p>
              </w:tc>
              <w:tc>
                <w:tcPr>
                  <w:tcW w:w="1068" w:type="pct"/>
                  <w:tcBorders>
                    <w:tl2br w:val="nil"/>
                    <w:tr2bl w:val="nil"/>
                  </w:tcBorders>
                  <w:vAlign w:val="center"/>
                </w:tcPr>
                <w:p w14:paraId="65036B73">
                  <w:pPr>
                    <w:jc w:val="center"/>
                    <w:rPr>
                      <w:bCs/>
                      <w:color w:val="auto"/>
                      <w:szCs w:val="21"/>
                    </w:rPr>
                  </w:pPr>
                  <w:r>
                    <w:rPr>
                      <w:rFonts w:hint="eastAsia"/>
                      <w:bCs/>
                      <w:color w:val="auto"/>
                      <w:szCs w:val="21"/>
                    </w:rPr>
                    <w:t>生活垃圾</w:t>
                  </w:r>
                </w:p>
              </w:tc>
              <w:tc>
                <w:tcPr>
                  <w:tcW w:w="1490" w:type="pct"/>
                  <w:tcBorders>
                    <w:tl2br w:val="nil"/>
                    <w:tr2bl w:val="nil"/>
                  </w:tcBorders>
                  <w:vAlign w:val="center"/>
                </w:tcPr>
                <w:p w14:paraId="4F3DFFB5">
                  <w:pPr>
                    <w:jc w:val="center"/>
                    <w:rPr>
                      <w:bCs/>
                      <w:color w:val="auto"/>
                      <w:szCs w:val="21"/>
                    </w:rPr>
                  </w:pPr>
                  <w:r>
                    <w:rPr>
                      <w:rFonts w:hint="eastAsia"/>
                      <w:bCs/>
                      <w:color w:val="auto"/>
                      <w:szCs w:val="21"/>
                    </w:rPr>
                    <w:t>办公生活</w:t>
                  </w:r>
                </w:p>
              </w:tc>
              <w:tc>
                <w:tcPr>
                  <w:tcW w:w="1900" w:type="pct"/>
                  <w:tcBorders>
                    <w:tl2br w:val="nil"/>
                    <w:tr2bl w:val="nil"/>
                  </w:tcBorders>
                  <w:vAlign w:val="center"/>
                </w:tcPr>
                <w:p w14:paraId="18878FEF">
                  <w:pPr>
                    <w:jc w:val="center"/>
                    <w:rPr>
                      <w:bCs/>
                      <w:color w:val="auto"/>
                      <w:szCs w:val="21"/>
                    </w:rPr>
                  </w:pPr>
                  <w:r>
                    <w:rPr>
                      <w:rFonts w:hint="eastAsia"/>
                      <w:bCs/>
                      <w:color w:val="auto"/>
                      <w:szCs w:val="21"/>
                    </w:rPr>
                    <w:t>生活垃圾</w:t>
                  </w:r>
                </w:p>
              </w:tc>
            </w:tr>
          </w:tbl>
          <w:p w14:paraId="37D6D0B2">
            <w:pPr>
              <w:ind w:firstLine="420" w:firstLineChars="200"/>
              <w:rPr>
                <w:color w:val="auto"/>
              </w:rPr>
            </w:pPr>
          </w:p>
          <w:p w14:paraId="4711184D">
            <w:pPr>
              <w:pStyle w:val="3"/>
              <w:rPr>
                <w:color w:val="auto"/>
              </w:rPr>
            </w:pPr>
          </w:p>
        </w:tc>
      </w:tr>
      <w:tr w14:paraId="213F0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14:paraId="65B56288">
            <w:pPr>
              <w:widowControl/>
              <w:adjustRightInd w:val="0"/>
              <w:snapToGrid w:val="0"/>
              <w:jc w:val="center"/>
              <w:rPr>
                <w:color w:val="auto"/>
                <w:kern w:val="0"/>
                <w:szCs w:val="21"/>
              </w:rPr>
            </w:pPr>
            <w:r>
              <w:rPr>
                <w:bCs/>
                <w:color w:val="auto"/>
                <w:sz w:val="24"/>
              </w:rPr>
              <w:t>与项目有关的原有环境污染问题</w:t>
            </w:r>
          </w:p>
        </w:tc>
        <w:tc>
          <w:tcPr>
            <w:tcW w:w="8587" w:type="dxa"/>
            <w:vAlign w:val="center"/>
          </w:tcPr>
          <w:p w14:paraId="0BFD14B2">
            <w:pPr>
              <w:pStyle w:val="17"/>
              <w:spacing w:after="0" w:line="360" w:lineRule="auto"/>
              <w:ind w:firstLineChars="200"/>
              <w:rPr>
                <w:rFonts w:hint="eastAsia"/>
                <w:color w:val="auto"/>
                <w:kern w:val="0"/>
                <w:sz w:val="24"/>
                <w:szCs w:val="22"/>
              </w:rPr>
            </w:pPr>
            <w:r>
              <w:rPr>
                <w:rFonts w:hint="eastAsia"/>
                <w:color w:val="auto"/>
                <w:kern w:val="0"/>
                <w:sz w:val="24"/>
                <w:szCs w:val="22"/>
              </w:rPr>
              <w:t>本项目租赁</w:t>
            </w:r>
            <w:r>
              <w:rPr>
                <w:rFonts w:ascii="宋体" w:hAnsi="宋体" w:cs="宋体"/>
                <w:color w:val="auto"/>
                <w:spacing w:val="-1"/>
                <w:sz w:val="24"/>
              </w:rPr>
              <w:t>中华全国供销合作总社西安生漆涂料研究所</w:t>
            </w:r>
            <w:r>
              <w:rPr>
                <w:color w:val="auto"/>
                <w:spacing w:val="-1"/>
                <w:sz w:val="24"/>
              </w:rPr>
              <w:t>五号楼</w:t>
            </w:r>
            <w:r>
              <w:rPr>
                <w:rFonts w:hint="eastAsia"/>
                <w:color w:val="auto"/>
                <w:spacing w:val="-1"/>
                <w:sz w:val="24"/>
                <w:lang w:val="en-US" w:eastAsia="zh-CN"/>
              </w:rPr>
              <w:t>三层及四层</w:t>
            </w:r>
            <w:r>
              <w:rPr>
                <w:rFonts w:hint="eastAsia"/>
                <w:color w:val="auto"/>
                <w:kern w:val="0"/>
                <w:sz w:val="24"/>
                <w:szCs w:val="22"/>
              </w:rPr>
              <w:t>，</w:t>
            </w:r>
            <w:r>
              <w:rPr>
                <w:rFonts w:ascii="宋体" w:hAnsi="宋体" w:cs="宋体"/>
                <w:color w:val="auto"/>
                <w:spacing w:val="-1"/>
                <w:sz w:val="24"/>
              </w:rPr>
              <w:t>中华全国供销合作总社西安生</w:t>
            </w:r>
            <w:r>
              <w:rPr>
                <w:color w:val="auto"/>
                <w:spacing w:val="-1"/>
                <w:sz w:val="24"/>
              </w:rPr>
              <w:t>漆涂料研究所于2022年5月9日取得陕西省西咸新区政务服务（沣西）中心《关于生漆综合利用研究与新材料中试示范基地建设项目环境影响报告表的批复》（沣</w:t>
            </w:r>
            <w:r>
              <w:rPr>
                <w:rFonts w:hint="eastAsia" w:ascii="宋体" w:hAnsi="宋体" w:cs="宋体"/>
                <w:color w:val="auto"/>
                <w:spacing w:val="-1"/>
                <w:sz w:val="24"/>
              </w:rPr>
              <w:t>西审服</w:t>
            </w:r>
            <w:r>
              <w:rPr>
                <w:color w:val="auto"/>
                <w:spacing w:val="-1"/>
                <w:sz w:val="24"/>
              </w:rPr>
              <w:t>准</w:t>
            </w:r>
            <w:r>
              <w:rPr>
                <w:color w:val="auto"/>
                <w:kern w:val="0"/>
                <w:sz w:val="24"/>
                <w:szCs w:val="22"/>
              </w:rPr>
              <w:t>〔2022〕72号</w:t>
            </w:r>
            <w:r>
              <w:rPr>
                <w:color w:val="auto"/>
                <w:spacing w:val="-1"/>
                <w:sz w:val="24"/>
              </w:rPr>
              <w:t>），环评批复见附件</w:t>
            </w:r>
            <w:r>
              <w:rPr>
                <w:rFonts w:hint="eastAsia"/>
                <w:color w:val="auto"/>
                <w:spacing w:val="-1"/>
                <w:sz w:val="24"/>
              </w:rPr>
              <w:t>2</w:t>
            </w:r>
            <w:r>
              <w:rPr>
                <w:color w:val="auto"/>
                <w:spacing w:val="-1"/>
                <w:sz w:val="24"/>
              </w:rPr>
              <w:t>，该项目为中华全国供销合作总社西安生漆涂料研究所建设的三期工程</w:t>
            </w:r>
            <w:r>
              <w:rPr>
                <w:rFonts w:hint="eastAsia"/>
                <w:color w:val="auto"/>
                <w:spacing w:val="-1"/>
                <w:sz w:val="24"/>
              </w:rPr>
              <w:t>，建设</w:t>
            </w:r>
            <w:r>
              <w:rPr>
                <w:color w:val="auto"/>
                <w:spacing w:val="-1"/>
                <w:sz w:val="24"/>
              </w:rPr>
              <w:t>5#楼一栋</w:t>
            </w:r>
            <w:r>
              <w:rPr>
                <w:rFonts w:hint="eastAsia"/>
                <w:color w:val="auto"/>
                <w:spacing w:val="-1"/>
                <w:sz w:val="24"/>
              </w:rPr>
              <w:t>（</w:t>
            </w:r>
            <w:r>
              <w:rPr>
                <w:color w:val="auto"/>
                <w:spacing w:val="-1"/>
                <w:sz w:val="24"/>
              </w:rPr>
              <w:t>地上4层，地下车库1层</w:t>
            </w:r>
            <w:r>
              <w:rPr>
                <w:rFonts w:hint="eastAsia"/>
                <w:color w:val="auto"/>
                <w:spacing w:val="-1"/>
                <w:sz w:val="24"/>
              </w:rPr>
              <w:t>），</w:t>
            </w:r>
            <w:r>
              <w:rPr>
                <w:rFonts w:hint="eastAsia" w:ascii="宋体" w:hAnsi="宋体" w:cs="宋体"/>
                <w:color w:val="auto"/>
                <w:spacing w:val="-2"/>
                <w:sz w:val="24"/>
              </w:rPr>
              <w:t>内设“</w:t>
            </w:r>
            <w:r>
              <w:rPr>
                <w:color w:val="auto"/>
                <w:spacing w:val="-2"/>
                <w:sz w:val="24"/>
              </w:rPr>
              <w:t>6条中</w:t>
            </w:r>
            <w:r>
              <w:rPr>
                <w:rFonts w:ascii="宋体" w:hAnsi="宋体" w:cs="宋体"/>
                <w:color w:val="auto"/>
                <w:spacing w:val="-2"/>
                <w:sz w:val="24"/>
              </w:rPr>
              <w:t>试示范</w:t>
            </w:r>
            <w:r>
              <w:rPr>
                <w:rFonts w:hint="eastAsia" w:ascii="宋体" w:hAnsi="宋体" w:cs="宋体"/>
                <w:color w:val="auto"/>
                <w:spacing w:val="-2"/>
                <w:sz w:val="24"/>
              </w:rPr>
              <w:t>生产</w:t>
            </w:r>
            <w:r>
              <w:rPr>
                <w:rFonts w:ascii="宋体" w:hAnsi="宋体" w:cs="宋体"/>
                <w:color w:val="auto"/>
                <w:spacing w:val="-2"/>
                <w:sz w:val="24"/>
              </w:rPr>
              <w:t>线</w:t>
            </w:r>
            <w:r>
              <w:rPr>
                <w:rFonts w:hint="eastAsia" w:ascii="宋体" w:hAnsi="宋体" w:cs="宋体"/>
                <w:color w:val="auto"/>
                <w:spacing w:val="-2"/>
                <w:sz w:val="24"/>
              </w:rPr>
              <w:t>”，</w:t>
            </w:r>
            <w:r>
              <w:rPr>
                <w:rFonts w:ascii="宋体" w:hAnsi="宋体" w:cs="宋体"/>
                <w:color w:val="auto"/>
                <w:spacing w:val="-2"/>
                <w:sz w:val="24"/>
              </w:rPr>
              <w:t>其中包括：生漆生物质</w:t>
            </w:r>
            <w:r>
              <w:rPr>
                <w:rFonts w:ascii="宋体" w:hAnsi="宋体" w:cs="宋体"/>
                <w:color w:val="auto"/>
                <w:spacing w:val="-1"/>
                <w:sz w:val="24"/>
              </w:rPr>
              <w:t>功能材料研究中心、生漆现代化加工中试示范线、漆酚生物胶黏剂加工中试示范线、生漆材料成型及控制中试示范线、生漆降解材料中试示范线、干漆综合利用与新材料中试示范线。</w:t>
            </w:r>
            <w:r>
              <w:rPr>
                <w:rFonts w:hint="eastAsia"/>
                <w:color w:val="auto"/>
                <w:spacing w:val="-1"/>
                <w:sz w:val="24"/>
              </w:rPr>
              <w:t>2024年1月建成后进行了（部分）自主竣工环保验</w:t>
            </w:r>
            <w:r>
              <w:rPr>
                <w:rFonts w:hint="eastAsia"/>
                <w:color w:val="auto"/>
                <w:spacing w:val="0"/>
                <w:sz w:val="24"/>
              </w:rPr>
              <w:t>收，</w:t>
            </w:r>
            <w:r>
              <w:rPr>
                <w:rFonts w:hint="eastAsia"/>
                <w:color w:val="auto"/>
                <w:spacing w:val="0"/>
                <w:kern w:val="0"/>
                <w:sz w:val="24"/>
                <w:szCs w:val="22"/>
              </w:rPr>
              <w:t>实际建设过程仅建设了</w:t>
            </w:r>
            <w:r>
              <w:rPr>
                <w:color w:val="auto"/>
                <w:spacing w:val="0"/>
                <w:sz w:val="24"/>
              </w:rPr>
              <w:t>5#楼一栋</w:t>
            </w:r>
            <w:r>
              <w:rPr>
                <w:rFonts w:hint="eastAsia"/>
                <w:color w:val="auto"/>
                <w:spacing w:val="0"/>
                <w:sz w:val="24"/>
              </w:rPr>
              <w:t>（</w:t>
            </w:r>
            <w:r>
              <w:rPr>
                <w:color w:val="auto"/>
                <w:spacing w:val="0"/>
                <w:sz w:val="24"/>
              </w:rPr>
              <w:t>地上4层，地下车库1层</w:t>
            </w:r>
            <w:r>
              <w:rPr>
                <w:rFonts w:hint="eastAsia"/>
                <w:color w:val="auto"/>
                <w:spacing w:val="0"/>
                <w:sz w:val="24"/>
              </w:rPr>
              <w:t>），</w:t>
            </w:r>
            <w:r>
              <w:rPr>
                <w:rFonts w:hint="eastAsia" w:ascii="宋体" w:hAnsi="宋体" w:cs="宋体"/>
                <w:color w:val="auto"/>
                <w:spacing w:val="0"/>
                <w:sz w:val="24"/>
              </w:rPr>
              <w:t>“</w:t>
            </w:r>
            <w:r>
              <w:rPr>
                <w:color w:val="auto"/>
                <w:spacing w:val="-2"/>
                <w:sz w:val="24"/>
              </w:rPr>
              <w:t>6条中</w:t>
            </w:r>
            <w:r>
              <w:rPr>
                <w:rFonts w:ascii="宋体" w:hAnsi="宋体" w:cs="宋体"/>
                <w:color w:val="auto"/>
                <w:spacing w:val="-2"/>
                <w:sz w:val="24"/>
              </w:rPr>
              <w:t>试示范</w:t>
            </w:r>
            <w:r>
              <w:rPr>
                <w:rFonts w:hint="eastAsia" w:ascii="宋体" w:hAnsi="宋体" w:cs="宋体"/>
                <w:color w:val="auto"/>
                <w:spacing w:val="-2"/>
                <w:sz w:val="24"/>
              </w:rPr>
              <w:t>生产线</w:t>
            </w:r>
            <w:r>
              <w:rPr>
                <w:rFonts w:hint="eastAsia" w:ascii="宋体" w:hAnsi="宋体" w:cs="宋体"/>
                <w:color w:val="auto"/>
                <w:spacing w:val="0"/>
                <w:sz w:val="24"/>
              </w:rPr>
              <w:t>”不再建设，用于漆文化及漆器产品展览展示，</w:t>
            </w:r>
            <w:r>
              <w:rPr>
                <w:rFonts w:hint="eastAsia"/>
                <w:color w:val="auto"/>
                <w:spacing w:val="0"/>
                <w:kern w:val="0"/>
                <w:sz w:val="24"/>
                <w:szCs w:val="22"/>
              </w:rPr>
              <w:t>其余位置暂时空余出租</w:t>
            </w:r>
            <w:r>
              <w:rPr>
                <w:rFonts w:hint="eastAsia"/>
                <w:color w:val="auto"/>
                <w:spacing w:val="0"/>
                <w:sz w:val="24"/>
              </w:rPr>
              <w:t>。</w:t>
            </w:r>
            <w:r>
              <w:rPr>
                <w:rFonts w:hint="eastAsia"/>
                <w:color w:val="auto"/>
                <w:kern w:val="0"/>
                <w:sz w:val="24"/>
                <w:szCs w:val="22"/>
              </w:rPr>
              <w:t>本项目租赁的厂房属于该项目建设范围内，建设单位与本项目租赁</w:t>
            </w:r>
            <w:r>
              <w:rPr>
                <w:rFonts w:ascii="宋体" w:hAnsi="宋体" w:cs="宋体"/>
                <w:color w:val="auto"/>
                <w:spacing w:val="-1"/>
                <w:sz w:val="24"/>
              </w:rPr>
              <w:t>中华全国供销合作总社西安生漆涂料研究所</w:t>
            </w:r>
            <w:r>
              <w:rPr>
                <w:rFonts w:hint="eastAsia"/>
                <w:color w:val="auto"/>
                <w:kern w:val="0"/>
                <w:sz w:val="24"/>
                <w:szCs w:val="22"/>
              </w:rPr>
              <w:t>签订了租赁协议，租赁协议见附件</w:t>
            </w:r>
            <w:r>
              <w:rPr>
                <w:rFonts w:hint="eastAsia"/>
                <w:color w:val="auto"/>
                <w:kern w:val="0"/>
                <w:sz w:val="24"/>
                <w:szCs w:val="22"/>
                <w:lang w:val="en-US" w:eastAsia="zh-CN"/>
              </w:rPr>
              <w:t>2</w:t>
            </w:r>
            <w:r>
              <w:rPr>
                <w:rFonts w:hint="eastAsia"/>
                <w:color w:val="auto"/>
                <w:kern w:val="0"/>
                <w:sz w:val="24"/>
                <w:szCs w:val="22"/>
              </w:rPr>
              <w:t>。</w:t>
            </w:r>
          </w:p>
          <w:p w14:paraId="7A91F90F">
            <w:pPr>
              <w:pStyle w:val="17"/>
              <w:spacing w:after="0" w:line="360" w:lineRule="auto"/>
              <w:ind w:firstLineChars="200"/>
              <w:rPr>
                <w:rFonts w:hint="default" w:eastAsia="宋体"/>
                <w:color w:val="auto"/>
                <w:kern w:val="0"/>
                <w:sz w:val="24"/>
                <w:szCs w:val="22"/>
                <w:highlight w:val="none"/>
                <w:lang w:val="en-US" w:eastAsia="zh-CN"/>
              </w:rPr>
            </w:pPr>
            <w:r>
              <w:rPr>
                <w:rFonts w:hint="eastAsia"/>
                <w:color w:val="FF0000"/>
                <w:kern w:val="0"/>
                <w:sz w:val="24"/>
                <w:szCs w:val="22"/>
                <w:lang w:val="en-US" w:eastAsia="zh-CN"/>
              </w:rPr>
              <w:t>本项目废水依托西安生漆涂料研究所化粪池及地埋式一体化污水处理设施处理后经市政管网排入沣西新城渭河污水处理厂，西安生漆涂料研究所化粪池及地埋式一体化污水处理设施属于《中华全国供销合作总社生漆工程技术研究中心项目》评价范围内，根据调查，</w:t>
            </w:r>
            <w:r>
              <w:rPr>
                <w:rFonts w:ascii="宋体" w:hAnsi="宋体" w:cs="宋体"/>
                <w:color w:val="FF0000"/>
                <w:spacing w:val="-1"/>
                <w:sz w:val="24"/>
              </w:rPr>
              <w:t>中华全国供销合作总社西安生漆涂料研究所</w:t>
            </w:r>
            <w:r>
              <w:rPr>
                <w:rFonts w:hint="eastAsia" w:ascii="宋体" w:hAnsi="宋体" w:cs="宋体"/>
                <w:color w:val="FF0000"/>
                <w:spacing w:val="-1"/>
                <w:sz w:val="24"/>
                <w:lang w:val="en-US" w:eastAsia="zh-CN"/>
              </w:rPr>
              <w:t>废水主要为生活污水，</w:t>
            </w:r>
            <w:r>
              <w:rPr>
                <w:rFonts w:hint="eastAsia" w:ascii="宋体" w:hAnsi="宋体" w:cs="宋体"/>
                <w:color w:val="FF0000"/>
                <w:spacing w:val="-1"/>
                <w:sz w:val="24"/>
                <w:highlight w:val="none"/>
                <w:lang w:val="en-US" w:eastAsia="zh-CN"/>
              </w:rPr>
              <w:t>研究所内其他租赁企业主要包括西安新诺化学科技有限公司、华陆化学科技有限公司，废水以生活污水和实验室废水为主，与本项目基本一致。</w:t>
            </w:r>
          </w:p>
          <w:p w14:paraId="4D0CA5BE">
            <w:pPr>
              <w:pStyle w:val="17"/>
              <w:adjustRightInd w:val="0"/>
              <w:snapToGrid w:val="0"/>
              <w:spacing w:after="0" w:line="240" w:lineRule="auto"/>
              <w:ind w:firstLine="0"/>
              <w:jc w:val="center"/>
              <w:rPr>
                <w:b/>
                <w:bCs/>
                <w:color w:val="auto"/>
                <w:kern w:val="0"/>
                <w:szCs w:val="21"/>
              </w:rPr>
            </w:pPr>
            <w:r>
              <w:rPr>
                <w:rFonts w:hint="eastAsia"/>
                <w:b/>
                <w:bCs/>
                <w:color w:val="auto"/>
                <w:kern w:val="0"/>
                <w:szCs w:val="21"/>
              </w:rPr>
              <w:t>表</w:t>
            </w:r>
            <w:r>
              <w:rPr>
                <w:b/>
                <w:bCs/>
                <w:color w:val="auto"/>
                <w:kern w:val="0"/>
                <w:szCs w:val="21"/>
              </w:rPr>
              <w:t xml:space="preserve">2-8   </w:t>
            </w:r>
            <w:r>
              <w:rPr>
                <w:rFonts w:hint="eastAsia"/>
                <w:b/>
                <w:bCs/>
                <w:color w:val="auto"/>
                <w:kern w:val="0"/>
                <w:szCs w:val="21"/>
              </w:rPr>
              <w:t>依托工程环保手续履行情况</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558"/>
              <w:gridCol w:w="5150"/>
            </w:tblGrid>
            <w:tr w14:paraId="0DC1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tcPr>
                <w:p w14:paraId="793F3613">
                  <w:pPr>
                    <w:pStyle w:val="17"/>
                    <w:adjustRightInd w:val="0"/>
                    <w:snapToGrid w:val="0"/>
                    <w:spacing w:after="0" w:line="240" w:lineRule="auto"/>
                    <w:ind w:firstLine="0"/>
                    <w:jc w:val="center"/>
                    <w:rPr>
                      <w:color w:val="auto"/>
                      <w:kern w:val="0"/>
                      <w:szCs w:val="21"/>
                    </w:rPr>
                  </w:pPr>
                  <w:r>
                    <w:rPr>
                      <w:rFonts w:hint="eastAsia"/>
                      <w:color w:val="auto"/>
                      <w:kern w:val="0"/>
                      <w:szCs w:val="21"/>
                    </w:rPr>
                    <w:t>依托内容</w:t>
                  </w:r>
                </w:p>
              </w:tc>
              <w:tc>
                <w:tcPr>
                  <w:tcW w:w="930" w:type="pct"/>
                </w:tcPr>
                <w:p w14:paraId="090A5EC2">
                  <w:pPr>
                    <w:pStyle w:val="17"/>
                    <w:adjustRightInd w:val="0"/>
                    <w:snapToGrid w:val="0"/>
                    <w:spacing w:after="0" w:line="240" w:lineRule="auto"/>
                    <w:ind w:firstLine="0"/>
                    <w:jc w:val="center"/>
                    <w:rPr>
                      <w:color w:val="auto"/>
                      <w:kern w:val="0"/>
                      <w:szCs w:val="21"/>
                    </w:rPr>
                  </w:pPr>
                  <w:r>
                    <w:rPr>
                      <w:rFonts w:hint="eastAsia"/>
                      <w:color w:val="auto"/>
                      <w:kern w:val="0"/>
                      <w:szCs w:val="21"/>
                    </w:rPr>
                    <w:t>项目情况</w:t>
                  </w:r>
                </w:p>
              </w:tc>
              <w:tc>
                <w:tcPr>
                  <w:tcW w:w="3073" w:type="pct"/>
                </w:tcPr>
                <w:p w14:paraId="6DE1E2A9">
                  <w:pPr>
                    <w:pStyle w:val="17"/>
                    <w:adjustRightInd w:val="0"/>
                    <w:snapToGrid w:val="0"/>
                    <w:spacing w:after="0" w:line="240" w:lineRule="auto"/>
                    <w:ind w:firstLine="0"/>
                    <w:jc w:val="center"/>
                    <w:rPr>
                      <w:color w:val="auto"/>
                      <w:kern w:val="0"/>
                      <w:szCs w:val="21"/>
                    </w:rPr>
                  </w:pPr>
                  <w:r>
                    <w:rPr>
                      <w:rFonts w:hint="eastAsia"/>
                      <w:color w:val="auto"/>
                      <w:kern w:val="0"/>
                      <w:szCs w:val="21"/>
                    </w:rPr>
                    <w:t>环保手续</w:t>
                  </w:r>
                </w:p>
              </w:tc>
            </w:tr>
            <w:tr w14:paraId="49B2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Align w:val="center"/>
                </w:tcPr>
                <w:p w14:paraId="4C5AA929">
                  <w:pPr>
                    <w:pStyle w:val="17"/>
                    <w:adjustRightInd w:val="0"/>
                    <w:snapToGrid w:val="0"/>
                    <w:spacing w:after="0" w:line="240" w:lineRule="auto"/>
                    <w:ind w:firstLine="0"/>
                    <w:jc w:val="center"/>
                    <w:rPr>
                      <w:rFonts w:hint="default" w:eastAsia="宋体"/>
                      <w:color w:val="auto"/>
                      <w:kern w:val="0"/>
                      <w:szCs w:val="21"/>
                      <w:lang w:val="en-US" w:eastAsia="zh-CN"/>
                    </w:rPr>
                  </w:pPr>
                  <w:r>
                    <w:rPr>
                      <w:rFonts w:hint="eastAsia"/>
                      <w:color w:val="auto"/>
                      <w:kern w:val="0"/>
                      <w:szCs w:val="21"/>
                    </w:rPr>
                    <w:t>租赁中华全国供销合作总社西安生漆涂料研究所五号楼</w:t>
                  </w:r>
                  <w:r>
                    <w:rPr>
                      <w:rFonts w:hint="eastAsia"/>
                      <w:color w:val="auto"/>
                      <w:kern w:val="0"/>
                      <w:szCs w:val="21"/>
                      <w:lang w:val="en-US" w:eastAsia="zh-CN"/>
                    </w:rPr>
                    <w:t>三层及四层</w:t>
                  </w:r>
                </w:p>
              </w:tc>
              <w:tc>
                <w:tcPr>
                  <w:tcW w:w="930" w:type="pct"/>
                  <w:vAlign w:val="center"/>
                </w:tcPr>
                <w:p w14:paraId="4D185DF7">
                  <w:pPr>
                    <w:pStyle w:val="17"/>
                    <w:adjustRightInd w:val="0"/>
                    <w:snapToGrid w:val="0"/>
                    <w:spacing w:after="0" w:line="240" w:lineRule="auto"/>
                    <w:ind w:firstLine="0"/>
                    <w:jc w:val="center"/>
                    <w:rPr>
                      <w:color w:val="auto"/>
                      <w:kern w:val="0"/>
                      <w:szCs w:val="21"/>
                    </w:rPr>
                  </w:pPr>
                  <w:r>
                    <w:rPr>
                      <w:rFonts w:hint="eastAsia"/>
                      <w:color w:val="auto"/>
                      <w:kern w:val="0"/>
                      <w:szCs w:val="21"/>
                    </w:rPr>
                    <w:t>三期工程（5#楼一栋，内设“一个中心五条中试示范线”）</w:t>
                  </w:r>
                </w:p>
              </w:tc>
              <w:tc>
                <w:tcPr>
                  <w:tcW w:w="3073" w:type="pct"/>
                  <w:vAlign w:val="center"/>
                </w:tcPr>
                <w:p w14:paraId="3AD99EED">
                  <w:pPr>
                    <w:pStyle w:val="17"/>
                    <w:adjustRightInd w:val="0"/>
                    <w:snapToGrid w:val="0"/>
                    <w:spacing w:after="0" w:line="240" w:lineRule="auto"/>
                    <w:ind w:firstLine="0"/>
                    <w:jc w:val="center"/>
                    <w:rPr>
                      <w:color w:val="auto"/>
                      <w:kern w:val="0"/>
                      <w:szCs w:val="21"/>
                    </w:rPr>
                  </w:pPr>
                  <w:r>
                    <w:rPr>
                      <w:rFonts w:hint="eastAsia"/>
                      <w:color w:val="auto"/>
                      <w:spacing w:val="-1"/>
                      <w:szCs w:val="21"/>
                    </w:rPr>
                    <w:t>附件2：</w:t>
                  </w:r>
                  <w:r>
                    <w:rPr>
                      <w:color w:val="auto"/>
                      <w:spacing w:val="-1"/>
                      <w:szCs w:val="21"/>
                    </w:rPr>
                    <w:t>《关于生漆综合利用研究与新材料中试示范基地建设项目环境影响报告表的批复》（沣</w:t>
                  </w:r>
                  <w:r>
                    <w:rPr>
                      <w:rFonts w:hint="eastAsia" w:ascii="宋体" w:hAnsi="宋体" w:cs="宋体"/>
                      <w:color w:val="auto"/>
                      <w:spacing w:val="-1"/>
                      <w:szCs w:val="21"/>
                    </w:rPr>
                    <w:t>西审服</w:t>
                  </w:r>
                  <w:r>
                    <w:rPr>
                      <w:color w:val="auto"/>
                      <w:spacing w:val="-1"/>
                      <w:szCs w:val="21"/>
                    </w:rPr>
                    <w:t>准</w:t>
                  </w:r>
                  <w:r>
                    <w:rPr>
                      <w:rFonts w:hint="eastAsia"/>
                      <w:color w:val="auto"/>
                      <w:kern w:val="0"/>
                      <w:szCs w:val="21"/>
                    </w:rPr>
                    <w:t>〔2022〕72号</w:t>
                  </w:r>
                  <w:r>
                    <w:rPr>
                      <w:color w:val="auto"/>
                      <w:spacing w:val="-1"/>
                      <w:szCs w:val="21"/>
                    </w:rPr>
                    <w:t>）</w:t>
                  </w:r>
                  <w:r>
                    <w:rPr>
                      <w:rFonts w:hint="eastAsia"/>
                      <w:color w:val="auto"/>
                      <w:spacing w:val="-1"/>
                      <w:szCs w:val="21"/>
                    </w:rPr>
                    <w:t>2022.5.9</w:t>
                  </w:r>
                </w:p>
              </w:tc>
            </w:tr>
            <w:tr w14:paraId="218B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Align w:val="center"/>
                </w:tcPr>
                <w:p w14:paraId="6B91EEA8">
                  <w:pPr>
                    <w:pStyle w:val="17"/>
                    <w:adjustRightInd w:val="0"/>
                    <w:snapToGrid w:val="0"/>
                    <w:spacing w:after="0" w:line="240" w:lineRule="auto"/>
                    <w:ind w:firstLine="0"/>
                    <w:jc w:val="center"/>
                    <w:rPr>
                      <w:color w:val="auto"/>
                      <w:kern w:val="0"/>
                      <w:szCs w:val="21"/>
                    </w:rPr>
                  </w:pPr>
                  <w:r>
                    <w:rPr>
                      <w:rFonts w:hint="eastAsia"/>
                      <w:color w:val="auto"/>
                      <w:kern w:val="0"/>
                      <w:szCs w:val="21"/>
                    </w:rPr>
                    <w:t>依托化粪池及一体化污水处理设施</w:t>
                  </w:r>
                </w:p>
              </w:tc>
              <w:tc>
                <w:tcPr>
                  <w:tcW w:w="930" w:type="pct"/>
                  <w:vAlign w:val="center"/>
                </w:tcPr>
                <w:p w14:paraId="587D97C5">
                  <w:pPr>
                    <w:pStyle w:val="17"/>
                    <w:adjustRightInd w:val="0"/>
                    <w:snapToGrid w:val="0"/>
                    <w:spacing w:after="0" w:line="240" w:lineRule="auto"/>
                    <w:ind w:firstLine="0"/>
                    <w:jc w:val="center"/>
                    <w:rPr>
                      <w:color w:val="auto"/>
                      <w:kern w:val="0"/>
                      <w:szCs w:val="21"/>
                    </w:rPr>
                  </w:pPr>
                  <w:r>
                    <w:rPr>
                      <w:rFonts w:hint="eastAsia"/>
                      <w:color w:val="auto"/>
                      <w:kern w:val="0"/>
                      <w:szCs w:val="21"/>
                    </w:rPr>
                    <w:t>一期工程（科研业务楼、漆器工艺品展室及配套设施用房）</w:t>
                  </w:r>
                </w:p>
              </w:tc>
              <w:tc>
                <w:tcPr>
                  <w:tcW w:w="3073" w:type="pct"/>
                  <w:vAlign w:val="center"/>
                </w:tcPr>
                <w:p w14:paraId="65343A67">
                  <w:pPr>
                    <w:pStyle w:val="17"/>
                    <w:adjustRightInd w:val="0"/>
                    <w:snapToGrid w:val="0"/>
                    <w:spacing w:after="0" w:line="240" w:lineRule="auto"/>
                    <w:ind w:firstLine="0"/>
                    <w:jc w:val="center"/>
                    <w:rPr>
                      <w:color w:val="auto"/>
                      <w:kern w:val="0"/>
                      <w:szCs w:val="21"/>
                    </w:rPr>
                  </w:pPr>
                  <w:r>
                    <w:rPr>
                      <w:rFonts w:hint="eastAsia"/>
                      <w:color w:val="auto"/>
                      <w:kern w:val="0"/>
                      <w:szCs w:val="21"/>
                    </w:rPr>
                    <w:t>附件4：《关于中华全国供销合作总社生漆工程技术研究中心项目</w:t>
                  </w:r>
                  <w:r>
                    <w:rPr>
                      <w:color w:val="auto"/>
                      <w:spacing w:val="-1"/>
                      <w:szCs w:val="21"/>
                    </w:rPr>
                    <w:t>环境影响报告表的批复</w:t>
                  </w:r>
                  <w:r>
                    <w:rPr>
                      <w:rFonts w:hint="eastAsia"/>
                      <w:color w:val="auto"/>
                      <w:kern w:val="0"/>
                      <w:szCs w:val="21"/>
                    </w:rPr>
                    <w:t>》（沣西建环发〔20</w:t>
                  </w:r>
                  <w:r>
                    <w:rPr>
                      <w:color w:val="auto"/>
                      <w:kern w:val="0"/>
                      <w:szCs w:val="21"/>
                    </w:rPr>
                    <w:t>14</w:t>
                  </w:r>
                  <w:r>
                    <w:rPr>
                      <w:rFonts w:hint="eastAsia"/>
                      <w:color w:val="auto"/>
                      <w:kern w:val="0"/>
                      <w:szCs w:val="21"/>
                    </w:rPr>
                    <w:t>〕</w:t>
                  </w:r>
                  <w:r>
                    <w:rPr>
                      <w:color w:val="auto"/>
                      <w:kern w:val="0"/>
                      <w:szCs w:val="21"/>
                    </w:rPr>
                    <w:t>30</w:t>
                  </w:r>
                  <w:r>
                    <w:rPr>
                      <w:rFonts w:hint="eastAsia"/>
                      <w:color w:val="auto"/>
                      <w:kern w:val="0"/>
                      <w:szCs w:val="21"/>
                    </w:rPr>
                    <w:t>号）</w:t>
                  </w:r>
                  <w:r>
                    <w:rPr>
                      <w:color w:val="auto"/>
                      <w:kern w:val="0"/>
                      <w:szCs w:val="21"/>
                    </w:rPr>
                    <w:t>2014.10.23</w:t>
                  </w:r>
                  <w:r>
                    <w:rPr>
                      <w:rFonts w:hint="eastAsia"/>
                      <w:color w:val="auto"/>
                      <w:kern w:val="0"/>
                      <w:szCs w:val="21"/>
                    </w:rPr>
                    <w:t>、《关于同意中华全国供销合作总社生漆工程技术研究中心项目</w:t>
                  </w:r>
                  <w:r>
                    <w:rPr>
                      <w:rFonts w:hint="eastAsia"/>
                      <w:color w:val="auto"/>
                      <w:spacing w:val="-1"/>
                      <w:szCs w:val="21"/>
                    </w:rPr>
                    <w:t>环评变更</w:t>
                  </w:r>
                  <w:r>
                    <w:rPr>
                      <w:color w:val="auto"/>
                      <w:spacing w:val="-1"/>
                      <w:szCs w:val="21"/>
                    </w:rPr>
                    <w:t>的批复</w:t>
                  </w:r>
                  <w:r>
                    <w:rPr>
                      <w:rFonts w:hint="eastAsia"/>
                      <w:color w:val="auto"/>
                      <w:kern w:val="0"/>
                      <w:szCs w:val="21"/>
                    </w:rPr>
                    <w:t>》（沣西建环发〔20</w:t>
                  </w:r>
                  <w:r>
                    <w:rPr>
                      <w:color w:val="auto"/>
                      <w:kern w:val="0"/>
                      <w:szCs w:val="21"/>
                    </w:rPr>
                    <w:t>15</w:t>
                  </w:r>
                  <w:r>
                    <w:rPr>
                      <w:rFonts w:hint="eastAsia"/>
                      <w:color w:val="auto"/>
                      <w:kern w:val="0"/>
                      <w:szCs w:val="21"/>
                    </w:rPr>
                    <w:t>〕51号）</w:t>
                  </w:r>
                  <w:r>
                    <w:rPr>
                      <w:color w:val="auto"/>
                      <w:kern w:val="0"/>
                      <w:szCs w:val="21"/>
                    </w:rPr>
                    <w:t>2015.10.19</w:t>
                  </w:r>
                </w:p>
                <w:p w14:paraId="1FB17975">
                  <w:pPr>
                    <w:pStyle w:val="17"/>
                    <w:adjustRightInd w:val="0"/>
                    <w:snapToGrid w:val="0"/>
                    <w:spacing w:after="0" w:line="240" w:lineRule="auto"/>
                    <w:ind w:firstLine="0"/>
                    <w:jc w:val="center"/>
                    <w:rPr>
                      <w:color w:val="auto"/>
                      <w:kern w:val="0"/>
                      <w:szCs w:val="21"/>
                    </w:rPr>
                  </w:pPr>
                  <w:r>
                    <w:rPr>
                      <w:rFonts w:hint="eastAsia"/>
                      <w:color w:val="auto"/>
                      <w:kern w:val="0"/>
                      <w:szCs w:val="21"/>
                    </w:rPr>
                    <w:t>竣工环境保护验收（噪声、固废）2018.12.18</w:t>
                  </w:r>
                </w:p>
                <w:p w14:paraId="768D3087">
                  <w:pPr>
                    <w:pStyle w:val="17"/>
                    <w:adjustRightInd w:val="0"/>
                    <w:snapToGrid w:val="0"/>
                    <w:spacing w:after="0" w:line="240" w:lineRule="auto"/>
                    <w:ind w:firstLine="0"/>
                    <w:jc w:val="center"/>
                    <w:rPr>
                      <w:color w:val="auto"/>
                      <w:kern w:val="0"/>
                      <w:szCs w:val="21"/>
                    </w:rPr>
                  </w:pPr>
                  <w:r>
                    <w:rPr>
                      <w:rFonts w:hint="eastAsia"/>
                      <w:color w:val="auto"/>
                      <w:kern w:val="0"/>
                      <w:szCs w:val="21"/>
                    </w:rPr>
                    <w:t>竣工环境保护验收（废气、废水）</w:t>
                  </w:r>
                  <w:r>
                    <w:rPr>
                      <w:color w:val="auto"/>
                      <w:kern w:val="0"/>
                      <w:szCs w:val="21"/>
                    </w:rPr>
                    <w:t>2018.12.18</w:t>
                  </w:r>
                </w:p>
              </w:tc>
            </w:tr>
          </w:tbl>
          <w:p w14:paraId="0477D59C">
            <w:pPr>
              <w:pStyle w:val="17"/>
              <w:spacing w:after="0" w:line="360" w:lineRule="auto"/>
              <w:ind w:firstLineChars="200"/>
              <w:rPr>
                <w:color w:val="auto"/>
                <w:kern w:val="0"/>
                <w:sz w:val="24"/>
                <w:szCs w:val="22"/>
              </w:rPr>
            </w:pPr>
            <w:r>
              <w:rPr>
                <w:rFonts w:hint="eastAsia"/>
                <w:color w:val="auto"/>
                <w:kern w:val="0"/>
                <w:sz w:val="24"/>
                <w:szCs w:val="22"/>
              </w:rPr>
              <w:t>综上所述，建设单位</w:t>
            </w:r>
            <w:r>
              <w:rPr>
                <w:rFonts w:hint="eastAsia"/>
                <w:color w:val="auto"/>
                <w:kern w:val="0"/>
                <w:sz w:val="24"/>
                <w:szCs w:val="22"/>
                <w:lang w:val="en-US" w:eastAsia="zh-CN"/>
              </w:rPr>
              <w:t>依托</w:t>
            </w:r>
            <w:r>
              <w:rPr>
                <w:rFonts w:hint="eastAsia"/>
                <w:color w:val="auto"/>
                <w:kern w:val="0"/>
                <w:sz w:val="24"/>
                <w:szCs w:val="22"/>
              </w:rPr>
              <w:t>的</w:t>
            </w:r>
            <w:r>
              <w:rPr>
                <w:rFonts w:ascii="宋体" w:hAnsi="宋体" w:cs="宋体"/>
                <w:color w:val="auto"/>
                <w:spacing w:val="-1"/>
                <w:sz w:val="24"/>
              </w:rPr>
              <w:t>中华全国供销合作总社西安生漆涂料研究所</w:t>
            </w:r>
            <w:r>
              <w:rPr>
                <w:rFonts w:hint="eastAsia" w:ascii="宋体" w:hAnsi="宋体" w:cs="宋体"/>
                <w:color w:val="auto"/>
                <w:spacing w:val="-1"/>
                <w:sz w:val="24"/>
                <w:lang w:val="en-US" w:eastAsia="zh-CN"/>
              </w:rPr>
              <w:t>相关设施</w:t>
            </w:r>
            <w:r>
              <w:rPr>
                <w:rFonts w:hint="eastAsia"/>
                <w:color w:val="auto"/>
                <w:kern w:val="0"/>
                <w:sz w:val="24"/>
                <w:szCs w:val="22"/>
              </w:rPr>
              <w:t>已取得相关环保手续。根据现场勘察，目前研发室及库房空置，地面为水泥硬化地面并铺设瓷砖，无原有污染情况和主要环境问题。</w:t>
            </w:r>
          </w:p>
          <w:p w14:paraId="7DEE009B">
            <w:pPr>
              <w:pStyle w:val="17"/>
              <w:spacing w:after="0" w:line="360" w:lineRule="auto"/>
              <w:ind w:firstLine="0"/>
              <w:rPr>
                <w:color w:val="auto"/>
                <w:kern w:val="0"/>
                <w:sz w:val="24"/>
                <w:szCs w:val="22"/>
              </w:rPr>
            </w:pPr>
          </w:p>
          <w:p w14:paraId="56708379">
            <w:pPr>
              <w:pStyle w:val="17"/>
              <w:spacing w:after="0" w:line="360" w:lineRule="auto"/>
              <w:ind w:firstLine="0"/>
              <w:rPr>
                <w:color w:val="auto"/>
                <w:kern w:val="0"/>
                <w:sz w:val="24"/>
                <w:szCs w:val="22"/>
              </w:rPr>
            </w:pPr>
          </w:p>
          <w:p w14:paraId="1CDF1481">
            <w:pPr>
              <w:pStyle w:val="17"/>
              <w:spacing w:after="0" w:line="360" w:lineRule="auto"/>
              <w:ind w:firstLine="0"/>
              <w:rPr>
                <w:color w:val="auto"/>
                <w:kern w:val="0"/>
                <w:sz w:val="24"/>
                <w:szCs w:val="22"/>
              </w:rPr>
            </w:pPr>
          </w:p>
          <w:p w14:paraId="78368266">
            <w:pPr>
              <w:pStyle w:val="17"/>
              <w:spacing w:after="0" w:line="360" w:lineRule="auto"/>
              <w:ind w:firstLine="0"/>
              <w:rPr>
                <w:color w:val="auto"/>
                <w:kern w:val="0"/>
                <w:sz w:val="24"/>
                <w:szCs w:val="22"/>
              </w:rPr>
            </w:pPr>
          </w:p>
          <w:p w14:paraId="5CBEAF5B">
            <w:pPr>
              <w:pStyle w:val="17"/>
              <w:spacing w:after="0" w:line="360" w:lineRule="auto"/>
              <w:ind w:firstLine="0"/>
              <w:rPr>
                <w:color w:val="auto"/>
                <w:kern w:val="0"/>
                <w:sz w:val="24"/>
                <w:szCs w:val="22"/>
              </w:rPr>
            </w:pPr>
          </w:p>
          <w:p w14:paraId="0CB67573">
            <w:pPr>
              <w:pStyle w:val="17"/>
              <w:spacing w:after="0" w:line="360" w:lineRule="auto"/>
              <w:ind w:firstLine="0"/>
              <w:rPr>
                <w:color w:val="auto"/>
                <w:kern w:val="0"/>
                <w:sz w:val="24"/>
                <w:szCs w:val="22"/>
              </w:rPr>
            </w:pPr>
          </w:p>
          <w:p w14:paraId="16B92548">
            <w:pPr>
              <w:pStyle w:val="17"/>
              <w:spacing w:after="0" w:line="360" w:lineRule="auto"/>
              <w:ind w:firstLine="0"/>
              <w:rPr>
                <w:color w:val="auto"/>
                <w:kern w:val="0"/>
                <w:sz w:val="24"/>
                <w:szCs w:val="22"/>
              </w:rPr>
            </w:pPr>
          </w:p>
          <w:p w14:paraId="6BBAAF17">
            <w:pPr>
              <w:pStyle w:val="17"/>
              <w:spacing w:after="0" w:line="360" w:lineRule="auto"/>
              <w:ind w:firstLine="0"/>
              <w:rPr>
                <w:color w:val="auto"/>
                <w:kern w:val="0"/>
                <w:sz w:val="24"/>
                <w:szCs w:val="22"/>
              </w:rPr>
            </w:pPr>
          </w:p>
          <w:p w14:paraId="48554CA0">
            <w:pPr>
              <w:pStyle w:val="17"/>
              <w:spacing w:after="0" w:line="360" w:lineRule="auto"/>
              <w:ind w:firstLine="0"/>
              <w:rPr>
                <w:color w:val="auto"/>
                <w:kern w:val="0"/>
                <w:sz w:val="24"/>
                <w:szCs w:val="22"/>
              </w:rPr>
            </w:pPr>
          </w:p>
          <w:p w14:paraId="5C1B02FE">
            <w:pPr>
              <w:pStyle w:val="17"/>
              <w:spacing w:after="0" w:line="360" w:lineRule="auto"/>
              <w:ind w:firstLine="0"/>
              <w:rPr>
                <w:color w:val="auto"/>
                <w:kern w:val="0"/>
                <w:sz w:val="24"/>
                <w:szCs w:val="22"/>
              </w:rPr>
            </w:pPr>
          </w:p>
          <w:p w14:paraId="107CC575">
            <w:pPr>
              <w:pStyle w:val="17"/>
              <w:spacing w:after="0" w:line="360" w:lineRule="auto"/>
              <w:ind w:firstLine="0"/>
              <w:rPr>
                <w:color w:val="auto"/>
                <w:kern w:val="0"/>
                <w:sz w:val="24"/>
                <w:szCs w:val="22"/>
              </w:rPr>
            </w:pPr>
          </w:p>
          <w:p w14:paraId="19611464">
            <w:pPr>
              <w:pStyle w:val="17"/>
              <w:spacing w:after="0" w:line="360" w:lineRule="auto"/>
              <w:ind w:firstLine="0"/>
              <w:rPr>
                <w:color w:val="auto"/>
                <w:kern w:val="0"/>
                <w:sz w:val="24"/>
                <w:szCs w:val="22"/>
              </w:rPr>
            </w:pPr>
          </w:p>
          <w:p w14:paraId="4619C3FA">
            <w:pPr>
              <w:pStyle w:val="17"/>
              <w:spacing w:after="0" w:line="360" w:lineRule="auto"/>
              <w:ind w:firstLine="0"/>
              <w:rPr>
                <w:color w:val="auto"/>
                <w:kern w:val="0"/>
                <w:sz w:val="24"/>
                <w:szCs w:val="22"/>
              </w:rPr>
            </w:pPr>
          </w:p>
          <w:p w14:paraId="6ABF6DB0">
            <w:pPr>
              <w:pStyle w:val="17"/>
              <w:spacing w:after="0" w:line="360" w:lineRule="auto"/>
              <w:ind w:firstLine="0"/>
              <w:rPr>
                <w:color w:val="auto"/>
                <w:kern w:val="0"/>
                <w:sz w:val="24"/>
                <w:szCs w:val="22"/>
              </w:rPr>
            </w:pPr>
          </w:p>
          <w:p w14:paraId="2D4A87B3">
            <w:pPr>
              <w:pStyle w:val="17"/>
              <w:spacing w:after="0" w:line="360" w:lineRule="auto"/>
              <w:ind w:firstLine="0"/>
              <w:rPr>
                <w:color w:val="auto"/>
                <w:kern w:val="0"/>
                <w:sz w:val="24"/>
                <w:szCs w:val="22"/>
              </w:rPr>
            </w:pPr>
          </w:p>
          <w:p w14:paraId="1DC98A50">
            <w:pPr>
              <w:pStyle w:val="17"/>
              <w:spacing w:after="0" w:line="360" w:lineRule="auto"/>
              <w:ind w:firstLine="0"/>
              <w:rPr>
                <w:color w:val="auto"/>
                <w:kern w:val="0"/>
                <w:sz w:val="24"/>
                <w:szCs w:val="22"/>
              </w:rPr>
            </w:pPr>
          </w:p>
          <w:p w14:paraId="0715B5BA">
            <w:pPr>
              <w:pStyle w:val="17"/>
              <w:spacing w:after="0" w:line="360" w:lineRule="auto"/>
              <w:ind w:firstLine="0"/>
              <w:rPr>
                <w:color w:val="auto"/>
                <w:kern w:val="0"/>
                <w:sz w:val="24"/>
                <w:szCs w:val="22"/>
              </w:rPr>
            </w:pPr>
          </w:p>
          <w:p w14:paraId="27B9DB59">
            <w:pPr>
              <w:pStyle w:val="17"/>
              <w:spacing w:after="0" w:line="360" w:lineRule="auto"/>
              <w:ind w:firstLine="0"/>
              <w:rPr>
                <w:color w:val="auto"/>
                <w:kern w:val="0"/>
                <w:sz w:val="24"/>
                <w:szCs w:val="22"/>
              </w:rPr>
            </w:pPr>
          </w:p>
          <w:p w14:paraId="7BD66CD5">
            <w:pPr>
              <w:pStyle w:val="17"/>
              <w:spacing w:after="0" w:line="360" w:lineRule="auto"/>
              <w:ind w:firstLine="0"/>
              <w:rPr>
                <w:color w:val="auto"/>
                <w:kern w:val="0"/>
                <w:sz w:val="24"/>
                <w:szCs w:val="22"/>
              </w:rPr>
            </w:pPr>
          </w:p>
          <w:p w14:paraId="66831570">
            <w:pPr>
              <w:pStyle w:val="17"/>
              <w:spacing w:after="0" w:line="360" w:lineRule="auto"/>
              <w:ind w:firstLine="0"/>
              <w:rPr>
                <w:color w:val="auto"/>
                <w:kern w:val="0"/>
                <w:sz w:val="24"/>
                <w:szCs w:val="22"/>
              </w:rPr>
            </w:pPr>
          </w:p>
          <w:p w14:paraId="10738928">
            <w:pPr>
              <w:pStyle w:val="17"/>
              <w:spacing w:after="0" w:line="360" w:lineRule="auto"/>
              <w:ind w:firstLine="0"/>
              <w:rPr>
                <w:color w:val="auto"/>
                <w:kern w:val="0"/>
                <w:sz w:val="24"/>
                <w:szCs w:val="22"/>
              </w:rPr>
            </w:pPr>
          </w:p>
          <w:p w14:paraId="35693C67">
            <w:pPr>
              <w:pStyle w:val="17"/>
              <w:spacing w:after="0" w:line="360" w:lineRule="auto"/>
              <w:ind w:firstLine="0"/>
              <w:rPr>
                <w:color w:val="auto"/>
                <w:kern w:val="0"/>
                <w:sz w:val="24"/>
                <w:szCs w:val="22"/>
              </w:rPr>
            </w:pPr>
          </w:p>
        </w:tc>
      </w:tr>
    </w:tbl>
    <w:p w14:paraId="36C7886D">
      <w:pPr>
        <w:jc w:val="center"/>
        <w:rPr>
          <w:rFonts w:eastAsia="黑体"/>
          <w:snapToGrid w:val="0"/>
          <w:color w:val="auto"/>
          <w:sz w:val="36"/>
          <w:szCs w:val="36"/>
        </w:rPr>
        <w:sectPr>
          <w:pgSz w:w="11906" w:h="16838"/>
          <w:pgMar w:top="1531" w:right="1531" w:bottom="1531" w:left="1531" w:header="851" w:footer="851" w:gutter="0"/>
          <w:pgNumType w:fmt="numberInDash"/>
          <w:cols w:space="720" w:num="1"/>
          <w:docGrid w:linePitch="312" w:charSpace="0"/>
        </w:sectPr>
      </w:pPr>
    </w:p>
    <w:p w14:paraId="13C49976">
      <w:pPr>
        <w:widowControl/>
        <w:spacing w:before="100" w:beforeAutospacing="1" w:after="100" w:afterAutospacing="1"/>
        <w:jc w:val="center"/>
        <w:outlineLvl w:val="0"/>
        <w:rPr>
          <w:rFonts w:eastAsia="黑体"/>
          <w:snapToGrid w:val="0"/>
          <w:color w:val="auto"/>
          <w:kern w:val="0"/>
          <w:sz w:val="30"/>
          <w:szCs w:val="30"/>
        </w:rPr>
      </w:pPr>
      <w:r>
        <w:rPr>
          <w:rFonts w:eastAsia="黑体"/>
          <w:snapToGrid w:val="0"/>
          <w:color w:val="auto"/>
          <w:kern w:val="0"/>
          <w:sz w:val="30"/>
          <w:szCs w:val="30"/>
        </w:rPr>
        <w:t>三、区域环境质量现状、环境保护目标及评价标准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3"/>
        <w:gridCol w:w="8477"/>
      </w:tblGrid>
      <w:tr w14:paraId="4E89D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dxa"/>
            <w:vAlign w:val="center"/>
          </w:tcPr>
          <w:p w14:paraId="783FF77D">
            <w:pPr>
              <w:adjustRightInd w:val="0"/>
              <w:snapToGrid w:val="0"/>
              <w:spacing w:line="360" w:lineRule="auto"/>
              <w:jc w:val="center"/>
              <w:rPr>
                <w:color w:val="auto"/>
                <w:kern w:val="0"/>
                <w:sz w:val="24"/>
              </w:rPr>
            </w:pPr>
            <w:r>
              <w:rPr>
                <w:color w:val="auto"/>
                <w:kern w:val="0"/>
                <w:sz w:val="24"/>
              </w:rPr>
              <w:t>区域</w:t>
            </w:r>
          </w:p>
          <w:p w14:paraId="49067C62">
            <w:pPr>
              <w:adjustRightInd w:val="0"/>
              <w:snapToGrid w:val="0"/>
              <w:spacing w:line="360" w:lineRule="auto"/>
              <w:jc w:val="center"/>
              <w:rPr>
                <w:color w:val="auto"/>
                <w:kern w:val="0"/>
                <w:sz w:val="24"/>
              </w:rPr>
            </w:pPr>
            <w:r>
              <w:rPr>
                <w:color w:val="auto"/>
                <w:kern w:val="0"/>
                <w:sz w:val="24"/>
              </w:rPr>
              <w:t>环境</w:t>
            </w:r>
          </w:p>
          <w:p w14:paraId="18DE8CC0">
            <w:pPr>
              <w:adjustRightInd w:val="0"/>
              <w:snapToGrid w:val="0"/>
              <w:spacing w:line="360" w:lineRule="auto"/>
              <w:jc w:val="center"/>
              <w:rPr>
                <w:color w:val="auto"/>
                <w:kern w:val="0"/>
                <w:sz w:val="24"/>
              </w:rPr>
            </w:pPr>
            <w:r>
              <w:rPr>
                <w:color w:val="auto"/>
                <w:kern w:val="0"/>
                <w:sz w:val="24"/>
              </w:rPr>
              <w:t>质量</w:t>
            </w:r>
          </w:p>
          <w:p w14:paraId="2CCA70BA">
            <w:pPr>
              <w:adjustRightInd w:val="0"/>
              <w:snapToGrid w:val="0"/>
              <w:spacing w:line="360" w:lineRule="auto"/>
              <w:jc w:val="center"/>
              <w:rPr>
                <w:color w:val="auto"/>
                <w:kern w:val="0"/>
                <w:szCs w:val="21"/>
              </w:rPr>
            </w:pPr>
            <w:r>
              <w:rPr>
                <w:color w:val="auto"/>
                <w:kern w:val="0"/>
                <w:sz w:val="24"/>
              </w:rPr>
              <w:t>现状</w:t>
            </w:r>
          </w:p>
        </w:tc>
        <w:tc>
          <w:tcPr>
            <w:tcW w:w="8477" w:type="dxa"/>
            <w:vAlign w:val="center"/>
          </w:tcPr>
          <w:p w14:paraId="6D535447">
            <w:pPr>
              <w:spacing w:line="360" w:lineRule="auto"/>
              <w:ind w:firstLine="482" w:firstLineChars="200"/>
              <w:rPr>
                <w:b/>
                <w:bCs/>
                <w:color w:val="auto"/>
                <w:kern w:val="0"/>
                <w:sz w:val="24"/>
                <w:szCs w:val="22"/>
              </w:rPr>
            </w:pPr>
            <w:r>
              <w:rPr>
                <w:b/>
                <w:bCs/>
                <w:color w:val="auto"/>
                <w:kern w:val="0"/>
                <w:sz w:val="24"/>
                <w:szCs w:val="22"/>
              </w:rPr>
              <w:t>1、环境空气质量</w:t>
            </w:r>
          </w:p>
          <w:p w14:paraId="30D5174A">
            <w:pPr>
              <w:spacing w:line="360" w:lineRule="auto"/>
              <w:ind w:firstLine="480" w:firstLineChars="200"/>
              <w:contextualSpacing/>
              <w:rPr>
                <w:color w:val="auto"/>
                <w:kern w:val="0"/>
                <w:sz w:val="24"/>
              </w:rPr>
            </w:pPr>
            <w:r>
              <w:rPr>
                <w:color w:val="auto"/>
                <w:kern w:val="0"/>
                <w:sz w:val="24"/>
              </w:rPr>
              <w:t>根据</w:t>
            </w:r>
            <w:r>
              <w:rPr>
                <w:rFonts w:hint="eastAsia"/>
                <w:color w:val="auto"/>
                <w:kern w:val="0"/>
                <w:sz w:val="24"/>
              </w:rPr>
              <w:t>《</w:t>
            </w:r>
            <w:r>
              <w:rPr>
                <w:color w:val="auto"/>
                <w:kern w:val="0"/>
                <w:sz w:val="24"/>
              </w:rPr>
              <w:t>环境影响评价技术导则</w:t>
            </w:r>
            <w:r>
              <w:rPr>
                <w:rFonts w:hint="eastAsia"/>
                <w:color w:val="auto"/>
                <w:kern w:val="0"/>
                <w:sz w:val="24"/>
              </w:rPr>
              <w:t xml:space="preserve"> </w:t>
            </w:r>
            <w:r>
              <w:rPr>
                <w:color w:val="auto"/>
                <w:kern w:val="0"/>
                <w:sz w:val="24"/>
              </w:rPr>
              <w:t>大气环境</w:t>
            </w:r>
            <w:r>
              <w:rPr>
                <w:rFonts w:hint="eastAsia"/>
                <w:color w:val="auto"/>
                <w:kern w:val="0"/>
                <w:sz w:val="24"/>
              </w:rPr>
              <w:t>》</w:t>
            </w:r>
            <w:r>
              <w:rPr>
                <w:color w:val="auto"/>
                <w:kern w:val="0"/>
                <w:sz w:val="24"/>
              </w:rPr>
              <w:t>（HJ2.2-2018），基本污染物环境质量现状数据优先采用国家或地方生态环境主管部门公开发布的评价基准年环境质量公告或环境质量报告中的数据或结论。</w:t>
            </w:r>
          </w:p>
          <w:p w14:paraId="79EB3025">
            <w:pPr>
              <w:spacing w:line="360" w:lineRule="auto"/>
              <w:ind w:firstLine="422"/>
              <w:contextualSpacing/>
              <w:rPr>
                <w:color w:val="auto"/>
                <w:kern w:val="0"/>
                <w:sz w:val="24"/>
                <w:szCs w:val="20"/>
              </w:rPr>
            </w:pPr>
            <w:r>
              <w:rPr>
                <w:color w:val="auto"/>
                <w:kern w:val="0"/>
                <w:sz w:val="24"/>
                <w:szCs w:val="20"/>
              </w:rPr>
              <w:t>本项目位于</w:t>
            </w:r>
            <w:r>
              <w:rPr>
                <w:rFonts w:hint="eastAsia"/>
                <w:color w:val="auto"/>
                <w:kern w:val="0"/>
                <w:sz w:val="24"/>
              </w:rPr>
              <w:t>陕西省西咸新区沣西新城秀雅路995号西安生漆涂料研究所五号楼</w:t>
            </w:r>
            <w:r>
              <w:rPr>
                <w:rFonts w:hint="eastAsia"/>
                <w:color w:val="auto"/>
                <w:kern w:val="0"/>
                <w:sz w:val="24"/>
                <w:lang w:val="en-US" w:eastAsia="zh-CN"/>
              </w:rPr>
              <w:t>三层及四层</w:t>
            </w:r>
            <w:r>
              <w:rPr>
                <w:color w:val="auto"/>
                <w:kern w:val="0"/>
                <w:sz w:val="24"/>
                <w:szCs w:val="20"/>
              </w:rPr>
              <w:t>，根据大气功能区划，项目所在地为二类功能区，环境空气质量标准执行《环境空气质量标准》（GB3095-2012）二级标准要求。</w:t>
            </w:r>
          </w:p>
          <w:p w14:paraId="4EA2F978">
            <w:pPr>
              <w:spacing w:line="360" w:lineRule="auto"/>
              <w:ind w:firstLine="422"/>
              <w:contextualSpacing/>
              <w:rPr>
                <w:color w:val="auto"/>
                <w:kern w:val="0"/>
                <w:sz w:val="24"/>
                <w:szCs w:val="20"/>
              </w:rPr>
            </w:pPr>
            <w:r>
              <w:rPr>
                <w:color w:val="auto"/>
                <w:kern w:val="0"/>
                <w:sz w:val="24"/>
                <w:szCs w:val="20"/>
              </w:rPr>
              <w:t>本项目空气环境质量现状引用《202</w:t>
            </w:r>
            <w:r>
              <w:rPr>
                <w:rFonts w:hint="eastAsia"/>
                <w:color w:val="auto"/>
                <w:kern w:val="0"/>
                <w:sz w:val="24"/>
                <w:szCs w:val="20"/>
              </w:rPr>
              <w:t>3</w:t>
            </w:r>
            <w:r>
              <w:rPr>
                <w:color w:val="auto"/>
                <w:kern w:val="0"/>
                <w:sz w:val="24"/>
                <w:szCs w:val="20"/>
              </w:rPr>
              <w:t>年12月及1~12月全省环境空气质量状况环保快报》（陕西省生态环境厅办公室，202</w:t>
            </w:r>
            <w:r>
              <w:rPr>
                <w:rFonts w:hint="eastAsia"/>
                <w:color w:val="auto"/>
                <w:kern w:val="0"/>
                <w:sz w:val="24"/>
                <w:szCs w:val="20"/>
              </w:rPr>
              <w:t>4</w:t>
            </w:r>
            <w:r>
              <w:rPr>
                <w:color w:val="auto"/>
                <w:kern w:val="0"/>
                <w:sz w:val="24"/>
                <w:szCs w:val="20"/>
              </w:rPr>
              <w:t>年1月1</w:t>
            </w:r>
            <w:r>
              <w:rPr>
                <w:rFonts w:hint="eastAsia"/>
                <w:color w:val="auto"/>
                <w:kern w:val="0"/>
                <w:sz w:val="24"/>
                <w:szCs w:val="20"/>
              </w:rPr>
              <w:t>9</w:t>
            </w:r>
            <w:r>
              <w:rPr>
                <w:color w:val="auto"/>
                <w:kern w:val="0"/>
                <w:sz w:val="24"/>
                <w:szCs w:val="20"/>
              </w:rPr>
              <w:t>日发布）中空气常规六项污染物监测结果，对区域环境空气质量现状进行分析，统计结果见下表。</w:t>
            </w:r>
          </w:p>
          <w:p w14:paraId="5D495E83">
            <w:pPr>
              <w:contextualSpacing/>
              <w:jc w:val="center"/>
              <w:rPr>
                <w:b/>
                <w:bCs/>
                <w:color w:val="auto"/>
                <w:kern w:val="0"/>
                <w:szCs w:val="21"/>
              </w:rPr>
            </w:pPr>
            <w:r>
              <w:rPr>
                <w:b/>
                <w:bCs/>
                <w:color w:val="auto"/>
                <w:kern w:val="0"/>
                <w:szCs w:val="21"/>
              </w:rPr>
              <w:t>表</w:t>
            </w:r>
            <w:r>
              <w:rPr>
                <w:rFonts w:hint="eastAsia"/>
                <w:b/>
                <w:bCs/>
                <w:color w:val="auto"/>
                <w:kern w:val="0"/>
                <w:szCs w:val="21"/>
              </w:rPr>
              <w:t xml:space="preserve">3-1   </w:t>
            </w:r>
            <w:r>
              <w:rPr>
                <w:b/>
                <w:bCs/>
                <w:color w:val="auto"/>
                <w:kern w:val="0"/>
                <w:szCs w:val="21"/>
              </w:rPr>
              <w:t>本项目所在地达标区判定情况一览表（单位：μg/m</w:t>
            </w:r>
            <w:r>
              <w:rPr>
                <w:b/>
                <w:bCs/>
                <w:color w:val="auto"/>
                <w:kern w:val="0"/>
                <w:szCs w:val="21"/>
                <w:vertAlign w:val="superscript"/>
              </w:rPr>
              <w:t>3</w:t>
            </w:r>
            <w:r>
              <w:rPr>
                <w:b/>
                <w:bCs/>
                <w:color w:val="auto"/>
                <w:kern w:val="0"/>
                <w:szCs w:val="21"/>
              </w:rPr>
              <w:t>）</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0"/>
              <w:gridCol w:w="923"/>
              <w:gridCol w:w="2177"/>
              <w:gridCol w:w="1050"/>
              <w:gridCol w:w="1190"/>
              <w:gridCol w:w="1100"/>
              <w:gridCol w:w="909"/>
            </w:tblGrid>
            <w:tr w14:paraId="0CD9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45" w:type="pct"/>
                  <w:vMerge w:val="restart"/>
                  <w:vAlign w:val="center"/>
                </w:tcPr>
                <w:p w14:paraId="62BBB356">
                  <w:pPr>
                    <w:adjustRightInd w:val="0"/>
                    <w:snapToGrid w:val="0"/>
                    <w:jc w:val="center"/>
                    <w:rPr>
                      <w:color w:val="auto"/>
                      <w:kern w:val="0"/>
                      <w:szCs w:val="21"/>
                    </w:rPr>
                  </w:pPr>
                  <w:r>
                    <w:rPr>
                      <w:color w:val="auto"/>
                      <w:kern w:val="0"/>
                      <w:szCs w:val="21"/>
                    </w:rPr>
                    <w:t>区县名称</w:t>
                  </w:r>
                </w:p>
              </w:tc>
              <w:tc>
                <w:tcPr>
                  <w:tcW w:w="559" w:type="pct"/>
                  <w:vMerge w:val="restart"/>
                  <w:vAlign w:val="center"/>
                </w:tcPr>
                <w:p w14:paraId="55DBCBB9">
                  <w:pPr>
                    <w:adjustRightInd w:val="0"/>
                    <w:snapToGrid w:val="0"/>
                    <w:jc w:val="center"/>
                    <w:rPr>
                      <w:color w:val="auto"/>
                      <w:kern w:val="0"/>
                      <w:szCs w:val="21"/>
                    </w:rPr>
                  </w:pPr>
                  <w:r>
                    <w:rPr>
                      <w:color w:val="auto"/>
                      <w:kern w:val="0"/>
                      <w:szCs w:val="21"/>
                    </w:rPr>
                    <w:t>污染物</w:t>
                  </w:r>
                </w:p>
              </w:tc>
              <w:tc>
                <w:tcPr>
                  <w:tcW w:w="1318" w:type="pct"/>
                  <w:vMerge w:val="restart"/>
                  <w:vAlign w:val="center"/>
                </w:tcPr>
                <w:p w14:paraId="6C235E1B">
                  <w:pPr>
                    <w:adjustRightInd w:val="0"/>
                    <w:snapToGrid w:val="0"/>
                    <w:jc w:val="center"/>
                    <w:rPr>
                      <w:color w:val="auto"/>
                      <w:kern w:val="0"/>
                      <w:szCs w:val="21"/>
                    </w:rPr>
                  </w:pPr>
                  <w:r>
                    <w:rPr>
                      <w:color w:val="auto"/>
                      <w:kern w:val="0"/>
                      <w:szCs w:val="21"/>
                    </w:rPr>
                    <w:t>年评价指标</w:t>
                  </w:r>
                </w:p>
              </w:tc>
              <w:tc>
                <w:tcPr>
                  <w:tcW w:w="636" w:type="pct"/>
                  <w:vMerge w:val="restart"/>
                  <w:vAlign w:val="center"/>
                </w:tcPr>
                <w:p w14:paraId="23DE3336">
                  <w:pPr>
                    <w:adjustRightInd w:val="0"/>
                    <w:snapToGrid w:val="0"/>
                    <w:jc w:val="center"/>
                    <w:rPr>
                      <w:color w:val="auto"/>
                      <w:kern w:val="0"/>
                      <w:szCs w:val="21"/>
                    </w:rPr>
                  </w:pPr>
                  <w:r>
                    <w:rPr>
                      <w:color w:val="auto"/>
                      <w:kern w:val="0"/>
                      <w:szCs w:val="21"/>
                    </w:rPr>
                    <w:t>评价标准</w:t>
                  </w:r>
                </w:p>
              </w:tc>
              <w:tc>
                <w:tcPr>
                  <w:tcW w:w="721" w:type="pct"/>
                  <w:vMerge w:val="restart"/>
                  <w:vAlign w:val="center"/>
                </w:tcPr>
                <w:p w14:paraId="1E5F6CC5">
                  <w:pPr>
                    <w:adjustRightInd w:val="0"/>
                    <w:snapToGrid w:val="0"/>
                    <w:jc w:val="center"/>
                    <w:rPr>
                      <w:color w:val="auto"/>
                      <w:kern w:val="0"/>
                      <w:szCs w:val="21"/>
                    </w:rPr>
                  </w:pPr>
                  <w:r>
                    <w:rPr>
                      <w:color w:val="auto"/>
                      <w:kern w:val="0"/>
                      <w:szCs w:val="21"/>
                    </w:rPr>
                    <w:t>现状浓度</w:t>
                  </w:r>
                </w:p>
              </w:tc>
              <w:tc>
                <w:tcPr>
                  <w:tcW w:w="667" w:type="pct"/>
                  <w:vMerge w:val="restart"/>
                  <w:vAlign w:val="center"/>
                </w:tcPr>
                <w:p w14:paraId="4DDC865A">
                  <w:pPr>
                    <w:adjustRightInd w:val="0"/>
                    <w:snapToGrid w:val="0"/>
                    <w:jc w:val="center"/>
                    <w:rPr>
                      <w:color w:val="auto"/>
                      <w:kern w:val="0"/>
                      <w:szCs w:val="21"/>
                    </w:rPr>
                  </w:pPr>
                  <w:r>
                    <w:rPr>
                      <w:color w:val="auto"/>
                      <w:kern w:val="0"/>
                      <w:szCs w:val="21"/>
                    </w:rPr>
                    <w:t>最大浓度占标率</w:t>
                  </w:r>
                </w:p>
              </w:tc>
              <w:tc>
                <w:tcPr>
                  <w:tcW w:w="551" w:type="pct"/>
                  <w:vMerge w:val="restart"/>
                  <w:vAlign w:val="center"/>
                </w:tcPr>
                <w:p w14:paraId="201AFACC">
                  <w:pPr>
                    <w:adjustRightInd w:val="0"/>
                    <w:snapToGrid w:val="0"/>
                    <w:jc w:val="center"/>
                    <w:rPr>
                      <w:color w:val="auto"/>
                      <w:kern w:val="0"/>
                      <w:szCs w:val="21"/>
                    </w:rPr>
                  </w:pPr>
                  <w:r>
                    <w:rPr>
                      <w:color w:val="auto"/>
                      <w:kern w:val="0"/>
                      <w:szCs w:val="21"/>
                    </w:rPr>
                    <w:t>达标</w:t>
                  </w:r>
                </w:p>
                <w:p w14:paraId="46141E41">
                  <w:pPr>
                    <w:adjustRightInd w:val="0"/>
                    <w:snapToGrid w:val="0"/>
                    <w:jc w:val="center"/>
                    <w:rPr>
                      <w:color w:val="auto"/>
                      <w:kern w:val="0"/>
                      <w:szCs w:val="21"/>
                    </w:rPr>
                  </w:pPr>
                  <w:r>
                    <w:rPr>
                      <w:color w:val="auto"/>
                      <w:kern w:val="0"/>
                      <w:szCs w:val="21"/>
                    </w:rPr>
                    <w:t>情况</w:t>
                  </w:r>
                </w:p>
              </w:tc>
            </w:tr>
            <w:tr w14:paraId="654A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45" w:type="pct"/>
                  <w:vMerge w:val="continue"/>
                  <w:vAlign w:val="center"/>
                </w:tcPr>
                <w:p w14:paraId="0E699FEB">
                  <w:pPr>
                    <w:adjustRightInd w:val="0"/>
                    <w:snapToGrid w:val="0"/>
                    <w:jc w:val="center"/>
                    <w:rPr>
                      <w:color w:val="auto"/>
                      <w:kern w:val="0"/>
                      <w:szCs w:val="21"/>
                    </w:rPr>
                  </w:pPr>
                </w:p>
              </w:tc>
              <w:tc>
                <w:tcPr>
                  <w:tcW w:w="559" w:type="pct"/>
                  <w:vMerge w:val="continue"/>
                  <w:vAlign w:val="center"/>
                </w:tcPr>
                <w:p w14:paraId="0528C394">
                  <w:pPr>
                    <w:adjustRightInd w:val="0"/>
                    <w:snapToGrid w:val="0"/>
                    <w:jc w:val="center"/>
                    <w:rPr>
                      <w:color w:val="auto"/>
                      <w:kern w:val="0"/>
                      <w:szCs w:val="21"/>
                    </w:rPr>
                  </w:pPr>
                </w:p>
              </w:tc>
              <w:tc>
                <w:tcPr>
                  <w:tcW w:w="1318" w:type="pct"/>
                  <w:vMerge w:val="continue"/>
                  <w:vAlign w:val="center"/>
                </w:tcPr>
                <w:p w14:paraId="07E3CA01">
                  <w:pPr>
                    <w:adjustRightInd w:val="0"/>
                    <w:snapToGrid w:val="0"/>
                    <w:jc w:val="center"/>
                    <w:rPr>
                      <w:color w:val="auto"/>
                      <w:kern w:val="0"/>
                      <w:szCs w:val="21"/>
                    </w:rPr>
                  </w:pPr>
                </w:p>
              </w:tc>
              <w:tc>
                <w:tcPr>
                  <w:tcW w:w="636" w:type="pct"/>
                  <w:vMerge w:val="continue"/>
                  <w:vAlign w:val="center"/>
                </w:tcPr>
                <w:p w14:paraId="48C9358B">
                  <w:pPr>
                    <w:adjustRightInd w:val="0"/>
                    <w:snapToGrid w:val="0"/>
                    <w:jc w:val="center"/>
                    <w:rPr>
                      <w:color w:val="auto"/>
                      <w:kern w:val="0"/>
                      <w:szCs w:val="21"/>
                    </w:rPr>
                  </w:pPr>
                </w:p>
              </w:tc>
              <w:tc>
                <w:tcPr>
                  <w:tcW w:w="721" w:type="pct"/>
                  <w:vMerge w:val="continue"/>
                  <w:vAlign w:val="center"/>
                </w:tcPr>
                <w:p w14:paraId="6A1803A3">
                  <w:pPr>
                    <w:adjustRightInd w:val="0"/>
                    <w:snapToGrid w:val="0"/>
                    <w:jc w:val="center"/>
                    <w:rPr>
                      <w:color w:val="auto"/>
                      <w:kern w:val="0"/>
                      <w:szCs w:val="21"/>
                    </w:rPr>
                  </w:pPr>
                </w:p>
              </w:tc>
              <w:tc>
                <w:tcPr>
                  <w:tcW w:w="667" w:type="pct"/>
                  <w:vMerge w:val="continue"/>
                  <w:vAlign w:val="center"/>
                </w:tcPr>
                <w:p w14:paraId="365084DE">
                  <w:pPr>
                    <w:adjustRightInd w:val="0"/>
                    <w:snapToGrid w:val="0"/>
                    <w:jc w:val="center"/>
                    <w:rPr>
                      <w:color w:val="auto"/>
                      <w:kern w:val="0"/>
                      <w:szCs w:val="21"/>
                    </w:rPr>
                  </w:pPr>
                </w:p>
              </w:tc>
              <w:tc>
                <w:tcPr>
                  <w:tcW w:w="551" w:type="pct"/>
                  <w:vMerge w:val="continue"/>
                  <w:vAlign w:val="center"/>
                </w:tcPr>
                <w:p w14:paraId="4A060DC4">
                  <w:pPr>
                    <w:adjustRightInd w:val="0"/>
                    <w:snapToGrid w:val="0"/>
                    <w:jc w:val="center"/>
                    <w:rPr>
                      <w:color w:val="auto"/>
                      <w:kern w:val="0"/>
                      <w:szCs w:val="21"/>
                    </w:rPr>
                  </w:pPr>
                </w:p>
              </w:tc>
            </w:tr>
            <w:tr w14:paraId="2C42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5" w:type="pct"/>
                  <w:vMerge w:val="restart"/>
                  <w:vAlign w:val="center"/>
                </w:tcPr>
                <w:p w14:paraId="092E4AE9">
                  <w:pPr>
                    <w:adjustRightInd w:val="0"/>
                    <w:snapToGrid w:val="0"/>
                    <w:jc w:val="center"/>
                    <w:rPr>
                      <w:color w:val="auto"/>
                      <w:kern w:val="0"/>
                      <w:szCs w:val="21"/>
                    </w:rPr>
                  </w:pPr>
                  <w:bookmarkStart w:id="7" w:name="OLE_LINK8"/>
                  <w:r>
                    <w:rPr>
                      <w:color w:val="auto"/>
                      <w:kern w:val="0"/>
                      <w:szCs w:val="21"/>
                    </w:rPr>
                    <w:t>西咸</w:t>
                  </w:r>
                </w:p>
                <w:p w14:paraId="4FFC8344">
                  <w:pPr>
                    <w:adjustRightInd w:val="0"/>
                    <w:snapToGrid w:val="0"/>
                    <w:jc w:val="center"/>
                    <w:rPr>
                      <w:color w:val="auto"/>
                      <w:kern w:val="0"/>
                      <w:szCs w:val="21"/>
                    </w:rPr>
                  </w:pPr>
                  <w:r>
                    <w:rPr>
                      <w:color w:val="auto"/>
                      <w:kern w:val="0"/>
                      <w:szCs w:val="21"/>
                    </w:rPr>
                    <w:t>新区</w:t>
                  </w:r>
                  <w:bookmarkEnd w:id="7"/>
                </w:p>
              </w:tc>
              <w:tc>
                <w:tcPr>
                  <w:tcW w:w="559" w:type="pct"/>
                  <w:vAlign w:val="center"/>
                </w:tcPr>
                <w:p w14:paraId="2544B181">
                  <w:pPr>
                    <w:adjustRightInd w:val="0"/>
                    <w:snapToGrid w:val="0"/>
                    <w:jc w:val="center"/>
                    <w:rPr>
                      <w:color w:val="auto"/>
                      <w:kern w:val="0"/>
                      <w:szCs w:val="21"/>
                    </w:rPr>
                  </w:pPr>
                  <w:r>
                    <w:rPr>
                      <w:color w:val="auto"/>
                      <w:kern w:val="0"/>
                      <w:szCs w:val="21"/>
                    </w:rPr>
                    <w:t>PM</w:t>
                  </w:r>
                  <w:r>
                    <w:rPr>
                      <w:color w:val="auto"/>
                      <w:kern w:val="0"/>
                      <w:szCs w:val="21"/>
                      <w:vertAlign w:val="subscript"/>
                    </w:rPr>
                    <w:t>2.5</w:t>
                  </w:r>
                </w:p>
              </w:tc>
              <w:tc>
                <w:tcPr>
                  <w:tcW w:w="1318" w:type="pct"/>
                  <w:vAlign w:val="center"/>
                </w:tcPr>
                <w:p w14:paraId="575A679F">
                  <w:pPr>
                    <w:adjustRightInd w:val="0"/>
                    <w:snapToGrid w:val="0"/>
                    <w:jc w:val="center"/>
                    <w:rPr>
                      <w:color w:val="auto"/>
                      <w:kern w:val="0"/>
                      <w:szCs w:val="21"/>
                    </w:rPr>
                  </w:pPr>
                  <w:r>
                    <w:rPr>
                      <w:color w:val="auto"/>
                      <w:kern w:val="0"/>
                      <w:szCs w:val="21"/>
                    </w:rPr>
                    <w:t>年平均质量浓度</w:t>
                  </w:r>
                </w:p>
              </w:tc>
              <w:tc>
                <w:tcPr>
                  <w:tcW w:w="636" w:type="pct"/>
                  <w:vAlign w:val="center"/>
                </w:tcPr>
                <w:p w14:paraId="42461CB9">
                  <w:pPr>
                    <w:adjustRightInd w:val="0"/>
                    <w:snapToGrid w:val="0"/>
                    <w:jc w:val="center"/>
                    <w:rPr>
                      <w:color w:val="auto"/>
                      <w:kern w:val="0"/>
                      <w:szCs w:val="21"/>
                    </w:rPr>
                  </w:pPr>
                  <w:r>
                    <w:rPr>
                      <w:color w:val="auto"/>
                      <w:kern w:val="0"/>
                      <w:szCs w:val="21"/>
                    </w:rPr>
                    <w:t>35</w:t>
                  </w:r>
                </w:p>
              </w:tc>
              <w:tc>
                <w:tcPr>
                  <w:tcW w:w="721" w:type="pct"/>
                  <w:vAlign w:val="center"/>
                </w:tcPr>
                <w:p w14:paraId="16C8B682">
                  <w:pPr>
                    <w:adjustRightInd w:val="0"/>
                    <w:snapToGrid w:val="0"/>
                    <w:jc w:val="center"/>
                    <w:rPr>
                      <w:color w:val="auto"/>
                      <w:kern w:val="0"/>
                      <w:szCs w:val="21"/>
                    </w:rPr>
                  </w:pPr>
                  <w:r>
                    <w:rPr>
                      <w:color w:val="auto"/>
                      <w:kern w:val="0"/>
                      <w:szCs w:val="21"/>
                    </w:rPr>
                    <w:t>48</w:t>
                  </w:r>
                </w:p>
              </w:tc>
              <w:tc>
                <w:tcPr>
                  <w:tcW w:w="667" w:type="pct"/>
                  <w:vAlign w:val="center"/>
                </w:tcPr>
                <w:p w14:paraId="2D0E4FC7">
                  <w:pPr>
                    <w:adjustRightInd w:val="0"/>
                    <w:snapToGrid w:val="0"/>
                    <w:jc w:val="center"/>
                    <w:rPr>
                      <w:color w:val="auto"/>
                      <w:kern w:val="0"/>
                      <w:szCs w:val="21"/>
                    </w:rPr>
                  </w:pPr>
                  <w:r>
                    <w:rPr>
                      <w:color w:val="auto"/>
                      <w:kern w:val="0"/>
                      <w:szCs w:val="21"/>
                    </w:rPr>
                    <w:t>137%</w:t>
                  </w:r>
                </w:p>
              </w:tc>
              <w:tc>
                <w:tcPr>
                  <w:tcW w:w="551" w:type="pct"/>
                  <w:vAlign w:val="center"/>
                </w:tcPr>
                <w:p w14:paraId="191741C3">
                  <w:pPr>
                    <w:adjustRightInd w:val="0"/>
                    <w:snapToGrid w:val="0"/>
                    <w:jc w:val="center"/>
                    <w:rPr>
                      <w:color w:val="auto"/>
                      <w:kern w:val="0"/>
                      <w:szCs w:val="21"/>
                    </w:rPr>
                  </w:pPr>
                  <w:r>
                    <w:rPr>
                      <w:color w:val="auto"/>
                      <w:kern w:val="0"/>
                      <w:szCs w:val="21"/>
                    </w:rPr>
                    <w:t>不达标</w:t>
                  </w:r>
                </w:p>
              </w:tc>
            </w:tr>
            <w:tr w14:paraId="26D9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5" w:type="pct"/>
                  <w:vMerge w:val="continue"/>
                  <w:vAlign w:val="center"/>
                </w:tcPr>
                <w:p w14:paraId="12F6336F">
                  <w:pPr>
                    <w:adjustRightInd w:val="0"/>
                    <w:snapToGrid w:val="0"/>
                    <w:jc w:val="center"/>
                    <w:rPr>
                      <w:color w:val="auto"/>
                      <w:kern w:val="0"/>
                      <w:szCs w:val="21"/>
                    </w:rPr>
                  </w:pPr>
                </w:p>
              </w:tc>
              <w:tc>
                <w:tcPr>
                  <w:tcW w:w="559" w:type="pct"/>
                  <w:vAlign w:val="center"/>
                </w:tcPr>
                <w:p w14:paraId="0A1FD7C9">
                  <w:pPr>
                    <w:adjustRightInd w:val="0"/>
                    <w:snapToGrid w:val="0"/>
                    <w:jc w:val="center"/>
                    <w:rPr>
                      <w:color w:val="auto"/>
                      <w:kern w:val="0"/>
                      <w:szCs w:val="21"/>
                    </w:rPr>
                  </w:pPr>
                  <w:r>
                    <w:rPr>
                      <w:color w:val="auto"/>
                      <w:kern w:val="0"/>
                      <w:szCs w:val="21"/>
                    </w:rPr>
                    <w:t>PM</w:t>
                  </w:r>
                  <w:r>
                    <w:rPr>
                      <w:color w:val="auto"/>
                      <w:kern w:val="0"/>
                      <w:szCs w:val="21"/>
                      <w:vertAlign w:val="subscript"/>
                    </w:rPr>
                    <w:t>10</w:t>
                  </w:r>
                </w:p>
              </w:tc>
              <w:tc>
                <w:tcPr>
                  <w:tcW w:w="1318" w:type="pct"/>
                  <w:vAlign w:val="center"/>
                </w:tcPr>
                <w:p w14:paraId="02A5DED0">
                  <w:pPr>
                    <w:adjustRightInd w:val="0"/>
                    <w:snapToGrid w:val="0"/>
                    <w:jc w:val="center"/>
                    <w:rPr>
                      <w:color w:val="auto"/>
                      <w:kern w:val="0"/>
                      <w:szCs w:val="21"/>
                    </w:rPr>
                  </w:pPr>
                  <w:r>
                    <w:rPr>
                      <w:color w:val="auto"/>
                      <w:kern w:val="0"/>
                      <w:szCs w:val="21"/>
                    </w:rPr>
                    <w:t>年平均质量浓度</w:t>
                  </w:r>
                </w:p>
              </w:tc>
              <w:tc>
                <w:tcPr>
                  <w:tcW w:w="636" w:type="pct"/>
                  <w:vAlign w:val="center"/>
                </w:tcPr>
                <w:p w14:paraId="30618C28">
                  <w:pPr>
                    <w:adjustRightInd w:val="0"/>
                    <w:snapToGrid w:val="0"/>
                    <w:jc w:val="center"/>
                    <w:rPr>
                      <w:color w:val="auto"/>
                      <w:kern w:val="0"/>
                      <w:szCs w:val="21"/>
                    </w:rPr>
                  </w:pPr>
                  <w:r>
                    <w:rPr>
                      <w:color w:val="auto"/>
                      <w:kern w:val="0"/>
                      <w:szCs w:val="21"/>
                    </w:rPr>
                    <w:t>70</w:t>
                  </w:r>
                </w:p>
              </w:tc>
              <w:tc>
                <w:tcPr>
                  <w:tcW w:w="721" w:type="pct"/>
                  <w:vAlign w:val="center"/>
                </w:tcPr>
                <w:p w14:paraId="294AB606">
                  <w:pPr>
                    <w:adjustRightInd w:val="0"/>
                    <w:snapToGrid w:val="0"/>
                    <w:jc w:val="center"/>
                    <w:rPr>
                      <w:color w:val="auto"/>
                      <w:kern w:val="0"/>
                      <w:szCs w:val="21"/>
                    </w:rPr>
                  </w:pPr>
                  <w:r>
                    <w:rPr>
                      <w:color w:val="auto"/>
                      <w:kern w:val="0"/>
                      <w:szCs w:val="21"/>
                    </w:rPr>
                    <w:t>82</w:t>
                  </w:r>
                </w:p>
              </w:tc>
              <w:tc>
                <w:tcPr>
                  <w:tcW w:w="667" w:type="pct"/>
                  <w:vAlign w:val="center"/>
                </w:tcPr>
                <w:p w14:paraId="3235C658">
                  <w:pPr>
                    <w:adjustRightInd w:val="0"/>
                    <w:snapToGrid w:val="0"/>
                    <w:jc w:val="center"/>
                    <w:rPr>
                      <w:color w:val="auto"/>
                      <w:kern w:val="0"/>
                      <w:szCs w:val="21"/>
                    </w:rPr>
                  </w:pPr>
                  <w:r>
                    <w:rPr>
                      <w:color w:val="auto"/>
                      <w:kern w:val="0"/>
                      <w:szCs w:val="21"/>
                    </w:rPr>
                    <w:t>117%</w:t>
                  </w:r>
                </w:p>
              </w:tc>
              <w:tc>
                <w:tcPr>
                  <w:tcW w:w="551" w:type="pct"/>
                  <w:vAlign w:val="center"/>
                </w:tcPr>
                <w:p w14:paraId="5406E05B">
                  <w:pPr>
                    <w:adjustRightInd w:val="0"/>
                    <w:snapToGrid w:val="0"/>
                    <w:jc w:val="center"/>
                    <w:rPr>
                      <w:color w:val="auto"/>
                      <w:kern w:val="0"/>
                      <w:szCs w:val="21"/>
                    </w:rPr>
                  </w:pPr>
                  <w:r>
                    <w:rPr>
                      <w:color w:val="auto"/>
                      <w:kern w:val="0"/>
                      <w:szCs w:val="21"/>
                    </w:rPr>
                    <w:t>不达标</w:t>
                  </w:r>
                </w:p>
              </w:tc>
            </w:tr>
            <w:tr w14:paraId="1910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5" w:type="pct"/>
                  <w:vMerge w:val="continue"/>
                  <w:vAlign w:val="center"/>
                </w:tcPr>
                <w:p w14:paraId="0E9A79A0">
                  <w:pPr>
                    <w:adjustRightInd w:val="0"/>
                    <w:snapToGrid w:val="0"/>
                    <w:jc w:val="center"/>
                    <w:rPr>
                      <w:color w:val="auto"/>
                      <w:kern w:val="0"/>
                      <w:szCs w:val="21"/>
                    </w:rPr>
                  </w:pPr>
                </w:p>
              </w:tc>
              <w:tc>
                <w:tcPr>
                  <w:tcW w:w="559" w:type="pct"/>
                  <w:vAlign w:val="center"/>
                </w:tcPr>
                <w:p w14:paraId="5738BB2D">
                  <w:pPr>
                    <w:adjustRightInd w:val="0"/>
                    <w:snapToGrid w:val="0"/>
                    <w:jc w:val="center"/>
                    <w:rPr>
                      <w:color w:val="auto"/>
                      <w:kern w:val="0"/>
                      <w:szCs w:val="21"/>
                    </w:rPr>
                  </w:pPr>
                  <w:r>
                    <w:rPr>
                      <w:color w:val="auto"/>
                      <w:kern w:val="0"/>
                      <w:szCs w:val="21"/>
                    </w:rPr>
                    <w:t>SO</w:t>
                  </w:r>
                  <w:r>
                    <w:rPr>
                      <w:color w:val="auto"/>
                      <w:kern w:val="0"/>
                      <w:szCs w:val="21"/>
                      <w:vertAlign w:val="subscript"/>
                    </w:rPr>
                    <w:t>2</w:t>
                  </w:r>
                </w:p>
              </w:tc>
              <w:tc>
                <w:tcPr>
                  <w:tcW w:w="1318" w:type="pct"/>
                  <w:vAlign w:val="center"/>
                </w:tcPr>
                <w:p w14:paraId="36719533">
                  <w:pPr>
                    <w:adjustRightInd w:val="0"/>
                    <w:snapToGrid w:val="0"/>
                    <w:jc w:val="center"/>
                    <w:rPr>
                      <w:color w:val="auto"/>
                      <w:kern w:val="0"/>
                      <w:szCs w:val="21"/>
                    </w:rPr>
                  </w:pPr>
                  <w:r>
                    <w:rPr>
                      <w:color w:val="auto"/>
                      <w:kern w:val="0"/>
                      <w:szCs w:val="21"/>
                    </w:rPr>
                    <w:t>年平均质量浓度</w:t>
                  </w:r>
                </w:p>
              </w:tc>
              <w:tc>
                <w:tcPr>
                  <w:tcW w:w="636" w:type="pct"/>
                  <w:vAlign w:val="center"/>
                </w:tcPr>
                <w:p w14:paraId="3E7595ED">
                  <w:pPr>
                    <w:adjustRightInd w:val="0"/>
                    <w:snapToGrid w:val="0"/>
                    <w:jc w:val="center"/>
                    <w:rPr>
                      <w:color w:val="auto"/>
                      <w:kern w:val="0"/>
                      <w:szCs w:val="21"/>
                    </w:rPr>
                  </w:pPr>
                  <w:r>
                    <w:rPr>
                      <w:color w:val="auto"/>
                      <w:kern w:val="0"/>
                      <w:szCs w:val="21"/>
                    </w:rPr>
                    <w:t>60</w:t>
                  </w:r>
                </w:p>
              </w:tc>
              <w:tc>
                <w:tcPr>
                  <w:tcW w:w="721" w:type="pct"/>
                  <w:vAlign w:val="center"/>
                </w:tcPr>
                <w:p w14:paraId="40057B1E">
                  <w:pPr>
                    <w:adjustRightInd w:val="0"/>
                    <w:snapToGrid w:val="0"/>
                    <w:jc w:val="center"/>
                    <w:rPr>
                      <w:color w:val="auto"/>
                      <w:kern w:val="0"/>
                      <w:szCs w:val="21"/>
                    </w:rPr>
                  </w:pPr>
                  <w:r>
                    <w:rPr>
                      <w:color w:val="auto"/>
                      <w:kern w:val="0"/>
                      <w:szCs w:val="21"/>
                    </w:rPr>
                    <w:t>7</w:t>
                  </w:r>
                </w:p>
              </w:tc>
              <w:tc>
                <w:tcPr>
                  <w:tcW w:w="667" w:type="pct"/>
                  <w:vAlign w:val="center"/>
                </w:tcPr>
                <w:p w14:paraId="2D50F575">
                  <w:pPr>
                    <w:adjustRightInd w:val="0"/>
                    <w:snapToGrid w:val="0"/>
                    <w:jc w:val="center"/>
                    <w:rPr>
                      <w:color w:val="auto"/>
                      <w:kern w:val="0"/>
                      <w:szCs w:val="21"/>
                    </w:rPr>
                  </w:pPr>
                  <w:r>
                    <w:rPr>
                      <w:color w:val="auto"/>
                      <w:kern w:val="0"/>
                      <w:szCs w:val="21"/>
                    </w:rPr>
                    <w:t>12%</w:t>
                  </w:r>
                </w:p>
              </w:tc>
              <w:tc>
                <w:tcPr>
                  <w:tcW w:w="551" w:type="pct"/>
                  <w:vAlign w:val="center"/>
                </w:tcPr>
                <w:p w14:paraId="15E54EE4">
                  <w:pPr>
                    <w:adjustRightInd w:val="0"/>
                    <w:snapToGrid w:val="0"/>
                    <w:jc w:val="center"/>
                    <w:rPr>
                      <w:color w:val="auto"/>
                      <w:kern w:val="0"/>
                      <w:szCs w:val="21"/>
                    </w:rPr>
                  </w:pPr>
                  <w:r>
                    <w:rPr>
                      <w:color w:val="auto"/>
                      <w:kern w:val="0"/>
                      <w:szCs w:val="21"/>
                    </w:rPr>
                    <w:t>达标</w:t>
                  </w:r>
                </w:p>
              </w:tc>
            </w:tr>
            <w:tr w14:paraId="40C0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5" w:type="pct"/>
                  <w:vMerge w:val="continue"/>
                  <w:vAlign w:val="center"/>
                </w:tcPr>
                <w:p w14:paraId="1ED898D2">
                  <w:pPr>
                    <w:adjustRightInd w:val="0"/>
                    <w:snapToGrid w:val="0"/>
                    <w:jc w:val="center"/>
                    <w:rPr>
                      <w:color w:val="auto"/>
                      <w:kern w:val="0"/>
                      <w:szCs w:val="21"/>
                    </w:rPr>
                  </w:pPr>
                </w:p>
              </w:tc>
              <w:tc>
                <w:tcPr>
                  <w:tcW w:w="559" w:type="pct"/>
                  <w:vAlign w:val="center"/>
                </w:tcPr>
                <w:p w14:paraId="766B64F6">
                  <w:pPr>
                    <w:adjustRightInd w:val="0"/>
                    <w:snapToGrid w:val="0"/>
                    <w:jc w:val="center"/>
                    <w:rPr>
                      <w:color w:val="auto"/>
                      <w:kern w:val="0"/>
                      <w:szCs w:val="21"/>
                    </w:rPr>
                  </w:pPr>
                  <w:r>
                    <w:rPr>
                      <w:color w:val="auto"/>
                      <w:kern w:val="0"/>
                      <w:szCs w:val="21"/>
                    </w:rPr>
                    <w:t>NO</w:t>
                  </w:r>
                  <w:r>
                    <w:rPr>
                      <w:color w:val="auto"/>
                      <w:kern w:val="0"/>
                      <w:szCs w:val="21"/>
                      <w:vertAlign w:val="subscript"/>
                    </w:rPr>
                    <w:t>2</w:t>
                  </w:r>
                </w:p>
              </w:tc>
              <w:tc>
                <w:tcPr>
                  <w:tcW w:w="1318" w:type="pct"/>
                  <w:vAlign w:val="center"/>
                </w:tcPr>
                <w:p w14:paraId="110D25CF">
                  <w:pPr>
                    <w:adjustRightInd w:val="0"/>
                    <w:snapToGrid w:val="0"/>
                    <w:jc w:val="center"/>
                    <w:rPr>
                      <w:color w:val="auto"/>
                      <w:kern w:val="0"/>
                      <w:szCs w:val="21"/>
                    </w:rPr>
                  </w:pPr>
                  <w:r>
                    <w:rPr>
                      <w:color w:val="auto"/>
                      <w:kern w:val="0"/>
                      <w:szCs w:val="21"/>
                    </w:rPr>
                    <w:t>年平均质量浓度</w:t>
                  </w:r>
                </w:p>
              </w:tc>
              <w:tc>
                <w:tcPr>
                  <w:tcW w:w="636" w:type="pct"/>
                  <w:vAlign w:val="center"/>
                </w:tcPr>
                <w:p w14:paraId="4070342A">
                  <w:pPr>
                    <w:adjustRightInd w:val="0"/>
                    <w:snapToGrid w:val="0"/>
                    <w:jc w:val="center"/>
                    <w:rPr>
                      <w:color w:val="auto"/>
                      <w:kern w:val="0"/>
                      <w:szCs w:val="21"/>
                    </w:rPr>
                  </w:pPr>
                  <w:r>
                    <w:rPr>
                      <w:color w:val="auto"/>
                      <w:kern w:val="0"/>
                      <w:szCs w:val="21"/>
                    </w:rPr>
                    <w:t>40</w:t>
                  </w:r>
                </w:p>
              </w:tc>
              <w:tc>
                <w:tcPr>
                  <w:tcW w:w="721" w:type="pct"/>
                  <w:vAlign w:val="center"/>
                </w:tcPr>
                <w:p w14:paraId="2B8E116A">
                  <w:pPr>
                    <w:adjustRightInd w:val="0"/>
                    <w:snapToGrid w:val="0"/>
                    <w:jc w:val="center"/>
                    <w:rPr>
                      <w:color w:val="auto"/>
                      <w:kern w:val="0"/>
                      <w:szCs w:val="21"/>
                    </w:rPr>
                  </w:pPr>
                  <w:r>
                    <w:rPr>
                      <w:color w:val="auto"/>
                      <w:kern w:val="0"/>
                      <w:szCs w:val="21"/>
                    </w:rPr>
                    <w:t>37</w:t>
                  </w:r>
                </w:p>
              </w:tc>
              <w:tc>
                <w:tcPr>
                  <w:tcW w:w="667" w:type="pct"/>
                  <w:vAlign w:val="center"/>
                </w:tcPr>
                <w:p w14:paraId="043EE767">
                  <w:pPr>
                    <w:adjustRightInd w:val="0"/>
                    <w:snapToGrid w:val="0"/>
                    <w:jc w:val="center"/>
                    <w:rPr>
                      <w:color w:val="auto"/>
                      <w:kern w:val="0"/>
                      <w:szCs w:val="21"/>
                    </w:rPr>
                  </w:pPr>
                  <w:r>
                    <w:rPr>
                      <w:color w:val="auto"/>
                      <w:kern w:val="0"/>
                      <w:szCs w:val="21"/>
                    </w:rPr>
                    <w:t>93%</w:t>
                  </w:r>
                </w:p>
              </w:tc>
              <w:tc>
                <w:tcPr>
                  <w:tcW w:w="551" w:type="pct"/>
                  <w:vAlign w:val="center"/>
                </w:tcPr>
                <w:p w14:paraId="7C40105D">
                  <w:pPr>
                    <w:adjustRightInd w:val="0"/>
                    <w:snapToGrid w:val="0"/>
                    <w:jc w:val="center"/>
                    <w:rPr>
                      <w:color w:val="auto"/>
                      <w:kern w:val="0"/>
                      <w:szCs w:val="21"/>
                    </w:rPr>
                  </w:pPr>
                  <w:r>
                    <w:rPr>
                      <w:color w:val="auto"/>
                      <w:kern w:val="0"/>
                      <w:szCs w:val="21"/>
                    </w:rPr>
                    <w:t>达标</w:t>
                  </w:r>
                </w:p>
              </w:tc>
            </w:tr>
            <w:tr w14:paraId="5444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5" w:type="pct"/>
                  <w:vMerge w:val="continue"/>
                  <w:vAlign w:val="center"/>
                </w:tcPr>
                <w:p w14:paraId="3C502D24">
                  <w:pPr>
                    <w:adjustRightInd w:val="0"/>
                    <w:snapToGrid w:val="0"/>
                    <w:jc w:val="center"/>
                    <w:rPr>
                      <w:color w:val="auto"/>
                      <w:kern w:val="0"/>
                      <w:szCs w:val="21"/>
                    </w:rPr>
                  </w:pPr>
                </w:p>
              </w:tc>
              <w:tc>
                <w:tcPr>
                  <w:tcW w:w="559" w:type="pct"/>
                  <w:vAlign w:val="center"/>
                </w:tcPr>
                <w:p w14:paraId="6AE09FA2">
                  <w:pPr>
                    <w:adjustRightInd w:val="0"/>
                    <w:snapToGrid w:val="0"/>
                    <w:jc w:val="center"/>
                    <w:rPr>
                      <w:color w:val="auto"/>
                      <w:kern w:val="0"/>
                      <w:szCs w:val="21"/>
                    </w:rPr>
                  </w:pPr>
                  <w:r>
                    <w:rPr>
                      <w:color w:val="auto"/>
                      <w:kern w:val="0"/>
                      <w:szCs w:val="21"/>
                    </w:rPr>
                    <w:t>CO</w:t>
                  </w:r>
                </w:p>
              </w:tc>
              <w:tc>
                <w:tcPr>
                  <w:tcW w:w="1318" w:type="pct"/>
                  <w:vAlign w:val="center"/>
                </w:tcPr>
                <w:p w14:paraId="4658F6B9">
                  <w:pPr>
                    <w:adjustRightInd w:val="0"/>
                    <w:snapToGrid w:val="0"/>
                    <w:jc w:val="center"/>
                    <w:rPr>
                      <w:color w:val="auto"/>
                      <w:kern w:val="0"/>
                      <w:szCs w:val="21"/>
                    </w:rPr>
                  </w:pPr>
                  <w:r>
                    <w:rPr>
                      <w:color w:val="auto"/>
                      <w:kern w:val="0"/>
                      <w:szCs w:val="21"/>
                    </w:rPr>
                    <w:t>第95百分位浓度</w:t>
                  </w:r>
                </w:p>
              </w:tc>
              <w:tc>
                <w:tcPr>
                  <w:tcW w:w="636" w:type="pct"/>
                  <w:vAlign w:val="center"/>
                </w:tcPr>
                <w:p w14:paraId="5DFDEE33">
                  <w:pPr>
                    <w:adjustRightInd w:val="0"/>
                    <w:snapToGrid w:val="0"/>
                    <w:jc w:val="center"/>
                    <w:rPr>
                      <w:color w:val="auto"/>
                      <w:kern w:val="0"/>
                      <w:szCs w:val="21"/>
                    </w:rPr>
                  </w:pPr>
                  <w:r>
                    <w:rPr>
                      <w:color w:val="auto"/>
                      <w:kern w:val="0"/>
                      <w:szCs w:val="21"/>
                    </w:rPr>
                    <w:t>4000</w:t>
                  </w:r>
                </w:p>
              </w:tc>
              <w:tc>
                <w:tcPr>
                  <w:tcW w:w="721" w:type="pct"/>
                  <w:vAlign w:val="center"/>
                </w:tcPr>
                <w:p w14:paraId="71A7EFF1">
                  <w:pPr>
                    <w:adjustRightInd w:val="0"/>
                    <w:snapToGrid w:val="0"/>
                    <w:jc w:val="center"/>
                    <w:rPr>
                      <w:color w:val="auto"/>
                      <w:kern w:val="0"/>
                      <w:szCs w:val="21"/>
                    </w:rPr>
                  </w:pPr>
                  <w:r>
                    <w:rPr>
                      <w:color w:val="auto"/>
                      <w:kern w:val="0"/>
                      <w:szCs w:val="21"/>
                    </w:rPr>
                    <w:t>1300</w:t>
                  </w:r>
                </w:p>
              </w:tc>
              <w:tc>
                <w:tcPr>
                  <w:tcW w:w="667" w:type="pct"/>
                  <w:vAlign w:val="center"/>
                </w:tcPr>
                <w:p w14:paraId="52ACF373">
                  <w:pPr>
                    <w:adjustRightInd w:val="0"/>
                    <w:snapToGrid w:val="0"/>
                    <w:jc w:val="center"/>
                    <w:rPr>
                      <w:color w:val="auto"/>
                      <w:kern w:val="0"/>
                      <w:szCs w:val="21"/>
                    </w:rPr>
                  </w:pPr>
                  <w:r>
                    <w:rPr>
                      <w:color w:val="auto"/>
                      <w:kern w:val="0"/>
                      <w:szCs w:val="21"/>
                    </w:rPr>
                    <w:t>33%</w:t>
                  </w:r>
                </w:p>
              </w:tc>
              <w:tc>
                <w:tcPr>
                  <w:tcW w:w="551" w:type="pct"/>
                  <w:vAlign w:val="center"/>
                </w:tcPr>
                <w:p w14:paraId="50046934">
                  <w:pPr>
                    <w:adjustRightInd w:val="0"/>
                    <w:snapToGrid w:val="0"/>
                    <w:jc w:val="center"/>
                    <w:rPr>
                      <w:color w:val="auto"/>
                      <w:kern w:val="0"/>
                      <w:szCs w:val="21"/>
                    </w:rPr>
                  </w:pPr>
                  <w:r>
                    <w:rPr>
                      <w:color w:val="auto"/>
                      <w:kern w:val="0"/>
                      <w:szCs w:val="21"/>
                    </w:rPr>
                    <w:t>达标</w:t>
                  </w:r>
                </w:p>
              </w:tc>
            </w:tr>
            <w:tr w14:paraId="7EC5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545" w:type="pct"/>
                  <w:vMerge w:val="continue"/>
                  <w:vAlign w:val="center"/>
                </w:tcPr>
                <w:p w14:paraId="6FB9688F">
                  <w:pPr>
                    <w:adjustRightInd w:val="0"/>
                    <w:snapToGrid w:val="0"/>
                    <w:jc w:val="center"/>
                    <w:rPr>
                      <w:color w:val="auto"/>
                      <w:kern w:val="0"/>
                      <w:szCs w:val="21"/>
                    </w:rPr>
                  </w:pPr>
                </w:p>
              </w:tc>
              <w:tc>
                <w:tcPr>
                  <w:tcW w:w="559" w:type="pct"/>
                  <w:vAlign w:val="center"/>
                </w:tcPr>
                <w:p w14:paraId="36ED1CC0">
                  <w:pPr>
                    <w:adjustRightInd w:val="0"/>
                    <w:snapToGrid w:val="0"/>
                    <w:jc w:val="center"/>
                    <w:rPr>
                      <w:color w:val="auto"/>
                      <w:kern w:val="0"/>
                      <w:szCs w:val="21"/>
                    </w:rPr>
                  </w:pPr>
                  <w:r>
                    <w:rPr>
                      <w:color w:val="auto"/>
                      <w:kern w:val="0"/>
                      <w:szCs w:val="21"/>
                    </w:rPr>
                    <w:t>O</w:t>
                  </w:r>
                  <w:r>
                    <w:rPr>
                      <w:color w:val="auto"/>
                      <w:kern w:val="0"/>
                      <w:szCs w:val="21"/>
                      <w:vertAlign w:val="subscript"/>
                    </w:rPr>
                    <w:t>3</w:t>
                  </w:r>
                </w:p>
              </w:tc>
              <w:tc>
                <w:tcPr>
                  <w:tcW w:w="1318" w:type="pct"/>
                  <w:vAlign w:val="center"/>
                </w:tcPr>
                <w:p w14:paraId="4174D3AE">
                  <w:pPr>
                    <w:adjustRightInd w:val="0"/>
                    <w:snapToGrid w:val="0"/>
                    <w:jc w:val="center"/>
                    <w:rPr>
                      <w:color w:val="auto"/>
                      <w:kern w:val="0"/>
                      <w:szCs w:val="21"/>
                    </w:rPr>
                  </w:pPr>
                  <w:r>
                    <w:rPr>
                      <w:color w:val="auto"/>
                      <w:kern w:val="0"/>
                      <w:szCs w:val="21"/>
                    </w:rPr>
                    <w:t>第90百分位浓度</w:t>
                  </w:r>
                </w:p>
              </w:tc>
              <w:tc>
                <w:tcPr>
                  <w:tcW w:w="636" w:type="pct"/>
                  <w:vAlign w:val="center"/>
                </w:tcPr>
                <w:p w14:paraId="39E9A390">
                  <w:pPr>
                    <w:adjustRightInd w:val="0"/>
                    <w:snapToGrid w:val="0"/>
                    <w:jc w:val="center"/>
                    <w:rPr>
                      <w:color w:val="auto"/>
                      <w:kern w:val="0"/>
                      <w:szCs w:val="21"/>
                    </w:rPr>
                  </w:pPr>
                  <w:r>
                    <w:rPr>
                      <w:color w:val="auto"/>
                      <w:kern w:val="0"/>
                      <w:szCs w:val="21"/>
                    </w:rPr>
                    <w:t>160</w:t>
                  </w:r>
                </w:p>
              </w:tc>
              <w:tc>
                <w:tcPr>
                  <w:tcW w:w="721" w:type="pct"/>
                  <w:vAlign w:val="center"/>
                </w:tcPr>
                <w:p w14:paraId="53348DA0">
                  <w:pPr>
                    <w:adjustRightInd w:val="0"/>
                    <w:snapToGrid w:val="0"/>
                    <w:jc w:val="center"/>
                    <w:rPr>
                      <w:color w:val="auto"/>
                      <w:kern w:val="0"/>
                      <w:szCs w:val="21"/>
                    </w:rPr>
                  </w:pPr>
                  <w:r>
                    <w:rPr>
                      <w:color w:val="auto"/>
                      <w:kern w:val="0"/>
                      <w:szCs w:val="21"/>
                    </w:rPr>
                    <w:t>163</w:t>
                  </w:r>
                </w:p>
              </w:tc>
              <w:tc>
                <w:tcPr>
                  <w:tcW w:w="667" w:type="pct"/>
                  <w:vAlign w:val="center"/>
                </w:tcPr>
                <w:p w14:paraId="222A0373">
                  <w:pPr>
                    <w:adjustRightInd w:val="0"/>
                    <w:snapToGrid w:val="0"/>
                    <w:jc w:val="center"/>
                    <w:rPr>
                      <w:color w:val="auto"/>
                      <w:kern w:val="0"/>
                      <w:szCs w:val="21"/>
                    </w:rPr>
                  </w:pPr>
                  <w:r>
                    <w:rPr>
                      <w:color w:val="auto"/>
                      <w:kern w:val="0"/>
                      <w:szCs w:val="21"/>
                    </w:rPr>
                    <w:t>102%</w:t>
                  </w:r>
                </w:p>
              </w:tc>
              <w:tc>
                <w:tcPr>
                  <w:tcW w:w="551" w:type="pct"/>
                  <w:vAlign w:val="center"/>
                </w:tcPr>
                <w:p w14:paraId="40D321D4">
                  <w:pPr>
                    <w:adjustRightInd w:val="0"/>
                    <w:snapToGrid w:val="0"/>
                    <w:jc w:val="center"/>
                    <w:rPr>
                      <w:color w:val="auto"/>
                      <w:kern w:val="0"/>
                      <w:szCs w:val="21"/>
                    </w:rPr>
                  </w:pPr>
                  <w:r>
                    <w:rPr>
                      <w:color w:val="auto"/>
                      <w:kern w:val="0"/>
                      <w:szCs w:val="21"/>
                    </w:rPr>
                    <w:t>不达标</w:t>
                  </w:r>
                </w:p>
              </w:tc>
            </w:tr>
          </w:tbl>
          <w:p w14:paraId="7BD9AAAB">
            <w:pPr>
              <w:widowControl/>
              <w:tabs>
                <w:tab w:val="left" w:pos="3555"/>
              </w:tabs>
              <w:spacing w:line="360" w:lineRule="auto"/>
              <w:ind w:firstLine="480" w:firstLineChars="200"/>
              <w:rPr>
                <w:color w:val="auto"/>
                <w:kern w:val="0"/>
                <w:sz w:val="24"/>
                <w:szCs w:val="20"/>
              </w:rPr>
            </w:pPr>
            <w:r>
              <w:rPr>
                <w:color w:val="auto"/>
                <w:kern w:val="0"/>
                <w:sz w:val="24"/>
                <w:szCs w:val="20"/>
              </w:rPr>
              <w:t>环境空气常规六项指标中，SO</w:t>
            </w:r>
            <w:r>
              <w:rPr>
                <w:color w:val="auto"/>
                <w:kern w:val="0"/>
                <w:sz w:val="24"/>
                <w:szCs w:val="20"/>
                <w:vertAlign w:val="subscript"/>
              </w:rPr>
              <w:t>2</w:t>
            </w:r>
            <w:r>
              <w:rPr>
                <w:color w:val="auto"/>
                <w:kern w:val="0"/>
                <w:sz w:val="24"/>
                <w:szCs w:val="20"/>
              </w:rPr>
              <w:t>年平均质量浓度、NO</w:t>
            </w:r>
            <w:r>
              <w:rPr>
                <w:color w:val="auto"/>
                <w:kern w:val="0"/>
                <w:sz w:val="24"/>
                <w:szCs w:val="20"/>
                <w:vertAlign w:val="subscript"/>
              </w:rPr>
              <w:t>2</w:t>
            </w:r>
            <w:r>
              <w:rPr>
                <w:color w:val="auto"/>
                <w:kern w:val="0"/>
                <w:sz w:val="24"/>
                <w:szCs w:val="20"/>
              </w:rPr>
              <w:t>年平均质量浓度、CO</w:t>
            </w:r>
            <w:r>
              <w:rPr>
                <w:rFonts w:hint="eastAsia"/>
                <w:color w:val="auto"/>
                <w:kern w:val="0"/>
                <w:sz w:val="24"/>
                <w:szCs w:val="20"/>
              </w:rPr>
              <w:t>第95百</w:t>
            </w:r>
            <w:r>
              <w:rPr>
                <w:color w:val="auto"/>
                <w:kern w:val="0"/>
                <w:sz w:val="24"/>
                <w:szCs w:val="20"/>
              </w:rPr>
              <w:t>分位</w:t>
            </w:r>
            <w:r>
              <w:rPr>
                <w:rFonts w:hint="eastAsia"/>
                <w:color w:val="auto"/>
                <w:kern w:val="0"/>
                <w:sz w:val="24"/>
                <w:szCs w:val="20"/>
              </w:rPr>
              <w:t>浓度</w:t>
            </w:r>
            <w:r>
              <w:rPr>
                <w:color w:val="auto"/>
                <w:kern w:val="0"/>
                <w:sz w:val="24"/>
                <w:szCs w:val="20"/>
              </w:rPr>
              <w:t>达到《环境空气质量标准》（GB3095-2012）二级标准要求，PM</w:t>
            </w:r>
            <w:r>
              <w:rPr>
                <w:color w:val="auto"/>
                <w:kern w:val="0"/>
                <w:sz w:val="24"/>
                <w:szCs w:val="20"/>
                <w:vertAlign w:val="subscript"/>
              </w:rPr>
              <w:t>2.5</w:t>
            </w:r>
            <w:r>
              <w:rPr>
                <w:color w:val="auto"/>
                <w:kern w:val="0"/>
                <w:sz w:val="24"/>
                <w:szCs w:val="20"/>
              </w:rPr>
              <w:t>年平均质量浓度、PM</w:t>
            </w:r>
            <w:r>
              <w:rPr>
                <w:color w:val="auto"/>
                <w:kern w:val="0"/>
                <w:sz w:val="24"/>
                <w:szCs w:val="20"/>
                <w:vertAlign w:val="subscript"/>
              </w:rPr>
              <w:t>10</w:t>
            </w:r>
            <w:r>
              <w:rPr>
                <w:color w:val="auto"/>
                <w:kern w:val="0"/>
                <w:sz w:val="24"/>
                <w:szCs w:val="20"/>
              </w:rPr>
              <w:t>年平均质量浓、O</w:t>
            </w:r>
            <w:r>
              <w:rPr>
                <w:color w:val="auto"/>
                <w:kern w:val="0"/>
                <w:sz w:val="24"/>
                <w:szCs w:val="20"/>
                <w:vertAlign w:val="subscript"/>
              </w:rPr>
              <w:t>3</w:t>
            </w:r>
            <w:r>
              <w:rPr>
                <w:rFonts w:hint="eastAsia"/>
                <w:color w:val="auto"/>
                <w:kern w:val="0"/>
                <w:sz w:val="24"/>
                <w:szCs w:val="20"/>
              </w:rPr>
              <w:t>第95百</w:t>
            </w:r>
            <w:r>
              <w:rPr>
                <w:color w:val="auto"/>
                <w:kern w:val="0"/>
                <w:sz w:val="24"/>
                <w:szCs w:val="20"/>
              </w:rPr>
              <w:t>分位</w:t>
            </w:r>
            <w:r>
              <w:rPr>
                <w:rFonts w:hint="eastAsia"/>
                <w:color w:val="auto"/>
                <w:kern w:val="0"/>
                <w:sz w:val="24"/>
                <w:szCs w:val="20"/>
              </w:rPr>
              <w:t>浓</w:t>
            </w:r>
            <w:r>
              <w:rPr>
                <w:color w:val="auto"/>
                <w:kern w:val="0"/>
                <w:sz w:val="24"/>
                <w:szCs w:val="20"/>
              </w:rPr>
              <w:t>度超过《环境空气质量标准》（GB3095-2012）二级标准要求，本项目所在区域属于不达标区域。</w:t>
            </w:r>
          </w:p>
          <w:p w14:paraId="68756D8F">
            <w:pPr>
              <w:spacing w:line="360" w:lineRule="auto"/>
              <w:ind w:firstLine="482" w:firstLineChars="200"/>
              <w:rPr>
                <w:b/>
                <w:bCs/>
                <w:color w:val="auto"/>
                <w:kern w:val="0"/>
                <w:sz w:val="24"/>
                <w:szCs w:val="20"/>
              </w:rPr>
            </w:pPr>
            <w:r>
              <w:rPr>
                <w:b/>
                <w:bCs/>
                <w:color w:val="auto"/>
                <w:kern w:val="0"/>
                <w:sz w:val="24"/>
                <w:szCs w:val="20"/>
              </w:rPr>
              <w:t>2、声环境现状监测</w:t>
            </w:r>
          </w:p>
          <w:p w14:paraId="7BF9087F">
            <w:pPr>
              <w:spacing w:line="360" w:lineRule="auto"/>
              <w:ind w:firstLine="480" w:firstLineChars="200"/>
              <w:rPr>
                <w:color w:val="auto"/>
                <w:sz w:val="24"/>
              </w:rPr>
            </w:pPr>
            <w:r>
              <w:rPr>
                <w:color w:val="auto"/>
                <w:sz w:val="24"/>
              </w:rPr>
              <w:t>本项目位于</w:t>
            </w:r>
            <w:r>
              <w:rPr>
                <w:rFonts w:hint="eastAsia"/>
                <w:color w:val="auto"/>
                <w:kern w:val="0"/>
                <w:sz w:val="24"/>
              </w:rPr>
              <w:t>陕西省西咸新区沣西新城秀雅路995号西安生漆涂料研究所五号楼</w:t>
            </w:r>
            <w:r>
              <w:rPr>
                <w:color w:val="auto"/>
                <w:kern w:val="0"/>
                <w:sz w:val="24"/>
              </w:rPr>
              <w:t>，</w:t>
            </w:r>
            <w:r>
              <w:rPr>
                <w:rFonts w:hint="eastAsia"/>
                <w:color w:val="FF0000"/>
                <w:kern w:val="0"/>
                <w:sz w:val="24"/>
                <w:szCs w:val="20"/>
              </w:rPr>
              <w:t>西安生漆涂料研究所五号楼</w:t>
            </w:r>
            <w:r>
              <w:rPr>
                <w:rFonts w:hint="eastAsia"/>
                <w:color w:val="FF0000"/>
                <w:kern w:val="0"/>
                <w:sz w:val="24"/>
                <w:szCs w:val="20"/>
                <w:lang w:val="en-US" w:eastAsia="zh-CN"/>
              </w:rPr>
              <w:t>四层办公室对面为西安新诺化学科技有限公司，一层、二层及三层其他办公室均空置，</w:t>
            </w:r>
            <w:r>
              <w:rPr>
                <w:rFonts w:hint="eastAsia"/>
                <w:color w:val="auto"/>
                <w:kern w:val="0"/>
                <w:sz w:val="24"/>
                <w:szCs w:val="20"/>
              </w:rPr>
              <w:t>西安生漆涂料研究所西侧为西安气象大数据应用中心、南侧为光储一体化新能源汽车服务中心、东侧为陕西省医疗器械质量监督检验院、北侧为沣景路</w:t>
            </w:r>
            <w:r>
              <w:rPr>
                <w:rFonts w:hint="eastAsia"/>
                <w:color w:val="auto"/>
                <w:kern w:val="0"/>
                <w:sz w:val="24"/>
              </w:rPr>
              <w:t>，</w:t>
            </w:r>
            <w:r>
              <w:rPr>
                <w:color w:val="auto"/>
                <w:kern w:val="0"/>
                <w:sz w:val="24"/>
                <w:szCs w:val="20"/>
              </w:rPr>
              <w:t>厂界外50m范围内无声环境保护目标。</w:t>
            </w:r>
          </w:p>
          <w:p w14:paraId="1BC7F284">
            <w:pPr>
              <w:spacing w:line="360" w:lineRule="auto"/>
              <w:ind w:firstLine="482" w:firstLineChars="200"/>
              <w:rPr>
                <w:b/>
                <w:bCs/>
                <w:color w:val="auto"/>
                <w:sz w:val="24"/>
              </w:rPr>
            </w:pPr>
            <w:r>
              <w:rPr>
                <w:b/>
                <w:bCs/>
                <w:color w:val="auto"/>
                <w:sz w:val="24"/>
              </w:rPr>
              <w:t>3、生态环境</w:t>
            </w:r>
          </w:p>
          <w:p w14:paraId="60AF6786">
            <w:pPr>
              <w:spacing w:line="360" w:lineRule="auto"/>
              <w:ind w:firstLine="480" w:firstLineChars="200"/>
              <w:rPr>
                <w:color w:val="auto"/>
                <w:sz w:val="24"/>
              </w:rPr>
            </w:pPr>
            <w:r>
              <w:rPr>
                <w:color w:val="auto"/>
                <w:sz w:val="24"/>
              </w:rPr>
              <w:t>本项目位于已建成的</w:t>
            </w:r>
            <w:r>
              <w:rPr>
                <w:rFonts w:hint="eastAsia"/>
                <w:color w:val="auto"/>
                <w:sz w:val="24"/>
              </w:rPr>
              <w:t>研究所</w:t>
            </w:r>
            <w:r>
              <w:rPr>
                <w:rFonts w:hint="eastAsia"/>
                <w:color w:val="auto"/>
                <w:sz w:val="24"/>
                <w:lang w:val="en-US" w:eastAsia="zh-CN"/>
              </w:rPr>
              <w:t>三层</w:t>
            </w:r>
            <w:r>
              <w:rPr>
                <w:color w:val="auto"/>
                <w:sz w:val="24"/>
              </w:rPr>
              <w:t>，</w:t>
            </w:r>
            <w:r>
              <w:rPr>
                <w:rFonts w:hint="eastAsia"/>
                <w:color w:val="auto"/>
                <w:kern w:val="0"/>
                <w:sz w:val="24"/>
                <w:szCs w:val="22"/>
              </w:rPr>
              <w:t>地面为水泥硬化地面并铺设瓷砖</w:t>
            </w:r>
            <w:r>
              <w:rPr>
                <w:color w:val="auto"/>
                <w:sz w:val="24"/>
              </w:rPr>
              <w:t>，不新增用地，无需进行生态现状调查。</w:t>
            </w:r>
          </w:p>
          <w:p w14:paraId="44237B03">
            <w:pPr>
              <w:spacing w:line="360" w:lineRule="auto"/>
              <w:ind w:firstLine="482" w:firstLineChars="200"/>
              <w:rPr>
                <w:b/>
                <w:bCs/>
                <w:color w:val="auto"/>
                <w:sz w:val="24"/>
              </w:rPr>
            </w:pPr>
            <w:r>
              <w:rPr>
                <w:b/>
                <w:bCs/>
                <w:color w:val="auto"/>
                <w:sz w:val="24"/>
              </w:rPr>
              <w:t>4、地下水、土壤环境</w:t>
            </w:r>
          </w:p>
          <w:p w14:paraId="2032FB2F">
            <w:pPr>
              <w:spacing w:line="360" w:lineRule="auto"/>
              <w:ind w:firstLine="480" w:firstLineChars="200"/>
              <w:rPr>
                <w:color w:val="auto"/>
                <w:sz w:val="24"/>
              </w:rPr>
            </w:pPr>
            <w:r>
              <w:rPr>
                <w:rFonts w:hint="eastAsia"/>
                <w:color w:val="auto"/>
                <w:sz w:val="24"/>
              </w:rPr>
              <w:t>根据《建设项目环境影响报告表编制技术指南（污染影响类）（试行）》，地下水、土壤环境原则上不开展环境质量现状调查。建设项目存在土壤、地下水环境污染途径的，应结合污染源、保护目标分布情况开展现状调查以留作背景值。</w:t>
            </w:r>
          </w:p>
          <w:p w14:paraId="795860E3">
            <w:pPr>
              <w:snapToGrid w:val="0"/>
              <w:spacing w:line="360" w:lineRule="auto"/>
              <w:ind w:firstLine="480" w:firstLineChars="200"/>
              <w:rPr>
                <w:color w:val="auto"/>
                <w:sz w:val="24"/>
              </w:rPr>
            </w:pPr>
            <w:r>
              <w:rPr>
                <w:color w:val="auto"/>
                <w:sz w:val="24"/>
              </w:rPr>
              <w:t>本项目在</w:t>
            </w:r>
            <w:r>
              <w:rPr>
                <w:rFonts w:hint="eastAsia"/>
                <w:color w:val="auto"/>
                <w:kern w:val="0"/>
                <w:sz w:val="24"/>
              </w:rPr>
              <w:t>陕西省西咸新区沣西新城秀雅路995号西安生漆涂料研究所五号楼</w:t>
            </w:r>
            <w:r>
              <w:rPr>
                <w:rFonts w:hint="eastAsia"/>
                <w:color w:val="auto"/>
                <w:kern w:val="0"/>
                <w:sz w:val="24"/>
                <w:lang w:val="en-US" w:eastAsia="zh-CN"/>
              </w:rPr>
              <w:t>三层及</w:t>
            </w:r>
            <w:r>
              <w:rPr>
                <w:rFonts w:hint="eastAsia"/>
                <w:color w:val="auto"/>
                <w:kern w:val="0"/>
                <w:sz w:val="24"/>
              </w:rPr>
              <w:t>四层</w:t>
            </w:r>
            <w:r>
              <w:rPr>
                <w:rFonts w:hint="eastAsia"/>
                <w:color w:val="auto"/>
                <w:sz w:val="24"/>
              </w:rPr>
              <w:t>进行建设</w:t>
            </w:r>
            <w:r>
              <w:rPr>
                <w:color w:val="auto"/>
                <w:sz w:val="24"/>
              </w:rPr>
              <w:t>，</w:t>
            </w:r>
            <w:r>
              <w:rPr>
                <w:rFonts w:hint="eastAsia"/>
                <w:color w:val="auto"/>
                <w:sz w:val="24"/>
              </w:rPr>
              <w:t>研发室及库房</w:t>
            </w:r>
            <w:r>
              <w:rPr>
                <w:rFonts w:hint="eastAsia"/>
                <w:color w:val="auto"/>
                <w:kern w:val="0"/>
                <w:sz w:val="24"/>
                <w:szCs w:val="22"/>
              </w:rPr>
              <w:t>地面为水泥硬化地面并铺设瓷砖</w:t>
            </w:r>
            <w:r>
              <w:rPr>
                <w:rFonts w:hint="eastAsia"/>
                <w:color w:val="auto"/>
                <w:sz w:val="24"/>
              </w:rPr>
              <w:t>，</w:t>
            </w:r>
            <w:r>
              <w:rPr>
                <w:rFonts w:hint="eastAsia" w:cs="宋体"/>
                <w:color w:val="auto"/>
                <w:kern w:val="0"/>
                <w:sz w:val="24"/>
                <w:lang w:eastAsia="zh-CN"/>
              </w:rPr>
              <w:t>危废贮存库</w:t>
            </w:r>
            <w:r>
              <w:rPr>
                <w:rFonts w:hint="eastAsia" w:cs="宋体"/>
                <w:color w:val="auto"/>
                <w:kern w:val="0"/>
                <w:sz w:val="24"/>
              </w:rPr>
              <w:t>位于</w:t>
            </w:r>
            <w:r>
              <w:rPr>
                <w:rFonts w:hint="eastAsia" w:cs="宋体"/>
                <w:color w:val="auto"/>
                <w:kern w:val="0"/>
                <w:sz w:val="24"/>
                <w:lang w:val="en-US" w:eastAsia="zh-CN"/>
              </w:rPr>
              <w:t>三层</w:t>
            </w:r>
            <w:r>
              <w:rPr>
                <w:rFonts w:hint="eastAsia" w:cs="宋体"/>
                <w:color w:val="auto"/>
                <w:kern w:val="0"/>
                <w:sz w:val="24"/>
              </w:rPr>
              <w:t>，后期按照要求进行防渗处理，废水排放管网均依托租赁西安生漆涂料研究所五号楼现有</w:t>
            </w:r>
            <w:r>
              <w:rPr>
                <w:color w:val="auto"/>
                <w:kern w:val="0"/>
                <w:sz w:val="24"/>
              </w:rPr>
              <w:t>。</w:t>
            </w:r>
            <w:r>
              <w:rPr>
                <w:rFonts w:hint="eastAsia"/>
                <w:color w:val="auto"/>
                <w:sz w:val="24"/>
              </w:rPr>
              <w:t>经上述措施后不存在土壤及地下水环境污染途径，故不需开展现状调查</w:t>
            </w:r>
            <w:r>
              <w:rPr>
                <w:color w:val="auto"/>
                <w:sz w:val="24"/>
              </w:rPr>
              <w:t>。</w:t>
            </w:r>
          </w:p>
        </w:tc>
      </w:tr>
      <w:tr w14:paraId="6356A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dxa"/>
            <w:vAlign w:val="center"/>
          </w:tcPr>
          <w:p w14:paraId="185EA52B">
            <w:pPr>
              <w:adjustRightInd w:val="0"/>
              <w:snapToGrid w:val="0"/>
              <w:spacing w:line="360" w:lineRule="auto"/>
              <w:jc w:val="center"/>
              <w:rPr>
                <w:color w:val="auto"/>
                <w:kern w:val="0"/>
                <w:sz w:val="24"/>
              </w:rPr>
            </w:pPr>
            <w:r>
              <w:rPr>
                <w:color w:val="auto"/>
                <w:kern w:val="0"/>
                <w:sz w:val="24"/>
              </w:rPr>
              <w:t>环境</w:t>
            </w:r>
          </w:p>
          <w:p w14:paraId="01F31C78">
            <w:pPr>
              <w:adjustRightInd w:val="0"/>
              <w:snapToGrid w:val="0"/>
              <w:spacing w:line="360" w:lineRule="auto"/>
              <w:jc w:val="center"/>
              <w:rPr>
                <w:color w:val="auto"/>
                <w:kern w:val="0"/>
                <w:sz w:val="24"/>
              </w:rPr>
            </w:pPr>
            <w:r>
              <w:rPr>
                <w:color w:val="auto"/>
                <w:kern w:val="0"/>
                <w:sz w:val="24"/>
              </w:rPr>
              <w:t>保护</w:t>
            </w:r>
          </w:p>
          <w:p w14:paraId="6697E3C2">
            <w:pPr>
              <w:adjustRightInd w:val="0"/>
              <w:snapToGrid w:val="0"/>
              <w:spacing w:line="360" w:lineRule="auto"/>
              <w:jc w:val="center"/>
              <w:rPr>
                <w:color w:val="auto"/>
                <w:kern w:val="0"/>
                <w:szCs w:val="21"/>
              </w:rPr>
            </w:pPr>
            <w:r>
              <w:rPr>
                <w:color w:val="auto"/>
                <w:kern w:val="0"/>
                <w:sz w:val="24"/>
              </w:rPr>
              <w:t>目标</w:t>
            </w:r>
          </w:p>
        </w:tc>
        <w:tc>
          <w:tcPr>
            <w:tcW w:w="8477" w:type="dxa"/>
            <w:vAlign w:val="center"/>
          </w:tcPr>
          <w:p w14:paraId="6C098436">
            <w:pPr>
              <w:spacing w:line="348" w:lineRule="auto"/>
              <w:ind w:firstLine="480" w:firstLineChars="200"/>
              <w:rPr>
                <w:color w:val="auto"/>
                <w:kern w:val="0"/>
                <w:sz w:val="24"/>
                <w:szCs w:val="20"/>
              </w:rPr>
            </w:pPr>
            <w:r>
              <w:rPr>
                <w:color w:val="auto"/>
                <w:kern w:val="0"/>
                <w:sz w:val="24"/>
                <w:szCs w:val="20"/>
              </w:rPr>
              <w:t>本项目属于污染影响类建设项目，根据《建设项目环境影响报告表编制技术指南（污染影响类）（试行）》确定各环境要素的环境影响评价范围及项目的环境保护目标。</w:t>
            </w:r>
          </w:p>
          <w:p w14:paraId="4421EA54">
            <w:pPr>
              <w:spacing w:line="348" w:lineRule="auto"/>
              <w:ind w:firstLine="480" w:firstLineChars="200"/>
              <w:rPr>
                <w:color w:val="auto"/>
                <w:kern w:val="0"/>
                <w:sz w:val="24"/>
                <w:szCs w:val="20"/>
              </w:rPr>
            </w:pPr>
            <w:r>
              <w:rPr>
                <w:color w:val="auto"/>
                <w:kern w:val="0"/>
                <w:sz w:val="24"/>
                <w:szCs w:val="20"/>
              </w:rPr>
              <w:t>大气环境：厂界外500m范围内的自然保护区、风景名胜区、居住区、文化区和农村地区中人群集中的区域等保护目标。</w:t>
            </w:r>
          </w:p>
          <w:p w14:paraId="642762C5">
            <w:pPr>
              <w:spacing w:line="348" w:lineRule="auto"/>
              <w:ind w:firstLine="480" w:firstLineChars="200"/>
              <w:rPr>
                <w:color w:val="auto"/>
                <w:kern w:val="0"/>
                <w:sz w:val="24"/>
                <w:szCs w:val="20"/>
              </w:rPr>
            </w:pPr>
            <w:r>
              <w:rPr>
                <w:color w:val="auto"/>
                <w:kern w:val="0"/>
                <w:sz w:val="24"/>
                <w:szCs w:val="20"/>
              </w:rPr>
              <w:t>声环境：厂界外50m范围内声环境保护目标。</w:t>
            </w:r>
          </w:p>
          <w:p w14:paraId="5604F9A1">
            <w:pPr>
              <w:spacing w:line="348" w:lineRule="auto"/>
              <w:ind w:firstLine="480" w:firstLineChars="200"/>
              <w:rPr>
                <w:color w:val="auto"/>
                <w:kern w:val="0"/>
                <w:sz w:val="24"/>
                <w:szCs w:val="20"/>
              </w:rPr>
            </w:pPr>
            <w:r>
              <w:rPr>
                <w:color w:val="auto"/>
                <w:kern w:val="0"/>
                <w:sz w:val="24"/>
                <w:szCs w:val="20"/>
              </w:rPr>
              <w:t>地下水环境：厂界外500m范围内的地下水集中式饮用水水源和热水、矿泉水、温泉等特殊地下水资源。</w:t>
            </w:r>
          </w:p>
          <w:p w14:paraId="17E97C11">
            <w:pPr>
              <w:spacing w:line="348" w:lineRule="auto"/>
              <w:ind w:firstLine="480" w:firstLineChars="200"/>
              <w:rPr>
                <w:color w:val="auto"/>
                <w:kern w:val="0"/>
                <w:sz w:val="24"/>
                <w:szCs w:val="20"/>
              </w:rPr>
            </w:pPr>
            <w:r>
              <w:rPr>
                <w:color w:val="auto"/>
                <w:kern w:val="0"/>
                <w:sz w:val="24"/>
                <w:szCs w:val="20"/>
              </w:rPr>
              <w:t>生态环境：产业园区外建设项目新增用地的，应明确新增用地范围内生态环境保护目标。</w:t>
            </w:r>
          </w:p>
          <w:p w14:paraId="73496533">
            <w:pPr>
              <w:spacing w:line="348" w:lineRule="auto"/>
              <w:ind w:firstLine="480" w:firstLineChars="200"/>
              <w:rPr>
                <w:color w:val="auto"/>
                <w:kern w:val="0"/>
                <w:sz w:val="24"/>
                <w:szCs w:val="20"/>
              </w:rPr>
            </w:pPr>
            <w:r>
              <w:rPr>
                <w:color w:val="auto"/>
                <w:kern w:val="0"/>
                <w:sz w:val="24"/>
                <w:szCs w:val="20"/>
              </w:rPr>
              <w:t>根据现场调查，</w:t>
            </w:r>
            <w:r>
              <w:rPr>
                <w:rFonts w:hint="eastAsia"/>
                <w:color w:val="auto"/>
                <w:kern w:val="0"/>
                <w:sz w:val="24"/>
                <w:szCs w:val="20"/>
              </w:rPr>
              <w:t>项目厂界外50m范围内不存在声环境保护目标，</w:t>
            </w:r>
            <w:r>
              <w:rPr>
                <w:color w:val="auto"/>
                <w:kern w:val="0"/>
                <w:sz w:val="24"/>
                <w:szCs w:val="20"/>
              </w:rPr>
              <w:t>厂界外500m范围内不涉及地下水集中式饮用水水源和热水、矿泉水、温泉等特殊地下水水资源；项目租赁已建成</w:t>
            </w:r>
            <w:r>
              <w:rPr>
                <w:rFonts w:hint="eastAsia"/>
                <w:color w:val="auto"/>
                <w:kern w:val="0"/>
                <w:sz w:val="24"/>
                <w:szCs w:val="20"/>
              </w:rPr>
              <w:t>车间</w:t>
            </w:r>
            <w:r>
              <w:rPr>
                <w:color w:val="auto"/>
                <w:kern w:val="0"/>
                <w:sz w:val="24"/>
                <w:szCs w:val="20"/>
              </w:rPr>
              <w:t>，不涉及新增用地，不涉及生态环境保护目标</w:t>
            </w:r>
            <w:r>
              <w:rPr>
                <w:rFonts w:hint="eastAsia"/>
                <w:color w:val="auto"/>
                <w:sz w:val="24"/>
              </w:rPr>
              <w:t>。</w:t>
            </w:r>
            <w:r>
              <w:rPr>
                <w:rFonts w:hint="eastAsia"/>
                <w:color w:val="auto"/>
                <w:kern w:val="0"/>
                <w:sz w:val="24"/>
                <w:szCs w:val="20"/>
              </w:rPr>
              <w:t>项目500m范围内大气环境保护目标</w:t>
            </w:r>
            <w:r>
              <w:rPr>
                <w:rFonts w:hint="eastAsia"/>
                <w:color w:val="auto"/>
                <w:sz w:val="24"/>
              </w:rPr>
              <w:t>见下表。</w:t>
            </w:r>
          </w:p>
          <w:p w14:paraId="61BC4B3D">
            <w:pPr>
              <w:snapToGrid w:val="0"/>
              <w:jc w:val="center"/>
              <w:rPr>
                <w:b/>
                <w:bCs/>
                <w:color w:val="auto"/>
                <w:kern w:val="0"/>
                <w:szCs w:val="21"/>
              </w:rPr>
            </w:pPr>
            <w:r>
              <w:rPr>
                <w:b/>
                <w:bCs/>
                <w:color w:val="auto"/>
                <w:kern w:val="0"/>
                <w:szCs w:val="21"/>
              </w:rPr>
              <w:t>表</w:t>
            </w:r>
            <w:r>
              <w:rPr>
                <w:rFonts w:hint="eastAsia"/>
                <w:b/>
                <w:bCs/>
                <w:color w:val="auto"/>
                <w:kern w:val="0"/>
                <w:szCs w:val="21"/>
              </w:rPr>
              <w:t xml:space="preserve">3-2   </w:t>
            </w:r>
            <w:r>
              <w:rPr>
                <w:b/>
                <w:bCs/>
                <w:color w:val="auto"/>
                <w:kern w:val="0"/>
                <w:szCs w:val="21"/>
              </w:rPr>
              <w:t>主要环境保护目标一览表</w:t>
            </w:r>
          </w:p>
          <w:tbl>
            <w:tblPr>
              <w:tblStyle w:val="18"/>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2"/>
              <w:gridCol w:w="640"/>
              <w:gridCol w:w="846"/>
              <w:gridCol w:w="733"/>
              <w:gridCol w:w="628"/>
              <w:gridCol w:w="612"/>
              <w:gridCol w:w="2170"/>
              <w:gridCol w:w="680"/>
              <w:gridCol w:w="736"/>
              <w:gridCol w:w="863"/>
            </w:tblGrid>
            <w:tr w14:paraId="2BE2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281" w:type="pct"/>
                  <w:vMerge w:val="restart"/>
                  <w:vAlign w:val="center"/>
                </w:tcPr>
                <w:p w14:paraId="0F9F4ACA">
                  <w:pPr>
                    <w:adjustRightInd w:val="0"/>
                    <w:snapToGrid w:val="0"/>
                    <w:jc w:val="center"/>
                    <w:rPr>
                      <w:color w:val="auto"/>
                      <w:kern w:val="0"/>
                      <w:szCs w:val="21"/>
                    </w:rPr>
                  </w:pPr>
                  <w:r>
                    <w:rPr>
                      <w:color w:val="auto"/>
                      <w:kern w:val="0"/>
                      <w:szCs w:val="21"/>
                    </w:rPr>
                    <w:t>环境</w:t>
                  </w:r>
                </w:p>
                <w:p w14:paraId="6D04E2E0">
                  <w:pPr>
                    <w:adjustRightInd w:val="0"/>
                    <w:snapToGrid w:val="0"/>
                    <w:jc w:val="center"/>
                    <w:rPr>
                      <w:b/>
                      <w:color w:val="auto"/>
                      <w:szCs w:val="21"/>
                    </w:rPr>
                  </w:pPr>
                  <w:r>
                    <w:rPr>
                      <w:color w:val="auto"/>
                      <w:kern w:val="0"/>
                      <w:szCs w:val="21"/>
                    </w:rPr>
                    <w:t>要素</w:t>
                  </w:r>
                </w:p>
              </w:tc>
              <w:tc>
                <w:tcPr>
                  <w:tcW w:w="381" w:type="pct"/>
                  <w:vMerge w:val="restart"/>
                  <w:vAlign w:val="center"/>
                </w:tcPr>
                <w:p w14:paraId="6F808DC1">
                  <w:pPr>
                    <w:adjustRightInd w:val="0"/>
                    <w:snapToGrid w:val="0"/>
                    <w:jc w:val="center"/>
                    <w:rPr>
                      <w:b/>
                      <w:color w:val="auto"/>
                      <w:szCs w:val="21"/>
                    </w:rPr>
                  </w:pPr>
                  <w:r>
                    <w:rPr>
                      <w:bCs/>
                      <w:color w:val="auto"/>
                      <w:szCs w:val="21"/>
                    </w:rPr>
                    <w:t>名称</w:t>
                  </w:r>
                </w:p>
              </w:tc>
              <w:tc>
                <w:tcPr>
                  <w:tcW w:w="941" w:type="pct"/>
                  <w:gridSpan w:val="2"/>
                  <w:vAlign w:val="center"/>
                </w:tcPr>
                <w:p w14:paraId="31CB11FC">
                  <w:pPr>
                    <w:adjustRightInd w:val="0"/>
                    <w:snapToGrid w:val="0"/>
                    <w:jc w:val="center"/>
                    <w:rPr>
                      <w:color w:val="auto"/>
                      <w:kern w:val="0"/>
                      <w:szCs w:val="21"/>
                    </w:rPr>
                  </w:pPr>
                  <w:r>
                    <w:rPr>
                      <w:color w:val="auto"/>
                      <w:kern w:val="0"/>
                      <w:szCs w:val="21"/>
                    </w:rPr>
                    <w:t>坐标/m</w:t>
                  </w:r>
                </w:p>
              </w:tc>
              <w:tc>
                <w:tcPr>
                  <w:tcW w:w="374" w:type="pct"/>
                  <w:vMerge w:val="restart"/>
                  <w:vAlign w:val="center"/>
                </w:tcPr>
                <w:p w14:paraId="567DC78A">
                  <w:pPr>
                    <w:adjustRightInd w:val="0"/>
                    <w:snapToGrid w:val="0"/>
                    <w:jc w:val="center"/>
                    <w:rPr>
                      <w:color w:val="auto"/>
                      <w:kern w:val="0"/>
                      <w:szCs w:val="21"/>
                    </w:rPr>
                  </w:pPr>
                  <w:r>
                    <w:rPr>
                      <w:color w:val="auto"/>
                      <w:kern w:val="0"/>
                      <w:szCs w:val="21"/>
                    </w:rPr>
                    <w:t>保护</w:t>
                  </w:r>
                </w:p>
                <w:p w14:paraId="325CCE8D">
                  <w:pPr>
                    <w:adjustRightInd w:val="0"/>
                    <w:snapToGrid w:val="0"/>
                    <w:jc w:val="center"/>
                    <w:rPr>
                      <w:color w:val="auto"/>
                      <w:kern w:val="0"/>
                      <w:szCs w:val="21"/>
                    </w:rPr>
                  </w:pPr>
                  <w:r>
                    <w:rPr>
                      <w:color w:val="auto"/>
                      <w:kern w:val="0"/>
                      <w:szCs w:val="21"/>
                    </w:rPr>
                    <w:t>对象</w:t>
                  </w:r>
                </w:p>
              </w:tc>
              <w:tc>
                <w:tcPr>
                  <w:tcW w:w="365" w:type="pct"/>
                  <w:vMerge w:val="restart"/>
                  <w:vAlign w:val="center"/>
                </w:tcPr>
                <w:p w14:paraId="2D6CD3C3">
                  <w:pPr>
                    <w:adjustRightInd w:val="0"/>
                    <w:snapToGrid w:val="0"/>
                    <w:jc w:val="center"/>
                    <w:rPr>
                      <w:color w:val="auto"/>
                      <w:kern w:val="0"/>
                      <w:szCs w:val="21"/>
                    </w:rPr>
                  </w:pPr>
                  <w:r>
                    <w:rPr>
                      <w:rFonts w:hint="eastAsia"/>
                      <w:color w:val="auto"/>
                      <w:kern w:val="0"/>
                      <w:szCs w:val="21"/>
                    </w:rPr>
                    <w:t>人数（人）</w:t>
                  </w:r>
                </w:p>
              </w:tc>
              <w:tc>
                <w:tcPr>
                  <w:tcW w:w="1294" w:type="pct"/>
                  <w:vMerge w:val="restart"/>
                  <w:vAlign w:val="center"/>
                </w:tcPr>
                <w:p w14:paraId="43049FD4">
                  <w:pPr>
                    <w:adjustRightInd w:val="0"/>
                    <w:snapToGrid w:val="0"/>
                    <w:jc w:val="center"/>
                    <w:rPr>
                      <w:color w:val="auto"/>
                      <w:kern w:val="0"/>
                      <w:szCs w:val="21"/>
                    </w:rPr>
                  </w:pPr>
                  <w:r>
                    <w:rPr>
                      <w:rFonts w:hint="eastAsia"/>
                      <w:color w:val="auto"/>
                      <w:kern w:val="0"/>
                      <w:szCs w:val="21"/>
                    </w:rPr>
                    <w:t>质量标准</w:t>
                  </w:r>
                </w:p>
              </w:tc>
              <w:tc>
                <w:tcPr>
                  <w:tcW w:w="406" w:type="pct"/>
                  <w:vMerge w:val="restart"/>
                  <w:vAlign w:val="center"/>
                </w:tcPr>
                <w:p w14:paraId="23746681">
                  <w:pPr>
                    <w:adjustRightInd w:val="0"/>
                    <w:snapToGrid w:val="0"/>
                    <w:jc w:val="center"/>
                    <w:rPr>
                      <w:color w:val="auto"/>
                      <w:kern w:val="0"/>
                      <w:szCs w:val="21"/>
                    </w:rPr>
                  </w:pPr>
                  <w:r>
                    <w:rPr>
                      <w:color w:val="auto"/>
                      <w:kern w:val="0"/>
                      <w:szCs w:val="21"/>
                    </w:rPr>
                    <w:t>环境功能区</w:t>
                  </w:r>
                </w:p>
              </w:tc>
              <w:tc>
                <w:tcPr>
                  <w:tcW w:w="439" w:type="pct"/>
                  <w:vMerge w:val="restart"/>
                  <w:vAlign w:val="center"/>
                </w:tcPr>
                <w:p w14:paraId="438D1836">
                  <w:pPr>
                    <w:adjustRightInd w:val="0"/>
                    <w:snapToGrid w:val="0"/>
                    <w:jc w:val="center"/>
                    <w:rPr>
                      <w:color w:val="auto"/>
                      <w:kern w:val="0"/>
                      <w:szCs w:val="21"/>
                    </w:rPr>
                  </w:pPr>
                  <w:r>
                    <w:rPr>
                      <w:color w:val="auto"/>
                      <w:kern w:val="0"/>
                      <w:szCs w:val="21"/>
                    </w:rPr>
                    <w:t>相对厂址方位</w:t>
                  </w:r>
                </w:p>
              </w:tc>
              <w:tc>
                <w:tcPr>
                  <w:tcW w:w="515" w:type="pct"/>
                  <w:vMerge w:val="restart"/>
                  <w:vAlign w:val="center"/>
                </w:tcPr>
                <w:p w14:paraId="16E6B60C">
                  <w:pPr>
                    <w:adjustRightInd w:val="0"/>
                    <w:snapToGrid w:val="0"/>
                    <w:jc w:val="center"/>
                    <w:rPr>
                      <w:color w:val="auto"/>
                      <w:kern w:val="0"/>
                      <w:szCs w:val="21"/>
                    </w:rPr>
                  </w:pPr>
                  <w:r>
                    <w:rPr>
                      <w:color w:val="auto"/>
                      <w:kern w:val="0"/>
                      <w:szCs w:val="21"/>
                    </w:rPr>
                    <w:t>相对厂界距离/m</w:t>
                  </w:r>
                </w:p>
              </w:tc>
            </w:tr>
            <w:tr w14:paraId="3C08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81" w:type="pct"/>
                  <w:vMerge w:val="continue"/>
                  <w:vAlign w:val="center"/>
                </w:tcPr>
                <w:p w14:paraId="318B785F">
                  <w:pPr>
                    <w:adjustRightInd w:val="0"/>
                    <w:snapToGrid w:val="0"/>
                    <w:jc w:val="center"/>
                    <w:rPr>
                      <w:b/>
                      <w:color w:val="auto"/>
                      <w:szCs w:val="21"/>
                    </w:rPr>
                  </w:pPr>
                </w:p>
              </w:tc>
              <w:tc>
                <w:tcPr>
                  <w:tcW w:w="381" w:type="pct"/>
                  <w:vMerge w:val="continue"/>
                  <w:vAlign w:val="center"/>
                </w:tcPr>
                <w:p w14:paraId="4E9594F3">
                  <w:pPr>
                    <w:adjustRightInd w:val="0"/>
                    <w:snapToGrid w:val="0"/>
                    <w:jc w:val="center"/>
                    <w:rPr>
                      <w:b/>
                      <w:color w:val="auto"/>
                      <w:szCs w:val="21"/>
                    </w:rPr>
                  </w:pPr>
                </w:p>
              </w:tc>
              <w:tc>
                <w:tcPr>
                  <w:tcW w:w="504" w:type="pct"/>
                  <w:vAlign w:val="center"/>
                </w:tcPr>
                <w:p w14:paraId="5B801035">
                  <w:pPr>
                    <w:adjustRightInd w:val="0"/>
                    <w:snapToGrid w:val="0"/>
                    <w:jc w:val="center"/>
                    <w:rPr>
                      <w:color w:val="auto"/>
                      <w:kern w:val="0"/>
                      <w:szCs w:val="21"/>
                    </w:rPr>
                  </w:pPr>
                  <w:r>
                    <w:rPr>
                      <w:color w:val="auto"/>
                      <w:kern w:val="0"/>
                      <w:szCs w:val="21"/>
                    </w:rPr>
                    <w:t>E</w:t>
                  </w:r>
                </w:p>
              </w:tc>
              <w:tc>
                <w:tcPr>
                  <w:tcW w:w="436" w:type="pct"/>
                  <w:vAlign w:val="center"/>
                </w:tcPr>
                <w:p w14:paraId="5AFAAA9A">
                  <w:pPr>
                    <w:adjustRightInd w:val="0"/>
                    <w:snapToGrid w:val="0"/>
                    <w:jc w:val="center"/>
                    <w:rPr>
                      <w:color w:val="auto"/>
                      <w:kern w:val="0"/>
                      <w:szCs w:val="21"/>
                    </w:rPr>
                  </w:pPr>
                  <w:r>
                    <w:rPr>
                      <w:color w:val="auto"/>
                      <w:kern w:val="0"/>
                      <w:szCs w:val="21"/>
                    </w:rPr>
                    <w:t>N</w:t>
                  </w:r>
                </w:p>
              </w:tc>
              <w:tc>
                <w:tcPr>
                  <w:tcW w:w="374" w:type="pct"/>
                  <w:vMerge w:val="continue"/>
                  <w:vAlign w:val="center"/>
                </w:tcPr>
                <w:p w14:paraId="5D6FBE9E">
                  <w:pPr>
                    <w:adjustRightInd w:val="0"/>
                    <w:snapToGrid w:val="0"/>
                    <w:jc w:val="center"/>
                    <w:rPr>
                      <w:color w:val="auto"/>
                      <w:kern w:val="0"/>
                      <w:szCs w:val="21"/>
                    </w:rPr>
                  </w:pPr>
                </w:p>
              </w:tc>
              <w:tc>
                <w:tcPr>
                  <w:tcW w:w="365" w:type="pct"/>
                  <w:vMerge w:val="continue"/>
                  <w:vAlign w:val="center"/>
                </w:tcPr>
                <w:p w14:paraId="22F0AA16">
                  <w:pPr>
                    <w:adjustRightInd w:val="0"/>
                    <w:snapToGrid w:val="0"/>
                    <w:jc w:val="center"/>
                    <w:rPr>
                      <w:color w:val="auto"/>
                      <w:kern w:val="0"/>
                      <w:szCs w:val="21"/>
                    </w:rPr>
                  </w:pPr>
                </w:p>
              </w:tc>
              <w:tc>
                <w:tcPr>
                  <w:tcW w:w="1294" w:type="pct"/>
                  <w:vMerge w:val="continue"/>
                  <w:vAlign w:val="center"/>
                </w:tcPr>
                <w:p w14:paraId="05B9DD0C">
                  <w:pPr>
                    <w:adjustRightInd w:val="0"/>
                    <w:snapToGrid w:val="0"/>
                    <w:jc w:val="center"/>
                    <w:rPr>
                      <w:color w:val="auto"/>
                      <w:kern w:val="0"/>
                      <w:szCs w:val="21"/>
                    </w:rPr>
                  </w:pPr>
                </w:p>
              </w:tc>
              <w:tc>
                <w:tcPr>
                  <w:tcW w:w="406" w:type="pct"/>
                  <w:vMerge w:val="continue"/>
                  <w:vAlign w:val="center"/>
                </w:tcPr>
                <w:p w14:paraId="4661BAAC">
                  <w:pPr>
                    <w:adjustRightInd w:val="0"/>
                    <w:snapToGrid w:val="0"/>
                    <w:jc w:val="center"/>
                    <w:rPr>
                      <w:color w:val="auto"/>
                      <w:kern w:val="0"/>
                      <w:szCs w:val="21"/>
                    </w:rPr>
                  </w:pPr>
                </w:p>
              </w:tc>
              <w:tc>
                <w:tcPr>
                  <w:tcW w:w="439" w:type="pct"/>
                  <w:vMerge w:val="continue"/>
                  <w:vAlign w:val="center"/>
                </w:tcPr>
                <w:p w14:paraId="2E4343DC">
                  <w:pPr>
                    <w:adjustRightInd w:val="0"/>
                    <w:snapToGrid w:val="0"/>
                    <w:jc w:val="center"/>
                    <w:rPr>
                      <w:color w:val="auto"/>
                      <w:kern w:val="0"/>
                      <w:szCs w:val="21"/>
                    </w:rPr>
                  </w:pPr>
                </w:p>
              </w:tc>
              <w:tc>
                <w:tcPr>
                  <w:tcW w:w="515" w:type="pct"/>
                  <w:vMerge w:val="continue"/>
                  <w:vAlign w:val="center"/>
                </w:tcPr>
                <w:p w14:paraId="658F0D8F">
                  <w:pPr>
                    <w:adjustRightInd w:val="0"/>
                    <w:snapToGrid w:val="0"/>
                    <w:jc w:val="center"/>
                    <w:rPr>
                      <w:color w:val="auto"/>
                      <w:kern w:val="0"/>
                      <w:szCs w:val="21"/>
                    </w:rPr>
                  </w:pPr>
                </w:p>
              </w:tc>
            </w:tr>
            <w:tr w14:paraId="55C0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81" w:type="pct"/>
                  <w:vAlign w:val="center"/>
                </w:tcPr>
                <w:p w14:paraId="1EF85EAC">
                  <w:pPr>
                    <w:adjustRightInd w:val="0"/>
                    <w:snapToGrid w:val="0"/>
                    <w:jc w:val="center"/>
                    <w:rPr>
                      <w:color w:val="auto"/>
                      <w:kern w:val="0"/>
                      <w:szCs w:val="21"/>
                    </w:rPr>
                  </w:pPr>
                  <w:r>
                    <w:rPr>
                      <w:color w:val="auto"/>
                      <w:kern w:val="0"/>
                      <w:szCs w:val="21"/>
                    </w:rPr>
                    <w:t>环境</w:t>
                  </w:r>
                </w:p>
                <w:p w14:paraId="3954A5CE">
                  <w:pPr>
                    <w:adjustRightInd w:val="0"/>
                    <w:snapToGrid w:val="0"/>
                    <w:jc w:val="center"/>
                    <w:rPr>
                      <w:color w:val="auto"/>
                      <w:kern w:val="0"/>
                      <w:szCs w:val="21"/>
                    </w:rPr>
                  </w:pPr>
                  <w:r>
                    <w:rPr>
                      <w:color w:val="auto"/>
                      <w:kern w:val="0"/>
                      <w:szCs w:val="21"/>
                    </w:rPr>
                    <w:t>空气</w:t>
                  </w:r>
                </w:p>
              </w:tc>
              <w:tc>
                <w:tcPr>
                  <w:tcW w:w="381" w:type="pct"/>
                  <w:vAlign w:val="center"/>
                </w:tcPr>
                <w:p w14:paraId="7F69A7F3">
                  <w:pPr>
                    <w:adjustRightInd w:val="0"/>
                    <w:snapToGrid w:val="0"/>
                    <w:jc w:val="center"/>
                    <w:rPr>
                      <w:color w:val="auto"/>
                      <w:kern w:val="0"/>
                      <w:szCs w:val="21"/>
                    </w:rPr>
                  </w:pPr>
                  <w:r>
                    <w:rPr>
                      <w:rFonts w:hint="eastAsia"/>
                      <w:color w:val="auto"/>
                      <w:kern w:val="0"/>
                      <w:szCs w:val="21"/>
                    </w:rPr>
                    <w:t>西张二村</w:t>
                  </w:r>
                </w:p>
              </w:tc>
              <w:tc>
                <w:tcPr>
                  <w:tcW w:w="504" w:type="pct"/>
                  <w:vAlign w:val="center"/>
                </w:tcPr>
                <w:p w14:paraId="135D067F">
                  <w:pPr>
                    <w:adjustRightInd w:val="0"/>
                    <w:snapToGrid w:val="0"/>
                    <w:jc w:val="center"/>
                    <w:rPr>
                      <w:color w:val="auto"/>
                      <w:kern w:val="0"/>
                      <w:szCs w:val="21"/>
                    </w:rPr>
                  </w:pPr>
                  <w:r>
                    <w:rPr>
                      <w:color w:val="auto"/>
                      <w:kern w:val="0"/>
                      <w:szCs w:val="21"/>
                    </w:rPr>
                    <w:t>10</w:t>
                  </w:r>
                  <w:r>
                    <w:rPr>
                      <w:rFonts w:hint="eastAsia"/>
                      <w:color w:val="auto"/>
                      <w:kern w:val="0"/>
                      <w:szCs w:val="21"/>
                    </w:rPr>
                    <w:t>8</w:t>
                  </w:r>
                  <w:r>
                    <w:rPr>
                      <w:color w:val="auto"/>
                      <w:kern w:val="0"/>
                      <w:szCs w:val="21"/>
                    </w:rPr>
                    <w:t>°</w:t>
                  </w:r>
                  <w:r>
                    <w:rPr>
                      <w:rFonts w:hint="eastAsia"/>
                      <w:color w:val="auto"/>
                      <w:kern w:val="0"/>
                      <w:szCs w:val="21"/>
                    </w:rPr>
                    <w:t>41</w:t>
                  </w:r>
                  <w:r>
                    <w:rPr>
                      <w:color w:val="auto"/>
                      <w:kern w:val="0"/>
                      <w:szCs w:val="21"/>
                    </w:rPr>
                    <w:t>′</w:t>
                  </w:r>
                  <w:r>
                    <w:rPr>
                      <w:rFonts w:hint="eastAsia"/>
                      <w:color w:val="auto"/>
                      <w:kern w:val="0"/>
                      <w:szCs w:val="21"/>
                    </w:rPr>
                    <w:t>37.431</w:t>
                  </w:r>
                  <w:r>
                    <w:rPr>
                      <w:color w:val="auto"/>
                      <w:kern w:val="0"/>
                      <w:szCs w:val="21"/>
                    </w:rPr>
                    <w:t>″</w:t>
                  </w:r>
                </w:p>
              </w:tc>
              <w:tc>
                <w:tcPr>
                  <w:tcW w:w="436" w:type="pct"/>
                  <w:vAlign w:val="center"/>
                </w:tcPr>
                <w:p w14:paraId="72CEFB4B">
                  <w:pPr>
                    <w:adjustRightInd w:val="0"/>
                    <w:snapToGrid w:val="0"/>
                    <w:jc w:val="center"/>
                    <w:rPr>
                      <w:color w:val="auto"/>
                      <w:kern w:val="0"/>
                      <w:szCs w:val="21"/>
                    </w:rPr>
                  </w:pPr>
                  <w:r>
                    <w:rPr>
                      <w:color w:val="auto"/>
                      <w:kern w:val="0"/>
                      <w:szCs w:val="21"/>
                    </w:rPr>
                    <w:t>34°</w:t>
                  </w:r>
                  <w:r>
                    <w:rPr>
                      <w:rFonts w:hint="eastAsia"/>
                      <w:color w:val="auto"/>
                      <w:kern w:val="0"/>
                      <w:szCs w:val="21"/>
                    </w:rPr>
                    <w:t>17</w:t>
                  </w:r>
                  <w:r>
                    <w:rPr>
                      <w:color w:val="auto"/>
                      <w:kern w:val="0"/>
                      <w:szCs w:val="21"/>
                    </w:rPr>
                    <w:t>′</w:t>
                  </w:r>
                  <w:r>
                    <w:rPr>
                      <w:rFonts w:hint="eastAsia"/>
                      <w:color w:val="auto"/>
                      <w:kern w:val="0"/>
                      <w:szCs w:val="21"/>
                    </w:rPr>
                    <w:t>13.542</w:t>
                  </w:r>
                  <w:r>
                    <w:rPr>
                      <w:color w:val="auto"/>
                      <w:kern w:val="0"/>
                      <w:szCs w:val="21"/>
                    </w:rPr>
                    <w:t>″</w:t>
                  </w:r>
                </w:p>
              </w:tc>
              <w:tc>
                <w:tcPr>
                  <w:tcW w:w="374" w:type="pct"/>
                  <w:vAlign w:val="center"/>
                </w:tcPr>
                <w:p w14:paraId="098B5F31">
                  <w:pPr>
                    <w:adjustRightInd w:val="0"/>
                    <w:snapToGrid w:val="0"/>
                    <w:jc w:val="center"/>
                    <w:rPr>
                      <w:color w:val="auto"/>
                      <w:kern w:val="0"/>
                      <w:szCs w:val="21"/>
                    </w:rPr>
                  </w:pPr>
                  <w:r>
                    <w:rPr>
                      <w:color w:val="auto"/>
                      <w:kern w:val="0"/>
                      <w:szCs w:val="21"/>
                    </w:rPr>
                    <w:t>居民</w:t>
                  </w:r>
                </w:p>
              </w:tc>
              <w:tc>
                <w:tcPr>
                  <w:tcW w:w="365" w:type="pct"/>
                  <w:vAlign w:val="center"/>
                </w:tcPr>
                <w:p w14:paraId="42CF807D">
                  <w:pPr>
                    <w:adjustRightInd w:val="0"/>
                    <w:snapToGrid w:val="0"/>
                    <w:jc w:val="center"/>
                    <w:rPr>
                      <w:color w:val="auto"/>
                      <w:szCs w:val="21"/>
                    </w:rPr>
                  </w:pPr>
                  <w:r>
                    <w:rPr>
                      <w:rFonts w:hint="eastAsia"/>
                      <w:color w:val="auto"/>
                      <w:szCs w:val="21"/>
                    </w:rPr>
                    <w:t>240</w:t>
                  </w:r>
                </w:p>
              </w:tc>
              <w:tc>
                <w:tcPr>
                  <w:tcW w:w="1294" w:type="pct"/>
                  <w:vAlign w:val="center"/>
                </w:tcPr>
                <w:p w14:paraId="2D812343">
                  <w:pPr>
                    <w:adjustRightInd w:val="0"/>
                    <w:snapToGrid w:val="0"/>
                    <w:jc w:val="center"/>
                    <w:rPr>
                      <w:color w:val="auto"/>
                      <w:szCs w:val="21"/>
                    </w:rPr>
                  </w:pPr>
                  <w:r>
                    <w:rPr>
                      <w:color w:val="auto"/>
                      <w:szCs w:val="21"/>
                    </w:rPr>
                    <w:t>《环境空气质量标准》（GB3095-2012）</w:t>
                  </w:r>
                </w:p>
              </w:tc>
              <w:tc>
                <w:tcPr>
                  <w:tcW w:w="406" w:type="pct"/>
                  <w:vAlign w:val="center"/>
                </w:tcPr>
                <w:p w14:paraId="4E3291BD">
                  <w:pPr>
                    <w:adjustRightInd w:val="0"/>
                    <w:snapToGrid w:val="0"/>
                    <w:jc w:val="center"/>
                    <w:rPr>
                      <w:color w:val="auto"/>
                      <w:kern w:val="0"/>
                      <w:szCs w:val="21"/>
                    </w:rPr>
                  </w:pPr>
                  <w:r>
                    <w:rPr>
                      <w:color w:val="auto"/>
                      <w:kern w:val="0"/>
                      <w:szCs w:val="21"/>
                    </w:rPr>
                    <w:t>二类</w:t>
                  </w:r>
                </w:p>
              </w:tc>
              <w:tc>
                <w:tcPr>
                  <w:tcW w:w="439" w:type="pct"/>
                  <w:vAlign w:val="center"/>
                </w:tcPr>
                <w:p w14:paraId="050DD5AF">
                  <w:pPr>
                    <w:adjustRightInd w:val="0"/>
                    <w:snapToGrid w:val="0"/>
                    <w:jc w:val="center"/>
                    <w:rPr>
                      <w:color w:val="auto"/>
                      <w:kern w:val="0"/>
                      <w:szCs w:val="21"/>
                    </w:rPr>
                  </w:pPr>
                  <w:r>
                    <w:rPr>
                      <w:rFonts w:hint="eastAsia"/>
                      <w:color w:val="auto"/>
                      <w:kern w:val="0"/>
                      <w:szCs w:val="21"/>
                    </w:rPr>
                    <w:t>西南</w:t>
                  </w:r>
                </w:p>
              </w:tc>
              <w:tc>
                <w:tcPr>
                  <w:tcW w:w="515" w:type="pct"/>
                  <w:vAlign w:val="center"/>
                </w:tcPr>
                <w:p w14:paraId="7ECB3BC4">
                  <w:pPr>
                    <w:adjustRightInd w:val="0"/>
                    <w:snapToGrid w:val="0"/>
                    <w:jc w:val="center"/>
                    <w:rPr>
                      <w:color w:val="auto"/>
                      <w:kern w:val="0"/>
                      <w:szCs w:val="21"/>
                    </w:rPr>
                  </w:pPr>
                  <w:r>
                    <w:rPr>
                      <w:rFonts w:hint="eastAsia"/>
                      <w:color w:val="auto"/>
                      <w:kern w:val="0"/>
                      <w:szCs w:val="21"/>
                    </w:rPr>
                    <w:t>495</w:t>
                  </w:r>
                </w:p>
              </w:tc>
            </w:tr>
          </w:tbl>
          <w:p w14:paraId="7C15D00E">
            <w:pPr>
              <w:spacing w:line="348" w:lineRule="auto"/>
              <w:rPr>
                <w:color w:val="auto"/>
                <w:kern w:val="0"/>
                <w:sz w:val="24"/>
                <w:szCs w:val="20"/>
              </w:rPr>
            </w:pPr>
          </w:p>
          <w:p w14:paraId="6BDB9E59">
            <w:pPr>
              <w:adjustRightInd w:val="0"/>
              <w:snapToGrid w:val="0"/>
              <w:rPr>
                <w:color w:val="auto"/>
                <w:kern w:val="0"/>
                <w:szCs w:val="21"/>
              </w:rPr>
            </w:pPr>
          </w:p>
        </w:tc>
      </w:tr>
      <w:tr w14:paraId="65BB8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Mar>
              <w:left w:w="28" w:type="dxa"/>
              <w:right w:w="28" w:type="dxa"/>
            </w:tcMar>
            <w:vAlign w:val="center"/>
          </w:tcPr>
          <w:p w14:paraId="0D5895E3">
            <w:pPr>
              <w:adjustRightInd w:val="0"/>
              <w:snapToGrid w:val="0"/>
              <w:spacing w:line="360" w:lineRule="auto"/>
              <w:jc w:val="center"/>
              <w:rPr>
                <w:color w:val="auto"/>
                <w:kern w:val="0"/>
                <w:sz w:val="24"/>
              </w:rPr>
            </w:pPr>
            <w:r>
              <w:rPr>
                <w:color w:val="auto"/>
                <w:kern w:val="0"/>
                <w:sz w:val="24"/>
              </w:rPr>
              <w:t>污染</w:t>
            </w:r>
          </w:p>
          <w:p w14:paraId="1A7AE635">
            <w:pPr>
              <w:adjustRightInd w:val="0"/>
              <w:snapToGrid w:val="0"/>
              <w:spacing w:line="360" w:lineRule="auto"/>
              <w:jc w:val="center"/>
              <w:rPr>
                <w:color w:val="auto"/>
                <w:kern w:val="0"/>
                <w:sz w:val="24"/>
              </w:rPr>
            </w:pPr>
            <w:r>
              <w:rPr>
                <w:color w:val="auto"/>
                <w:kern w:val="0"/>
                <w:sz w:val="24"/>
              </w:rPr>
              <w:t>物排</w:t>
            </w:r>
          </w:p>
          <w:p w14:paraId="77DE3054">
            <w:pPr>
              <w:adjustRightInd w:val="0"/>
              <w:snapToGrid w:val="0"/>
              <w:spacing w:line="360" w:lineRule="auto"/>
              <w:jc w:val="center"/>
              <w:rPr>
                <w:color w:val="auto"/>
                <w:kern w:val="0"/>
                <w:sz w:val="24"/>
              </w:rPr>
            </w:pPr>
            <w:r>
              <w:rPr>
                <w:color w:val="auto"/>
                <w:kern w:val="0"/>
                <w:sz w:val="24"/>
              </w:rPr>
              <w:t>放控</w:t>
            </w:r>
          </w:p>
          <w:p w14:paraId="21F105BF">
            <w:pPr>
              <w:adjustRightInd w:val="0"/>
              <w:snapToGrid w:val="0"/>
              <w:spacing w:line="360" w:lineRule="auto"/>
              <w:jc w:val="center"/>
              <w:rPr>
                <w:color w:val="auto"/>
                <w:kern w:val="0"/>
                <w:sz w:val="24"/>
              </w:rPr>
            </w:pPr>
            <w:r>
              <w:rPr>
                <w:color w:val="auto"/>
                <w:kern w:val="0"/>
                <w:sz w:val="24"/>
              </w:rPr>
              <w:t>制标</w:t>
            </w:r>
          </w:p>
          <w:p w14:paraId="36763459">
            <w:pPr>
              <w:adjustRightInd w:val="0"/>
              <w:snapToGrid w:val="0"/>
              <w:spacing w:line="360" w:lineRule="auto"/>
              <w:jc w:val="center"/>
              <w:rPr>
                <w:color w:val="auto"/>
                <w:kern w:val="0"/>
                <w:szCs w:val="21"/>
              </w:rPr>
            </w:pPr>
            <w:r>
              <w:rPr>
                <w:color w:val="auto"/>
                <w:kern w:val="0"/>
                <w:sz w:val="24"/>
              </w:rPr>
              <w:t>准</w:t>
            </w:r>
          </w:p>
        </w:tc>
        <w:tc>
          <w:tcPr>
            <w:tcW w:w="8477" w:type="dxa"/>
            <w:vAlign w:val="center"/>
          </w:tcPr>
          <w:p w14:paraId="6FC30A81">
            <w:pPr>
              <w:numPr>
                <w:ilvl w:val="0"/>
                <w:numId w:val="6"/>
              </w:numPr>
              <w:adjustRightInd w:val="0"/>
              <w:spacing w:line="360" w:lineRule="auto"/>
              <w:ind w:firstLine="482" w:firstLineChars="200"/>
              <w:rPr>
                <w:b/>
                <w:bCs/>
                <w:color w:val="auto"/>
                <w:sz w:val="24"/>
              </w:rPr>
            </w:pPr>
            <w:r>
              <w:rPr>
                <w:rFonts w:hint="eastAsia"/>
                <w:b/>
                <w:bCs/>
                <w:color w:val="auto"/>
                <w:sz w:val="24"/>
              </w:rPr>
              <w:t>废气</w:t>
            </w:r>
            <w:r>
              <w:rPr>
                <w:b/>
                <w:bCs/>
                <w:color w:val="auto"/>
                <w:sz w:val="24"/>
              </w:rPr>
              <w:t>排放标准</w:t>
            </w:r>
          </w:p>
          <w:p w14:paraId="2876DE57">
            <w:pPr>
              <w:adjustRightInd w:val="0"/>
              <w:spacing w:line="360" w:lineRule="auto"/>
              <w:ind w:firstLine="480" w:firstLineChars="200"/>
              <w:rPr>
                <w:color w:val="auto"/>
                <w:sz w:val="24"/>
              </w:rPr>
            </w:pPr>
            <w:r>
              <w:rPr>
                <w:color w:val="auto"/>
                <w:sz w:val="24"/>
              </w:rPr>
              <w:t>施工扬尘执行《施工厂界扬尘排放限值》（DB61/1078-2017）的相关规定。</w:t>
            </w:r>
          </w:p>
          <w:p w14:paraId="733C8399">
            <w:pPr>
              <w:adjustRightInd w:val="0"/>
              <w:snapToGrid w:val="0"/>
              <w:jc w:val="center"/>
              <w:rPr>
                <w:b/>
                <w:snapToGrid w:val="0"/>
                <w:color w:val="auto"/>
                <w:kern w:val="0"/>
                <w:szCs w:val="21"/>
              </w:rPr>
            </w:pPr>
            <w:r>
              <w:rPr>
                <w:b/>
                <w:snapToGrid w:val="0"/>
                <w:color w:val="auto"/>
                <w:kern w:val="0"/>
                <w:szCs w:val="21"/>
              </w:rPr>
              <w:t>表3-</w:t>
            </w:r>
            <w:r>
              <w:rPr>
                <w:rFonts w:hint="eastAsia"/>
                <w:b/>
                <w:snapToGrid w:val="0"/>
                <w:color w:val="auto"/>
                <w:kern w:val="0"/>
                <w:szCs w:val="21"/>
              </w:rPr>
              <w:t>3</w:t>
            </w:r>
            <w:r>
              <w:rPr>
                <w:b/>
                <w:snapToGrid w:val="0"/>
                <w:color w:val="auto"/>
                <w:kern w:val="0"/>
                <w:szCs w:val="21"/>
              </w:rPr>
              <w:t xml:space="preserve">   施工期废气排放标准</w:t>
            </w:r>
          </w:p>
          <w:tbl>
            <w:tblPr>
              <w:tblStyle w:val="19"/>
              <w:tblW w:w="830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1140"/>
              <w:gridCol w:w="1037"/>
              <w:gridCol w:w="3287"/>
            </w:tblGrid>
            <w:tr w14:paraId="224EA3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4" w:type="dxa"/>
                  <w:vMerge w:val="restart"/>
                  <w:tcBorders>
                    <w:top w:val="single" w:color="auto" w:sz="4" w:space="0"/>
                    <w:left w:val="single" w:color="auto" w:sz="0" w:space="0"/>
                    <w:tl2br w:val="nil"/>
                    <w:tr2bl w:val="nil"/>
                  </w:tcBorders>
                  <w:vAlign w:val="center"/>
                </w:tcPr>
                <w:p w14:paraId="7391762C">
                  <w:pPr>
                    <w:pStyle w:val="31"/>
                    <w:spacing w:line="240" w:lineRule="auto"/>
                    <w:rPr>
                      <w:bCs/>
                      <w:color w:val="auto"/>
                      <w:sz w:val="21"/>
                      <w:szCs w:val="21"/>
                    </w:rPr>
                  </w:pPr>
                  <w:r>
                    <w:rPr>
                      <w:bCs/>
                      <w:color w:val="auto"/>
                      <w:sz w:val="21"/>
                      <w:szCs w:val="21"/>
                    </w:rPr>
                    <w:t>标准名称</w:t>
                  </w:r>
                </w:p>
              </w:tc>
              <w:tc>
                <w:tcPr>
                  <w:tcW w:w="1140" w:type="dxa"/>
                  <w:vMerge w:val="restart"/>
                  <w:tcBorders>
                    <w:top w:val="single" w:color="auto" w:sz="4" w:space="0"/>
                    <w:tl2br w:val="nil"/>
                    <w:tr2bl w:val="nil"/>
                  </w:tcBorders>
                  <w:vAlign w:val="center"/>
                </w:tcPr>
                <w:p w14:paraId="2E6F5DE9">
                  <w:pPr>
                    <w:pStyle w:val="31"/>
                    <w:spacing w:line="240" w:lineRule="auto"/>
                    <w:rPr>
                      <w:bCs/>
                      <w:color w:val="auto"/>
                      <w:sz w:val="21"/>
                      <w:szCs w:val="21"/>
                    </w:rPr>
                  </w:pPr>
                  <w:r>
                    <w:rPr>
                      <w:bCs/>
                      <w:color w:val="auto"/>
                      <w:sz w:val="21"/>
                      <w:szCs w:val="21"/>
                    </w:rPr>
                    <w:t>使用类别</w:t>
                  </w:r>
                </w:p>
              </w:tc>
              <w:tc>
                <w:tcPr>
                  <w:tcW w:w="4324" w:type="dxa"/>
                  <w:gridSpan w:val="2"/>
                  <w:tcBorders>
                    <w:top w:val="single" w:color="auto" w:sz="4" w:space="0"/>
                    <w:right w:val="single" w:color="auto" w:sz="4" w:space="0"/>
                    <w:tl2br w:val="nil"/>
                    <w:tr2bl w:val="nil"/>
                  </w:tcBorders>
                  <w:vAlign w:val="center"/>
                </w:tcPr>
                <w:p w14:paraId="01728B17">
                  <w:pPr>
                    <w:pStyle w:val="31"/>
                    <w:spacing w:line="240" w:lineRule="auto"/>
                    <w:rPr>
                      <w:bCs/>
                      <w:color w:val="auto"/>
                      <w:sz w:val="21"/>
                      <w:szCs w:val="21"/>
                    </w:rPr>
                  </w:pPr>
                  <w:r>
                    <w:rPr>
                      <w:bCs/>
                      <w:color w:val="auto"/>
                      <w:sz w:val="21"/>
                      <w:szCs w:val="21"/>
                    </w:rPr>
                    <w:t>标准值</w:t>
                  </w:r>
                </w:p>
              </w:tc>
            </w:tr>
            <w:tr w14:paraId="54EA76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4" w:type="dxa"/>
                  <w:vMerge w:val="continue"/>
                  <w:tcBorders>
                    <w:left w:val="single" w:color="auto" w:sz="4" w:space="0"/>
                    <w:tl2br w:val="nil"/>
                    <w:tr2bl w:val="nil"/>
                  </w:tcBorders>
                  <w:vAlign w:val="center"/>
                </w:tcPr>
                <w:p w14:paraId="3DF0F2BC">
                  <w:pPr>
                    <w:pStyle w:val="31"/>
                    <w:spacing w:line="240" w:lineRule="auto"/>
                    <w:rPr>
                      <w:bCs/>
                      <w:color w:val="auto"/>
                      <w:sz w:val="21"/>
                      <w:szCs w:val="21"/>
                    </w:rPr>
                  </w:pPr>
                </w:p>
              </w:tc>
              <w:tc>
                <w:tcPr>
                  <w:tcW w:w="1140" w:type="dxa"/>
                  <w:vMerge w:val="continue"/>
                  <w:tcBorders>
                    <w:tl2br w:val="nil"/>
                    <w:tr2bl w:val="nil"/>
                  </w:tcBorders>
                  <w:vAlign w:val="center"/>
                </w:tcPr>
                <w:p w14:paraId="5F9CE409">
                  <w:pPr>
                    <w:pStyle w:val="31"/>
                    <w:spacing w:line="240" w:lineRule="auto"/>
                    <w:rPr>
                      <w:bCs/>
                      <w:color w:val="auto"/>
                      <w:sz w:val="21"/>
                      <w:szCs w:val="21"/>
                    </w:rPr>
                  </w:pPr>
                </w:p>
              </w:tc>
              <w:tc>
                <w:tcPr>
                  <w:tcW w:w="1037" w:type="dxa"/>
                  <w:tcBorders>
                    <w:tl2br w:val="nil"/>
                    <w:tr2bl w:val="nil"/>
                  </w:tcBorders>
                  <w:vAlign w:val="center"/>
                </w:tcPr>
                <w:p w14:paraId="20E5053D">
                  <w:pPr>
                    <w:pStyle w:val="31"/>
                    <w:spacing w:line="240" w:lineRule="auto"/>
                    <w:rPr>
                      <w:bCs/>
                      <w:color w:val="auto"/>
                      <w:sz w:val="21"/>
                      <w:szCs w:val="21"/>
                    </w:rPr>
                  </w:pPr>
                  <w:r>
                    <w:rPr>
                      <w:bCs/>
                      <w:color w:val="auto"/>
                      <w:sz w:val="21"/>
                      <w:szCs w:val="21"/>
                    </w:rPr>
                    <w:t>污染物</w:t>
                  </w:r>
                </w:p>
              </w:tc>
              <w:tc>
                <w:tcPr>
                  <w:tcW w:w="3287" w:type="dxa"/>
                  <w:tcBorders>
                    <w:right w:val="single" w:color="auto" w:sz="4" w:space="0"/>
                    <w:tl2br w:val="nil"/>
                    <w:tr2bl w:val="nil"/>
                  </w:tcBorders>
                  <w:vAlign w:val="center"/>
                </w:tcPr>
                <w:p w14:paraId="0D06B215">
                  <w:pPr>
                    <w:pStyle w:val="31"/>
                    <w:spacing w:line="240" w:lineRule="auto"/>
                    <w:rPr>
                      <w:bCs/>
                      <w:color w:val="auto"/>
                      <w:sz w:val="21"/>
                      <w:szCs w:val="21"/>
                    </w:rPr>
                  </w:pPr>
                  <w:r>
                    <w:rPr>
                      <w:bCs/>
                      <w:color w:val="auto"/>
                      <w:sz w:val="21"/>
                      <w:szCs w:val="21"/>
                    </w:rPr>
                    <w:t>浓度限值mg/m</w:t>
                  </w:r>
                  <w:r>
                    <w:rPr>
                      <w:bCs/>
                      <w:color w:val="auto"/>
                      <w:sz w:val="21"/>
                      <w:szCs w:val="21"/>
                      <w:vertAlign w:val="superscript"/>
                    </w:rPr>
                    <w:t>3</w:t>
                  </w:r>
                </w:p>
              </w:tc>
            </w:tr>
            <w:tr w14:paraId="6F6383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4" w:type="dxa"/>
                  <w:vMerge w:val="restart"/>
                  <w:tcBorders>
                    <w:left w:val="single" w:color="auto" w:sz="4" w:space="0"/>
                    <w:tl2br w:val="nil"/>
                    <w:tr2bl w:val="nil"/>
                  </w:tcBorders>
                  <w:vAlign w:val="center"/>
                </w:tcPr>
                <w:p w14:paraId="41D46A14">
                  <w:pPr>
                    <w:pStyle w:val="31"/>
                    <w:spacing w:line="240" w:lineRule="auto"/>
                    <w:rPr>
                      <w:bCs/>
                      <w:color w:val="auto"/>
                      <w:sz w:val="21"/>
                      <w:szCs w:val="21"/>
                    </w:rPr>
                  </w:pPr>
                  <w:r>
                    <w:rPr>
                      <w:bCs/>
                      <w:color w:val="auto"/>
                      <w:sz w:val="21"/>
                      <w:szCs w:val="21"/>
                    </w:rPr>
                    <w:t>《施工场界扬尘排放限值》（DB61/1078-2017）</w:t>
                  </w:r>
                </w:p>
              </w:tc>
              <w:tc>
                <w:tcPr>
                  <w:tcW w:w="1140" w:type="dxa"/>
                  <w:vMerge w:val="restart"/>
                  <w:tcBorders>
                    <w:tl2br w:val="nil"/>
                    <w:tr2bl w:val="nil"/>
                  </w:tcBorders>
                  <w:vAlign w:val="center"/>
                </w:tcPr>
                <w:p w14:paraId="0CF65856">
                  <w:pPr>
                    <w:pStyle w:val="31"/>
                    <w:spacing w:line="240" w:lineRule="auto"/>
                    <w:rPr>
                      <w:bCs/>
                      <w:color w:val="auto"/>
                      <w:sz w:val="21"/>
                      <w:szCs w:val="21"/>
                    </w:rPr>
                  </w:pPr>
                  <w:r>
                    <w:rPr>
                      <w:bCs/>
                      <w:color w:val="auto"/>
                      <w:sz w:val="21"/>
                      <w:szCs w:val="21"/>
                    </w:rPr>
                    <w:t>施工扬尘</w:t>
                  </w:r>
                </w:p>
              </w:tc>
              <w:tc>
                <w:tcPr>
                  <w:tcW w:w="1037" w:type="dxa"/>
                  <w:vMerge w:val="restart"/>
                  <w:tcBorders>
                    <w:tl2br w:val="nil"/>
                    <w:tr2bl w:val="nil"/>
                  </w:tcBorders>
                  <w:vAlign w:val="center"/>
                </w:tcPr>
                <w:p w14:paraId="61A79144">
                  <w:pPr>
                    <w:pStyle w:val="31"/>
                    <w:spacing w:line="240" w:lineRule="auto"/>
                    <w:rPr>
                      <w:bCs/>
                      <w:color w:val="auto"/>
                      <w:sz w:val="21"/>
                      <w:szCs w:val="21"/>
                    </w:rPr>
                  </w:pPr>
                  <w:r>
                    <w:rPr>
                      <w:bCs/>
                      <w:color w:val="auto"/>
                      <w:sz w:val="21"/>
                      <w:szCs w:val="21"/>
                    </w:rPr>
                    <w:t>TSP</w:t>
                  </w:r>
                </w:p>
              </w:tc>
              <w:tc>
                <w:tcPr>
                  <w:tcW w:w="3287" w:type="dxa"/>
                  <w:tcBorders>
                    <w:right w:val="single" w:color="auto" w:sz="4" w:space="0"/>
                    <w:tl2br w:val="nil"/>
                    <w:tr2bl w:val="nil"/>
                  </w:tcBorders>
                  <w:vAlign w:val="center"/>
                </w:tcPr>
                <w:p w14:paraId="747CB61E">
                  <w:pPr>
                    <w:pStyle w:val="31"/>
                    <w:spacing w:line="240" w:lineRule="auto"/>
                    <w:rPr>
                      <w:bCs/>
                      <w:color w:val="auto"/>
                      <w:sz w:val="21"/>
                      <w:szCs w:val="21"/>
                    </w:rPr>
                  </w:pPr>
                  <w:r>
                    <w:rPr>
                      <w:bCs/>
                      <w:color w:val="auto"/>
                      <w:sz w:val="21"/>
                      <w:szCs w:val="21"/>
                    </w:rPr>
                    <w:t>拆除、土方及地基处理工程≦0.8</w:t>
                  </w:r>
                </w:p>
              </w:tc>
            </w:tr>
            <w:tr w14:paraId="67BBC9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4" w:type="dxa"/>
                  <w:vMerge w:val="continue"/>
                  <w:tcBorders>
                    <w:left w:val="single" w:color="auto" w:sz="4" w:space="0"/>
                    <w:bottom w:val="single" w:color="auto" w:sz="4" w:space="0"/>
                    <w:tl2br w:val="nil"/>
                    <w:tr2bl w:val="nil"/>
                  </w:tcBorders>
                  <w:vAlign w:val="center"/>
                </w:tcPr>
                <w:p w14:paraId="57BD6C29">
                  <w:pPr>
                    <w:pStyle w:val="31"/>
                    <w:spacing w:line="240" w:lineRule="auto"/>
                    <w:rPr>
                      <w:bCs/>
                      <w:color w:val="auto"/>
                      <w:sz w:val="21"/>
                      <w:szCs w:val="21"/>
                    </w:rPr>
                  </w:pPr>
                </w:p>
              </w:tc>
              <w:tc>
                <w:tcPr>
                  <w:tcW w:w="1140" w:type="dxa"/>
                  <w:vMerge w:val="continue"/>
                  <w:tcBorders>
                    <w:bottom w:val="single" w:color="auto" w:sz="4" w:space="0"/>
                    <w:tl2br w:val="nil"/>
                    <w:tr2bl w:val="nil"/>
                  </w:tcBorders>
                  <w:vAlign w:val="center"/>
                </w:tcPr>
                <w:p w14:paraId="18EB5569">
                  <w:pPr>
                    <w:pStyle w:val="31"/>
                    <w:spacing w:line="240" w:lineRule="auto"/>
                    <w:rPr>
                      <w:bCs/>
                      <w:color w:val="auto"/>
                      <w:sz w:val="21"/>
                      <w:szCs w:val="21"/>
                    </w:rPr>
                  </w:pPr>
                </w:p>
              </w:tc>
              <w:tc>
                <w:tcPr>
                  <w:tcW w:w="1037" w:type="dxa"/>
                  <w:vMerge w:val="continue"/>
                  <w:tcBorders>
                    <w:bottom w:val="single" w:color="auto" w:sz="4" w:space="0"/>
                    <w:tl2br w:val="nil"/>
                    <w:tr2bl w:val="nil"/>
                  </w:tcBorders>
                  <w:vAlign w:val="center"/>
                </w:tcPr>
                <w:p w14:paraId="173861EE">
                  <w:pPr>
                    <w:pStyle w:val="31"/>
                    <w:spacing w:line="240" w:lineRule="auto"/>
                    <w:rPr>
                      <w:bCs/>
                      <w:color w:val="auto"/>
                      <w:sz w:val="21"/>
                      <w:szCs w:val="21"/>
                    </w:rPr>
                  </w:pPr>
                </w:p>
              </w:tc>
              <w:tc>
                <w:tcPr>
                  <w:tcW w:w="3287" w:type="dxa"/>
                  <w:tcBorders>
                    <w:bottom w:val="single" w:color="auto" w:sz="4" w:space="0"/>
                    <w:right w:val="single" w:color="auto" w:sz="4" w:space="0"/>
                    <w:tl2br w:val="nil"/>
                    <w:tr2bl w:val="nil"/>
                  </w:tcBorders>
                  <w:vAlign w:val="center"/>
                </w:tcPr>
                <w:p w14:paraId="6911B78F">
                  <w:pPr>
                    <w:pStyle w:val="31"/>
                    <w:spacing w:line="240" w:lineRule="auto"/>
                    <w:rPr>
                      <w:bCs/>
                      <w:color w:val="auto"/>
                      <w:sz w:val="21"/>
                      <w:szCs w:val="21"/>
                    </w:rPr>
                  </w:pPr>
                  <w:r>
                    <w:rPr>
                      <w:bCs/>
                      <w:color w:val="auto"/>
                      <w:sz w:val="21"/>
                      <w:szCs w:val="21"/>
                    </w:rPr>
                    <w:t>基础、主体结构及装饰工程≦0.7</w:t>
                  </w:r>
                </w:p>
              </w:tc>
            </w:tr>
          </w:tbl>
          <w:p w14:paraId="2A2C658C">
            <w:pPr>
              <w:pStyle w:val="32"/>
              <w:adjustRightInd w:val="0"/>
              <w:spacing w:line="360" w:lineRule="auto"/>
              <w:ind w:firstLine="480" w:firstLineChars="200"/>
              <w:rPr>
                <w:rFonts w:ascii="Times New Roman"/>
                <w:bCs/>
                <w:color w:val="auto"/>
              </w:rPr>
            </w:pPr>
            <w:r>
              <w:rPr>
                <w:rFonts w:hint="eastAsia" w:ascii="Times New Roman"/>
                <w:bCs/>
                <w:color w:val="FF0000"/>
              </w:rPr>
              <w:t>本项目</w:t>
            </w:r>
            <w:r>
              <w:rPr>
                <w:rFonts w:hint="eastAsia" w:ascii="Times New Roman"/>
                <w:bCs/>
                <w:color w:val="FF0000"/>
                <w:lang w:val="en-US" w:eastAsia="zh-CN"/>
              </w:rPr>
              <w:t>光刻胶中间体合成、有机小分子合成产生的非甲烷总烃执行</w:t>
            </w:r>
            <w:r>
              <w:rPr>
                <w:rFonts w:hint="eastAsia" w:ascii="Times New Roman"/>
                <w:bCs/>
                <w:color w:val="FF0000"/>
              </w:rPr>
              <w:t>《大气污染物综合排放标准》（GB16297-1996）</w:t>
            </w:r>
            <w:r>
              <w:rPr>
                <w:rFonts w:hint="eastAsia" w:ascii="Times New Roman"/>
                <w:bCs/>
                <w:color w:val="FF0000"/>
                <w:lang w:val="en-US" w:eastAsia="zh-CN"/>
              </w:rPr>
              <w:t>标准；</w:t>
            </w:r>
            <w:r>
              <w:rPr>
                <w:rFonts w:hint="eastAsia" w:ascii="Times New Roman"/>
                <w:bCs/>
                <w:color w:val="FF0000"/>
              </w:rPr>
              <w:t>医药中间体合成属于医学研究和试验发展</w:t>
            </w:r>
            <w:r>
              <w:rPr>
                <w:rFonts w:hint="eastAsia" w:ascii="Times New Roman"/>
                <w:bCs/>
                <w:color w:val="auto"/>
              </w:rPr>
              <w:t>，《制药工业大气污染物排放标准》（GB37823-2019）适用范围中包括药物研发机构（从事制药及药物产品研究，开发等实验活动的实验室、测试室、研发中心等机构），</w:t>
            </w:r>
            <w:r>
              <w:rPr>
                <w:rFonts w:hint="eastAsia" w:ascii="Times New Roman"/>
                <w:bCs/>
                <w:color w:val="auto"/>
                <w:lang w:val="en-US" w:eastAsia="zh-CN"/>
              </w:rPr>
              <w:t>根据4.8若可选择的监控位置只能对混合后的废气进行监测，则应按各排放控制要求中最严格的规定执行，</w:t>
            </w:r>
            <w:r>
              <w:rPr>
                <w:rFonts w:hint="eastAsia" w:ascii="Times New Roman"/>
                <w:bCs/>
                <w:color w:val="auto"/>
              </w:rPr>
              <w:t>综合考虑本项目</w:t>
            </w:r>
            <w:r>
              <w:rPr>
                <w:rFonts w:ascii="Times New Roman"/>
                <w:bCs/>
                <w:color w:val="auto"/>
              </w:rPr>
              <w:t>运营期</w:t>
            </w:r>
            <w:r>
              <w:rPr>
                <w:rFonts w:hint="eastAsia"/>
                <w:color w:val="auto"/>
                <w:kern w:val="0"/>
                <w:szCs w:val="21"/>
              </w:rPr>
              <w:t>有组织非甲烷总烃及厂区内无组织</w:t>
            </w:r>
            <w:r>
              <w:rPr>
                <w:rFonts w:hint="eastAsia" w:ascii="Times New Roman"/>
                <w:bCs/>
                <w:color w:val="auto"/>
              </w:rPr>
              <w:t>排放执行《制药工业大气污染物排放标准》（GB37823-2019）表2大气污染物特别排放限值要求，厂界非甲烷总烃排放执行《大气污染物综合排放标准》（GB16297-1996）表2无组织排放标准限值要求，</w:t>
            </w:r>
            <w:r>
              <w:rPr>
                <w:rFonts w:ascii="Times New Roman"/>
                <w:bCs/>
                <w:color w:val="auto"/>
              </w:rPr>
              <w:t>具体标准值见表3-</w:t>
            </w:r>
            <w:r>
              <w:rPr>
                <w:rFonts w:hint="eastAsia" w:ascii="Times New Roman"/>
                <w:bCs/>
                <w:color w:val="auto"/>
              </w:rPr>
              <w:t>4</w:t>
            </w:r>
            <w:r>
              <w:rPr>
                <w:rFonts w:ascii="Times New Roman"/>
                <w:bCs/>
                <w:color w:val="auto"/>
              </w:rPr>
              <w:t>。</w:t>
            </w:r>
          </w:p>
          <w:p w14:paraId="04406FC0">
            <w:pPr>
              <w:adjustRightInd w:val="0"/>
              <w:snapToGrid w:val="0"/>
              <w:jc w:val="center"/>
              <w:rPr>
                <w:b/>
                <w:color w:val="auto"/>
                <w:szCs w:val="21"/>
              </w:rPr>
            </w:pPr>
            <w:r>
              <w:rPr>
                <w:b/>
                <w:snapToGrid w:val="0"/>
                <w:color w:val="auto"/>
                <w:kern w:val="0"/>
                <w:szCs w:val="21"/>
              </w:rPr>
              <w:t>表3-</w:t>
            </w:r>
            <w:r>
              <w:rPr>
                <w:rFonts w:hint="eastAsia"/>
                <w:b/>
                <w:snapToGrid w:val="0"/>
                <w:color w:val="auto"/>
                <w:kern w:val="0"/>
                <w:szCs w:val="21"/>
              </w:rPr>
              <w:t>4   运营期</w:t>
            </w:r>
            <w:r>
              <w:rPr>
                <w:b/>
                <w:snapToGrid w:val="0"/>
                <w:color w:val="auto"/>
                <w:kern w:val="0"/>
                <w:szCs w:val="21"/>
              </w:rPr>
              <w:t>废气排放标准</w:t>
            </w:r>
          </w:p>
          <w:tbl>
            <w:tblPr>
              <w:tblStyle w:val="18"/>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900"/>
              <w:gridCol w:w="650"/>
              <w:gridCol w:w="645"/>
              <w:gridCol w:w="2565"/>
              <w:gridCol w:w="1262"/>
            </w:tblGrid>
            <w:tr w14:paraId="5095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96" w:type="dxa"/>
                  <w:vMerge w:val="restart"/>
                  <w:vAlign w:val="center"/>
                </w:tcPr>
                <w:p w14:paraId="370BBB98">
                  <w:pPr>
                    <w:adjustRightInd w:val="0"/>
                    <w:snapToGrid w:val="0"/>
                    <w:jc w:val="center"/>
                    <w:rPr>
                      <w:bCs/>
                      <w:color w:val="auto"/>
                      <w:spacing w:val="6"/>
                    </w:rPr>
                  </w:pPr>
                  <w:r>
                    <w:rPr>
                      <w:bCs/>
                      <w:color w:val="auto"/>
                      <w:spacing w:val="6"/>
                    </w:rPr>
                    <w:t>标准名称及类别</w:t>
                  </w:r>
                </w:p>
              </w:tc>
              <w:tc>
                <w:tcPr>
                  <w:tcW w:w="900" w:type="dxa"/>
                  <w:vMerge w:val="restart"/>
                  <w:vAlign w:val="center"/>
                </w:tcPr>
                <w:p w14:paraId="58287B74">
                  <w:pPr>
                    <w:adjustRightInd w:val="0"/>
                    <w:snapToGrid w:val="0"/>
                    <w:jc w:val="center"/>
                    <w:rPr>
                      <w:bCs/>
                      <w:color w:val="auto"/>
                      <w:spacing w:val="6"/>
                    </w:rPr>
                  </w:pPr>
                  <w:r>
                    <w:rPr>
                      <w:bCs/>
                      <w:color w:val="auto"/>
                      <w:spacing w:val="6"/>
                    </w:rPr>
                    <w:t>项目</w:t>
                  </w:r>
                </w:p>
              </w:tc>
              <w:tc>
                <w:tcPr>
                  <w:tcW w:w="5122" w:type="dxa"/>
                  <w:gridSpan w:val="4"/>
                  <w:vAlign w:val="center"/>
                </w:tcPr>
                <w:p w14:paraId="2414E4B0">
                  <w:pPr>
                    <w:adjustRightInd w:val="0"/>
                    <w:snapToGrid w:val="0"/>
                    <w:jc w:val="center"/>
                    <w:rPr>
                      <w:bCs/>
                      <w:color w:val="auto"/>
                      <w:spacing w:val="6"/>
                    </w:rPr>
                  </w:pPr>
                  <w:r>
                    <w:rPr>
                      <w:bCs/>
                      <w:color w:val="auto"/>
                      <w:spacing w:val="6"/>
                    </w:rPr>
                    <w:t>标准值</w:t>
                  </w:r>
                </w:p>
              </w:tc>
            </w:tr>
            <w:tr w14:paraId="6661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96" w:type="dxa"/>
                  <w:vMerge w:val="continue"/>
                  <w:vAlign w:val="center"/>
                </w:tcPr>
                <w:p w14:paraId="24E69C22">
                  <w:pPr>
                    <w:adjustRightInd w:val="0"/>
                    <w:snapToGrid w:val="0"/>
                    <w:jc w:val="center"/>
                    <w:rPr>
                      <w:bCs/>
                      <w:color w:val="auto"/>
                      <w:spacing w:val="6"/>
                    </w:rPr>
                  </w:pPr>
                </w:p>
              </w:tc>
              <w:tc>
                <w:tcPr>
                  <w:tcW w:w="900" w:type="dxa"/>
                  <w:vMerge w:val="continue"/>
                  <w:vAlign w:val="center"/>
                </w:tcPr>
                <w:p w14:paraId="3E009978">
                  <w:pPr>
                    <w:adjustRightInd w:val="0"/>
                    <w:snapToGrid w:val="0"/>
                    <w:jc w:val="center"/>
                    <w:rPr>
                      <w:bCs/>
                      <w:color w:val="auto"/>
                      <w:spacing w:val="6"/>
                    </w:rPr>
                  </w:pPr>
                </w:p>
              </w:tc>
              <w:tc>
                <w:tcPr>
                  <w:tcW w:w="1295" w:type="dxa"/>
                  <w:gridSpan w:val="2"/>
                  <w:vAlign w:val="center"/>
                </w:tcPr>
                <w:p w14:paraId="380C779F">
                  <w:pPr>
                    <w:adjustRightInd w:val="0"/>
                    <w:snapToGrid w:val="0"/>
                    <w:jc w:val="center"/>
                    <w:rPr>
                      <w:bCs/>
                      <w:color w:val="auto"/>
                      <w:spacing w:val="6"/>
                    </w:rPr>
                  </w:pPr>
                  <w:r>
                    <w:rPr>
                      <w:bCs/>
                      <w:color w:val="auto"/>
                      <w:spacing w:val="6"/>
                    </w:rPr>
                    <w:t>排放方式</w:t>
                  </w:r>
                </w:p>
              </w:tc>
              <w:tc>
                <w:tcPr>
                  <w:tcW w:w="3827" w:type="dxa"/>
                  <w:gridSpan w:val="2"/>
                  <w:vAlign w:val="center"/>
                </w:tcPr>
                <w:p w14:paraId="5155DF3C">
                  <w:pPr>
                    <w:adjustRightInd w:val="0"/>
                    <w:snapToGrid w:val="0"/>
                    <w:jc w:val="center"/>
                    <w:rPr>
                      <w:bCs/>
                      <w:color w:val="auto"/>
                      <w:spacing w:val="6"/>
                    </w:rPr>
                  </w:pPr>
                  <w:r>
                    <w:rPr>
                      <w:bCs/>
                      <w:color w:val="auto"/>
                      <w:spacing w:val="6"/>
                    </w:rPr>
                    <w:t>限值</w:t>
                  </w:r>
                  <w:r>
                    <w:rPr>
                      <w:rFonts w:hint="eastAsia"/>
                      <w:bCs/>
                      <w:color w:val="auto"/>
                      <w:spacing w:val="6"/>
                    </w:rPr>
                    <w:t>（</w:t>
                  </w:r>
                  <w:r>
                    <w:rPr>
                      <w:bCs/>
                      <w:color w:val="auto"/>
                    </w:rPr>
                    <w:t>mg/m</w:t>
                  </w:r>
                  <w:r>
                    <w:rPr>
                      <w:bCs/>
                      <w:color w:val="auto"/>
                      <w:vertAlign w:val="superscript"/>
                    </w:rPr>
                    <w:t>3</w:t>
                  </w:r>
                  <w:r>
                    <w:rPr>
                      <w:rFonts w:hint="eastAsia"/>
                      <w:bCs/>
                      <w:color w:val="auto"/>
                      <w:spacing w:val="6"/>
                    </w:rPr>
                    <w:t>）</w:t>
                  </w:r>
                </w:p>
              </w:tc>
            </w:tr>
            <w:tr w14:paraId="591C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96" w:type="dxa"/>
                  <w:vMerge w:val="restart"/>
                  <w:vAlign w:val="center"/>
                </w:tcPr>
                <w:p w14:paraId="53862B74">
                  <w:pPr>
                    <w:adjustRightInd w:val="0"/>
                    <w:snapToGrid w:val="0"/>
                    <w:jc w:val="center"/>
                    <w:rPr>
                      <w:bCs/>
                      <w:color w:val="auto"/>
                    </w:rPr>
                  </w:pPr>
                  <w:r>
                    <w:rPr>
                      <w:rFonts w:hint="eastAsia"/>
                      <w:bCs/>
                      <w:color w:val="auto"/>
                      <w:spacing w:val="6"/>
                    </w:rPr>
                    <w:t>《制药工业大气污染物排放标准》（GB37823-2019）</w:t>
                  </w:r>
                </w:p>
              </w:tc>
              <w:tc>
                <w:tcPr>
                  <w:tcW w:w="900" w:type="dxa"/>
                  <w:vMerge w:val="restart"/>
                  <w:vAlign w:val="center"/>
                </w:tcPr>
                <w:p w14:paraId="5D3DED43">
                  <w:pPr>
                    <w:adjustRightInd w:val="0"/>
                    <w:snapToGrid w:val="0"/>
                    <w:jc w:val="center"/>
                    <w:rPr>
                      <w:bCs/>
                      <w:color w:val="auto"/>
                    </w:rPr>
                  </w:pPr>
                  <w:r>
                    <w:rPr>
                      <w:rFonts w:hint="eastAsia"/>
                      <w:color w:val="auto"/>
                      <w:kern w:val="0"/>
                      <w:szCs w:val="21"/>
                    </w:rPr>
                    <w:t>非甲烷总烃</w:t>
                  </w:r>
                </w:p>
              </w:tc>
              <w:tc>
                <w:tcPr>
                  <w:tcW w:w="1295" w:type="dxa"/>
                  <w:gridSpan w:val="2"/>
                  <w:vAlign w:val="center"/>
                </w:tcPr>
                <w:p w14:paraId="2BC4014D">
                  <w:pPr>
                    <w:adjustRightInd w:val="0"/>
                    <w:snapToGrid w:val="0"/>
                    <w:jc w:val="center"/>
                    <w:rPr>
                      <w:bCs/>
                      <w:color w:val="auto"/>
                    </w:rPr>
                  </w:pPr>
                  <w:r>
                    <w:rPr>
                      <w:rFonts w:hint="eastAsia"/>
                      <w:bCs/>
                      <w:color w:val="auto"/>
                    </w:rPr>
                    <w:t>有</w:t>
                  </w:r>
                  <w:r>
                    <w:rPr>
                      <w:bCs/>
                      <w:color w:val="auto"/>
                    </w:rPr>
                    <w:t>组织</w:t>
                  </w:r>
                </w:p>
              </w:tc>
              <w:tc>
                <w:tcPr>
                  <w:tcW w:w="2565" w:type="dxa"/>
                  <w:vAlign w:val="center"/>
                </w:tcPr>
                <w:p w14:paraId="1972B846">
                  <w:pPr>
                    <w:adjustRightInd w:val="0"/>
                    <w:snapToGrid w:val="0"/>
                    <w:jc w:val="center"/>
                    <w:rPr>
                      <w:bCs/>
                      <w:color w:val="auto"/>
                    </w:rPr>
                  </w:pPr>
                  <w:r>
                    <w:rPr>
                      <w:rFonts w:hint="eastAsia"/>
                      <w:bCs/>
                      <w:color w:val="auto"/>
                    </w:rPr>
                    <w:t>排放浓度</w:t>
                  </w:r>
                </w:p>
              </w:tc>
              <w:tc>
                <w:tcPr>
                  <w:tcW w:w="1262" w:type="dxa"/>
                  <w:vAlign w:val="center"/>
                </w:tcPr>
                <w:p w14:paraId="61140BFA">
                  <w:pPr>
                    <w:adjustRightInd w:val="0"/>
                    <w:snapToGrid w:val="0"/>
                    <w:jc w:val="center"/>
                    <w:rPr>
                      <w:bCs/>
                      <w:color w:val="auto"/>
                    </w:rPr>
                  </w:pPr>
                  <w:r>
                    <w:rPr>
                      <w:rFonts w:hint="eastAsia"/>
                      <w:color w:val="auto"/>
                      <w:szCs w:val="21"/>
                    </w:rPr>
                    <w:t>60</w:t>
                  </w:r>
                </w:p>
              </w:tc>
            </w:tr>
            <w:tr w14:paraId="7AB0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96" w:type="dxa"/>
                  <w:vMerge w:val="continue"/>
                  <w:vAlign w:val="center"/>
                </w:tcPr>
                <w:p w14:paraId="2F81C88C">
                  <w:pPr>
                    <w:adjustRightInd w:val="0"/>
                    <w:snapToGrid w:val="0"/>
                    <w:jc w:val="center"/>
                    <w:rPr>
                      <w:bCs/>
                      <w:color w:val="auto"/>
                      <w:spacing w:val="6"/>
                    </w:rPr>
                  </w:pPr>
                </w:p>
              </w:tc>
              <w:tc>
                <w:tcPr>
                  <w:tcW w:w="900" w:type="dxa"/>
                  <w:vMerge w:val="continue"/>
                  <w:vAlign w:val="center"/>
                </w:tcPr>
                <w:p w14:paraId="20F78072">
                  <w:pPr>
                    <w:adjustRightInd w:val="0"/>
                    <w:snapToGrid w:val="0"/>
                    <w:jc w:val="center"/>
                    <w:rPr>
                      <w:color w:val="auto"/>
                      <w:kern w:val="0"/>
                      <w:szCs w:val="21"/>
                    </w:rPr>
                  </w:pPr>
                </w:p>
              </w:tc>
              <w:tc>
                <w:tcPr>
                  <w:tcW w:w="650" w:type="dxa"/>
                  <w:vMerge w:val="restart"/>
                  <w:vAlign w:val="center"/>
                </w:tcPr>
                <w:p w14:paraId="52076A3B">
                  <w:pPr>
                    <w:adjustRightInd w:val="0"/>
                    <w:snapToGrid w:val="0"/>
                    <w:jc w:val="center"/>
                    <w:rPr>
                      <w:bCs/>
                      <w:color w:val="auto"/>
                    </w:rPr>
                  </w:pPr>
                  <w:r>
                    <w:rPr>
                      <w:rFonts w:hint="eastAsia"/>
                      <w:bCs/>
                      <w:color w:val="auto"/>
                    </w:rPr>
                    <w:t>无组织</w:t>
                  </w:r>
                </w:p>
              </w:tc>
              <w:tc>
                <w:tcPr>
                  <w:tcW w:w="645" w:type="dxa"/>
                  <w:vMerge w:val="restart"/>
                  <w:vAlign w:val="center"/>
                </w:tcPr>
                <w:p w14:paraId="01834AF4">
                  <w:pPr>
                    <w:adjustRightInd w:val="0"/>
                    <w:snapToGrid w:val="0"/>
                    <w:jc w:val="center"/>
                    <w:rPr>
                      <w:bCs/>
                      <w:color w:val="auto"/>
                    </w:rPr>
                  </w:pPr>
                  <w:r>
                    <w:rPr>
                      <w:rFonts w:hint="eastAsia"/>
                      <w:color w:val="auto"/>
                      <w:kern w:val="0"/>
                      <w:szCs w:val="21"/>
                    </w:rPr>
                    <w:t>厂房外</w:t>
                  </w:r>
                </w:p>
              </w:tc>
              <w:tc>
                <w:tcPr>
                  <w:tcW w:w="2565" w:type="dxa"/>
                  <w:vAlign w:val="center"/>
                </w:tcPr>
                <w:p w14:paraId="24DF2D3D">
                  <w:pPr>
                    <w:adjustRightInd w:val="0"/>
                    <w:snapToGrid w:val="0"/>
                    <w:jc w:val="center"/>
                    <w:rPr>
                      <w:bCs/>
                      <w:color w:val="auto"/>
                    </w:rPr>
                  </w:pPr>
                  <w:r>
                    <w:rPr>
                      <w:color w:val="auto"/>
                      <w:szCs w:val="21"/>
                    </w:rPr>
                    <w:t>监控点处1h平均浓度值</w:t>
                  </w:r>
                </w:p>
              </w:tc>
              <w:tc>
                <w:tcPr>
                  <w:tcW w:w="1262" w:type="dxa"/>
                  <w:vAlign w:val="center"/>
                </w:tcPr>
                <w:p w14:paraId="20D7324A">
                  <w:pPr>
                    <w:adjustRightInd w:val="0"/>
                    <w:snapToGrid w:val="0"/>
                    <w:jc w:val="center"/>
                    <w:rPr>
                      <w:color w:val="auto"/>
                      <w:szCs w:val="21"/>
                    </w:rPr>
                  </w:pPr>
                  <w:r>
                    <w:rPr>
                      <w:rFonts w:hint="eastAsia"/>
                      <w:color w:val="auto"/>
                      <w:szCs w:val="21"/>
                    </w:rPr>
                    <w:t>6</w:t>
                  </w:r>
                </w:p>
              </w:tc>
            </w:tr>
            <w:tr w14:paraId="1931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6" w:type="dxa"/>
                  <w:vMerge w:val="continue"/>
                  <w:vAlign w:val="center"/>
                </w:tcPr>
                <w:p w14:paraId="72156998">
                  <w:pPr>
                    <w:adjustRightInd w:val="0"/>
                    <w:snapToGrid w:val="0"/>
                    <w:jc w:val="center"/>
                    <w:rPr>
                      <w:color w:val="auto"/>
                    </w:rPr>
                  </w:pPr>
                </w:p>
              </w:tc>
              <w:tc>
                <w:tcPr>
                  <w:tcW w:w="900" w:type="dxa"/>
                  <w:vMerge w:val="continue"/>
                  <w:vAlign w:val="center"/>
                </w:tcPr>
                <w:p w14:paraId="3A80E993">
                  <w:pPr>
                    <w:adjustRightInd w:val="0"/>
                    <w:snapToGrid w:val="0"/>
                    <w:jc w:val="center"/>
                    <w:rPr>
                      <w:color w:val="auto"/>
                    </w:rPr>
                  </w:pPr>
                </w:p>
              </w:tc>
              <w:tc>
                <w:tcPr>
                  <w:tcW w:w="650" w:type="dxa"/>
                  <w:vMerge w:val="continue"/>
                  <w:vAlign w:val="center"/>
                </w:tcPr>
                <w:p w14:paraId="7E8D81E4">
                  <w:pPr>
                    <w:adjustRightInd w:val="0"/>
                    <w:snapToGrid w:val="0"/>
                    <w:jc w:val="center"/>
                    <w:rPr>
                      <w:color w:val="auto"/>
                    </w:rPr>
                  </w:pPr>
                </w:p>
              </w:tc>
              <w:tc>
                <w:tcPr>
                  <w:tcW w:w="645" w:type="dxa"/>
                  <w:vMerge w:val="continue"/>
                  <w:vAlign w:val="center"/>
                </w:tcPr>
                <w:p w14:paraId="15BD11B3">
                  <w:pPr>
                    <w:adjustRightInd w:val="0"/>
                    <w:snapToGrid w:val="0"/>
                    <w:jc w:val="center"/>
                    <w:rPr>
                      <w:color w:val="auto"/>
                      <w:kern w:val="0"/>
                      <w:szCs w:val="21"/>
                    </w:rPr>
                  </w:pPr>
                </w:p>
              </w:tc>
              <w:tc>
                <w:tcPr>
                  <w:tcW w:w="2565" w:type="dxa"/>
                  <w:vAlign w:val="center"/>
                </w:tcPr>
                <w:p w14:paraId="115CBBE6">
                  <w:pPr>
                    <w:adjustRightInd w:val="0"/>
                    <w:snapToGrid w:val="0"/>
                    <w:jc w:val="center"/>
                    <w:rPr>
                      <w:color w:val="auto"/>
                      <w:kern w:val="0"/>
                      <w:szCs w:val="21"/>
                    </w:rPr>
                  </w:pPr>
                  <w:r>
                    <w:rPr>
                      <w:color w:val="auto"/>
                      <w:szCs w:val="21"/>
                    </w:rPr>
                    <w:t>监控点处任意一次浓度值</w:t>
                  </w:r>
                </w:p>
              </w:tc>
              <w:tc>
                <w:tcPr>
                  <w:tcW w:w="1262" w:type="dxa"/>
                  <w:vAlign w:val="center"/>
                </w:tcPr>
                <w:p w14:paraId="2DA11F0D">
                  <w:pPr>
                    <w:adjustRightInd w:val="0"/>
                    <w:snapToGrid w:val="0"/>
                    <w:jc w:val="center"/>
                    <w:rPr>
                      <w:color w:val="auto"/>
                      <w:kern w:val="0"/>
                      <w:szCs w:val="21"/>
                    </w:rPr>
                  </w:pPr>
                  <w:r>
                    <w:rPr>
                      <w:rFonts w:hint="eastAsia"/>
                      <w:color w:val="auto"/>
                      <w:szCs w:val="21"/>
                    </w:rPr>
                    <w:t>20</w:t>
                  </w:r>
                </w:p>
              </w:tc>
            </w:tr>
            <w:tr w14:paraId="69AF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6" w:type="dxa"/>
                  <w:vMerge w:val="restart"/>
                  <w:vAlign w:val="center"/>
                </w:tcPr>
                <w:p w14:paraId="6CC3E3F7">
                  <w:pPr>
                    <w:adjustRightInd w:val="0"/>
                    <w:snapToGrid w:val="0"/>
                    <w:jc w:val="center"/>
                    <w:rPr>
                      <w:bCs/>
                      <w:color w:val="auto"/>
                      <w:spacing w:val="6"/>
                    </w:rPr>
                  </w:pPr>
                  <w:r>
                    <w:rPr>
                      <w:rFonts w:hint="eastAsia"/>
                      <w:bCs/>
                      <w:color w:val="auto"/>
                      <w:spacing w:val="6"/>
                    </w:rPr>
                    <w:t>《大气污染物综合排放标准》（</w:t>
                  </w:r>
                  <w:r>
                    <w:rPr>
                      <w:bCs/>
                      <w:color w:val="auto"/>
                      <w:spacing w:val="6"/>
                    </w:rPr>
                    <w:t>GB16297-1996</w:t>
                  </w:r>
                  <w:r>
                    <w:rPr>
                      <w:rFonts w:hint="eastAsia"/>
                      <w:bCs/>
                      <w:color w:val="auto"/>
                      <w:spacing w:val="6"/>
                    </w:rPr>
                    <w:t>）</w:t>
                  </w:r>
                </w:p>
              </w:tc>
              <w:tc>
                <w:tcPr>
                  <w:tcW w:w="2195" w:type="dxa"/>
                  <w:gridSpan w:val="3"/>
                  <w:vMerge w:val="restart"/>
                  <w:shd w:val="clear" w:color="auto" w:fill="auto"/>
                  <w:vAlign w:val="center"/>
                </w:tcPr>
                <w:p w14:paraId="54B8BBCB">
                  <w:pPr>
                    <w:adjustRightInd w:val="0"/>
                    <w:snapToGrid w:val="0"/>
                    <w:jc w:val="center"/>
                    <w:rPr>
                      <w:bCs/>
                      <w:color w:val="auto"/>
                    </w:rPr>
                  </w:pPr>
                  <w:r>
                    <w:rPr>
                      <w:rFonts w:hint="eastAsia"/>
                      <w:color w:val="auto"/>
                      <w:kern w:val="0"/>
                      <w:szCs w:val="21"/>
                    </w:rPr>
                    <w:t>非甲烷总烃</w:t>
                  </w:r>
                </w:p>
              </w:tc>
              <w:tc>
                <w:tcPr>
                  <w:tcW w:w="2565" w:type="dxa"/>
                  <w:shd w:val="clear" w:color="auto" w:fill="auto"/>
                  <w:vAlign w:val="center"/>
                </w:tcPr>
                <w:p w14:paraId="7530D32A">
                  <w:pPr>
                    <w:snapToGrid w:val="0"/>
                    <w:jc w:val="center"/>
                    <w:rPr>
                      <w:bCs/>
                      <w:color w:val="auto"/>
                    </w:rPr>
                  </w:pPr>
                  <w:r>
                    <w:rPr>
                      <w:color w:val="auto"/>
                      <w:szCs w:val="21"/>
                    </w:rPr>
                    <w:t>最高允许排放浓度</w:t>
                  </w:r>
                </w:p>
              </w:tc>
              <w:tc>
                <w:tcPr>
                  <w:tcW w:w="1262" w:type="dxa"/>
                  <w:shd w:val="clear" w:color="auto" w:fill="auto"/>
                  <w:vAlign w:val="center"/>
                </w:tcPr>
                <w:p w14:paraId="5595386B">
                  <w:pPr>
                    <w:snapToGrid w:val="0"/>
                    <w:jc w:val="center"/>
                    <w:rPr>
                      <w:color w:val="auto"/>
                      <w:kern w:val="0"/>
                      <w:szCs w:val="21"/>
                    </w:rPr>
                  </w:pPr>
                  <w:r>
                    <w:rPr>
                      <w:rFonts w:hint="eastAsia"/>
                      <w:color w:val="auto"/>
                      <w:szCs w:val="21"/>
                    </w:rPr>
                    <w:t>120</w:t>
                  </w:r>
                </w:p>
              </w:tc>
            </w:tr>
            <w:tr w14:paraId="55FA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96" w:type="dxa"/>
                  <w:vMerge w:val="continue"/>
                  <w:vAlign w:val="center"/>
                </w:tcPr>
                <w:p w14:paraId="3C189E49">
                  <w:pPr>
                    <w:adjustRightInd w:val="0"/>
                    <w:snapToGrid w:val="0"/>
                    <w:jc w:val="center"/>
                    <w:rPr>
                      <w:bCs/>
                      <w:color w:val="auto"/>
                      <w:spacing w:val="6"/>
                    </w:rPr>
                  </w:pPr>
                </w:p>
              </w:tc>
              <w:tc>
                <w:tcPr>
                  <w:tcW w:w="2195" w:type="dxa"/>
                  <w:gridSpan w:val="3"/>
                  <w:vMerge w:val="continue"/>
                  <w:shd w:val="clear" w:color="auto" w:fill="auto"/>
                  <w:vAlign w:val="center"/>
                </w:tcPr>
                <w:p w14:paraId="7EE3BB6E">
                  <w:pPr>
                    <w:adjustRightInd w:val="0"/>
                    <w:snapToGrid w:val="0"/>
                    <w:jc w:val="center"/>
                    <w:rPr>
                      <w:bCs/>
                      <w:color w:val="auto"/>
                    </w:rPr>
                  </w:pPr>
                </w:p>
              </w:tc>
              <w:tc>
                <w:tcPr>
                  <w:tcW w:w="2565" w:type="dxa"/>
                  <w:shd w:val="clear" w:color="auto" w:fill="auto"/>
                  <w:vAlign w:val="center"/>
                </w:tcPr>
                <w:p w14:paraId="3D2B32D9">
                  <w:pPr>
                    <w:snapToGrid w:val="0"/>
                    <w:jc w:val="center"/>
                    <w:rPr>
                      <w:bCs/>
                      <w:color w:val="auto"/>
                    </w:rPr>
                  </w:pPr>
                  <w:r>
                    <w:rPr>
                      <w:color w:val="auto"/>
                      <w:szCs w:val="21"/>
                    </w:rPr>
                    <w:t>最高允许排放速率</w:t>
                  </w:r>
                </w:p>
              </w:tc>
              <w:tc>
                <w:tcPr>
                  <w:tcW w:w="1262" w:type="dxa"/>
                  <w:shd w:val="clear" w:color="auto" w:fill="auto"/>
                  <w:vAlign w:val="center"/>
                </w:tcPr>
                <w:p w14:paraId="3FC749A9">
                  <w:pPr>
                    <w:snapToGrid w:val="0"/>
                    <w:jc w:val="center"/>
                    <w:rPr>
                      <w:color w:val="auto"/>
                      <w:kern w:val="0"/>
                      <w:szCs w:val="21"/>
                    </w:rPr>
                  </w:pPr>
                  <w:r>
                    <w:rPr>
                      <w:rFonts w:hint="eastAsia"/>
                      <w:color w:val="auto"/>
                      <w:szCs w:val="21"/>
                    </w:rPr>
                    <w:t>23m排气筒</w:t>
                  </w:r>
                  <w:r>
                    <w:rPr>
                      <w:rFonts w:hint="eastAsia"/>
                      <w:color w:val="auto"/>
                      <w:kern w:val="0"/>
                      <w:szCs w:val="21"/>
                    </w:rPr>
                    <w:t>27.8kg/h</w:t>
                  </w:r>
                </w:p>
              </w:tc>
            </w:tr>
            <w:tr w14:paraId="35E6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96" w:type="dxa"/>
                  <w:vMerge w:val="continue"/>
                  <w:vAlign w:val="center"/>
                </w:tcPr>
                <w:p w14:paraId="3D2BF0EE">
                  <w:pPr>
                    <w:adjustRightInd w:val="0"/>
                    <w:snapToGrid w:val="0"/>
                    <w:jc w:val="center"/>
                    <w:rPr>
                      <w:color w:val="auto"/>
                    </w:rPr>
                  </w:pPr>
                </w:p>
              </w:tc>
              <w:tc>
                <w:tcPr>
                  <w:tcW w:w="2195" w:type="dxa"/>
                  <w:gridSpan w:val="3"/>
                  <w:vMerge w:val="continue"/>
                  <w:shd w:val="clear" w:color="auto" w:fill="auto"/>
                  <w:vAlign w:val="center"/>
                </w:tcPr>
                <w:p w14:paraId="2E0B08BA">
                  <w:pPr>
                    <w:adjustRightInd w:val="0"/>
                    <w:snapToGrid w:val="0"/>
                    <w:jc w:val="center"/>
                    <w:rPr>
                      <w:bCs/>
                      <w:color w:val="auto"/>
                    </w:rPr>
                  </w:pPr>
                </w:p>
              </w:tc>
              <w:tc>
                <w:tcPr>
                  <w:tcW w:w="2565" w:type="dxa"/>
                  <w:shd w:val="clear" w:color="auto" w:fill="auto"/>
                  <w:vAlign w:val="center"/>
                </w:tcPr>
                <w:p w14:paraId="089026C4">
                  <w:pPr>
                    <w:snapToGrid w:val="0"/>
                    <w:jc w:val="center"/>
                    <w:rPr>
                      <w:bCs/>
                      <w:color w:val="auto"/>
                    </w:rPr>
                  </w:pPr>
                  <w:r>
                    <w:rPr>
                      <w:color w:val="auto"/>
                      <w:szCs w:val="21"/>
                    </w:rPr>
                    <w:t>无组织排放监控浓度限值</w:t>
                  </w:r>
                </w:p>
              </w:tc>
              <w:tc>
                <w:tcPr>
                  <w:tcW w:w="1262" w:type="dxa"/>
                  <w:shd w:val="clear" w:color="auto" w:fill="auto"/>
                  <w:vAlign w:val="center"/>
                </w:tcPr>
                <w:p w14:paraId="295793B1">
                  <w:pPr>
                    <w:snapToGrid w:val="0"/>
                    <w:jc w:val="center"/>
                    <w:rPr>
                      <w:bCs/>
                      <w:color w:val="auto"/>
                    </w:rPr>
                  </w:pPr>
                  <w:r>
                    <w:rPr>
                      <w:rFonts w:hint="eastAsia"/>
                      <w:color w:val="auto"/>
                      <w:kern w:val="0"/>
                      <w:szCs w:val="21"/>
                    </w:rPr>
                    <w:t>4.0</w:t>
                  </w:r>
                </w:p>
              </w:tc>
            </w:tr>
            <w:tr w14:paraId="54EB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96" w:type="dxa"/>
                  <w:vMerge w:val="continue"/>
                  <w:vAlign w:val="center"/>
                </w:tcPr>
                <w:p w14:paraId="762CF74E">
                  <w:pPr>
                    <w:adjustRightInd w:val="0"/>
                    <w:snapToGrid w:val="0"/>
                    <w:jc w:val="center"/>
                    <w:rPr>
                      <w:bCs/>
                      <w:color w:val="auto"/>
                      <w:spacing w:val="6"/>
                    </w:rPr>
                  </w:pPr>
                </w:p>
              </w:tc>
              <w:tc>
                <w:tcPr>
                  <w:tcW w:w="900" w:type="dxa"/>
                  <w:shd w:val="clear" w:color="auto" w:fill="auto"/>
                  <w:vAlign w:val="center"/>
                </w:tcPr>
                <w:p w14:paraId="1FB236B9">
                  <w:pPr>
                    <w:adjustRightInd w:val="0"/>
                    <w:snapToGrid w:val="0"/>
                    <w:jc w:val="center"/>
                    <w:rPr>
                      <w:color w:val="auto"/>
                      <w:kern w:val="0"/>
                      <w:szCs w:val="21"/>
                    </w:rPr>
                  </w:pPr>
                  <w:r>
                    <w:rPr>
                      <w:rFonts w:hint="eastAsia"/>
                      <w:color w:val="auto"/>
                      <w:kern w:val="0"/>
                      <w:szCs w:val="21"/>
                    </w:rPr>
                    <w:t>非甲烷总烃</w:t>
                  </w:r>
                </w:p>
              </w:tc>
              <w:tc>
                <w:tcPr>
                  <w:tcW w:w="650" w:type="dxa"/>
                  <w:shd w:val="clear" w:color="auto" w:fill="auto"/>
                  <w:vAlign w:val="center"/>
                </w:tcPr>
                <w:p w14:paraId="0D0ECF22">
                  <w:pPr>
                    <w:adjustRightInd w:val="0"/>
                    <w:snapToGrid w:val="0"/>
                    <w:jc w:val="center"/>
                    <w:rPr>
                      <w:bCs/>
                      <w:color w:val="auto"/>
                    </w:rPr>
                  </w:pPr>
                  <w:r>
                    <w:rPr>
                      <w:rFonts w:hint="eastAsia"/>
                      <w:bCs/>
                      <w:color w:val="auto"/>
                    </w:rPr>
                    <w:t>无组织</w:t>
                  </w:r>
                </w:p>
              </w:tc>
              <w:tc>
                <w:tcPr>
                  <w:tcW w:w="645" w:type="dxa"/>
                  <w:shd w:val="clear" w:color="auto" w:fill="auto"/>
                  <w:vAlign w:val="center"/>
                </w:tcPr>
                <w:p w14:paraId="63A96218">
                  <w:pPr>
                    <w:adjustRightInd w:val="0"/>
                    <w:snapToGrid w:val="0"/>
                    <w:jc w:val="center"/>
                    <w:rPr>
                      <w:bCs/>
                      <w:color w:val="auto"/>
                    </w:rPr>
                  </w:pPr>
                  <w:r>
                    <w:rPr>
                      <w:rFonts w:hint="eastAsia"/>
                      <w:bCs/>
                      <w:color w:val="auto"/>
                    </w:rPr>
                    <w:t>排放浓度</w:t>
                  </w:r>
                </w:p>
              </w:tc>
              <w:tc>
                <w:tcPr>
                  <w:tcW w:w="2565" w:type="dxa"/>
                  <w:shd w:val="clear" w:color="auto" w:fill="auto"/>
                  <w:vAlign w:val="center"/>
                </w:tcPr>
                <w:p w14:paraId="148A5A23">
                  <w:pPr>
                    <w:adjustRightInd w:val="0"/>
                    <w:snapToGrid w:val="0"/>
                    <w:jc w:val="center"/>
                    <w:rPr>
                      <w:bCs/>
                      <w:color w:val="auto"/>
                    </w:rPr>
                  </w:pPr>
                  <w:r>
                    <w:rPr>
                      <w:rFonts w:hint="eastAsia"/>
                      <w:bCs/>
                      <w:color w:val="auto"/>
                    </w:rPr>
                    <w:t>周外界浓度最高点</w:t>
                  </w:r>
                </w:p>
              </w:tc>
              <w:tc>
                <w:tcPr>
                  <w:tcW w:w="1262" w:type="dxa"/>
                  <w:shd w:val="clear" w:color="auto" w:fill="auto"/>
                  <w:vAlign w:val="center"/>
                </w:tcPr>
                <w:p w14:paraId="4E884171">
                  <w:pPr>
                    <w:adjustRightInd w:val="0"/>
                    <w:snapToGrid w:val="0"/>
                    <w:jc w:val="center"/>
                    <w:rPr>
                      <w:color w:val="auto"/>
                      <w:kern w:val="0"/>
                      <w:szCs w:val="21"/>
                    </w:rPr>
                  </w:pPr>
                  <w:r>
                    <w:rPr>
                      <w:rFonts w:hint="eastAsia"/>
                      <w:color w:val="auto"/>
                      <w:kern w:val="0"/>
                      <w:szCs w:val="21"/>
                    </w:rPr>
                    <w:t>4.0</w:t>
                  </w:r>
                </w:p>
              </w:tc>
            </w:tr>
          </w:tbl>
          <w:p w14:paraId="6F679EA2">
            <w:pPr>
              <w:widowControl/>
              <w:spacing w:line="336" w:lineRule="auto"/>
              <w:ind w:firstLine="482" w:firstLineChars="200"/>
              <w:jc w:val="left"/>
              <w:rPr>
                <w:b/>
                <w:bCs/>
                <w:color w:val="auto"/>
                <w:sz w:val="24"/>
              </w:rPr>
            </w:pPr>
            <w:r>
              <w:rPr>
                <w:b/>
                <w:bCs/>
                <w:color w:val="auto"/>
                <w:sz w:val="24"/>
              </w:rPr>
              <w:t>2、</w:t>
            </w:r>
            <w:r>
              <w:rPr>
                <w:rFonts w:hint="eastAsia"/>
                <w:b/>
                <w:bCs/>
                <w:color w:val="auto"/>
                <w:sz w:val="24"/>
              </w:rPr>
              <w:t>废水排放标准</w:t>
            </w:r>
          </w:p>
          <w:p w14:paraId="753DB2E5">
            <w:pPr>
              <w:widowControl/>
              <w:adjustRightInd w:val="0"/>
              <w:spacing w:line="360" w:lineRule="auto"/>
              <w:ind w:firstLine="480" w:firstLineChars="200"/>
              <w:jc w:val="left"/>
              <w:rPr>
                <w:bCs/>
                <w:color w:val="auto"/>
                <w:sz w:val="24"/>
              </w:rPr>
            </w:pPr>
            <w:r>
              <w:rPr>
                <w:rFonts w:hint="eastAsia"/>
                <w:bCs/>
                <w:color w:val="auto"/>
                <w:sz w:val="24"/>
              </w:rPr>
              <w:t>废水排放</w:t>
            </w:r>
            <w:r>
              <w:rPr>
                <w:bCs/>
                <w:color w:val="auto"/>
                <w:sz w:val="24"/>
              </w:rPr>
              <w:t>执行《污水综合排放标准》（GB8978-1996）三级标准及《污水排入城镇下水道水质标准》（GB/T31962-2015）中的</w:t>
            </w:r>
            <w:r>
              <w:rPr>
                <w:rFonts w:hint="eastAsia"/>
                <w:bCs/>
                <w:color w:val="auto"/>
                <w:sz w:val="24"/>
              </w:rPr>
              <w:t>B</w:t>
            </w:r>
            <w:r>
              <w:rPr>
                <w:bCs/>
                <w:color w:val="auto"/>
                <w:sz w:val="24"/>
              </w:rPr>
              <w:t>等级标准，具体</w:t>
            </w:r>
            <w:r>
              <w:rPr>
                <w:rFonts w:hint="eastAsia"/>
                <w:bCs/>
                <w:color w:val="auto"/>
                <w:sz w:val="24"/>
              </w:rPr>
              <w:t>标准值见</w:t>
            </w:r>
            <w:r>
              <w:rPr>
                <w:bCs/>
                <w:color w:val="auto"/>
                <w:sz w:val="24"/>
              </w:rPr>
              <w:t>表3-</w:t>
            </w:r>
            <w:r>
              <w:rPr>
                <w:rFonts w:hint="eastAsia"/>
                <w:bCs/>
                <w:color w:val="auto"/>
                <w:sz w:val="24"/>
              </w:rPr>
              <w:t>5</w:t>
            </w:r>
            <w:r>
              <w:rPr>
                <w:bCs/>
                <w:color w:val="auto"/>
                <w:sz w:val="24"/>
              </w:rPr>
              <w:t>。</w:t>
            </w:r>
          </w:p>
          <w:p w14:paraId="5B04F9BE">
            <w:pPr>
              <w:widowControl/>
              <w:adjustRightInd w:val="0"/>
              <w:snapToGrid w:val="0"/>
              <w:jc w:val="center"/>
              <w:rPr>
                <w:b/>
                <w:color w:val="auto"/>
                <w:szCs w:val="21"/>
              </w:rPr>
            </w:pPr>
            <w:r>
              <w:rPr>
                <w:b/>
                <w:color w:val="auto"/>
                <w:szCs w:val="21"/>
              </w:rPr>
              <w:t>表3</w:t>
            </w:r>
            <w:r>
              <w:rPr>
                <w:rFonts w:hint="eastAsia"/>
                <w:b/>
                <w:color w:val="auto"/>
                <w:szCs w:val="21"/>
              </w:rPr>
              <w:t>-5</w:t>
            </w:r>
            <w:r>
              <w:rPr>
                <w:b/>
                <w:color w:val="auto"/>
                <w:szCs w:val="21"/>
              </w:rPr>
              <w:t xml:space="preserve">   废水污染物排放标准</w:t>
            </w:r>
          </w:p>
          <w:tbl>
            <w:tblPr>
              <w:tblStyle w:val="18"/>
              <w:tblW w:w="4995" w:type="pct"/>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95" w:type="dxa"/>
                <w:bottom w:w="0" w:type="dxa"/>
                <w:right w:w="95" w:type="dxa"/>
              </w:tblCellMar>
            </w:tblPr>
            <w:tblGrid>
              <w:gridCol w:w="3723"/>
              <w:gridCol w:w="2247"/>
              <w:gridCol w:w="2273"/>
            </w:tblGrid>
            <w:tr w14:paraId="7924FD3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95" w:type="dxa"/>
                  <w:bottom w:w="0" w:type="dxa"/>
                  <w:right w:w="95" w:type="dxa"/>
                </w:tblCellMar>
              </w:tblPrEx>
              <w:trPr>
                <w:trHeight w:val="237" w:hRule="atLeast"/>
                <w:jc w:val="center"/>
              </w:trPr>
              <w:tc>
                <w:tcPr>
                  <w:tcW w:w="2258" w:type="pct"/>
                  <w:tcBorders>
                    <w:right w:val="single" w:color="auto" w:sz="4" w:space="0"/>
                  </w:tcBorders>
                  <w:tcMar>
                    <w:left w:w="28" w:type="dxa"/>
                    <w:right w:w="28" w:type="dxa"/>
                  </w:tcMar>
                  <w:vAlign w:val="center"/>
                </w:tcPr>
                <w:p w14:paraId="68EDE648">
                  <w:pPr>
                    <w:widowControl/>
                    <w:adjustRightInd w:val="0"/>
                    <w:snapToGrid w:val="0"/>
                    <w:jc w:val="center"/>
                    <w:rPr>
                      <w:color w:val="auto"/>
                      <w:kern w:val="0"/>
                      <w:szCs w:val="21"/>
                    </w:rPr>
                  </w:pPr>
                  <w:r>
                    <w:rPr>
                      <w:color w:val="auto"/>
                      <w:szCs w:val="21"/>
                    </w:rPr>
                    <w:t>依据标准</w:t>
                  </w:r>
                </w:p>
              </w:tc>
              <w:tc>
                <w:tcPr>
                  <w:tcW w:w="1362" w:type="pct"/>
                  <w:tcBorders>
                    <w:right w:val="single" w:color="auto" w:sz="4" w:space="0"/>
                  </w:tcBorders>
                  <w:tcMar>
                    <w:left w:w="28" w:type="dxa"/>
                    <w:right w:w="28" w:type="dxa"/>
                  </w:tcMar>
                  <w:vAlign w:val="center"/>
                </w:tcPr>
                <w:p w14:paraId="09A84674">
                  <w:pPr>
                    <w:widowControl/>
                    <w:adjustRightInd w:val="0"/>
                    <w:snapToGrid w:val="0"/>
                    <w:jc w:val="center"/>
                    <w:rPr>
                      <w:color w:val="auto"/>
                      <w:kern w:val="0"/>
                      <w:szCs w:val="21"/>
                    </w:rPr>
                  </w:pPr>
                  <w:r>
                    <w:rPr>
                      <w:color w:val="auto"/>
                      <w:kern w:val="0"/>
                      <w:szCs w:val="21"/>
                    </w:rPr>
                    <w:t>污染物</w:t>
                  </w:r>
                </w:p>
              </w:tc>
              <w:tc>
                <w:tcPr>
                  <w:tcW w:w="1378" w:type="pct"/>
                  <w:tcBorders>
                    <w:left w:val="single" w:color="auto" w:sz="4" w:space="0"/>
                  </w:tcBorders>
                  <w:vAlign w:val="center"/>
                </w:tcPr>
                <w:p w14:paraId="17A39201">
                  <w:pPr>
                    <w:widowControl/>
                    <w:adjustRightInd w:val="0"/>
                    <w:snapToGrid w:val="0"/>
                    <w:jc w:val="center"/>
                    <w:rPr>
                      <w:color w:val="auto"/>
                      <w:kern w:val="0"/>
                      <w:szCs w:val="21"/>
                    </w:rPr>
                  </w:pPr>
                  <w:r>
                    <w:rPr>
                      <w:color w:val="auto"/>
                      <w:kern w:val="0"/>
                      <w:szCs w:val="21"/>
                    </w:rPr>
                    <w:t>排放限值</w:t>
                  </w:r>
                </w:p>
              </w:tc>
            </w:tr>
            <w:tr w14:paraId="22C16E3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95" w:type="dxa"/>
                  <w:bottom w:w="0" w:type="dxa"/>
                  <w:right w:w="95" w:type="dxa"/>
                </w:tblCellMar>
              </w:tblPrEx>
              <w:trPr>
                <w:trHeight w:val="118" w:hRule="atLeast"/>
                <w:jc w:val="center"/>
              </w:trPr>
              <w:tc>
                <w:tcPr>
                  <w:tcW w:w="2258" w:type="pct"/>
                  <w:vMerge w:val="restart"/>
                  <w:tcBorders>
                    <w:right w:val="single" w:color="auto" w:sz="4" w:space="0"/>
                  </w:tcBorders>
                  <w:tcMar>
                    <w:left w:w="28" w:type="dxa"/>
                    <w:right w:w="28" w:type="dxa"/>
                  </w:tcMar>
                  <w:vAlign w:val="center"/>
                </w:tcPr>
                <w:p w14:paraId="1B13F4F0">
                  <w:pPr>
                    <w:adjustRightInd w:val="0"/>
                    <w:snapToGrid w:val="0"/>
                    <w:jc w:val="center"/>
                    <w:rPr>
                      <w:color w:val="auto"/>
                      <w:szCs w:val="21"/>
                    </w:rPr>
                  </w:pPr>
                  <w:r>
                    <w:rPr>
                      <w:bCs/>
                      <w:color w:val="auto"/>
                      <w:szCs w:val="21"/>
                    </w:rPr>
                    <w:t>《污水综合排放标准》（GB8978-1996）三级标准</w:t>
                  </w:r>
                </w:p>
              </w:tc>
              <w:tc>
                <w:tcPr>
                  <w:tcW w:w="1362" w:type="pct"/>
                  <w:tcBorders>
                    <w:right w:val="single" w:color="auto" w:sz="4" w:space="0"/>
                  </w:tcBorders>
                  <w:tcMar>
                    <w:left w:w="28" w:type="dxa"/>
                    <w:right w:w="28" w:type="dxa"/>
                  </w:tcMar>
                  <w:vAlign w:val="center"/>
                </w:tcPr>
                <w:p w14:paraId="67A864B1">
                  <w:pPr>
                    <w:adjustRightInd w:val="0"/>
                    <w:snapToGrid w:val="0"/>
                    <w:jc w:val="center"/>
                    <w:rPr>
                      <w:color w:val="auto"/>
                      <w:kern w:val="0"/>
                      <w:szCs w:val="21"/>
                    </w:rPr>
                  </w:pPr>
                  <w:r>
                    <w:rPr>
                      <w:rFonts w:hint="eastAsia"/>
                      <w:color w:val="auto"/>
                    </w:rPr>
                    <w:t>pH</w:t>
                  </w:r>
                </w:p>
              </w:tc>
              <w:tc>
                <w:tcPr>
                  <w:tcW w:w="1378" w:type="pct"/>
                  <w:tcBorders>
                    <w:left w:val="single" w:color="auto" w:sz="4" w:space="0"/>
                  </w:tcBorders>
                  <w:vAlign w:val="center"/>
                </w:tcPr>
                <w:p w14:paraId="422BBB68">
                  <w:pPr>
                    <w:widowControl/>
                    <w:adjustRightInd w:val="0"/>
                    <w:snapToGrid w:val="0"/>
                    <w:jc w:val="center"/>
                    <w:rPr>
                      <w:color w:val="auto"/>
                      <w:kern w:val="0"/>
                      <w:szCs w:val="21"/>
                    </w:rPr>
                  </w:pPr>
                  <w:r>
                    <w:rPr>
                      <w:rFonts w:hint="eastAsia"/>
                      <w:color w:val="auto"/>
                      <w:kern w:val="0"/>
                      <w:szCs w:val="21"/>
                    </w:rPr>
                    <w:t>6~9</w:t>
                  </w:r>
                </w:p>
              </w:tc>
            </w:tr>
            <w:tr w14:paraId="3B56642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95" w:type="dxa"/>
                  <w:bottom w:w="0" w:type="dxa"/>
                  <w:right w:w="95" w:type="dxa"/>
                </w:tblCellMar>
              </w:tblPrEx>
              <w:trPr>
                <w:trHeight w:val="118" w:hRule="atLeast"/>
                <w:jc w:val="center"/>
              </w:trPr>
              <w:tc>
                <w:tcPr>
                  <w:tcW w:w="2258" w:type="pct"/>
                  <w:vMerge w:val="continue"/>
                  <w:tcBorders>
                    <w:right w:val="single" w:color="auto" w:sz="4" w:space="0"/>
                  </w:tcBorders>
                  <w:tcMar>
                    <w:left w:w="28" w:type="dxa"/>
                    <w:right w:w="28" w:type="dxa"/>
                  </w:tcMar>
                  <w:vAlign w:val="center"/>
                </w:tcPr>
                <w:p w14:paraId="71ADB088">
                  <w:pPr>
                    <w:widowControl/>
                    <w:adjustRightInd w:val="0"/>
                    <w:snapToGrid w:val="0"/>
                    <w:jc w:val="center"/>
                    <w:rPr>
                      <w:color w:val="auto"/>
                    </w:rPr>
                  </w:pPr>
                </w:p>
              </w:tc>
              <w:tc>
                <w:tcPr>
                  <w:tcW w:w="1362" w:type="pct"/>
                  <w:tcBorders>
                    <w:right w:val="single" w:color="auto" w:sz="4" w:space="0"/>
                  </w:tcBorders>
                  <w:tcMar>
                    <w:left w:w="28" w:type="dxa"/>
                    <w:right w:w="28" w:type="dxa"/>
                  </w:tcMar>
                  <w:vAlign w:val="center"/>
                </w:tcPr>
                <w:p w14:paraId="2F5A43F9">
                  <w:pPr>
                    <w:adjustRightInd w:val="0"/>
                    <w:snapToGrid w:val="0"/>
                    <w:jc w:val="center"/>
                    <w:rPr>
                      <w:color w:val="auto"/>
                      <w:kern w:val="0"/>
                      <w:szCs w:val="21"/>
                    </w:rPr>
                  </w:pPr>
                  <w:r>
                    <w:rPr>
                      <w:color w:val="auto"/>
                      <w:szCs w:val="21"/>
                    </w:rPr>
                    <w:t>COD</w:t>
                  </w:r>
                </w:p>
              </w:tc>
              <w:tc>
                <w:tcPr>
                  <w:tcW w:w="1378" w:type="pct"/>
                  <w:tcBorders>
                    <w:left w:val="single" w:color="auto" w:sz="4" w:space="0"/>
                  </w:tcBorders>
                  <w:vAlign w:val="center"/>
                </w:tcPr>
                <w:p w14:paraId="34EE76F5">
                  <w:pPr>
                    <w:widowControl/>
                    <w:adjustRightInd w:val="0"/>
                    <w:snapToGrid w:val="0"/>
                    <w:jc w:val="center"/>
                    <w:rPr>
                      <w:color w:val="auto"/>
                      <w:kern w:val="0"/>
                      <w:szCs w:val="21"/>
                    </w:rPr>
                  </w:pPr>
                  <w:r>
                    <w:rPr>
                      <w:color w:val="auto"/>
                      <w:kern w:val="0"/>
                      <w:szCs w:val="21"/>
                    </w:rPr>
                    <w:t>500mg/L</w:t>
                  </w:r>
                </w:p>
              </w:tc>
            </w:tr>
            <w:tr w14:paraId="2BAB270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95" w:type="dxa"/>
                  <w:bottom w:w="0" w:type="dxa"/>
                  <w:right w:w="95" w:type="dxa"/>
                </w:tblCellMar>
              </w:tblPrEx>
              <w:trPr>
                <w:trHeight w:val="258" w:hRule="atLeast"/>
                <w:jc w:val="center"/>
              </w:trPr>
              <w:tc>
                <w:tcPr>
                  <w:tcW w:w="2258" w:type="pct"/>
                  <w:vMerge w:val="continue"/>
                  <w:tcBorders>
                    <w:right w:val="single" w:color="auto" w:sz="4" w:space="0"/>
                  </w:tcBorders>
                  <w:tcMar>
                    <w:left w:w="28" w:type="dxa"/>
                    <w:right w:w="28" w:type="dxa"/>
                  </w:tcMar>
                  <w:vAlign w:val="center"/>
                </w:tcPr>
                <w:p w14:paraId="7C4C18A1">
                  <w:pPr>
                    <w:adjustRightInd w:val="0"/>
                    <w:snapToGrid w:val="0"/>
                    <w:jc w:val="center"/>
                    <w:rPr>
                      <w:color w:val="auto"/>
                      <w:szCs w:val="21"/>
                    </w:rPr>
                  </w:pPr>
                </w:p>
              </w:tc>
              <w:tc>
                <w:tcPr>
                  <w:tcW w:w="1362" w:type="pct"/>
                  <w:tcBorders>
                    <w:right w:val="single" w:color="auto" w:sz="4" w:space="0"/>
                  </w:tcBorders>
                  <w:tcMar>
                    <w:left w:w="28" w:type="dxa"/>
                    <w:right w:w="28" w:type="dxa"/>
                  </w:tcMar>
                  <w:vAlign w:val="center"/>
                </w:tcPr>
                <w:p w14:paraId="0E59E61B">
                  <w:pPr>
                    <w:adjustRightInd w:val="0"/>
                    <w:snapToGrid w:val="0"/>
                    <w:jc w:val="center"/>
                    <w:rPr>
                      <w:color w:val="auto"/>
                      <w:kern w:val="0"/>
                      <w:szCs w:val="21"/>
                    </w:rPr>
                  </w:pPr>
                  <w:r>
                    <w:rPr>
                      <w:color w:val="auto"/>
                      <w:szCs w:val="21"/>
                    </w:rPr>
                    <w:t>BOD</w:t>
                  </w:r>
                  <w:r>
                    <w:rPr>
                      <w:color w:val="auto"/>
                      <w:szCs w:val="21"/>
                      <w:vertAlign w:val="subscript"/>
                    </w:rPr>
                    <w:t>5</w:t>
                  </w:r>
                </w:p>
              </w:tc>
              <w:tc>
                <w:tcPr>
                  <w:tcW w:w="1378" w:type="pct"/>
                  <w:tcBorders>
                    <w:left w:val="single" w:color="auto" w:sz="4" w:space="0"/>
                  </w:tcBorders>
                  <w:vAlign w:val="center"/>
                </w:tcPr>
                <w:p w14:paraId="29DD58FA">
                  <w:pPr>
                    <w:widowControl/>
                    <w:adjustRightInd w:val="0"/>
                    <w:snapToGrid w:val="0"/>
                    <w:jc w:val="center"/>
                    <w:rPr>
                      <w:color w:val="auto"/>
                      <w:kern w:val="0"/>
                      <w:szCs w:val="21"/>
                    </w:rPr>
                  </w:pPr>
                  <w:r>
                    <w:rPr>
                      <w:color w:val="auto"/>
                      <w:kern w:val="0"/>
                      <w:szCs w:val="21"/>
                    </w:rPr>
                    <w:t>300mg/L</w:t>
                  </w:r>
                </w:p>
              </w:tc>
            </w:tr>
            <w:tr w14:paraId="52ECE2F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95" w:type="dxa"/>
                  <w:bottom w:w="0" w:type="dxa"/>
                  <w:right w:w="95" w:type="dxa"/>
                </w:tblCellMar>
              </w:tblPrEx>
              <w:trPr>
                <w:trHeight w:val="118" w:hRule="atLeast"/>
                <w:jc w:val="center"/>
              </w:trPr>
              <w:tc>
                <w:tcPr>
                  <w:tcW w:w="2258" w:type="pct"/>
                  <w:vMerge w:val="continue"/>
                  <w:tcBorders>
                    <w:right w:val="single" w:color="auto" w:sz="4" w:space="0"/>
                  </w:tcBorders>
                  <w:tcMar>
                    <w:left w:w="28" w:type="dxa"/>
                    <w:right w:w="28" w:type="dxa"/>
                  </w:tcMar>
                  <w:vAlign w:val="center"/>
                </w:tcPr>
                <w:p w14:paraId="6004A722">
                  <w:pPr>
                    <w:adjustRightInd w:val="0"/>
                    <w:snapToGrid w:val="0"/>
                    <w:jc w:val="center"/>
                    <w:rPr>
                      <w:color w:val="auto"/>
                      <w:szCs w:val="21"/>
                    </w:rPr>
                  </w:pPr>
                </w:p>
              </w:tc>
              <w:tc>
                <w:tcPr>
                  <w:tcW w:w="1362" w:type="pct"/>
                  <w:tcBorders>
                    <w:right w:val="single" w:color="auto" w:sz="4" w:space="0"/>
                  </w:tcBorders>
                  <w:tcMar>
                    <w:left w:w="28" w:type="dxa"/>
                    <w:right w:w="28" w:type="dxa"/>
                  </w:tcMar>
                  <w:vAlign w:val="center"/>
                </w:tcPr>
                <w:p w14:paraId="2D8CA5A9">
                  <w:pPr>
                    <w:adjustRightInd w:val="0"/>
                    <w:snapToGrid w:val="0"/>
                    <w:jc w:val="center"/>
                    <w:rPr>
                      <w:color w:val="auto"/>
                      <w:kern w:val="0"/>
                      <w:szCs w:val="21"/>
                    </w:rPr>
                  </w:pPr>
                  <w:r>
                    <w:rPr>
                      <w:color w:val="auto"/>
                      <w:szCs w:val="21"/>
                    </w:rPr>
                    <w:t>SS</w:t>
                  </w:r>
                </w:p>
              </w:tc>
              <w:tc>
                <w:tcPr>
                  <w:tcW w:w="1378" w:type="pct"/>
                  <w:tcBorders>
                    <w:left w:val="single" w:color="auto" w:sz="4" w:space="0"/>
                  </w:tcBorders>
                  <w:vAlign w:val="center"/>
                </w:tcPr>
                <w:p w14:paraId="07BC03DD">
                  <w:pPr>
                    <w:widowControl/>
                    <w:adjustRightInd w:val="0"/>
                    <w:snapToGrid w:val="0"/>
                    <w:jc w:val="center"/>
                    <w:rPr>
                      <w:color w:val="auto"/>
                      <w:kern w:val="0"/>
                      <w:szCs w:val="21"/>
                    </w:rPr>
                  </w:pPr>
                  <w:r>
                    <w:rPr>
                      <w:color w:val="auto"/>
                      <w:kern w:val="0"/>
                      <w:szCs w:val="21"/>
                    </w:rPr>
                    <w:t>400mg/</w:t>
                  </w:r>
                  <w:r>
                    <w:rPr>
                      <w:rFonts w:hint="eastAsia"/>
                      <w:color w:val="auto"/>
                      <w:kern w:val="0"/>
                      <w:szCs w:val="21"/>
                    </w:rPr>
                    <w:t>L</w:t>
                  </w:r>
                </w:p>
              </w:tc>
            </w:tr>
            <w:tr w14:paraId="68E4037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95" w:type="dxa"/>
                  <w:bottom w:w="0" w:type="dxa"/>
                  <w:right w:w="95" w:type="dxa"/>
                </w:tblCellMar>
              </w:tblPrEx>
              <w:trPr>
                <w:trHeight w:val="90" w:hRule="atLeast"/>
                <w:jc w:val="center"/>
              </w:trPr>
              <w:tc>
                <w:tcPr>
                  <w:tcW w:w="2258" w:type="pct"/>
                  <w:tcBorders>
                    <w:right w:val="single" w:color="auto" w:sz="4" w:space="0"/>
                  </w:tcBorders>
                  <w:tcMar>
                    <w:left w:w="28" w:type="dxa"/>
                    <w:right w:w="28" w:type="dxa"/>
                  </w:tcMar>
                  <w:vAlign w:val="center"/>
                </w:tcPr>
                <w:p w14:paraId="64CCFC78">
                  <w:pPr>
                    <w:adjustRightInd w:val="0"/>
                    <w:snapToGrid w:val="0"/>
                    <w:jc w:val="center"/>
                    <w:rPr>
                      <w:color w:val="auto"/>
                      <w:szCs w:val="21"/>
                    </w:rPr>
                  </w:pPr>
                  <w:r>
                    <w:rPr>
                      <w:bCs/>
                      <w:color w:val="auto"/>
                      <w:szCs w:val="21"/>
                    </w:rPr>
                    <w:t>《污水排入城镇下水道水质标准》（GB/T31962-2015）</w:t>
                  </w:r>
                  <w:r>
                    <w:rPr>
                      <w:rFonts w:hint="eastAsia"/>
                      <w:bCs/>
                      <w:color w:val="auto"/>
                      <w:szCs w:val="21"/>
                    </w:rPr>
                    <w:t>B</w:t>
                  </w:r>
                  <w:r>
                    <w:rPr>
                      <w:bCs/>
                      <w:color w:val="auto"/>
                      <w:szCs w:val="21"/>
                    </w:rPr>
                    <w:t>级标准</w:t>
                  </w:r>
                </w:p>
              </w:tc>
              <w:tc>
                <w:tcPr>
                  <w:tcW w:w="1362" w:type="pct"/>
                  <w:tcBorders>
                    <w:right w:val="single" w:color="auto" w:sz="4" w:space="0"/>
                  </w:tcBorders>
                  <w:tcMar>
                    <w:left w:w="28" w:type="dxa"/>
                    <w:right w:w="28" w:type="dxa"/>
                  </w:tcMar>
                  <w:vAlign w:val="center"/>
                </w:tcPr>
                <w:p w14:paraId="26FE6B66">
                  <w:pPr>
                    <w:adjustRightInd w:val="0"/>
                    <w:snapToGrid w:val="0"/>
                    <w:jc w:val="center"/>
                    <w:rPr>
                      <w:color w:val="auto"/>
                      <w:szCs w:val="21"/>
                    </w:rPr>
                  </w:pPr>
                  <w:r>
                    <w:rPr>
                      <w:color w:val="auto"/>
                      <w:szCs w:val="21"/>
                    </w:rPr>
                    <w:t>氨氮</w:t>
                  </w:r>
                </w:p>
              </w:tc>
              <w:tc>
                <w:tcPr>
                  <w:tcW w:w="1378" w:type="pct"/>
                  <w:tcBorders>
                    <w:left w:val="single" w:color="auto" w:sz="4" w:space="0"/>
                  </w:tcBorders>
                  <w:vAlign w:val="center"/>
                </w:tcPr>
                <w:p w14:paraId="096AFFCD">
                  <w:pPr>
                    <w:widowControl/>
                    <w:adjustRightInd w:val="0"/>
                    <w:snapToGrid w:val="0"/>
                    <w:jc w:val="center"/>
                    <w:rPr>
                      <w:color w:val="auto"/>
                      <w:kern w:val="0"/>
                      <w:szCs w:val="21"/>
                    </w:rPr>
                  </w:pPr>
                  <w:r>
                    <w:rPr>
                      <w:color w:val="auto"/>
                      <w:kern w:val="0"/>
                      <w:szCs w:val="21"/>
                    </w:rPr>
                    <w:t>45mg/L</w:t>
                  </w:r>
                </w:p>
              </w:tc>
            </w:tr>
          </w:tbl>
          <w:p w14:paraId="55ADB497">
            <w:pPr>
              <w:pStyle w:val="32"/>
              <w:adjustRightInd w:val="0"/>
              <w:spacing w:line="336" w:lineRule="auto"/>
              <w:ind w:firstLine="482" w:firstLineChars="200"/>
              <w:rPr>
                <w:rFonts w:ascii="Times New Roman"/>
                <w:b/>
                <w:bCs/>
                <w:color w:val="auto"/>
              </w:rPr>
            </w:pPr>
            <w:r>
              <w:rPr>
                <w:rFonts w:ascii="Times New Roman"/>
                <w:b/>
                <w:bCs/>
                <w:color w:val="auto"/>
              </w:rPr>
              <w:t>3、</w:t>
            </w:r>
            <w:r>
              <w:rPr>
                <w:rFonts w:hint="eastAsia" w:ascii="Times New Roman"/>
                <w:b/>
                <w:bCs/>
                <w:color w:val="auto"/>
              </w:rPr>
              <w:t>噪声排放标准</w:t>
            </w:r>
          </w:p>
          <w:p w14:paraId="03F5E392">
            <w:pPr>
              <w:pStyle w:val="32"/>
              <w:adjustRightInd w:val="0"/>
              <w:spacing w:line="336" w:lineRule="auto"/>
              <w:ind w:firstLine="480" w:firstLineChars="200"/>
              <w:rPr>
                <w:rFonts w:ascii="Times New Roman"/>
                <w:color w:val="auto"/>
              </w:rPr>
            </w:pPr>
            <w:r>
              <w:rPr>
                <w:rFonts w:ascii="Times New Roman"/>
                <w:color w:val="auto"/>
              </w:rPr>
              <w:t>施工期噪声执行《建筑施工场界环境噪声排放标准》（GB12523-2011）中有关规定；</w:t>
            </w:r>
            <w:r>
              <w:rPr>
                <w:rFonts w:hint="eastAsia" w:ascii="Times New Roman"/>
                <w:color w:val="FF0000"/>
                <w:lang w:val="en-US" w:eastAsia="zh-CN"/>
              </w:rPr>
              <w:t>根据《西咸新区声环境功能区划方案》，项目所在区域属于沣西新城“3类”声环境功能区，片区名称为沣西新城信息产业园片区（西北）</w:t>
            </w:r>
            <w:r>
              <w:rPr>
                <w:rFonts w:hint="eastAsia" w:ascii="Times New Roman"/>
                <w:color w:val="auto"/>
                <w:lang w:val="en-US" w:eastAsia="zh-CN"/>
              </w:rPr>
              <w:t>，故</w:t>
            </w:r>
            <w:r>
              <w:rPr>
                <w:rFonts w:hint="eastAsia" w:ascii="Times New Roman"/>
                <w:color w:val="auto"/>
              </w:rPr>
              <w:t>运营期厂界</w:t>
            </w:r>
            <w:r>
              <w:rPr>
                <w:rFonts w:ascii="Times New Roman"/>
                <w:color w:val="auto"/>
              </w:rPr>
              <w:t>环境噪声执行《工业企业厂界环境噪声排放标准》（GB12348-2008）中</w:t>
            </w:r>
            <w:r>
              <w:rPr>
                <w:rFonts w:hint="eastAsia" w:ascii="Times New Roman"/>
                <w:color w:val="FF0000"/>
                <w:lang w:val="en-US" w:eastAsia="zh-CN"/>
              </w:rPr>
              <w:t>3</w:t>
            </w:r>
            <w:r>
              <w:rPr>
                <w:rFonts w:ascii="Times New Roman"/>
                <w:color w:val="FF0000"/>
              </w:rPr>
              <w:t>类标准</w:t>
            </w:r>
            <w:r>
              <w:rPr>
                <w:rFonts w:ascii="Times New Roman"/>
                <w:color w:val="auto"/>
              </w:rPr>
              <w:t>。</w:t>
            </w:r>
          </w:p>
          <w:p w14:paraId="0B27FBEF">
            <w:pPr>
              <w:adjustRightInd w:val="0"/>
              <w:snapToGrid w:val="0"/>
              <w:ind w:firstLine="422" w:firstLineChars="200"/>
              <w:jc w:val="center"/>
              <w:rPr>
                <w:b/>
                <w:bCs/>
                <w:snapToGrid w:val="0"/>
                <w:color w:val="auto"/>
                <w:kern w:val="0"/>
                <w:szCs w:val="21"/>
                <w:lang w:val="en-GB"/>
              </w:rPr>
            </w:pPr>
            <w:r>
              <w:rPr>
                <w:b/>
                <w:bCs/>
                <w:snapToGrid w:val="0"/>
                <w:color w:val="auto"/>
                <w:kern w:val="0"/>
                <w:szCs w:val="21"/>
                <w:lang w:val="en-GB"/>
              </w:rPr>
              <w:t>表</w:t>
            </w:r>
            <w:r>
              <w:rPr>
                <w:b/>
                <w:bCs/>
                <w:snapToGrid w:val="0"/>
                <w:color w:val="auto"/>
                <w:kern w:val="0"/>
                <w:szCs w:val="21"/>
              </w:rPr>
              <w:t>3</w:t>
            </w:r>
            <w:r>
              <w:rPr>
                <w:rFonts w:hint="eastAsia"/>
                <w:b/>
                <w:bCs/>
                <w:snapToGrid w:val="0"/>
                <w:color w:val="auto"/>
                <w:kern w:val="0"/>
                <w:szCs w:val="21"/>
              </w:rPr>
              <w:t>-6</w:t>
            </w:r>
            <w:r>
              <w:rPr>
                <w:b/>
                <w:bCs/>
                <w:snapToGrid w:val="0"/>
                <w:color w:val="auto"/>
                <w:kern w:val="0"/>
                <w:szCs w:val="21"/>
                <w:lang w:val="en-GB"/>
              </w:rPr>
              <w:t xml:space="preserve">   工业企业厂界环境噪声排放标准   </w:t>
            </w:r>
            <w:r>
              <w:rPr>
                <w:b/>
                <w:bCs/>
                <w:snapToGrid w:val="0"/>
                <w:color w:val="auto"/>
                <w:kern w:val="0"/>
                <w:szCs w:val="21"/>
              </w:rPr>
              <w:t xml:space="preserve"> </w:t>
            </w:r>
            <w:r>
              <w:rPr>
                <w:b/>
                <w:bCs/>
                <w:snapToGrid w:val="0"/>
                <w:color w:val="auto"/>
                <w:kern w:val="0"/>
                <w:szCs w:val="21"/>
                <w:lang w:val="en-GB"/>
              </w:rPr>
              <w:t xml:space="preserve"> 单位：dB（A）</w:t>
            </w:r>
          </w:p>
          <w:tbl>
            <w:tblPr>
              <w:tblStyle w:val="18"/>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4"/>
              <w:gridCol w:w="840"/>
              <w:gridCol w:w="566"/>
              <w:gridCol w:w="855"/>
              <w:gridCol w:w="910"/>
            </w:tblGrid>
            <w:tr w14:paraId="0878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074" w:type="dxa"/>
                  <w:vMerge w:val="restart"/>
                  <w:tcBorders>
                    <w:tl2br w:val="nil"/>
                    <w:tr2bl w:val="nil"/>
                  </w:tcBorders>
                  <w:vAlign w:val="center"/>
                </w:tcPr>
                <w:p w14:paraId="17F8B387">
                  <w:pPr>
                    <w:adjustRightInd w:val="0"/>
                    <w:snapToGrid w:val="0"/>
                    <w:jc w:val="center"/>
                    <w:rPr>
                      <w:snapToGrid w:val="0"/>
                      <w:color w:val="auto"/>
                      <w:kern w:val="0"/>
                      <w:szCs w:val="21"/>
                      <w:lang w:val="en-GB"/>
                    </w:rPr>
                  </w:pPr>
                  <w:r>
                    <w:rPr>
                      <w:snapToGrid w:val="0"/>
                      <w:color w:val="auto"/>
                      <w:kern w:val="0"/>
                      <w:szCs w:val="21"/>
                      <w:lang w:val="en-GB"/>
                    </w:rPr>
                    <w:t>执行标准</w:t>
                  </w:r>
                </w:p>
              </w:tc>
              <w:tc>
                <w:tcPr>
                  <w:tcW w:w="1406" w:type="dxa"/>
                  <w:gridSpan w:val="2"/>
                  <w:vMerge w:val="restart"/>
                  <w:tcBorders>
                    <w:tl2br w:val="nil"/>
                    <w:tr2bl w:val="nil"/>
                  </w:tcBorders>
                  <w:vAlign w:val="center"/>
                </w:tcPr>
                <w:p w14:paraId="3B0C0242">
                  <w:pPr>
                    <w:adjustRightInd w:val="0"/>
                    <w:snapToGrid w:val="0"/>
                    <w:jc w:val="center"/>
                    <w:rPr>
                      <w:snapToGrid w:val="0"/>
                      <w:color w:val="auto"/>
                      <w:kern w:val="0"/>
                      <w:szCs w:val="21"/>
                      <w:lang w:val="en-GB"/>
                    </w:rPr>
                  </w:pPr>
                  <w:r>
                    <w:rPr>
                      <w:snapToGrid w:val="0"/>
                      <w:color w:val="auto"/>
                      <w:kern w:val="0"/>
                      <w:szCs w:val="21"/>
                      <w:lang w:val="en-GB"/>
                    </w:rPr>
                    <w:t>级别</w:t>
                  </w:r>
                </w:p>
              </w:tc>
              <w:tc>
                <w:tcPr>
                  <w:tcW w:w="1765" w:type="dxa"/>
                  <w:gridSpan w:val="2"/>
                  <w:tcBorders>
                    <w:tl2br w:val="nil"/>
                    <w:tr2bl w:val="nil"/>
                  </w:tcBorders>
                  <w:vAlign w:val="center"/>
                </w:tcPr>
                <w:p w14:paraId="56BF6B00">
                  <w:pPr>
                    <w:adjustRightInd w:val="0"/>
                    <w:snapToGrid w:val="0"/>
                    <w:jc w:val="center"/>
                    <w:rPr>
                      <w:snapToGrid w:val="0"/>
                      <w:color w:val="auto"/>
                      <w:kern w:val="0"/>
                      <w:szCs w:val="21"/>
                      <w:lang w:val="en-GB"/>
                    </w:rPr>
                  </w:pPr>
                  <w:r>
                    <w:rPr>
                      <w:snapToGrid w:val="0"/>
                      <w:color w:val="auto"/>
                      <w:kern w:val="0"/>
                      <w:szCs w:val="21"/>
                      <w:lang w:val="en-GB"/>
                    </w:rPr>
                    <w:t>时段</w:t>
                  </w:r>
                </w:p>
              </w:tc>
            </w:tr>
            <w:tr w14:paraId="4A9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074" w:type="dxa"/>
                  <w:vMerge w:val="continue"/>
                  <w:tcBorders>
                    <w:tl2br w:val="nil"/>
                    <w:tr2bl w:val="nil"/>
                  </w:tcBorders>
                  <w:vAlign w:val="center"/>
                </w:tcPr>
                <w:p w14:paraId="1E8531AC">
                  <w:pPr>
                    <w:adjustRightInd w:val="0"/>
                    <w:snapToGrid w:val="0"/>
                    <w:jc w:val="center"/>
                    <w:rPr>
                      <w:snapToGrid w:val="0"/>
                      <w:color w:val="auto"/>
                      <w:kern w:val="0"/>
                      <w:szCs w:val="21"/>
                      <w:lang w:val="en-GB"/>
                    </w:rPr>
                  </w:pPr>
                </w:p>
              </w:tc>
              <w:tc>
                <w:tcPr>
                  <w:tcW w:w="1406" w:type="dxa"/>
                  <w:gridSpan w:val="2"/>
                  <w:vMerge w:val="continue"/>
                  <w:tcBorders>
                    <w:tl2br w:val="nil"/>
                    <w:tr2bl w:val="nil"/>
                  </w:tcBorders>
                  <w:vAlign w:val="center"/>
                </w:tcPr>
                <w:p w14:paraId="76CF4802">
                  <w:pPr>
                    <w:adjustRightInd w:val="0"/>
                    <w:snapToGrid w:val="0"/>
                    <w:jc w:val="center"/>
                    <w:rPr>
                      <w:snapToGrid w:val="0"/>
                      <w:color w:val="auto"/>
                      <w:kern w:val="0"/>
                      <w:szCs w:val="21"/>
                      <w:lang w:val="en-GB"/>
                    </w:rPr>
                  </w:pPr>
                </w:p>
              </w:tc>
              <w:tc>
                <w:tcPr>
                  <w:tcW w:w="855" w:type="dxa"/>
                  <w:tcBorders>
                    <w:tl2br w:val="nil"/>
                    <w:tr2bl w:val="nil"/>
                  </w:tcBorders>
                  <w:vAlign w:val="center"/>
                </w:tcPr>
                <w:p w14:paraId="090A5B3B">
                  <w:pPr>
                    <w:adjustRightInd w:val="0"/>
                    <w:snapToGrid w:val="0"/>
                    <w:jc w:val="center"/>
                    <w:rPr>
                      <w:snapToGrid w:val="0"/>
                      <w:color w:val="auto"/>
                      <w:kern w:val="0"/>
                      <w:szCs w:val="21"/>
                      <w:lang w:val="en-GB"/>
                    </w:rPr>
                  </w:pPr>
                  <w:r>
                    <w:rPr>
                      <w:snapToGrid w:val="0"/>
                      <w:color w:val="auto"/>
                      <w:kern w:val="0"/>
                      <w:szCs w:val="21"/>
                      <w:lang w:val="en-GB"/>
                    </w:rPr>
                    <w:t>昼间</w:t>
                  </w:r>
                </w:p>
              </w:tc>
              <w:tc>
                <w:tcPr>
                  <w:tcW w:w="910" w:type="dxa"/>
                  <w:tcBorders>
                    <w:tl2br w:val="nil"/>
                    <w:tr2bl w:val="nil"/>
                  </w:tcBorders>
                  <w:vAlign w:val="center"/>
                </w:tcPr>
                <w:p w14:paraId="6D5AAC7D">
                  <w:pPr>
                    <w:adjustRightInd w:val="0"/>
                    <w:snapToGrid w:val="0"/>
                    <w:jc w:val="center"/>
                    <w:rPr>
                      <w:snapToGrid w:val="0"/>
                      <w:color w:val="auto"/>
                      <w:kern w:val="0"/>
                      <w:szCs w:val="21"/>
                      <w:lang w:val="en-GB"/>
                    </w:rPr>
                  </w:pPr>
                  <w:r>
                    <w:rPr>
                      <w:snapToGrid w:val="0"/>
                      <w:color w:val="auto"/>
                      <w:kern w:val="0"/>
                      <w:szCs w:val="21"/>
                      <w:lang w:val="en-GB"/>
                    </w:rPr>
                    <w:t>夜间</w:t>
                  </w:r>
                </w:p>
              </w:tc>
            </w:tr>
            <w:tr w14:paraId="6222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074" w:type="dxa"/>
                  <w:tcBorders>
                    <w:tl2br w:val="nil"/>
                    <w:tr2bl w:val="nil"/>
                  </w:tcBorders>
                  <w:vAlign w:val="center"/>
                </w:tcPr>
                <w:p w14:paraId="4BA5FED9">
                  <w:pPr>
                    <w:adjustRightInd w:val="0"/>
                    <w:snapToGrid w:val="0"/>
                    <w:jc w:val="center"/>
                    <w:rPr>
                      <w:snapToGrid w:val="0"/>
                      <w:color w:val="auto"/>
                      <w:kern w:val="0"/>
                      <w:szCs w:val="21"/>
                    </w:rPr>
                  </w:pPr>
                  <w:r>
                    <w:rPr>
                      <w:snapToGrid w:val="0"/>
                      <w:color w:val="auto"/>
                      <w:kern w:val="0"/>
                      <w:szCs w:val="21"/>
                      <w:lang w:val="en-GB"/>
                    </w:rPr>
                    <w:t>《建筑施工场界环境噪声排放标准》（</w:t>
                  </w:r>
                  <w:r>
                    <w:rPr>
                      <w:snapToGrid w:val="0"/>
                      <w:color w:val="auto"/>
                      <w:kern w:val="0"/>
                      <w:szCs w:val="21"/>
                    </w:rPr>
                    <w:t>GB12523-2011</w:t>
                  </w:r>
                  <w:r>
                    <w:rPr>
                      <w:snapToGrid w:val="0"/>
                      <w:color w:val="auto"/>
                      <w:kern w:val="0"/>
                      <w:szCs w:val="21"/>
                      <w:lang w:val="en-GB"/>
                    </w:rPr>
                    <w:t>）</w:t>
                  </w:r>
                </w:p>
              </w:tc>
              <w:tc>
                <w:tcPr>
                  <w:tcW w:w="1406" w:type="dxa"/>
                  <w:gridSpan w:val="2"/>
                  <w:tcBorders>
                    <w:tl2br w:val="nil"/>
                    <w:tr2bl w:val="nil"/>
                  </w:tcBorders>
                  <w:vAlign w:val="center"/>
                </w:tcPr>
                <w:p w14:paraId="3A2EB72E">
                  <w:pPr>
                    <w:adjustRightInd w:val="0"/>
                    <w:snapToGrid w:val="0"/>
                    <w:jc w:val="center"/>
                    <w:rPr>
                      <w:snapToGrid w:val="0"/>
                      <w:color w:val="auto"/>
                      <w:kern w:val="0"/>
                      <w:szCs w:val="21"/>
                    </w:rPr>
                  </w:pPr>
                  <w:r>
                    <w:rPr>
                      <w:snapToGrid w:val="0"/>
                      <w:color w:val="auto"/>
                      <w:kern w:val="0"/>
                      <w:szCs w:val="21"/>
                    </w:rPr>
                    <w:t>/</w:t>
                  </w:r>
                </w:p>
              </w:tc>
              <w:tc>
                <w:tcPr>
                  <w:tcW w:w="855" w:type="dxa"/>
                  <w:tcBorders>
                    <w:tl2br w:val="nil"/>
                    <w:tr2bl w:val="nil"/>
                  </w:tcBorders>
                  <w:vAlign w:val="center"/>
                </w:tcPr>
                <w:p w14:paraId="2D362C37">
                  <w:pPr>
                    <w:adjustRightInd w:val="0"/>
                    <w:snapToGrid w:val="0"/>
                    <w:jc w:val="center"/>
                    <w:rPr>
                      <w:snapToGrid w:val="0"/>
                      <w:color w:val="auto"/>
                      <w:kern w:val="0"/>
                      <w:szCs w:val="21"/>
                    </w:rPr>
                  </w:pPr>
                  <w:r>
                    <w:rPr>
                      <w:snapToGrid w:val="0"/>
                      <w:color w:val="auto"/>
                      <w:kern w:val="0"/>
                      <w:szCs w:val="21"/>
                    </w:rPr>
                    <w:t>70</w:t>
                  </w:r>
                </w:p>
              </w:tc>
              <w:tc>
                <w:tcPr>
                  <w:tcW w:w="910" w:type="dxa"/>
                  <w:tcBorders>
                    <w:tl2br w:val="nil"/>
                    <w:tr2bl w:val="nil"/>
                  </w:tcBorders>
                  <w:vAlign w:val="center"/>
                </w:tcPr>
                <w:p w14:paraId="124AFEEB">
                  <w:pPr>
                    <w:adjustRightInd w:val="0"/>
                    <w:snapToGrid w:val="0"/>
                    <w:jc w:val="center"/>
                    <w:rPr>
                      <w:snapToGrid w:val="0"/>
                      <w:color w:val="auto"/>
                      <w:kern w:val="0"/>
                      <w:szCs w:val="21"/>
                    </w:rPr>
                  </w:pPr>
                  <w:r>
                    <w:rPr>
                      <w:snapToGrid w:val="0"/>
                      <w:color w:val="auto"/>
                      <w:kern w:val="0"/>
                      <w:szCs w:val="21"/>
                    </w:rPr>
                    <w:t>55</w:t>
                  </w:r>
                </w:p>
              </w:tc>
            </w:tr>
            <w:tr w14:paraId="4221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074" w:type="dxa"/>
                  <w:tcBorders>
                    <w:tl2br w:val="nil"/>
                    <w:tr2bl w:val="nil"/>
                  </w:tcBorders>
                  <w:vAlign w:val="center"/>
                </w:tcPr>
                <w:p w14:paraId="5559BF43">
                  <w:pPr>
                    <w:adjustRightInd w:val="0"/>
                    <w:snapToGrid w:val="0"/>
                    <w:jc w:val="center"/>
                    <w:rPr>
                      <w:snapToGrid w:val="0"/>
                      <w:color w:val="auto"/>
                      <w:kern w:val="0"/>
                      <w:szCs w:val="21"/>
                    </w:rPr>
                  </w:pPr>
                  <w:r>
                    <w:rPr>
                      <w:snapToGrid w:val="0"/>
                      <w:color w:val="auto"/>
                      <w:kern w:val="0"/>
                      <w:szCs w:val="21"/>
                    </w:rPr>
                    <w:t>《工业企业厂界环境噪声排放标准》（GB12348-2008）</w:t>
                  </w:r>
                </w:p>
              </w:tc>
              <w:tc>
                <w:tcPr>
                  <w:tcW w:w="840" w:type="dxa"/>
                  <w:tcBorders>
                    <w:tl2br w:val="nil"/>
                    <w:tr2bl w:val="nil"/>
                  </w:tcBorders>
                  <w:vAlign w:val="center"/>
                </w:tcPr>
                <w:p w14:paraId="6F0B4621">
                  <w:pPr>
                    <w:adjustRightInd w:val="0"/>
                    <w:snapToGrid w:val="0"/>
                    <w:jc w:val="center"/>
                    <w:rPr>
                      <w:snapToGrid w:val="0"/>
                      <w:color w:val="auto"/>
                      <w:kern w:val="0"/>
                      <w:szCs w:val="21"/>
                    </w:rPr>
                  </w:pPr>
                  <w:r>
                    <w:rPr>
                      <w:rFonts w:hint="eastAsia"/>
                      <w:snapToGrid w:val="0"/>
                      <w:color w:val="auto"/>
                      <w:kern w:val="0"/>
                      <w:szCs w:val="21"/>
                      <w:lang w:val="en-GB"/>
                    </w:rPr>
                    <w:t>厂界</w:t>
                  </w:r>
                </w:p>
              </w:tc>
              <w:tc>
                <w:tcPr>
                  <w:tcW w:w="566" w:type="dxa"/>
                  <w:tcBorders>
                    <w:tl2br w:val="nil"/>
                    <w:tr2bl w:val="nil"/>
                  </w:tcBorders>
                  <w:vAlign w:val="center"/>
                </w:tcPr>
                <w:p w14:paraId="1E8E4332">
                  <w:pPr>
                    <w:adjustRightInd w:val="0"/>
                    <w:snapToGrid w:val="0"/>
                    <w:jc w:val="center"/>
                    <w:rPr>
                      <w:snapToGrid w:val="0"/>
                      <w:color w:val="FF0000"/>
                      <w:kern w:val="0"/>
                      <w:szCs w:val="21"/>
                    </w:rPr>
                  </w:pPr>
                  <w:r>
                    <w:rPr>
                      <w:rFonts w:hint="eastAsia"/>
                      <w:snapToGrid w:val="0"/>
                      <w:color w:val="FF0000"/>
                      <w:kern w:val="0"/>
                      <w:szCs w:val="21"/>
                      <w:lang w:val="en-US" w:eastAsia="zh-CN"/>
                    </w:rPr>
                    <w:t>3</w:t>
                  </w:r>
                  <w:r>
                    <w:rPr>
                      <w:snapToGrid w:val="0"/>
                      <w:color w:val="FF0000"/>
                      <w:kern w:val="0"/>
                      <w:szCs w:val="21"/>
                      <w:lang w:val="en-GB"/>
                    </w:rPr>
                    <w:t>类</w:t>
                  </w:r>
                </w:p>
              </w:tc>
              <w:tc>
                <w:tcPr>
                  <w:tcW w:w="855" w:type="dxa"/>
                  <w:tcBorders>
                    <w:tl2br w:val="nil"/>
                    <w:tr2bl w:val="nil"/>
                  </w:tcBorders>
                  <w:vAlign w:val="center"/>
                </w:tcPr>
                <w:p w14:paraId="52B49B85">
                  <w:pPr>
                    <w:adjustRightInd w:val="0"/>
                    <w:snapToGrid w:val="0"/>
                    <w:jc w:val="center"/>
                    <w:rPr>
                      <w:rFonts w:hint="eastAsia" w:eastAsia="宋体"/>
                      <w:snapToGrid w:val="0"/>
                      <w:color w:val="FF0000"/>
                      <w:kern w:val="0"/>
                      <w:szCs w:val="21"/>
                      <w:lang w:eastAsia="zh-CN"/>
                    </w:rPr>
                  </w:pPr>
                  <w:r>
                    <w:rPr>
                      <w:rFonts w:hint="eastAsia"/>
                      <w:snapToGrid w:val="0"/>
                      <w:color w:val="FF0000"/>
                      <w:kern w:val="0"/>
                      <w:szCs w:val="21"/>
                    </w:rPr>
                    <w:t>6</w:t>
                  </w:r>
                  <w:r>
                    <w:rPr>
                      <w:rFonts w:hint="eastAsia"/>
                      <w:snapToGrid w:val="0"/>
                      <w:color w:val="FF0000"/>
                      <w:kern w:val="0"/>
                      <w:szCs w:val="21"/>
                      <w:lang w:val="en-US" w:eastAsia="zh-CN"/>
                    </w:rPr>
                    <w:t>5</w:t>
                  </w:r>
                </w:p>
              </w:tc>
              <w:tc>
                <w:tcPr>
                  <w:tcW w:w="910" w:type="dxa"/>
                  <w:tcBorders>
                    <w:tl2br w:val="nil"/>
                    <w:tr2bl w:val="nil"/>
                  </w:tcBorders>
                  <w:vAlign w:val="center"/>
                </w:tcPr>
                <w:p w14:paraId="75BF2CA8">
                  <w:pPr>
                    <w:adjustRightInd w:val="0"/>
                    <w:snapToGrid w:val="0"/>
                    <w:jc w:val="center"/>
                    <w:rPr>
                      <w:rFonts w:hint="eastAsia" w:eastAsia="宋体"/>
                      <w:snapToGrid w:val="0"/>
                      <w:color w:val="FF0000"/>
                      <w:kern w:val="0"/>
                      <w:szCs w:val="21"/>
                      <w:lang w:eastAsia="zh-CN"/>
                    </w:rPr>
                  </w:pPr>
                  <w:r>
                    <w:rPr>
                      <w:rFonts w:hint="eastAsia"/>
                      <w:snapToGrid w:val="0"/>
                      <w:color w:val="FF0000"/>
                      <w:kern w:val="0"/>
                      <w:szCs w:val="21"/>
                    </w:rPr>
                    <w:t>5</w:t>
                  </w:r>
                  <w:r>
                    <w:rPr>
                      <w:rFonts w:hint="eastAsia"/>
                      <w:snapToGrid w:val="0"/>
                      <w:color w:val="FF0000"/>
                      <w:kern w:val="0"/>
                      <w:szCs w:val="21"/>
                      <w:lang w:val="en-US" w:eastAsia="zh-CN"/>
                    </w:rPr>
                    <w:t>5</w:t>
                  </w:r>
                </w:p>
              </w:tc>
            </w:tr>
          </w:tbl>
          <w:p w14:paraId="0CBEF9FB">
            <w:pPr>
              <w:adjustRightInd w:val="0"/>
              <w:snapToGrid w:val="0"/>
              <w:spacing w:before="120" w:beforeLines="50" w:line="360" w:lineRule="auto"/>
              <w:ind w:firstLine="482" w:firstLineChars="200"/>
              <w:rPr>
                <w:b/>
                <w:bCs/>
                <w:color w:val="auto"/>
                <w:sz w:val="24"/>
              </w:rPr>
            </w:pPr>
            <w:r>
              <w:rPr>
                <w:rFonts w:hint="eastAsia"/>
                <w:b/>
                <w:bCs/>
                <w:color w:val="auto"/>
                <w:sz w:val="24"/>
              </w:rPr>
              <w:t>4、固废排放标准</w:t>
            </w:r>
          </w:p>
          <w:p w14:paraId="58F90ED9">
            <w:pPr>
              <w:adjustRightInd w:val="0"/>
              <w:spacing w:line="336" w:lineRule="auto"/>
              <w:ind w:firstLine="480" w:firstLineChars="200"/>
              <w:rPr>
                <w:color w:val="auto"/>
                <w:sz w:val="24"/>
              </w:rPr>
            </w:pPr>
            <w:r>
              <w:rPr>
                <w:color w:val="auto"/>
                <w:kern w:val="0"/>
                <w:sz w:val="24"/>
              </w:rPr>
              <w:t>一般工业固体废物</w:t>
            </w:r>
            <w:r>
              <w:rPr>
                <w:rFonts w:hint="eastAsia"/>
                <w:color w:val="auto"/>
                <w:sz w:val="24"/>
              </w:rPr>
              <w:t>参照</w:t>
            </w:r>
            <w:r>
              <w:rPr>
                <w:color w:val="auto"/>
                <w:kern w:val="0"/>
                <w:sz w:val="24"/>
              </w:rPr>
              <w:t>《一般工业固体废物贮存和填埋污染控制标准》（GB18599-2020）</w:t>
            </w:r>
            <w:r>
              <w:rPr>
                <w:rFonts w:hint="eastAsia"/>
                <w:color w:val="auto"/>
                <w:kern w:val="0"/>
                <w:sz w:val="24"/>
              </w:rPr>
              <w:t>，</w:t>
            </w:r>
            <w:r>
              <w:rPr>
                <w:color w:val="auto"/>
                <w:kern w:val="0"/>
                <w:sz w:val="24"/>
              </w:rPr>
              <w:t>贮存</w:t>
            </w:r>
            <w:r>
              <w:rPr>
                <w:rFonts w:hint="eastAsia"/>
                <w:color w:val="auto"/>
                <w:kern w:val="0"/>
                <w:sz w:val="24"/>
              </w:rPr>
              <w:t>应满足相应防渗漏等环境保护要求；</w:t>
            </w:r>
            <w:r>
              <w:rPr>
                <w:color w:val="auto"/>
                <w:kern w:val="0"/>
                <w:sz w:val="24"/>
                <w:szCs w:val="21"/>
              </w:rPr>
              <w:t>危险废物执行《危险废物贮存污染控制标准》（GB18597-20</w:t>
            </w:r>
            <w:r>
              <w:rPr>
                <w:rFonts w:hint="eastAsia"/>
                <w:color w:val="auto"/>
                <w:kern w:val="0"/>
                <w:sz w:val="24"/>
                <w:szCs w:val="21"/>
              </w:rPr>
              <w:t>23</w:t>
            </w:r>
            <w:r>
              <w:rPr>
                <w:color w:val="auto"/>
                <w:kern w:val="0"/>
                <w:sz w:val="24"/>
                <w:szCs w:val="21"/>
              </w:rPr>
              <w:t>）</w:t>
            </w:r>
            <w:r>
              <w:rPr>
                <w:rFonts w:hint="eastAsia"/>
                <w:color w:val="auto"/>
                <w:kern w:val="0"/>
                <w:sz w:val="24"/>
                <w:szCs w:val="21"/>
                <w:lang w:val="en-US" w:eastAsia="zh-CN"/>
              </w:rPr>
              <w:t>及</w:t>
            </w:r>
            <w:r>
              <w:rPr>
                <w:rFonts w:hint="eastAsia"/>
                <w:color w:val="FF0000"/>
                <w:kern w:val="0"/>
                <w:sz w:val="24"/>
                <w:szCs w:val="21"/>
                <w:lang w:val="en-US" w:eastAsia="zh-CN"/>
              </w:rPr>
              <w:t>《实验室危险废物污染控制技术规范》（DB61/T1716-2023）</w:t>
            </w:r>
            <w:r>
              <w:rPr>
                <w:color w:val="auto"/>
                <w:kern w:val="0"/>
                <w:sz w:val="24"/>
                <w:szCs w:val="21"/>
              </w:rPr>
              <w:t>中的相关规定</w:t>
            </w:r>
            <w:r>
              <w:rPr>
                <w:rFonts w:hint="eastAsia"/>
                <w:color w:val="auto"/>
                <w:kern w:val="0"/>
                <w:sz w:val="24"/>
                <w:szCs w:val="21"/>
              </w:rPr>
              <w:t>；</w:t>
            </w:r>
            <w:r>
              <w:rPr>
                <w:color w:val="auto"/>
                <w:kern w:val="0"/>
                <w:sz w:val="24"/>
                <w:szCs w:val="21"/>
              </w:rPr>
              <w:t>危险废物识别标志设置</w:t>
            </w:r>
            <w:r>
              <w:rPr>
                <w:rFonts w:hint="eastAsia"/>
                <w:color w:val="auto"/>
                <w:kern w:val="0"/>
                <w:sz w:val="24"/>
                <w:szCs w:val="21"/>
              </w:rPr>
              <w:t>执行</w:t>
            </w:r>
            <w:r>
              <w:rPr>
                <w:color w:val="auto"/>
                <w:kern w:val="0"/>
                <w:sz w:val="24"/>
                <w:szCs w:val="21"/>
              </w:rPr>
              <w:t>《危险废物识别标志设置技术规范》</w:t>
            </w:r>
            <w:r>
              <w:rPr>
                <w:rFonts w:hint="eastAsia"/>
                <w:color w:val="auto"/>
                <w:kern w:val="0"/>
                <w:sz w:val="24"/>
                <w:szCs w:val="21"/>
              </w:rPr>
              <w:t>（</w:t>
            </w:r>
            <w:r>
              <w:rPr>
                <w:color w:val="auto"/>
                <w:kern w:val="0"/>
                <w:sz w:val="24"/>
                <w:szCs w:val="21"/>
              </w:rPr>
              <w:t>HJ1276-20</w:t>
            </w:r>
            <w:r>
              <w:rPr>
                <w:rFonts w:hint="eastAsia"/>
                <w:color w:val="auto"/>
                <w:kern w:val="0"/>
                <w:sz w:val="24"/>
                <w:szCs w:val="21"/>
                <w:lang w:eastAsia="zh-CN"/>
              </w:rPr>
              <w:t>，</w:t>
            </w:r>
            <w:r>
              <w:rPr>
                <w:color w:val="auto"/>
                <w:kern w:val="0"/>
                <w:sz w:val="24"/>
                <w:szCs w:val="21"/>
              </w:rPr>
              <w:t>22</w:t>
            </w:r>
            <w:r>
              <w:rPr>
                <w:rFonts w:hint="eastAsia"/>
                <w:color w:val="auto"/>
                <w:kern w:val="0"/>
                <w:sz w:val="24"/>
                <w:szCs w:val="21"/>
              </w:rPr>
              <w:t>）中相关规定</w:t>
            </w:r>
            <w:r>
              <w:rPr>
                <w:rFonts w:hint="eastAsia"/>
                <w:color w:val="auto"/>
                <w:sz w:val="24"/>
              </w:rPr>
              <w:t>。</w:t>
            </w:r>
          </w:p>
        </w:tc>
      </w:tr>
      <w:tr w14:paraId="075B5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513" w:type="dxa"/>
            <w:vAlign w:val="center"/>
          </w:tcPr>
          <w:p w14:paraId="66E474B6">
            <w:pPr>
              <w:adjustRightInd w:val="0"/>
              <w:snapToGrid w:val="0"/>
              <w:jc w:val="center"/>
              <w:rPr>
                <w:color w:val="auto"/>
                <w:kern w:val="0"/>
                <w:sz w:val="24"/>
              </w:rPr>
            </w:pPr>
            <w:r>
              <w:rPr>
                <w:color w:val="auto"/>
                <w:kern w:val="0"/>
                <w:sz w:val="24"/>
              </w:rPr>
              <w:t>总量</w:t>
            </w:r>
          </w:p>
          <w:p w14:paraId="655E4C92">
            <w:pPr>
              <w:adjustRightInd w:val="0"/>
              <w:snapToGrid w:val="0"/>
              <w:jc w:val="center"/>
              <w:rPr>
                <w:color w:val="auto"/>
                <w:kern w:val="0"/>
                <w:sz w:val="24"/>
              </w:rPr>
            </w:pPr>
            <w:r>
              <w:rPr>
                <w:color w:val="auto"/>
                <w:kern w:val="0"/>
                <w:sz w:val="24"/>
              </w:rPr>
              <w:t>控制</w:t>
            </w:r>
          </w:p>
          <w:p w14:paraId="6DAC70CD">
            <w:pPr>
              <w:adjustRightInd w:val="0"/>
              <w:snapToGrid w:val="0"/>
              <w:jc w:val="center"/>
              <w:rPr>
                <w:color w:val="auto"/>
                <w:kern w:val="0"/>
                <w:sz w:val="24"/>
              </w:rPr>
            </w:pPr>
            <w:r>
              <w:rPr>
                <w:color w:val="auto"/>
                <w:kern w:val="0"/>
                <w:sz w:val="24"/>
              </w:rPr>
              <w:t>指标</w:t>
            </w:r>
          </w:p>
        </w:tc>
        <w:tc>
          <w:tcPr>
            <w:tcW w:w="8477" w:type="dxa"/>
            <w:vAlign w:val="center"/>
          </w:tcPr>
          <w:p w14:paraId="4127C7DE">
            <w:pPr>
              <w:pStyle w:val="9"/>
              <w:ind w:left="0" w:leftChars="0" w:firstLine="0" w:firstLineChars="0"/>
              <w:rPr>
                <w:color w:val="auto"/>
              </w:rPr>
            </w:pPr>
          </w:p>
          <w:p w14:paraId="5AFED936">
            <w:pPr>
              <w:spacing w:line="360" w:lineRule="auto"/>
              <w:ind w:firstLine="480" w:firstLineChars="200"/>
              <w:jc w:val="left"/>
              <w:rPr>
                <w:color w:val="auto"/>
                <w:sz w:val="24"/>
              </w:rPr>
            </w:pPr>
            <w:r>
              <w:rPr>
                <w:color w:val="auto"/>
                <w:sz w:val="24"/>
              </w:rPr>
              <w:t>根据《</w:t>
            </w:r>
            <w:r>
              <w:rPr>
                <w:rFonts w:hint="eastAsia"/>
                <w:color w:val="auto"/>
                <w:sz w:val="24"/>
              </w:rPr>
              <w:t>”</w:t>
            </w:r>
            <w:r>
              <w:rPr>
                <w:color w:val="auto"/>
                <w:sz w:val="24"/>
              </w:rPr>
              <w:t>十四五</w:t>
            </w:r>
            <w:r>
              <w:rPr>
                <w:rFonts w:hint="eastAsia"/>
                <w:color w:val="auto"/>
                <w:sz w:val="24"/>
              </w:rPr>
              <w:t>”</w:t>
            </w:r>
            <w:r>
              <w:rPr>
                <w:color w:val="auto"/>
                <w:sz w:val="24"/>
              </w:rPr>
              <w:t>节能减排综合工作方案》，我国</w:t>
            </w:r>
            <w:r>
              <w:rPr>
                <w:rFonts w:hint="eastAsia"/>
                <w:color w:val="auto"/>
                <w:sz w:val="24"/>
              </w:rPr>
              <w:t>”</w:t>
            </w:r>
            <w:r>
              <w:rPr>
                <w:color w:val="auto"/>
                <w:sz w:val="24"/>
              </w:rPr>
              <w:t>十四</w:t>
            </w:r>
            <w:r>
              <w:rPr>
                <w:rFonts w:hint="eastAsia"/>
                <w:color w:val="auto"/>
                <w:sz w:val="24"/>
              </w:rPr>
              <w:t>”</w:t>
            </w:r>
            <w:r>
              <w:rPr>
                <w:color w:val="auto"/>
                <w:sz w:val="24"/>
              </w:rPr>
              <w:t>期间对COD、氨氮、VOC</w:t>
            </w:r>
            <w:r>
              <w:rPr>
                <w:color w:val="auto"/>
                <w:sz w:val="24"/>
                <w:vertAlign w:val="subscript"/>
              </w:rPr>
              <w:t>S</w:t>
            </w:r>
            <w:r>
              <w:rPr>
                <w:color w:val="auto"/>
                <w:sz w:val="24"/>
              </w:rPr>
              <w:t>、NO</w:t>
            </w:r>
            <w:r>
              <w:rPr>
                <w:color w:val="auto"/>
                <w:sz w:val="24"/>
                <w:vertAlign w:val="subscript"/>
              </w:rPr>
              <w:t>X</w:t>
            </w:r>
            <w:r>
              <w:rPr>
                <w:color w:val="auto"/>
                <w:sz w:val="24"/>
              </w:rPr>
              <w:t>这4种污染物实行排放总量控制。</w:t>
            </w:r>
          </w:p>
          <w:p w14:paraId="5B032A84">
            <w:pPr>
              <w:spacing w:line="360" w:lineRule="auto"/>
              <w:ind w:firstLine="480" w:firstLineChars="200"/>
              <w:jc w:val="left"/>
              <w:rPr>
                <w:rFonts w:hint="eastAsia" w:ascii="宋体" w:hAnsi="宋体"/>
                <w:color w:val="auto"/>
                <w:sz w:val="24"/>
              </w:rPr>
            </w:pPr>
            <w:r>
              <w:rPr>
                <w:rFonts w:hint="eastAsia" w:ascii="宋体" w:hAnsi="宋体"/>
                <w:color w:val="auto"/>
                <w:sz w:val="24"/>
              </w:rPr>
              <w:t>结合本项目特点，本项目总量控制指标为：</w:t>
            </w:r>
          </w:p>
          <w:p w14:paraId="7DDFCCAC">
            <w:pPr>
              <w:spacing w:line="240" w:lineRule="auto"/>
              <w:ind w:firstLine="422" w:firstLineChars="200"/>
              <w:jc w:val="center"/>
              <w:rPr>
                <w:rFonts w:hint="default" w:ascii="宋体" w:hAnsi="宋体" w:eastAsia="宋体"/>
                <w:b/>
                <w:bCs/>
                <w:color w:val="auto"/>
                <w:sz w:val="21"/>
                <w:szCs w:val="21"/>
                <w:lang w:val="en-US" w:eastAsia="zh-CN"/>
              </w:rPr>
            </w:pPr>
            <w:r>
              <w:rPr>
                <w:rStyle w:val="24"/>
                <w:rFonts w:hint="eastAsia"/>
                <w:b/>
                <w:bCs/>
                <w:color w:val="auto"/>
                <w:kern w:val="0"/>
                <w:sz w:val="21"/>
                <w:szCs w:val="21"/>
                <w:lang w:val="en-US" w:eastAsia="zh-CN"/>
              </w:rPr>
              <w:t>表3-7   本项目总量控制指标建议值</w:t>
            </w:r>
          </w:p>
          <w:tbl>
            <w:tblPr>
              <w:tblStyle w:val="18"/>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3640"/>
              <w:gridCol w:w="2460"/>
            </w:tblGrid>
            <w:tr w14:paraId="026A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DBBDD72">
                  <w:pPr>
                    <w:adjustRightInd w:val="0"/>
                    <w:snapToGrid w:val="0"/>
                    <w:jc w:val="center"/>
                    <w:rPr>
                      <w:color w:val="auto"/>
                      <w:sz w:val="21"/>
                      <w:szCs w:val="21"/>
                    </w:rPr>
                  </w:pPr>
                  <w:r>
                    <w:rPr>
                      <w:color w:val="auto"/>
                      <w:sz w:val="21"/>
                      <w:szCs w:val="21"/>
                    </w:rPr>
                    <w:t>类别</w:t>
                  </w:r>
                </w:p>
              </w:tc>
              <w:tc>
                <w:tcPr>
                  <w:tcW w:w="3640" w:type="dxa"/>
                  <w:tcBorders>
                    <w:top w:val="single" w:color="auto" w:sz="4" w:space="0"/>
                    <w:left w:val="single" w:color="auto" w:sz="4" w:space="0"/>
                    <w:bottom w:val="single" w:color="auto" w:sz="4" w:space="0"/>
                    <w:right w:val="single" w:color="auto" w:sz="4" w:space="0"/>
                  </w:tcBorders>
                  <w:vAlign w:val="center"/>
                </w:tcPr>
                <w:p w14:paraId="7B2B14BC">
                  <w:pPr>
                    <w:adjustRightInd w:val="0"/>
                    <w:snapToGrid w:val="0"/>
                    <w:jc w:val="center"/>
                    <w:rPr>
                      <w:color w:val="auto"/>
                      <w:sz w:val="21"/>
                      <w:szCs w:val="21"/>
                    </w:rPr>
                  </w:pPr>
                  <w:r>
                    <w:rPr>
                      <w:color w:val="auto"/>
                      <w:sz w:val="21"/>
                      <w:szCs w:val="21"/>
                    </w:rPr>
                    <w:t>污染物</w:t>
                  </w:r>
                </w:p>
              </w:tc>
              <w:tc>
                <w:tcPr>
                  <w:tcW w:w="2460" w:type="dxa"/>
                  <w:tcBorders>
                    <w:top w:val="single" w:color="auto" w:sz="4" w:space="0"/>
                    <w:left w:val="single" w:color="auto" w:sz="4" w:space="0"/>
                    <w:bottom w:val="single" w:color="auto" w:sz="4" w:space="0"/>
                    <w:right w:val="single" w:color="auto" w:sz="4" w:space="0"/>
                  </w:tcBorders>
                  <w:vAlign w:val="center"/>
                </w:tcPr>
                <w:p w14:paraId="3EC76496">
                  <w:pPr>
                    <w:adjustRightInd w:val="0"/>
                    <w:snapToGrid w:val="0"/>
                    <w:jc w:val="center"/>
                    <w:rPr>
                      <w:color w:val="auto"/>
                      <w:sz w:val="21"/>
                      <w:szCs w:val="21"/>
                    </w:rPr>
                  </w:pPr>
                  <w:r>
                    <w:rPr>
                      <w:color w:val="auto"/>
                      <w:sz w:val="21"/>
                      <w:szCs w:val="21"/>
                    </w:rPr>
                    <w:t>建议值</w:t>
                  </w:r>
                  <w:r>
                    <w:rPr>
                      <w:rFonts w:hint="eastAsia"/>
                      <w:color w:val="auto"/>
                      <w:sz w:val="21"/>
                      <w:szCs w:val="21"/>
                    </w:rPr>
                    <w:t>（t</w:t>
                  </w:r>
                  <w:r>
                    <w:rPr>
                      <w:color w:val="auto"/>
                      <w:sz w:val="21"/>
                      <w:szCs w:val="21"/>
                    </w:rPr>
                    <w:t>/a</w:t>
                  </w:r>
                  <w:r>
                    <w:rPr>
                      <w:rFonts w:hint="eastAsia"/>
                      <w:color w:val="auto"/>
                      <w:sz w:val="21"/>
                      <w:szCs w:val="21"/>
                    </w:rPr>
                    <w:t>）</w:t>
                  </w:r>
                </w:p>
              </w:tc>
            </w:tr>
            <w:tr w14:paraId="758C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125" w:type="dxa"/>
                  <w:tcBorders>
                    <w:top w:val="single" w:color="auto" w:sz="4" w:space="0"/>
                    <w:left w:val="single" w:color="auto" w:sz="4" w:space="0"/>
                    <w:right w:val="single" w:color="auto" w:sz="4" w:space="0"/>
                  </w:tcBorders>
                  <w:vAlign w:val="center"/>
                </w:tcPr>
                <w:p w14:paraId="503E9CC2">
                  <w:pPr>
                    <w:adjustRightInd w:val="0"/>
                    <w:snapToGrid w:val="0"/>
                    <w:jc w:val="center"/>
                    <w:rPr>
                      <w:color w:val="auto"/>
                      <w:sz w:val="21"/>
                      <w:szCs w:val="21"/>
                    </w:rPr>
                  </w:pPr>
                  <w:r>
                    <w:rPr>
                      <w:rFonts w:hint="eastAsia"/>
                      <w:color w:val="auto"/>
                      <w:kern w:val="0"/>
                      <w:sz w:val="21"/>
                      <w:szCs w:val="21"/>
                    </w:rPr>
                    <w:t>废气</w:t>
                  </w:r>
                </w:p>
              </w:tc>
              <w:tc>
                <w:tcPr>
                  <w:tcW w:w="3640" w:type="dxa"/>
                  <w:tcBorders>
                    <w:top w:val="single" w:color="auto" w:sz="4" w:space="0"/>
                    <w:left w:val="single" w:color="auto" w:sz="4" w:space="0"/>
                    <w:bottom w:val="single" w:color="auto" w:sz="4" w:space="0"/>
                    <w:right w:val="single" w:color="auto" w:sz="4" w:space="0"/>
                  </w:tcBorders>
                  <w:vAlign w:val="center"/>
                </w:tcPr>
                <w:p w14:paraId="0D109DDE">
                  <w:pPr>
                    <w:adjustRightInd w:val="0"/>
                    <w:snapToGrid w:val="0"/>
                    <w:jc w:val="center"/>
                    <w:rPr>
                      <w:color w:val="auto"/>
                      <w:sz w:val="21"/>
                      <w:szCs w:val="21"/>
                    </w:rPr>
                  </w:pPr>
                  <w:r>
                    <w:rPr>
                      <w:color w:val="FF0000"/>
                      <w:sz w:val="21"/>
                      <w:szCs w:val="21"/>
                    </w:rPr>
                    <w:t>VOC</w:t>
                  </w:r>
                  <w:r>
                    <w:rPr>
                      <w:color w:val="FF0000"/>
                      <w:sz w:val="21"/>
                      <w:szCs w:val="21"/>
                      <w:vertAlign w:val="subscript"/>
                    </w:rPr>
                    <w:t>S</w:t>
                  </w:r>
                  <w:r>
                    <w:rPr>
                      <w:rFonts w:hint="eastAsia"/>
                      <w:color w:val="FF0000"/>
                      <w:sz w:val="21"/>
                      <w:szCs w:val="21"/>
                      <w:vertAlign w:val="baseline"/>
                      <w:lang w:eastAsia="zh-CN"/>
                    </w:rPr>
                    <w:t>（</w:t>
                  </w:r>
                  <w:r>
                    <w:rPr>
                      <w:rFonts w:hint="eastAsia"/>
                      <w:color w:val="FF0000"/>
                      <w:sz w:val="21"/>
                      <w:szCs w:val="21"/>
                      <w:vertAlign w:val="baseline"/>
                      <w:lang w:val="en-US" w:eastAsia="zh-CN"/>
                    </w:rPr>
                    <w:t>以</w:t>
                  </w:r>
                  <w:r>
                    <w:rPr>
                      <w:rFonts w:hint="eastAsia"/>
                      <w:color w:val="FF0000"/>
                      <w:kern w:val="0"/>
                      <w:sz w:val="21"/>
                      <w:szCs w:val="21"/>
                    </w:rPr>
                    <w:t>非甲烷总烃</w:t>
                  </w:r>
                  <w:r>
                    <w:rPr>
                      <w:rFonts w:hint="eastAsia"/>
                      <w:color w:val="FF0000"/>
                      <w:kern w:val="0"/>
                      <w:sz w:val="21"/>
                      <w:szCs w:val="21"/>
                      <w:lang w:val="en-US" w:eastAsia="zh-CN"/>
                    </w:rPr>
                    <w:t>计</w:t>
                  </w:r>
                  <w:r>
                    <w:rPr>
                      <w:rFonts w:hint="eastAsia"/>
                      <w:color w:val="FF0000"/>
                      <w:sz w:val="21"/>
                      <w:szCs w:val="21"/>
                      <w:vertAlign w:val="baseline"/>
                      <w:lang w:eastAsia="zh-CN"/>
                    </w:rPr>
                    <w:t>）</w:t>
                  </w:r>
                </w:p>
              </w:tc>
              <w:tc>
                <w:tcPr>
                  <w:tcW w:w="2460" w:type="dxa"/>
                  <w:tcBorders>
                    <w:top w:val="single" w:color="auto" w:sz="4" w:space="0"/>
                    <w:left w:val="single" w:color="auto" w:sz="4" w:space="0"/>
                    <w:bottom w:val="single" w:color="auto" w:sz="4" w:space="0"/>
                    <w:right w:val="single" w:color="auto" w:sz="4" w:space="0"/>
                  </w:tcBorders>
                  <w:vAlign w:val="center"/>
                </w:tcPr>
                <w:p w14:paraId="5184FA88">
                  <w:pPr>
                    <w:adjustRightInd w:val="0"/>
                    <w:snapToGrid w:val="0"/>
                    <w:jc w:val="center"/>
                    <w:rPr>
                      <w:rFonts w:hint="default" w:eastAsia="宋体"/>
                      <w:color w:val="auto"/>
                      <w:sz w:val="21"/>
                      <w:szCs w:val="21"/>
                      <w:lang w:val="en-US" w:eastAsia="zh-CN"/>
                    </w:rPr>
                  </w:pPr>
                  <w:r>
                    <w:rPr>
                      <w:rFonts w:hint="eastAsia"/>
                      <w:color w:val="auto"/>
                      <w:kern w:val="0"/>
                      <w:sz w:val="21"/>
                      <w:szCs w:val="21"/>
                    </w:rPr>
                    <w:t>0.03</w:t>
                  </w:r>
                  <w:r>
                    <w:rPr>
                      <w:rFonts w:hint="eastAsia"/>
                      <w:color w:val="auto"/>
                      <w:kern w:val="0"/>
                      <w:sz w:val="21"/>
                      <w:szCs w:val="21"/>
                      <w:lang w:val="en-US" w:eastAsia="zh-CN"/>
                    </w:rPr>
                    <w:t>89</w:t>
                  </w:r>
                </w:p>
              </w:tc>
            </w:tr>
            <w:tr w14:paraId="7130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125" w:type="dxa"/>
                  <w:vMerge w:val="restart"/>
                  <w:tcBorders>
                    <w:left w:val="single" w:color="auto" w:sz="4" w:space="0"/>
                    <w:right w:val="single" w:color="auto" w:sz="4" w:space="0"/>
                  </w:tcBorders>
                  <w:vAlign w:val="center"/>
                </w:tcPr>
                <w:p w14:paraId="17C2A8A0">
                  <w:pPr>
                    <w:adjustRightInd w:val="0"/>
                    <w:snapToGrid w:val="0"/>
                    <w:jc w:val="center"/>
                    <w:rPr>
                      <w:color w:val="auto"/>
                      <w:sz w:val="21"/>
                      <w:szCs w:val="21"/>
                    </w:rPr>
                  </w:pPr>
                  <w:r>
                    <w:rPr>
                      <w:rFonts w:hint="eastAsia"/>
                      <w:color w:val="auto"/>
                      <w:sz w:val="21"/>
                      <w:szCs w:val="21"/>
                    </w:rPr>
                    <w:t>废水</w:t>
                  </w:r>
                </w:p>
              </w:tc>
              <w:tc>
                <w:tcPr>
                  <w:tcW w:w="3640" w:type="dxa"/>
                  <w:tcBorders>
                    <w:top w:val="single" w:color="auto" w:sz="4" w:space="0"/>
                    <w:left w:val="single" w:color="auto" w:sz="4" w:space="0"/>
                    <w:bottom w:val="single" w:color="auto" w:sz="4" w:space="0"/>
                    <w:right w:val="single" w:color="auto" w:sz="4" w:space="0"/>
                  </w:tcBorders>
                  <w:vAlign w:val="center"/>
                </w:tcPr>
                <w:p w14:paraId="21CBAF75">
                  <w:pPr>
                    <w:adjustRightInd w:val="0"/>
                    <w:snapToGrid w:val="0"/>
                    <w:jc w:val="center"/>
                    <w:rPr>
                      <w:color w:val="auto"/>
                      <w:sz w:val="21"/>
                      <w:szCs w:val="21"/>
                    </w:rPr>
                  </w:pPr>
                  <w:r>
                    <w:rPr>
                      <w:rFonts w:hint="eastAsia"/>
                      <w:color w:val="auto"/>
                      <w:sz w:val="21"/>
                      <w:szCs w:val="21"/>
                    </w:rPr>
                    <w:t>COD</w:t>
                  </w:r>
                </w:p>
              </w:tc>
              <w:tc>
                <w:tcPr>
                  <w:tcW w:w="2460" w:type="dxa"/>
                  <w:tcBorders>
                    <w:top w:val="single" w:color="auto" w:sz="4" w:space="0"/>
                    <w:left w:val="single" w:color="auto" w:sz="4" w:space="0"/>
                    <w:bottom w:val="single" w:color="auto" w:sz="4" w:space="0"/>
                    <w:right w:val="single" w:color="auto" w:sz="4" w:space="0"/>
                  </w:tcBorders>
                  <w:vAlign w:val="center"/>
                </w:tcPr>
                <w:p w14:paraId="1E16F139">
                  <w:pPr>
                    <w:adjustRightInd w:val="0"/>
                    <w:snapToGrid w:val="0"/>
                    <w:jc w:val="center"/>
                    <w:rPr>
                      <w:color w:val="auto"/>
                      <w:sz w:val="21"/>
                      <w:szCs w:val="21"/>
                    </w:rPr>
                  </w:pPr>
                  <w:r>
                    <w:rPr>
                      <w:rFonts w:hint="eastAsia"/>
                      <w:color w:val="auto"/>
                      <w:sz w:val="21"/>
                      <w:szCs w:val="21"/>
                    </w:rPr>
                    <w:t>0.0021</w:t>
                  </w:r>
                </w:p>
              </w:tc>
            </w:tr>
            <w:tr w14:paraId="7D31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25" w:type="dxa"/>
                  <w:vMerge w:val="continue"/>
                  <w:tcBorders>
                    <w:left w:val="single" w:color="auto" w:sz="4" w:space="0"/>
                    <w:bottom w:val="single" w:color="auto" w:sz="4" w:space="0"/>
                    <w:right w:val="single" w:color="auto" w:sz="4" w:space="0"/>
                  </w:tcBorders>
                  <w:vAlign w:val="center"/>
                </w:tcPr>
                <w:p w14:paraId="7C8466FA">
                  <w:pPr>
                    <w:adjustRightInd w:val="0"/>
                    <w:snapToGrid w:val="0"/>
                    <w:jc w:val="center"/>
                    <w:rPr>
                      <w:color w:val="auto"/>
                      <w:sz w:val="21"/>
                      <w:szCs w:val="21"/>
                    </w:rPr>
                  </w:pPr>
                </w:p>
              </w:tc>
              <w:tc>
                <w:tcPr>
                  <w:tcW w:w="3640" w:type="dxa"/>
                  <w:tcBorders>
                    <w:top w:val="single" w:color="auto" w:sz="4" w:space="0"/>
                    <w:left w:val="single" w:color="auto" w:sz="4" w:space="0"/>
                    <w:bottom w:val="single" w:color="auto" w:sz="4" w:space="0"/>
                    <w:right w:val="single" w:color="auto" w:sz="4" w:space="0"/>
                  </w:tcBorders>
                  <w:vAlign w:val="center"/>
                </w:tcPr>
                <w:p w14:paraId="7E6F8B50">
                  <w:pPr>
                    <w:adjustRightInd w:val="0"/>
                    <w:snapToGrid w:val="0"/>
                    <w:jc w:val="center"/>
                    <w:rPr>
                      <w:color w:val="auto"/>
                      <w:sz w:val="21"/>
                      <w:szCs w:val="21"/>
                    </w:rPr>
                  </w:pPr>
                  <w:r>
                    <w:rPr>
                      <w:rFonts w:hint="eastAsia"/>
                      <w:color w:val="auto"/>
                      <w:sz w:val="21"/>
                      <w:szCs w:val="21"/>
                    </w:rPr>
                    <w:t>氨氮</w:t>
                  </w:r>
                </w:p>
              </w:tc>
              <w:tc>
                <w:tcPr>
                  <w:tcW w:w="2460" w:type="dxa"/>
                  <w:tcBorders>
                    <w:top w:val="single" w:color="auto" w:sz="4" w:space="0"/>
                    <w:left w:val="single" w:color="auto" w:sz="4" w:space="0"/>
                    <w:bottom w:val="single" w:color="auto" w:sz="4" w:space="0"/>
                    <w:right w:val="single" w:color="auto" w:sz="4" w:space="0"/>
                  </w:tcBorders>
                  <w:vAlign w:val="center"/>
                </w:tcPr>
                <w:p w14:paraId="18407E11">
                  <w:pPr>
                    <w:adjustRightInd w:val="0"/>
                    <w:snapToGrid w:val="0"/>
                    <w:jc w:val="center"/>
                    <w:rPr>
                      <w:color w:val="auto"/>
                      <w:sz w:val="21"/>
                      <w:szCs w:val="21"/>
                    </w:rPr>
                  </w:pPr>
                  <w:r>
                    <w:rPr>
                      <w:rFonts w:hint="eastAsia"/>
                      <w:color w:val="auto"/>
                      <w:sz w:val="21"/>
                      <w:szCs w:val="21"/>
                    </w:rPr>
                    <w:t>0.0002</w:t>
                  </w:r>
                </w:p>
              </w:tc>
            </w:tr>
          </w:tbl>
          <w:p w14:paraId="5D8D1F82">
            <w:pPr>
              <w:spacing w:line="360" w:lineRule="auto"/>
              <w:jc w:val="left"/>
              <w:rPr>
                <w:color w:val="auto"/>
                <w:kern w:val="0"/>
                <w:sz w:val="24"/>
              </w:rPr>
            </w:pPr>
          </w:p>
          <w:p w14:paraId="24BB47C5">
            <w:pPr>
              <w:pStyle w:val="9"/>
              <w:ind w:left="0" w:leftChars="0" w:firstLine="0" w:firstLineChars="0"/>
              <w:rPr>
                <w:color w:val="auto"/>
              </w:rPr>
            </w:pPr>
          </w:p>
        </w:tc>
      </w:tr>
    </w:tbl>
    <w:p w14:paraId="55620008">
      <w:pPr>
        <w:widowControl/>
        <w:spacing w:before="100" w:beforeAutospacing="1" w:after="100" w:afterAutospacing="1"/>
        <w:jc w:val="center"/>
        <w:outlineLvl w:val="0"/>
        <w:rPr>
          <w:rFonts w:eastAsia="黑体"/>
          <w:snapToGrid w:val="0"/>
          <w:color w:val="auto"/>
          <w:kern w:val="0"/>
          <w:sz w:val="30"/>
          <w:szCs w:val="30"/>
        </w:rPr>
      </w:pPr>
      <w:r>
        <w:rPr>
          <w:rFonts w:eastAsia="黑体"/>
          <w:snapToGrid w:val="0"/>
          <w:color w:val="auto"/>
          <w:kern w:val="0"/>
          <w:sz w:val="36"/>
          <w:szCs w:val="36"/>
        </w:rPr>
        <w:br w:type="page"/>
      </w:r>
      <w:r>
        <w:rPr>
          <w:rFonts w:eastAsia="黑体"/>
          <w:snapToGrid w:val="0"/>
          <w:color w:val="auto"/>
          <w:kern w:val="0"/>
          <w:sz w:val="30"/>
          <w:szCs w:val="30"/>
        </w:rPr>
        <w:t>四、主要环境影响和保护措施</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8526"/>
      </w:tblGrid>
      <w:tr w14:paraId="0416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2BA80913">
            <w:pPr>
              <w:widowControl/>
              <w:adjustRightInd w:val="0"/>
              <w:snapToGrid w:val="0"/>
              <w:jc w:val="center"/>
              <w:rPr>
                <w:color w:val="auto"/>
                <w:sz w:val="24"/>
              </w:rPr>
            </w:pPr>
            <w:r>
              <w:rPr>
                <w:color w:val="auto"/>
                <w:sz w:val="24"/>
              </w:rPr>
              <w:t>施工</w:t>
            </w:r>
          </w:p>
          <w:p w14:paraId="6870F365">
            <w:pPr>
              <w:widowControl/>
              <w:adjustRightInd w:val="0"/>
              <w:snapToGrid w:val="0"/>
              <w:jc w:val="center"/>
              <w:rPr>
                <w:color w:val="auto"/>
                <w:sz w:val="24"/>
              </w:rPr>
            </w:pPr>
            <w:r>
              <w:rPr>
                <w:color w:val="auto"/>
                <w:sz w:val="24"/>
              </w:rPr>
              <w:t>期环</w:t>
            </w:r>
          </w:p>
          <w:p w14:paraId="50364D32">
            <w:pPr>
              <w:widowControl/>
              <w:adjustRightInd w:val="0"/>
              <w:snapToGrid w:val="0"/>
              <w:jc w:val="center"/>
              <w:rPr>
                <w:color w:val="auto"/>
                <w:sz w:val="24"/>
              </w:rPr>
            </w:pPr>
            <w:r>
              <w:rPr>
                <w:color w:val="auto"/>
                <w:sz w:val="24"/>
              </w:rPr>
              <w:t>境保</w:t>
            </w:r>
          </w:p>
          <w:p w14:paraId="4E3C5965">
            <w:pPr>
              <w:widowControl/>
              <w:adjustRightInd w:val="0"/>
              <w:snapToGrid w:val="0"/>
              <w:jc w:val="center"/>
              <w:rPr>
                <w:color w:val="auto"/>
                <w:sz w:val="24"/>
              </w:rPr>
            </w:pPr>
            <w:r>
              <w:rPr>
                <w:color w:val="auto"/>
                <w:sz w:val="24"/>
              </w:rPr>
              <w:t>护措</w:t>
            </w:r>
          </w:p>
          <w:p w14:paraId="7C3E568C">
            <w:pPr>
              <w:jc w:val="center"/>
              <w:rPr>
                <w:bCs/>
                <w:color w:val="auto"/>
                <w:sz w:val="24"/>
              </w:rPr>
            </w:pPr>
            <w:r>
              <w:rPr>
                <w:color w:val="auto"/>
                <w:sz w:val="24"/>
              </w:rPr>
              <w:t>施</w:t>
            </w:r>
          </w:p>
        </w:tc>
        <w:tc>
          <w:tcPr>
            <w:tcW w:w="4714" w:type="pct"/>
            <w:vAlign w:val="center"/>
          </w:tcPr>
          <w:p w14:paraId="7E8B3769">
            <w:pPr>
              <w:spacing w:line="360" w:lineRule="auto"/>
              <w:ind w:firstLine="480" w:firstLineChars="200"/>
              <w:rPr>
                <w:color w:val="auto"/>
                <w:kern w:val="0"/>
                <w:sz w:val="24"/>
              </w:rPr>
            </w:pPr>
            <w:r>
              <w:rPr>
                <w:color w:val="auto"/>
                <w:kern w:val="0"/>
                <w:sz w:val="24"/>
              </w:rPr>
              <w:t>项目施工期主要为设备安装，施工过程中主要产生少量的</w:t>
            </w:r>
            <w:r>
              <w:rPr>
                <w:rFonts w:hint="eastAsia"/>
                <w:color w:val="auto"/>
                <w:kern w:val="0"/>
                <w:sz w:val="24"/>
              </w:rPr>
              <w:t>粉尘</w:t>
            </w:r>
            <w:r>
              <w:rPr>
                <w:color w:val="auto"/>
                <w:kern w:val="0"/>
                <w:sz w:val="24"/>
              </w:rPr>
              <w:t>、噪声</w:t>
            </w:r>
            <w:r>
              <w:rPr>
                <w:rFonts w:hint="eastAsia"/>
                <w:color w:val="auto"/>
                <w:kern w:val="0"/>
                <w:sz w:val="24"/>
              </w:rPr>
              <w:t>、</w:t>
            </w:r>
            <w:r>
              <w:rPr>
                <w:color w:val="auto"/>
                <w:kern w:val="0"/>
                <w:sz w:val="24"/>
              </w:rPr>
              <w:t>固废及施工人员生活污水。</w:t>
            </w:r>
          </w:p>
          <w:p w14:paraId="3DD9AF68">
            <w:pPr>
              <w:spacing w:line="360" w:lineRule="auto"/>
              <w:ind w:firstLine="480" w:firstLineChars="200"/>
              <w:rPr>
                <w:b/>
                <w:bCs/>
                <w:color w:val="auto"/>
                <w:kern w:val="0"/>
                <w:sz w:val="24"/>
              </w:rPr>
            </w:pPr>
            <w:r>
              <w:rPr>
                <w:color w:val="auto"/>
                <w:kern w:val="0"/>
                <w:sz w:val="24"/>
              </w:rPr>
              <w:t>项目施工期较短，施工量较小，施工结束后污染也随之消失，对环境影响较小。</w:t>
            </w:r>
          </w:p>
          <w:p w14:paraId="632AF0C9">
            <w:pPr>
              <w:spacing w:line="360" w:lineRule="auto"/>
              <w:ind w:firstLine="482" w:firstLineChars="200"/>
              <w:rPr>
                <w:b/>
                <w:color w:val="auto"/>
                <w:kern w:val="0"/>
                <w:sz w:val="24"/>
              </w:rPr>
            </w:pPr>
            <w:r>
              <w:rPr>
                <w:b/>
                <w:color w:val="auto"/>
                <w:kern w:val="0"/>
                <w:sz w:val="24"/>
              </w:rPr>
              <w:t>1、施工期废气防治措施</w:t>
            </w:r>
          </w:p>
          <w:p w14:paraId="01643E38">
            <w:pPr>
              <w:spacing w:line="360" w:lineRule="auto"/>
              <w:ind w:firstLine="480" w:firstLineChars="200"/>
              <w:rPr>
                <w:color w:val="auto"/>
                <w:kern w:val="0"/>
                <w:sz w:val="24"/>
              </w:rPr>
            </w:pPr>
            <w:r>
              <w:rPr>
                <w:color w:val="auto"/>
                <w:kern w:val="0"/>
                <w:sz w:val="24"/>
              </w:rPr>
              <w:t>项目施工期产生的废气主要为</w:t>
            </w:r>
            <w:r>
              <w:rPr>
                <w:rFonts w:hint="eastAsia"/>
                <w:color w:val="auto"/>
                <w:kern w:val="0"/>
                <w:sz w:val="24"/>
              </w:rPr>
              <w:t>环保设备安装产生的少量粉尘</w:t>
            </w:r>
            <w:r>
              <w:rPr>
                <w:color w:val="auto"/>
                <w:kern w:val="0"/>
                <w:sz w:val="24"/>
              </w:rPr>
              <w:t>，产生时间主要集中在</w:t>
            </w:r>
            <w:r>
              <w:rPr>
                <w:rFonts w:hint="eastAsia"/>
                <w:color w:val="auto"/>
                <w:kern w:val="0"/>
                <w:sz w:val="24"/>
              </w:rPr>
              <w:t>设备安装阶段</w:t>
            </w:r>
            <w:r>
              <w:rPr>
                <w:color w:val="auto"/>
                <w:kern w:val="0"/>
                <w:sz w:val="24"/>
              </w:rPr>
              <w:t>。同时提出以下措施：</w:t>
            </w:r>
          </w:p>
          <w:p w14:paraId="7DB38CBB">
            <w:pPr>
              <w:spacing w:line="360" w:lineRule="auto"/>
              <w:ind w:firstLine="480" w:firstLineChars="200"/>
              <w:rPr>
                <w:color w:val="auto"/>
                <w:kern w:val="0"/>
                <w:sz w:val="24"/>
              </w:rPr>
            </w:pPr>
            <w:r>
              <w:rPr>
                <w:color w:val="auto"/>
                <w:kern w:val="0"/>
                <w:sz w:val="24"/>
              </w:rPr>
              <w:t>根据《陕西省大气污染防治条例》、《西安市大气污染防治条例》</w:t>
            </w:r>
            <w:r>
              <w:rPr>
                <w:rFonts w:hint="eastAsia"/>
                <w:color w:val="auto"/>
                <w:kern w:val="0"/>
                <w:sz w:val="24"/>
              </w:rPr>
              <w:t>、《西咸新区大气污染治理专项行动方案（2023-2027年）》（陕西咸党发〔2023〕4号）、《西咸新区大气污染治理专项行动2024年工作方案》（陕西咸党政办函〔2024〕21号）、《西咸新区沣西新城大气污染治理专项行动方案（2023~2027）》</w:t>
            </w:r>
            <w:r>
              <w:rPr>
                <w:color w:val="auto"/>
                <w:kern w:val="0"/>
                <w:sz w:val="24"/>
              </w:rPr>
              <w:t>的通知采取有效措施，严格控制施工过程中扬尘污染。</w:t>
            </w:r>
          </w:p>
          <w:p w14:paraId="6C2AF072">
            <w:pPr>
              <w:tabs>
                <w:tab w:val="left" w:pos="2535"/>
              </w:tabs>
              <w:spacing w:line="360" w:lineRule="auto"/>
              <w:ind w:firstLine="480" w:firstLineChars="200"/>
              <w:rPr>
                <w:color w:val="auto"/>
                <w:kern w:val="0"/>
                <w:sz w:val="24"/>
              </w:rPr>
            </w:pPr>
            <w:r>
              <w:rPr>
                <w:color w:val="auto"/>
                <w:kern w:val="0"/>
                <w:sz w:val="24"/>
              </w:rPr>
              <w:t>同时提出以下措施：</w:t>
            </w:r>
          </w:p>
          <w:p w14:paraId="46573D39">
            <w:pPr>
              <w:tabs>
                <w:tab w:val="left" w:pos="2535"/>
              </w:tabs>
              <w:spacing w:line="360" w:lineRule="auto"/>
              <w:ind w:firstLine="480" w:firstLineChars="200"/>
              <w:rPr>
                <w:color w:val="auto"/>
                <w:kern w:val="0"/>
                <w:sz w:val="24"/>
              </w:rPr>
            </w:pPr>
            <w:r>
              <w:rPr>
                <w:color w:val="auto"/>
                <w:kern w:val="0"/>
                <w:sz w:val="24"/>
              </w:rPr>
              <w:t>（1）在</w:t>
            </w:r>
            <w:r>
              <w:rPr>
                <w:rFonts w:hint="eastAsia"/>
                <w:color w:val="auto"/>
                <w:kern w:val="0"/>
                <w:sz w:val="24"/>
              </w:rPr>
              <w:t>实施环保设备管道</w:t>
            </w:r>
            <w:r>
              <w:rPr>
                <w:color w:val="auto"/>
                <w:kern w:val="0"/>
                <w:sz w:val="24"/>
              </w:rPr>
              <w:t>安装等作业</w:t>
            </w:r>
            <w:r>
              <w:rPr>
                <w:rFonts w:hint="eastAsia"/>
                <w:color w:val="auto"/>
                <w:kern w:val="0"/>
                <w:sz w:val="24"/>
              </w:rPr>
              <w:t>时</w:t>
            </w:r>
            <w:r>
              <w:rPr>
                <w:color w:val="auto"/>
                <w:kern w:val="0"/>
                <w:sz w:val="24"/>
              </w:rPr>
              <w:t>，会</w:t>
            </w:r>
            <w:r>
              <w:rPr>
                <w:rFonts w:hint="eastAsia"/>
                <w:color w:val="auto"/>
                <w:kern w:val="0"/>
                <w:sz w:val="24"/>
              </w:rPr>
              <w:t>产生少量粉尘</w:t>
            </w:r>
            <w:r>
              <w:rPr>
                <w:color w:val="auto"/>
                <w:kern w:val="0"/>
                <w:sz w:val="24"/>
              </w:rPr>
              <w:t>，</w:t>
            </w:r>
            <w:r>
              <w:rPr>
                <w:rFonts w:hint="eastAsia"/>
                <w:color w:val="auto"/>
                <w:kern w:val="0"/>
                <w:sz w:val="24"/>
              </w:rPr>
              <w:t>保持车间密闭，及时清理地面的粉尘，以减少对周围大气环境的影响；</w:t>
            </w:r>
          </w:p>
          <w:p w14:paraId="1BD49EA2">
            <w:pPr>
              <w:tabs>
                <w:tab w:val="left" w:pos="2535"/>
              </w:tabs>
              <w:spacing w:line="360" w:lineRule="auto"/>
              <w:ind w:firstLine="480" w:firstLineChars="200"/>
              <w:rPr>
                <w:color w:val="auto"/>
                <w:kern w:val="0"/>
                <w:sz w:val="24"/>
              </w:rPr>
            </w:pPr>
            <w:r>
              <w:rPr>
                <w:color w:val="auto"/>
                <w:kern w:val="0"/>
                <w:sz w:val="24"/>
              </w:rPr>
              <w:t>（2）项目施工期废气满足《施工场界扬尘排放限值》（DB61/1078-2017）中相关标准。</w:t>
            </w:r>
          </w:p>
          <w:p w14:paraId="46D6680B">
            <w:pPr>
              <w:spacing w:line="360" w:lineRule="auto"/>
              <w:ind w:firstLine="482" w:firstLineChars="200"/>
              <w:rPr>
                <w:b/>
                <w:color w:val="auto"/>
                <w:kern w:val="0"/>
                <w:sz w:val="24"/>
              </w:rPr>
            </w:pPr>
            <w:r>
              <w:rPr>
                <w:b/>
                <w:color w:val="auto"/>
                <w:kern w:val="0"/>
                <w:sz w:val="24"/>
              </w:rPr>
              <w:t>2、施工期废水防治措施</w:t>
            </w:r>
          </w:p>
          <w:p w14:paraId="2A625ADE">
            <w:pPr>
              <w:spacing w:line="360" w:lineRule="auto"/>
              <w:ind w:firstLine="480" w:firstLineChars="200"/>
              <w:rPr>
                <w:color w:val="auto"/>
                <w:kern w:val="0"/>
                <w:sz w:val="24"/>
              </w:rPr>
            </w:pPr>
            <w:r>
              <w:rPr>
                <w:color w:val="auto"/>
                <w:kern w:val="0"/>
                <w:sz w:val="24"/>
              </w:rPr>
              <w:t>施工期污水主要是施工人员产生的生活污水，污水中主要污染因子为COD、BOD</w:t>
            </w:r>
            <w:r>
              <w:rPr>
                <w:color w:val="auto"/>
                <w:kern w:val="0"/>
                <w:sz w:val="24"/>
                <w:vertAlign w:val="subscript"/>
              </w:rPr>
              <w:t>5</w:t>
            </w:r>
            <w:r>
              <w:rPr>
                <w:color w:val="auto"/>
                <w:kern w:val="0"/>
                <w:sz w:val="24"/>
              </w:rPr>
              <w:t>、SS、氨氮等，生活污水</w:t>
            </w:r>
            <w:r>
              <w:rPr>
                <w:rFonts w:hint="eastAsia"/>
                <w:color w:val="auto"/>
                <w:kern w:val="0"/>
                <w:sz w:val="24"/>
              </w:rPr>
              <w:t>依托</w:t>
            </w:r>
            <w:r>
              <w:rPr>
                <w:rFonts w:hint="eastAsia"/>
                <w:bCs/>
                <w:color w:val="auto"/>
                <w:sz w:val="24"/>
              </w:rPr>
              <w:t>依托</w:t>
            </w:r>
            <w:r>
              <w:rPr>
                <w:rFonts w:hint="eastAsia"/>
                <w:color w:val="auto"/>
                <w:kern w:val="0"/>
                <w:sz w:val="24"/>
              </w:rPr>
              <w:t>西安生漆涂料研究所</w:t>
            </w:r>
            <w:r>
              <w:rPr>
                <w:rFonts w:hint="eastAsia"/>
                <w:bCs/>
                <w:color w:val="auto"/>
                <w:sz w:val="24"/>
              </w:rPr>
              <w:t>化粪池及地埋式一体化污水处理设施处理后经市政管网排入沣西新城渭河污水处理厂处理</w:t>
            </w:r>
            <w:r>
              <w:rPr>
                <w:color w:val="auto"/>
                <w:kern w:val="0"/>
                <w:sz w:val="24"/>
              </w:rPr>
              <w:t>。</w:t>
            </w:r>
          </w:p>
          <w:p w14:paraId="1A44CD91">
            <w:pPr>
              <w:spacing w:line="360" w:lineRule="auto"/>
              <w:ind w:firstLine="482" w:firstLineChars="200"/>
              <w:rPr>
                <w:b/>
                <w:color w:val="auto"/>
                <w:kern w:val="0"/>
                <w:sz w:val="24"/>
              </w:rPr>
            </w:pPr>
            <w:r>
              <w:rPr>
                <w:b/>
                <w:color w:val="auto"/>
                <w:kern w:val="0"/>
                <w:sz w:val="24"/>
              </w:rPr>
              <w:t>3、施工期噪声防治措施</w:t>
            </w:r>
          </w:p>
          <w:p w14:paraId="5C8F0220">
            <w:pPr>
              <w:spacing w:line="360" w:lineRule="auto"/>
              <w:ind w:firstLine="480" w:firstLineChars="200"/>
              <w:rPr>
                <w:bCs/>
                <w:color w:val="auto"/>
                <w:kern w:val="0"/>
                <w:sz w:val="24"/>
              </w:rPr>
            </w:pPr>
            <w:r>
              <w:rPr>
                <w:bCs/>
                <w:color w:val="auto"/>
                <w:kern w:val="0"/>
                <w:sz w:val="24"/>
              </w:rPr>
              <w:t>项目施工期噪声主要为电钻、电锯、电锤等产生的设备噪声。</w:t>
            </w:r>
          </w:p>
          <w:p w14:paraId="75516648">
            <w:pPr>
              <w:topLinePunct/>
              <w:spacing w:line="360" w:lineRule="auto"/>
              <w:ind w:firstLine="480" w:firstLineChars="200"/>
              <w:rPr>
                <w:bCs/>
                <w:color w:val="auto"/>
                <w:kern w:val="0"/>
                <w:sz w:val="24"/>
              </w:rPr>
            </w:pPr>
            <w:r>
              <w:rPr>
                <w:bCs/>
                <w:color w:val="auto"/>
                <w:kern w:val="0"/>
                <w:sz w:val="24"/>
              </w:rPr>
              <w:t>为减少施工噪声对环境的影响，要求建设单位在工程施工期采取以下噪声控制措施：</w:t>
            </w:r>
          </w:p>
          <w:p w14:paraId="4ECDBE22">
            <w:pPr>
              <w:spacing w:line="360" w:lineRule="auto"/>
              <w:ind w:firstLine="480" w:firstLineChars="200"/>
              <w:rPr>
                <w:bCs/>
                <w:color w:val="auto"/>
                <w:kern w:val="0"/>
                <w:sz w:val="24"/>
              </w:rPr>
            </w:pPr>
            <w:r>
              <w:rPr>
                <w:bCs/>
                <w:color w:val="auto"/>
                <w:kern w:val="0"/>
                <w:sz w:val="24"/>
              </w:rPr>
              <w:t>（1）合理安排施工方式，控制噪声环境污染；</w:t>
            </w:r>
          </w:p>
          <w:p w14:paraId="4604006F">
            <w:pPr>
              <w:spacing w:line="360" w:lineRule="auto"/>
              <w:ind w:firstLine="480" w:firstLineChars="200"/>
              <w:rPr>
                <w:bCs/>
                <w:color w:val="auto"/>
                <w:kern w:val="0"/>
                <w:sz w:val="24"/>
              </w:rPr>
            </w:pPr>
            <w:r>
              <w:rPr>
                <w:bCs/>
                <w:color w:val="auto"/>
                <w:kern w:val="0"/>
                <w:sz w:val="24"/>
              </w:rPr>
              <w:t>（2）严格操作规程，加强施工机械管理，降低人为噪声影响；</w:t>
            </w:r>
          </w:p>
          <w:p w14:paraId="22917340">
            <w:pPr>
              <w:spacing w:line="360" w:lineRule="auto"/>
              <w:ind w:firstLine="480" w:firstLineChars="200"/>
              <w:rPr>
                <w:bCs/>
                <w:color w:val="auto"/>
                <w:kern w:val="0"/>
                <w:sz w:val="24"/>
              </w:rPr>
            </w:pPr>
            <w:r>
              <w:rPr>
                <w:bCs/>
                <w:color w:val="auto"/>
                <w:kern w:val="0"/>
                <w:sz w:val="24"/>
              </w:rPr>
              <w:t>（3）施工尽量采用噪声较低的生产设备，并加强维修保养。采取有效的隔声、减振、消声措施，降低噪声级；</w:t>
            </w:r>
          </w:p>
          <w:p w14:paraId="40FF1852">
            <w:pPr>
              <w:spacing w:line="360" w:lineRule="auto"/>
              <w:ind w:firstLine="480" w:firstLineChars="200"/>
              <w:rPr>
                <w:bCs/>
                <w:color w:val="auto"/>
                <w:kern w:val="0"/>
                <w:sz w:val="24"/>
              </w:rPr>
            </w:pPr>
            <w:r>
              <w:rPr>
                <w:bCs/>
                <w:color w:val="auto"/>
                <w:kern w:val="0"/>
                <w:sz w:val="24"/>
              </w:rPr>
              <w:t>（4）建设单位合理安排施工时间，夜间（22:00~06:00）禁止施工</w:t>
            </w:r>
            <w:r>
              <w:rPr>
                <w:rFonts w:hint="eastAsia"/>
                <w:bCs/>
                <w:color w:val="auto"/>
                <w:kern w:val="0"/>
                <w:sz w:val="24"/>
              </w:rPr>
              <w:t>；</w:t>
            </w:r>
          </w:p>
          <w:p w14:paraId="1554D2DD">
            <w:pPr>
              <w:spacing w:line="360" w:lineRule="auto"/>
              <w:ind w:firstLine="480" w:firstLineChars="200"/>
              <w:rPr>
                <w:bCs/>
                <w:color w:val="auto"/>
                <w:kern w:val="0"/>
                <w:sz w:val="24"/>
              </w:rPr>
            </w:pPr>
            <w:r>
              <w:rPr>
                <w:rFonts w:hint="eastAsia"/>
                <w:bCs/>
                <w:color w:val="auto"/>
                <w:kern w:val="0"/>
                <w:sz w:val="24"/>
              </w:rPr>
              <w:t>（5）在采取上述降噪措施后，施工期噪声应确保满足《建筑施工场界环境噪声排放标准》（GB12523-2011）中有关规定。</w:t>
            </w:r>
          </w:p>
          <w:p w14:paraId="722A304A">
            <w:pPr>
              <w:spacing w:line="360" w:lineRule="auto"/>
              <w:ind w:firstLine="482" w:firstLineChars="200"/>
              <w:rPr>
                <w:b/>
                <w:color w:val="auto"/>
                <w:kern w:val="0"/>
                <w:sz w:val="24"/>
              </w:rPr>
            </w:pPr>
            <w:r>
              <w:rPr>
                <w:b/>
                <w:color w:val="auto"/>
                <w:kern w:val="0"/>
                <w:sz w:val="24"/>
              </w:rPr>
              <w:t>4、施工期固体废物防治措施</w:t>
            </w:r>
          </w:p>
          <w:p w14:paraId="578B7613">
            <w:pPr>
              <w:spacing w:line="360" w:lineRule="auto"/>
              <w:ind w:firstLine="480" w:firstLineChars="200"/>
              <w:rPr>
                <w:bCs/>
                <w:color w:val="auto"/>
                <w:kern w:val="0"/>
                <w:sz w:val="24"/>
              </w:rPr>
            </w:pPr>
            <w:r>
              <w:rPr>
                <w:bCs/>
                <w:color w:val="auto"/>
                <w:kern w:val="0"/>
                <w:sz w:val="24"/>
              </w:rPr>
              <w:t>本项目施工期固体废物主要为</w:t>
            </w:r>
            <w:r>
              <w:rPr>
                <w:rFonts w:hint="eastAsia"/>
                <w:bCs/>
                <w:color w:val="auto"/>
                <w:kern w:val="0"/>
                <w:sz w:val="24"/>
              </w:rPr>
              <w:t>设备安装产生的废包装材料、</w:t>
            </w:r>
            <w:r>
              <w:rPr>
                <w:bCs/>
                <w:color w:val="auto"/>
                <w:kern w:val="0"/>
                <w:sz w:val="24"/>
              </w:rPr>
              <w:t>施工人员的生活垃圾。</w:t>
            </w:r>
          </w:p>
          <w:p w14:paraId="1C3DA606">
            <w:pPr>
              <w:spacing w:line="360" w:lineRule="auto"/>
              <w:ind w:firstLine="480" w:firstLineChars="200"/>
              <w:rPr>
                <w:color w:val="auto"/>
              </w:rPr>
            </w:pPr>
            <w:r>
              <w:rPr>
                <w:rFonts w:hint="eastAsia"/>
                <w:bCs/>
                <w:color w:val="auto"/>
                <w:kern w:val="0"/>
                <w:sz w:val="24"/>
              </w:rPr>
              <w:t>设备安装产生的废包装材料</w:t>
            </w:r>
            <w:r>
              <w:rPr>
                <w:bCs/>
                <w:color w:val="auto"/>
                <w:kern w:val="0"/>
                <w:sz w:val="24"/>
              </w:rPr>
              <w:t>，收集后</w:t>
            </w:r>
            <w:r>
              <w:rPr>
                <w:rFonts w:hint="eastAsia"/>
                <w:bCs/>
                <w:color w:val="auto"/>
                <w:kern w:val="0"/>
                <w:sz w:val="24"/>
              </w:rPr>
              <w:t>统一外售</w:t>
            </w:r>
            <w:r>
              <w:rPr>
                <w:bCs/>
                <w:color w:val="auto"/>
                <w:kern w:val="0"/>
                <w:sz w:val="24"/>
              </w:rPr>
              <w:t>；施工人员生活垃圾分类收集后，交由环卫部门统一清运处理。</w:t>
            </w:r>
          </w:p>
        </w:tc>
      </w:tr>
      <w:tr w14:paraId="625E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7FE6F100">
            <w:pPr>
              <w:adjustRightInd w:val="0"/>
              <w:snapToGrid w:val="0"/>
              <w:spacing w:line="360" w:lineRule="auto"/>
              <w:jc w:val="center"/>
              <w:rPr>
                <w:bCs/>
                <w:color w:val="auto"/>
                <w:sz w:val="24"/>
              </w:rPr>
            </w:pPr>
            <w:r>
              <w:rPr>
                <w:bCs/>
                <w:color w:val="auto"/>
                <w:sz w:val="24"/>
              </w:rPr>
              <w:t>运营</w:t>
            </w:r>
          </w:p>
          <w:p w14:paraId="59B878E5">
            <w:pPr>
              <w:adjustRightInd w:val="0"/>
              <w:snapToGrid w:val="0"/>
              <w:spacing w:line="360" w:lineRule="auto"/>
              <w:jc w:val="center"/>
              <w:rPr>
                <w:bCs/>
                <w:color w:val="auto"/>
                <w:sz w:val="24"/>
              </w:rPr>
            </w:pPr>
            <w:r>
              <w:rPr>
                <w:bCs/>
                <w:color w:val="auto"/>
                <w:sz w:val="24"/>
              </w:rPr>
              <w:t>期环</w:t>
            </w:r>
          </w:p>
          <w:p w14:paraId="1502D89D">
            <w:pPr>
              <w:adjustRightInd w:val="0"/>
              <w:snapToGrid w:val="0"/>
              <w:spacing w:line="360" w:lineRule="auto"/>
              <w:jc w:val="center"/>
              <w:rPr>
                <w:bCs/>
                <w:color w:val="auto"/>
                <w:sz w:val="24"/>
              </w:rPr>
            </w:pPr>
            <w:r>
              <w:rPr>
                <w:bCs/>
                <w:color w:val="auto"/>
                <w:sz w:val="24"/>
              </w:rPr>
              <w:t>境影</w:t>
            </w:r>
          </w:p>
          <w:p w14:paraId="293CB655">
            <w:pPr>
              <w:adjustRightInd w:val="0"/>
              <w:snapToGrid w:val="0"/>
              <w:spacing w:line="360" w:lineRule="auto"/>
              <w:jc w:val="center"/>
              <w:rPr>
                <w:bCs/>
                <w:color w:val="auto"/>
                <w:sz w:val="24"/>
              </w:rPr>
            </w:pPr>
            <w:r>
              <w:rPr>
                <w:bCs/>
                <w:color w:val="auto"/>
                <w:sz w:val="24"/>
              </w:rPr>
              <w:t>响和</w:t>
            </w:r>
          </w:p>
          <w:p w14:paraId="192BB6AB">
            <w:pPr>
              <w:adjustRightInd w:val="0"/>
              <w:snapToGrid w:val="0"/>
              <w:spacing w:line="360" w:lineRule="auto"/>
              <w:jc w:val="center"/>
              <w:rPr>
                <w:bCs/>
                <w:color w:val="auto"/>
                <w:sz w:val="24"/>
              </w:rPr>
            </w:pPr>
            <w:r>
              <w:rPr>
                <w:bCs/>
                <w:color w:val="auto"/>
                <w:sz w:val="24"/>
              </w:rPr>
              <w:t>保护</w:t>
            </w:r>
          </w:p>
          <w:p w14:paraId="3D0B8527">
            <w:pPr>
              <w:spacing w:line="360" w:lineRule="auto"/>
              <w:jc w:val="center"/>
              <w:rPr>
                <w:color w:val="auto"/>
              </w:rPr>
            </w:pPr>
            <w:r>
              <w:rPr>
                <w:bCs/>
                <w:color w:val="auto"/>
                <w:sz w:val="24"/>
              </w:rPr>
              <w:t>措施</w:t>
            </w:r>
          </w:p>
        </w:tc>
        <w:tc>
          <w:tcPr>
            <w:tcW w:w="4714" w:type="pct"/>
          </w:tcPr>
          <w:p w14:paraId="7E000A7F">
            <w:pPr>
              <w:spacing w:line="360" w:lineRule="auto"/>
              <w:ind w:firstLine="482" w:firstLineChars="200"/>
              <w:rPr>
                <w:b/>
                <w:bCs/>
                <w:color w:val="auto"/>
                <w:kern w:val="0"/>
                <w:sz w:val="24"/>
                <w:szCs w:val="20"/>
              </w:rPr>
            </w:pPr>
            <w:r>
              <w:rPr>
                <w:b/>
                <w:bCs/>
                <w:color w:val="auto"/>
                <w:kern w:val="0"/>
                <w:sz w:val="24"/>
                <w:szCs w:val="20"/>
              </w:rPr>
              <w:t>1、废气</w:t>
            </w:r>
          </w:p>
          <w:p w14:paraId="629FA877">
            <w:pPr>
              <w:spacing w:line="360" w:lineRule="auto"/>
              <w:ind w:firstLine="480" w:firstLineChars="200"/>
              <w:rPr>
                <w:color w:val="auto"/>
                <w:sz w:val="24"/>
                <w:szCs w:val="22"/>
              </w:rPr>
            </w:pPr>
            <w:r>
              <w:rPr>
                <w:rFonts w:hint="eastAsia"/>
                <w:color w:val="auto"/>
                <w:sz w:val="24"/>
                <w:szCs w:val="22"/>
              </w:rPr>
              <w:t>本项目</w:t>
            </w:r>
            <w:r>
              <w:rPr>
                <w:color w:val="auto"/>
                <w:sz w:val="24"/>
                <w:szCs w:val="22"/>
              </w:rPr>
              <w:t>运营期</w:t>
            </w:r>
            <w:r>
              <w:rPr>
                <w:rFonts w:hint="eastAsia"/>
                <w:color w:val="auto"/>
                <w:sz w:val="24"/>
                <w:szCs w:val="22"/>
              </w:rPr>
              <w:t>研发过程中产生的废气主要为有机废气</w:t>
            </w:r>
            <w:r>
              <w:rPr>
                <w:rFonts w:hint="eastAsia"/>
                <w:color w:val="auto"/>
                <w:sz w:val="24"/>
                <w:szCs w:val="22"/>
                <w:lang w:val="en-US" w:eastAsia="zh-CN"/>
              </w:rPr>
              <w:t>非甲烷总烃</w:t>
            </w:r>
            <w:r>
              <w:rPr>
                <w:color w:val="auto"/>
                <w:sz w:val="24"/>
                <w:szCs w:val="22"/>
              </w:rPr>
              <w:t>。</w:t>
            </w:r>
          </w:p>
          <w:p w14:paraId="220EC0AA">
            <w:pPr>
              <w:spacing w:line="360" w:lineRule="auto"/>
              <w:ind w:firstLine="480" w:firstLineChars="200"/>
              <w:rPr>
                <w:color w:val="auto"/>
                <w:sz w:val="24"/>
                <w:szCs w:val="22"/>
              </w:rPr>
            </w:pPr>
            <w:r>
              <w:rPr>
                <w:color w:val="auto"/>
                <w:sz w:val="24"/>
                <w:szCs w:val="22"/>
              </w:rPr>
              <w:t>（1）废气污染物产排情况</w:t>
            </w:r>
          </w:p>
          <w:p w14:paraId="2B01EEA9">
            <w:pPr>
              <w:spacing w:line="360" w:lineRule="auto"/>
              <w:ind w:firstLine="480" w:firstLineChars="200"/>
              <w:rPr>
                <w:b/>
                <w:bCs/>
                <w:color w:val="auto"/>
                <w:kern w:val="0"/>
                <w:sz w:val="24"/>
                <w:szCs w:val="20"/>
              </w:rPr>
            </w:pPr>
            <w:r>
              <w:rPr>
                <w:color w:val="auto"/>
                <w:kern w:val="0"/>
                <w:sz w:val="24"/>
                <w:lang w:bidi="en-US"/>
              </w:rPr>
              <w:t>根据源强核算，项目废气产排情况见表</w:t>
            </w:r>
            <w:r>
              <w:rPr>
                <w:rFonts w:hint="eastAsia"/>
                <w:color w:val="auto"/>
                <w:kern w:val="0"/>
                <w:sz w:val="24"/>
                <w:lang w:bidi="en-US"/>
              </w:rPr>
              <w:t>4-1</w:t>
            </w:r>
            <w:r>
              <w:rPr>
                <w:color w:val="auto"/>
                <w:kern w:val="0"/>
                <w:sz w:val="24"/>
                <w:lang w:bidi="en-US"/>
              </w:rPr>
              <w:t>。</w:t>
            </w:r>
          </w:p>
          <w:p w14:paraId="042D8604">
            <w:pPr>
              <w:autoSpaceDE w:val="0"/>
              <w:autoSpaceDN w:val="0"/>
              <w:jc w:val="center"/>
              <w:rPr>
                <w:b/>
                <w:color w:val="auto"/>
                <w:szCs w:val="21"/>
              </w:rPr>
            </w:pPr>
            <w:r>
              <w:rPr>
                <w:b/>
                <w:color w:val="auto"/>
                <w:szCs w:val="21"/>
              </w:rPr>
              <w:t>表</w:t>
            </w:r>
            <w:r>
              <w:rPr>
                <w:rFonts w:hint="eastAsia"/>
                <w:b/>
                <w:color w:val="auto"/>
                <w:szCs w:val="21"/>
              </w:rPr>
              <w:t xml:space="preserve">4-1   </w:t>
            </w:r>
            <w:r>
              <w:rPr>
                <w:b/>
                <w:color w:val="auto"/>
                <w:szCs w:val="21"/>
              </w:rPr>
              <w:t>项目废气产排情况一览表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493"/>
              <w:gridCol w:w="691"/>
              <w:gridCol w:w="680"/>
              <w:gridCol w:w="691"/>
              <w:gridCol w:w="686"/>
              <w:gridCol w:w="512"/>
              <w:gridCol w:w="1201"/>
              <w:gridCol w:w="450"/>
              <w:gridCol w:w="914"/>
              <w:gridCol w:w="595"/>
              <w:gridCol w:w="715"/>
              <w:gridCol w:w="672"/>
            </w:tblGrid>
            <w:tr w14:paraId="1129BD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7" w:hRule="atLeast"/>
                <w:jc w:val="center"/>
              </w:trPr>
              <w:tc>
                <w:tcPr>
                  <w:tcW w:w="297" w:type="pct"/>
                  <w:vMerge w:val="restart"/>
                  <w:vAlign w:val="center"/>
                </w:tcPr>
                <w:p w14:paraId="617AF8E7">
                  <w:pPr>
                    <w:widowControl/>
                    <w:wordWrap w:val="0"/>
                    <w:adjustRightInd w:val="0"/>
                    <w:snapToGrid w:val="0"/>
                    <w:jc w:val="center"/>
                    <w:rPr>
                      <w:color w:val="FF0000"/>
                      <w:kern w:val="0"/>
                      <w:szCs w:val="21"/>
                      <w:lang w:bidi="en-US"/>
                    </w:rPr>
                  </w:pPr>
                  <w:r>
                    <w:rPr>
                      <w:color w:val="FF0000"/>
                      <w:kern w:val="0"/>
                      <w:szCs w:val="21"/>
                      <w:lang w:bidi="en-US"/>
                    </w:rPr>
                    <w:t>产污环节</w:t>
                  </w:r>
                </w:p>
              </w:tc>
              <w:tc>
                <w:tcPr>
                  <w:tcW w:w="416" w:type="pct"/>
                  <w:vMerge w:val="restart"/>
                  <w:vAlign w:val="center"/>
                </w:tcPr>
                <w:p w14:paraId="45ABB1A0">
                  <w:pPr>
                    <w:widowControl/>
                    <w:wordWrap w:val="0"/>
                    <w:adjustRightInd w:val="0"/>
                    <w:snapToGrid w:val="0"/>
                    <w:jc w:val="center"/>
                    <w:rPr>
                      <w:color w:val="FF0000"/>
                      <w:kern w:val="0"/>
                      <w:szCs w:val="21"/>
                      <w:lang w:bidi="en-US"/>
                    </w:rPr>
                  </w:pPr>
                  <w:r>
                    <w:rPr>
                      <w:color w:val="FF0000"/>
                      <w:kern w:val="0"/>
                      <w:szCs w:val="21"/>
                      <w:lang w:bidi="en-US"/>
                    </w:rPr>
                    <w:t>污染物</w:t>
                  </w:r>
                </w:p>
              </w:tc>
              <w:tc>
                <w:tcPr>
                  <w:tcW w:w="409" w:type="pct"/>
                  <w:vMerge w:val="restart"/>
                  <w:vAlign w:val="center"/>
                </w:tcPr>
                <w:p w14:paraId="66CA1CB1">
                  <w:pPr>
                    <w:widowControl/>
                    <w:wordWrap w:val="0"/>
                    <w:adjustRightInd w:val="0"/>
                    <w:snapToGrid w:val="0"/>
                    <w:jc w:val="center"/>
                    <w:rPr>
                      <w:color w:val="FF0000"/>
                      <w:kern w:val="0"/>
                      <w:szCs w:val="21"/>
                      <w:lang w:bidi="en-US"/>
                    </w:rPr>
                  </w:pPr>
                  <w:r>
                    <w:rPr>
                      <w:color w:val="FF0000"/>
                      <w:kern w:val="0"/>
                      <w:szCs w:val="21"/>
                      <w:lang w:bidi="en-US"/>
                    </w:rPr>
                    <w:t>产生量（</w:t>
                  </w:r>
                  <w:r>
                    <w:rPr>
                      <w:rFonts w:hint="eastAsia"/>
                      <w:color w:val="FF0000"/>
                      <w:kern w:val="0"/>
                      <w:szCs w:val="21"/>
                      <w:lang w:bidi="en-US"/>
                    </w:rPr>
                    <w:t>t/a</w:t>
                  </w:r>
                  <w:r>
                    <w:rPr>
                      <w:color w:val="FF0000"/>
                      <w:kern w:val="0"/>
                      <w:szCs w:val="21"/>
                      <w:lang w:bidi="en-US"/>
                    </w:rPr>
                    <w:t>）</w:t>
                  </w:r>
                </w:p>
              </w:tc>
              <w:tc>
                <w:tcPr>
                  <w:tcW w:w="416" w:type="pct"/>
                  <w:vMerge w:val="restart"/>
                  <w:vAlign w:val="center"/>
                </w:tcPr>
                <w:p w14:paraId="72BB9CC5">
                  <w:pPr>
                    <w:widowControl/>
                    <w:wordWrap w:val="0"/>
                    <w:adjustRightInd w:val="0"/>
                    <w:snapToGrid w:val="0"/>
                    <w:jc w:val="center"/>
                    <w:rPr>
                      <w:color w:val="FF0000"/>
                      <w:kern w:val="0"/>
                      <w:szCs w:val="21"/>
                      <w:lang w:bidi="en-US"/>
                    </w:rPr>
                  </w:pPr>
                  <w:r>
                    <w:rPr>
                      <w:rFonts w:hint="eastAsia"/>
                      <w:color w:val="FF0000"/>
                      <w:kern w:val="0"/>
                      <w:szCs w:val="21"/>
                      <w:lang w:bidi="en-US"/>
                    </w:rPr>
                    <w:t>产生</w:t>
                  </w:r>
                  <w:r>
                    <w:rPr>
                      <w:color w:val="FF0000"/>
                      <w:kern w:val="0"/>
                      <w:szCs w:val="21"/>
                      <w:lang w:bidi="en-US"/>
                    </w:rPr>
                    <w:t>速率（kg/h）</w:t>
                  </w:r>
                </w:p>
              </w:tc>
              <w:tc>
                <w:tcPr>
                  <w:tcW w:w="413" w:type="pct"/>
                  <w:vMerge w:val="restart"/>
                  <w:vAlign w:val="center"/>
                </w:tcPr>
                <w:p w14:paraId="227A360B">
                  <w:pPr>
                    <w:widowControl/>
                    <w:wordWrap w:val="0"/>
                    <w:adjustRightInd w:val="0"/>
                    <w:snapToGrid w:val="0"/>
                    <w:jc w:val="center"/>
                    <w:rPr>
                      <w:color w:val="FF0000"/>
                      <w:kern w:val="0"/>
                      <w:szCs w:val="21"/>
                      <w:lang w:bidi="en-US"/>
                    </w:rPr>
                  </w:pPr>
                  <w:r>
                    <w:rPr>
                      <w:color w:val="FF0000"/>
                      <w:kern w:val="0"/>
                      <w:szCs w:val="21"/>
                      <w:lang w:bidi="en-US"/>
                    </w:rPr>
                    <w:t>产生浓度（mg/m</w:t>
                  </w:r>
                  <w:r>
                    <w:rPr>
                      <w:color w:val="FF0000"/>
                      <w:kern w:val="0"/>
                      <w:szCs w:val="21"/>
                      <w:vertAlign w:val="superscript"/>
                      <w:lang w:bidi="en-US"/>
                    </w:rPr>
                    <w:t>3</w:t>
                  </w:r>
                  <w:r>
                    <w:rPr>
                      <w:color w:val="FF0000"/>
                      <w:kern w:val="0"/>
                      <w:szCs w:val="21"/>
                      <w:lang w:bidi="en-US"/>
                    </w:rPr>
                    <w:t>）</w:t>
                  </w:r>
                </w:p>
              </w:tc>
              <w:tc>
                <w:tcPr>
                  <w:tcW w:w="308" w:type="pct"/>
                  <w:vMerge w:val="restart"/>
                  <w:vAlign w:val="center"/>
                </w:tcPr>
                <w:p w14:paraId="4577FCDE">
                  <w:pPr>
                    <w:widowControl/>
                    <w:wordWrap w:val="0"/>
                    <w:adjustRightInd w:val="0"/>
                    <w:snapToGrid w:val="0"/>
                    <w:jc w:val="center"/>
                    <w:rPr>
                      <w:color w:val="FF0000"/>
                      <w:kern w:val="0"/>
                      <w:szCs w:val="21"/>
                      <w:lang w:bidi="en-US"/>
                    </w:rPr>
                  </w:pPr>
                  <w:r>
                    <w:rPr>
                      <w:color w:val="FF0000"/>
                      <w:kern w:val="0"/>
                      <w:szCs w:val="21"/>
                      <w:lang w:bidi="en-US"/>
                    </w:rPr>
                    <w:t>排放形式</w:t>
                  </w:r>
                </w:p>
              </w:tc>
              <w:tc>
                <w:tcPr>
                  <w:tcW w:w="1544" w:type="pct"/>
                  <w:gridSpan w:val="3"/>
                  <w:vAlign w:val="center"/>
                </w:tcPr>
                <w:p w14:paraId="272CA552">
                  <w:pPr>
                    <w:widowControl/>
                    <w:wordWrap w:val="0"/>
                    <w:adjustRightInd w:val="0"/>
                    <w:snapToGrid w:val="0"/>
                    <w:jc w:val="center"/>
                    <w:rPr>
                      <w:color w:val="FF0000"/>
                      <w:kern w:val="0"/>
                      <w:szCs w:val="21"/>
                      <w:lang w:bidi="en-US"/>
                    </w:rPr>
                  </w:pPr>
                  <w:r>
                    <w:rPr>
                      <w:color w:val="FF0000"/>
                      <w:kern w:val="0"/>
                      <w:szCs w:val="21"/>
                      <w:lang w:bidi="en-US"/>
                    </w:rPr>
                    <w:t>收集治理设施</w:t>
                  </w:r>
                </w:p>
              </w:tc>
              <w:tc>
                <w:tcPr>
                  <w:tcW w:w="358" w:type="pct"/>
                  <w:vMerge w:val="restart"/>
                  <w:vAlign w:val="center"/>
                </w:tcPr>
                <w:p w14:paraId="76CEF801">
                  <w:pPr>
                    <w:widowControl/>
                    <w:wordWrap w:val="0"/>
                    <w:adjustRightInd w:val="0"/>
                    <w:snapToGrid w:val="0"/>
                    <w:jc w:val="center"/>
                    <w:rPr>
                      <w:color w:val="FF0000"/>
                      <w:kern w:val="0"/>
                      <w:szCs w:val="21"/>
                      <w:lang w:bidi="en-US"/>
                    </w:rPr>
                  </w:pPr>
                  <w:r>
                    <w:rPr>
                      <w:color w:val="FF0000"/>
                      <w:kern w:val="0"/>
                      <w:szCs w:val="21"/>
                      <w:lang w:bidi="en-US"/>
                    </w:rPr>
                    <w:t>排放量（</w:t>
                  </w:r>
                  <w:r>
                    <w:rPr>
                      <w:rFonts w:hint="eastAsia"/>
                      <w:color w:val="FF0000"/>
                      <w:kern w:val="0"/>
                      <w:szCs w:val="21"/>
                      <w:lang w:bidi="en-US"/>
                    </w:rPr>
                    <w:t>t</w:t>
                  </w:r>
                  <w:r>
                    <w:rPr>
                      <w:color w:val="FF0000"/>
                      <w:kern w:val="0"/>
                      <w:szCs w:val="21"/>
                      <w:lang w:bidi="en-US"/>
                    </w:rPr>
                    <w:t>/a）</w:t>
                  </w:r>
                </w:p>
              </w:tc>
              <w:tc>
                <w:tcPr>
                  <w:tcW w:w="430" w:type="pct"/>
                  <w:vMerge w:val="restart"/>
                  <w:vAlign w:val="center"/>
                </w:tcPr>
                <w:p w14:paraId="7D0D278F">
                  <w:pPr>
                    <w:widowControl/>
                    <w:wordWrap w:val="0"/>
                    <w:adjustRightInd w:val="0"/>
                    <w:snapToGrid w:val="0"/>
                    <w:jc w:val="center"/>
                    <w:rPr>
                      <w:color w:val="FF0000"/>
                      <w:kern w:val="0"/>
                      <w:szCs w:val="21"/>
                      <w:lang w:bidi="en-US"/>
                    </w:rPr>
                  </w:pPr>
                  <w:r>
                    <w:rPr>
                      <w:color w:val="FF0000"/>
                      <w:kern w:val="0"/>
                      <w:szCs w:val="21"/>
                      <w:lang w:bidi="en-US"/>
                    </w:rPr>
                    <w:t>排放速率（kg/h）</w:t>
                  </w:r>
                </w:p>
              </w:tc>
              <w:tc>
                <w:tcPr>
                  <w:tcW w:w="404" w:type="pct"/>
                  <w:vMerge w:val="restart"/>
                  <w:vAlign w:val="center"/>
                </w:tcPr>
                <w:p w14:paraId="7CB39A0C">
                  <w:pPr>
                    <w:widowControl/>
                    <w:wordWrap w:val="0"/>
                    <w:adjustRightInd w:val="0"/>
                    <w:snapToGrid w:val="0"/>
                    <w:jc w:val="center"/>
                    <w:rPr>
                      <w:color w:val="FF0000"/>
                      <w:kern w:val="0"/>
                      <w:szCs w:val="21"/>
                      <w:lang w:bidi="en-US"/>
                    </w:rPr>
                  </w:pPr>
                  <w:r>
                    <w:rPr>
                      <w:color w:val="FF0000"/>
                      <w:kern w:val="0"/>
                      <w:szCs w:val="21"/>
                      <w:lang w:bidi="en-US"/>
                    </w:rPr>
                    <w:t>排放浓度（mg/m</w:t>
                  </w:r>
                  <w:r>
                    <w:rPr>
                      <w:color w:val="FF0000"/>
                      <w:kern w:val="0"/>
                      <w:szCs w:val="21"/>
                      <w:vertAlign w:val="superscript"/>
                      <w:lang w:bidi="en-US"/>
                    </w:rPr>
                    <w:t>3</w:t>
                  </w:r>
                  <w:r>
                    <w:rPr>
                      <w:color w:val="FF0000"/>
                      <w:kern w:val="0"/>
                      <w:szCs w:val="21"/>
                      <w:lang w:bidi="en-US"/>
                    </w:rPr>
                    <w:t>）</w:t>
                  </w:r>
                </w:p>
              </w:tc>
            </w:tr>
            <w:tr w14:paraId="7BAB78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97" w:type="pct"/>
                  <w:vMerge w:val="continue"/>
                  <w:vAlign w:val="center"/>
                </w:tcPr>
                <w:p w14:paraId="09526E22">
                  <w:pPr>
                    <w:widowControl/>
                    <w:wordWrap w:val="0"/>
                    <w:adjustRightInd w:val="0"/>
                    <w:snapToGrid w:val="0"/>
                    <w:jc w:val="center"/>
                    <w:rPr>
                      <w:color w:val="FF0000"/>
                      <w:kern w:val="0"/>
                      <w:szCs w:val="21"/>
                      <w:lang w:bidi="en-US"/>
                    </w:rPr>
                  </w:pPr>
                </w:p>
              </w:tc>
              <w:tc>
                <w:tcPr>
                  <w:tcW w:w="416" w:type="pct"/>
                  <w:vMerge w:val="continue"/>
                  <w:vAlign w:val="center"/>
                </w:tcPr>
                <w:p w14:paraId="3A57BD8F">
                  <w:pPr>
                    <w:widowControl/>
                    <w:wordWrap w:val="0"/>
                    <w:adjustRightInd w:val="0"/>
                    <w:snapToGrid w:val="0"/>
                    <w:jc w:val="center"/>
                    <w:rPr>
                      <w:color w:val="FF0000"/>
                      <w:kern w:val="0"/>
                      <w:szCs w:val="21"/>
                      <w:lang w:bidi="en-US"/>
                    </w:rPr>
                  </w:pPr>
                </w:p>
              </w:tc>
              <w:tc>
                <w:tcPr>
                  <w:tcW w:w="409" w:type="pct"/>
                  <w:vMerge w:val="continue"/>
                  <w:vAlign w:val="center"/>
                </w:tcPr>
                <w:p w14:paraId="530FDB0F">
                  <w:pPr>
                    <w:widowControl/>
                    <w:wordWrap w:val="0"/>
                    <w:adjustRightInd w:val="0"/>
                    <w:snapToGrid w:val="0"/>
                    <w:jc w:val="center"/>
                    <w:rPr>
                      <w:color w:val="FF0000"/>
                      <w:kern w:val="0"/>
                      <w:szCs w:val="21"/>
                      <w:lang w:bidi="en-US"/>
                    </w:rPr>
                  </w:pPr>
                </w:p>
              </w:tc>
              <w:tc>
                <w:tcPr>
                  <w:tcW w:w="416" w:type="pct"/>
                  <w:vMerge w:val="continue"/>
                  <w:vAlign w:val="center"/>
                </w:tcPr>
                <w:p w14:paraId="2253AC90">
                  <w:pPr>
                    <w:widowControl/>
                    <w:wordWrap w:val="0"/>
                    <w:adjustRightInd w:val="0"/>
                    <w:snapToGrid w:val="0"/>
                    <w:jc w:val="center"/>
                    <w:rPr>
                      <w:color w:val="FF0000"/>
                      <w:kern w:val="0"/>
                      <w:szCs w:val="21"/>
                      <w:lang w:bidi="en-US"/>
                    </w:rPr>
                  </w:pPr>
                </w:p>
              </w:tc>
              <w:tc>
                <w:tcPr>
                  <w:tcW w:w="413" w:type="pct"/>
                  <w:vMerge w:val="continue"/>
                  <w:vAlign w:val="center"/>
                </w:tcPr>
                <w:p w14:paraId="7F0FC92E">
                  <w:pPr>
                    <w:widowControl/>
                    <w:wordWrap w:val="0"/>
                    <w:adjustRightInd w:val="0"/>
                    <w:snapToGrid w:val="0"/>
                    <w:jc w:val="center"/>
                    <w:rPr>
                      <w:color w:val="FF0000"/>
                      <w:kern w:val="0"/>
                      <w:szCs w:val="21"/>
                      <w:lang w:bidi="en-US"/>
                    </w:rPr>
                  </w:pPr>
                </w:p>
              </w:tc>
              <w:tc>
                <w:tcPr>
                  <w:tcW w:w="308" w:type="pct"/>
                  <w:vMerge w:val="continue"/>
                  <w:vAlign w:val="center"/>
                </w:tcPr>
                <w:p w14:paraId="1BA5E4BF">
                  <w:pPr>
                    <w:widowControl/>
                    <w:wordWrap w:val="0"/>
                    <w:adjustRightInd w:val="0"/>
                    <w:snapToGrid w:val="0"/>
                    <w:jc w:val="center"/>
                    <w:rPr>
                      <w:color w:val="FF0000"/>
                      <w:kern w:val="0"/>
                      <w:szCs w:val="21"/>
                      <w:lang w:bidi="en-US"/>
                    </w:rPr>
                  </w:pPr>
                </w:p>
              </w:tc>
              <w:tc>
                <w:tcPr>
                  <w:tcW w:w="723" w:type="pct"/>
                  <w:vAlign w:val="center"/>
                </w:tcPr>
                <w:p w14:paraId="464530C1">
                  <w:pPr>
                    <w:widowControl/>
                    <w:wordWrap w:val="0"/>
                    <w:adjustRightInd w:val="0"/>
                    <w:snapToGrid w:val="0"/>
                    <w:jc w:val="center"/>
                    <w:rPr>
                      <w:color w:val="FF0000"/>
                      <w:kern w:val="0"/>
                      <w:szCs w:val="21"/>
                      <w:lang w:bidi="en-US"/>
                    </w:rPr>
                  </w:pPr>
                  <w:r>
                    <w:rPr>
                      <w:color w:val="FF0000"/>
                      <w:kern w:val="0"/>
                      <w:szCs w:val="21"/>
                      <w:lang w:bidi="en-US"/>
                    </w:rPr>
                    <w:t>设施名称</w:t>
                  </w:r>
                </w:p>
              </w:tc>
              <w:tc>
                <w:tcPr>
                  <w:tcW w:w="271" w:type="pct"/>
                  <w:vAlign w:val="center"/>
                </w:tcPr>
                <w:p w14:paraId="676C2CE2">
                  <w:pPr>
                    <w:widowControl/>
                    <w:wordWrap w:val="0"/>
                    <w:adjustRightInd w:val="0"/>
                    <w:snapToGrid w:val="0"/>
                    <w:jc w:val="center"/>
                    <w:rPr>
                      <w:color w:val="FF0000"/>
                      <w:kern w:val="0"/>
                      <w:szCs w:val="21"/>
                      <w:lang w:bidi="en-US"/>
                    </w:rPr>
                  </w:pPr>
                  <w:r>
                    <w:rPr>
                      <w:color w:val="FF0000"/>
                      <w:kern w:val="0"/>
                      <w:szCs w:val="21"/>
                      <w:lang w:bidi="en-US"/>
                    </w:rPr>
                    <w:t>处理效率</w:t>
                  </w:r>
                </w:p>
              </w:tc>
              <w:tc>
                <w:tcPr>
                  <w:tcW w:w="549" w:type="pct"/>
                  <w:vAlign w:val="center"/>
                </w:tcPr>
                <w:p w14:paraId="3C02D2F6">
                  <w:pPr>
                    <w:widowControl/>
                    <w:wordWrap w:val="0"/>
                    <w:adjustRightInd w:val="0"/>
                    <w:snapToGrid w:val="0"/>
                    <w:jc w:val="center"/>
                    <w:rPr>
                      <w:color w:val="FF0000"/>
                      <w:kern w:val="0"/>
                      <w:szCs w:val="21"/>
                      <w:lang w:bidi="en-US"/>
                    </w:rPr>
                  </w:pPr>
                  <w:r>
                    <w:rPr>
                      <w:color w:val="FF0000"/>
                      <w:kern w:val="0"/>
                      <w:szCs w:val="21"/>
                      <w:lang w:bidi="en-US"/>
                    </w:rPr>
                    <w:t>是否为可行技术</w:t>
                  </w:r>
                </w:p>
              </w:tc>
              <w:tc>
                <w:tcPr>
                  <w:tcW w:w="358" w:type="pct"/>
                  <w:vMerge w:val="continue"/>
                  <w:vAlign w:val="center"/>
                </w:tcPr>
                <w:p w14:paraId="536400AE">
                  <w:pPr>
                    <w:widowControl/>
                    <w:wordWrap w:val="0"/>
                    <w:adjustRightInd w:val="0"/>
                    <w:snapToGrid w:val="0"/>
                    <w:jc w:val="center"/>
                    <w:rPr>
                      <w:color w:val="FF0000"/>
                      <w:kern w:val="0"/>
                      <w:szCs w:val="21"/>
                      <w:lang w:bidi="en-US"/>
                    </w:rPr>
                  </w:pPr>
                </w:p>
              </w:tc>
              <w:tc>
                <w:tcPr>
                  <w:tcW w:w="430" w:type="pct"/>
                  <w:vMerge w:val="continue"/>
                  <w:vAlign w:val="center"/>
                </w:tcPr>
                <w:p w14:paraId="3E7B00D5">
                  <w:pPr>
                    <w:widowControl/>
                    <w:wordWrap w:val="0"/>
                    <w:adjustRightInd w:val="0"/>
                    <w:snapToGrid w:val="0"/>
                    <w:jc w:val="center"/>
                    <w:rPr>
                      <w:color w:val="FF0000"/>
                      <w:kern w:val="0"/>
                      <w:szCs w:val="21"/>
                      <w:lang w:bidi="en-US"/>
                    </w:rPr>
                  </w:pPr>
                </w:p>
              </w:tc>
              <w:tc>
                <w:tcPr>
                  <w:tcW w:w="404" w:type="pct"/>
                  <w:vMerge w:val="continue"/>
                  <w:vAlign w:val="center"/>
                </w:tcPr>
                <w:p w14:paraId="0FDBBB41">
                  <w:pPr>
                    <w:widowControl/>
                    <w:wordWrap w:val="0"/>
                    <w:adjustRightInd w:val="0"/>
                    <w:snapToGrid w:val="0"/>
                    <w:jc w:val="center"/>
                    <w:rPr>
                      <w:color w:val="FF0000"/>
                      <w:kern w:val="0"/>
                      <w:szCs w:val="21"/>
                      <w:lang w:bidi="en-US"/>
                    </w:rPr>
                  </w:pPr>
                </w:p>
              </w:tc>
            </w:tr>
            <w:tr w14:paraId="37789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97" w:type="pct"/>
                  <w:vMerge w:val="restart"/>
                  <w:vAlign w:val="center"/>
                </w:tcPr>
                <w:p w14:paraId="7C2FBA62">
                  <w:pPr>
                    <w:widowControl/>
                    <w:wordWrap w:val="0"/>
                    <w:adjustRightInd w:val="0"/>
                    <w:snapToGrid w:val="0"/>
                    <w:jc w:val="center"/>
                    <w:rPr>
                      <w:color w:val="FF0000"/>
                      <w:szCs w:val="21"/>
                    </w:rPr>
                  </w:pPr>
                  <w:r>
                    <w:rPr>
                      <w:rFonts w:hint="eastAsia"/>
                      <w:color w:val="FF0000"/>
                      <w:szCs w:val="21"/>
                    </w:rPr>
                    <w:t>研发废气</w:t>
                  </w:r>
                </w:p>
              </w:tc>
              <w:tc>
                <w:tcPr>
                  <w:tcW w:w="416" w:type="pct"/>
                  <w:vAlign w:val="center"/>
                </w:tcPr>
                <w:p w14:paraId="4E0E2ABA">
                  <w:pPr>
                    <w:widowControl/>
                    <w:wordWrap w:val="0"/>
                    <w:adjustRightInd w:val="0"/>
                    <w:snapToGrid w:val="0"/>
                    <w:jc w:val="center"/>
                    <w:rPr>
                      <w:color w:val="FF0000"/>
                      <w:szCs w:val="21"/>
                    </w:rPr>
                  </w:pPr>
                  <w:r>
                    <w:rPr>
                      <w:rFonts w:hint="eastAsia"/>
                      <w:color w:val="FF0000"/>
                      <w:szCs w:val="21"/>
                    </w:rPr>
                    <w:t>非甲烷总烃</w:t>
                  </w:r>
                </w:p>
              </w:tc>
              <w:tc>
                <w:tcPr>
                  <w:tcW w:w="409" w:type="pct"/>
                  <w:vAlign w:val="center"/>
                </w:tcPr>
                <w:p w14:paraId="1089F56B">
                  <w:pPr>
                    <w:widowControl/>
                    <w:wordWrap w:val="0"/>
                    <w:adjustRightInd w:val="0"/>
                    <w:snapToGrid w:val="0"/>
                    <w:jc w:val="center"/>
                    <w:rPr>
                      <w:color w:val="FF0000"/>
                      <w:szCs w:val="21"/>
                    </w:rPr>
                  </w:pPr>
                  <w:r>
                    <w:rPr>
                      <w:rFonts w:hint="eastAsia"/>
                      <w:color w:val="FF0000"/>
                      <w:szCs w:val="21"/>
                    </w:rPr>
                    <w:t>0.09</w:t>
                  </w:r>
                  <w:r>
                    <w:rPr>
                      <w:rFonts w:hint="eastAsia"/>
                      <w:color w:val="FF0000"/>
                      <w:szCs w:val="21"/>
                      <w:lang w:val="en-US" w:eastAsia="zh-CN"/>
                    </w:rPr>
                    <w:t>7</w:t>
                  </w:r>
                  <w:r>
                    <w:rPr>
                      <w:rFonts w:hint="eastAsia"/>
                      <w:color w:val="FF0000"/>
                      <w:szCs w:val="21"/>
                    </w:rPr>
                    <w:t>1</w:t>
                  </w:r>
                </w:p>
              </w:tc>
              <w:tc>
                <w:tcPr>
                  <w:tcW w:w="416" w:type="pct"/>
                  <w:vAlign w:val="center"/>
                </w:tcPr>
                <w:p w14:paraId="1798C72A">
                  <w:pPr>
                    <w:widowControl/>
                    <w:wordWrap w:val="0"/>
                    <w:adjustRightInd w:val="0"/>
                    <w:snapToGrid w:val="0"/>
                    <w:jc w:val="center"/>
                    <w:rPr>
                      <w:rFonts w:hint="default" w:eastAsia="宋体"/>
                      <w:color w:val="FF0000"/>
                      <w:szCs w:val="21"/>
                      <w:lang w:val="en-US" w:eastAsia="zh-CN"/>
                    </w:rPr>
                  </w:pPr>
                  <w:r>
                    <w:rPr>
                      <w:rFonts w:hint="eastAsia"/>
                      <w:color w:val="FF0000"/>
                      <w:szCs w:val="21"/>
                    </w:rPr>
                    <w:t>0.0</w:t>
                  </w:r>
                  <w:r>
                    <w:rPr>
                      <w:rFonts w:hint="eastAsia"/>
                      <w:color w:val="FF0000"/>
                      <w:szCs w:val="21"/>
                      <w:lang w:val="en-US" w:eastAsia="zh-CN"/>
                    </w:rPr>
                    <w:t>809</w:t>
                  </w:r>
                </w:p>
              </w:tc>
              <w:tc>
                <w:tcPr>
                  <w:tcW w:w="413" w:type="pct"/>
                  <w:vAlign w:val="center"/>
                </w:tcPr>
                <w:p w14:paraId="5B1D6010">
                  <w:pPr>
                    <w:widowControl/>
                    <w:wordWrap w:val="0"/>
                    <w:adjustRightInd w:val="0"/>
                    <w:snapToGrid w:val="0"/>
                    <w:jc w:val="center"/>
                    <w:rPr>
                      <w:color w:val="FF0000"/>
                      <w:szCs w:val="21"/>
                    </w:rPr>
                  </w:pPr>
                  <w:r>
                    <w:rPr>
                      <w:rFonts w:hint="eastAsia"/>
                      <w:color w:val="FF0000"/>
                      <w:szCs w:val="21"/>
                      <w:lang w:val="en-US" w:eastAsia="zh-CN"/>
                    </w:rPr>
                    <w:t>9.222</w:t>
                  </w:r>
                  <w:r>
                    <w:rPr>
                      <w:rFonts w:hint="eastAsia"/>
                      <w:color w:val="FF0000"/>
                      <w:szCs w:val="21"/>
                    </w:rPr>
                    <w:t>4</w:t>
                  </w:r>
                </w:p>
              </w:tc>
              <w:tc>
                <w:tcPr>
                  <w:tcW w:w="308" w:type="pct"/>
                  <w:vAlign w:val="center"/>
                </w:tcPr>
                <w:p w14:paraId="10FB1C6F">
                  <w:pPr>
                    <w:widowControl/>
                    <w:wordWrap w:val="0"/>
                    <w:adjustRightInd w:val="0"/>
                    <w:snapToGrid w:val="0"/>
                    <w:jc w:val="center"/>
                    <w:rPr>
                      <w:color w:val="FF0000"/>
                      <w:szCs w:val="21"/>
                    </w:rPr>
                  </w:pPr>
                  <w:r>
                    <w:rPr>
                      <w:color w:val="FF0000"/>
                      <w:szCs w:val="21"/>
                    </w:rPr>
                    <w:t>有组织</w:t>
                  </w:r>
                </w:p>
              </w:tc>
              <w:tc>
                <w:tcPr>
                  <w:tcW w:w="723" w:type="pct"/>
                  <w:vAlign w:val="center"/>
                </w:tcPr>
                <w:p w14:paraId="040A360A">
                  <w:pPr>
                    <w:widowControl/>
                    <w:wordWrap w:val="0"/>
                    <w:adjustRightInd w:val="0"/>
                    <w:snapToGrid w:val="0"/>
                    <w:jc w:val="center"/>
                    <w:rPr>
                      <w:color w:val="FF0000"/>
                      <w:szCs w:val="21"/>
                    </w:rPr>
                  </w:pPr>
                  <w:r>
                    <w:rPr>
                      <w:color w:val="FF0000"/>
                      <w:szCs w:val="21"/>
                    </w:rPr>
                    <w:t>通风橱+活性炭吸附</w:t>
                  </w:r>
                  <w:r>
                    <w:rPr>
                      <w:rFonts w:hint="eastAsia"/>
                      <w:color w:val="FF0000"/>
                      <w:szCs w:val="21"/>
                    </w:rPr>
                    <w:t>装置+23m高DA001</w:t>
                  </w:r>
                  <w:r>
                    <w:rPr>
                      <w:color w:val="FF0000"/>
                      <w:szCs w:val="21"/>
                    </w:rPr>
                    <w:t>排气筒</w:t>
                  </w:r>
                </w:p>
              </w:tc>
              <w:tc>
                <w:tcPr>
                  <w:tcW w:w="271" w:type="pct"/>
                  <w:vAlign w:val="center"/>
                </w:tcPr>
                <w:p w14:paraId="6C23E8B2">
                  <w:pPr>
                    <w:widowControl/>
                    <w:wordWrap w:val="0"/>
                    <w:adjustRightInd w:val="0"/>
                    <w:snapToGrid w:val="0"/>
                    <w:jc w:val="center"/>
                    <w:rPr>
                      <w:color w:val="FF0000"/>
                      <w:szCs w:val="21"/>
                    </w:rPr>
                  </w:pPr>
                  <w:r>
                    <w:rPr>
                      <w:rFonts w:hint="eastAsia"/>
                      <w:color w:val="FF0000"/>
                      <w:szCs w:val="21"/>
                    </w:rPr>
                    <w:t>60%</w:t>
                  </w:r>
                </w:p>
              </w:tc>
              <w:tc>
                <w:tcPr>
                  <w:tcW w:w="549" w:type="pct"/>
                  <w:vAlign w:val="center"/>
                </w:tcPr>
                <w:p w14:paraId="38A2D925">
                  <w:pPr>
                    <w:widowControl/>
                    <w:wordWrap w:val="0"/>
                    <w:adjustRightInd w:val="0"/>
                    <w:snapToGrid w:val="0"/>
                    <w:jc w:val="center"/>
                    <w:rPr>
                      <w:color w:val="FF0000"/>
                      <w:szCs w:val="21"/>
                    </w:rPr>
                  </w:pPr>
                  <w:r>
                    <w:rPr>
                      <w:color w:val="FF0000"/>
                      <w:szCs w:val="21"/>
                    </w:rPr>
                    <w:t>是</w:t>
                  </w:r>
                </w:p>
              </w:tc>
              <w:tc>
                <w:tcPr>
                  <w:tcW w:w="358" w:type="pct"/>
                  <w:vAlign w:val="center"/>
                </w:tcPr>
                <w:p w14:paraId="5A712A3F">
                  <w:pPr>
                    <w:widowControl/>
                    <w:wordWrap w:val="0"/>
                    <w:adjustRightInd w:val="0"/>
                    <w:snapToGrid w:val="0"/>
                    <w:jc w:val="center"/>
                    <w:rPr>
                      <w:rFonts w:hint="default" w:eastAsia="宋体"/>
                      <w:color w:val="FF0000"/>
                      <w:szCs w:val="21"/>
                      <w:lang w:val="en-US" w:eastAsia="zh-CN"/>
                    </w:rPr>
                  </w:pPr>
                  <w:r>
                    <w:rPr>
                      <w:rFonts w:hint="eastAsia"/>
                      <w:color w:val="FF0000"/>
                      <w:szCs w:val="21"/>
                    </w:rPr>
                    <w:t>0.03</w:t>
                  </w:r>
                  <w:r>
                    <w:rPr>
                      <w:rFonts w:hint="eastAsia"/>
                      <w:color w:val="FF0000"/>
                      <w:szCs w:val="21"/>
                      <w:lang w:val="en-US" w:eastAsia="zh-CN"/>
                    </w:rPr>
                    <w:t>38</w:t>
                  </w:r>
                </w:p>
              </w:tc>
              <w:tc>
                <w:tcPr>
                  <w:tcW w:w="430" w:type="pct"/>
                  <w:vAlign w:val="center"/>
                </w:tcPr>
                <w:p w14:paraId="426E8981">
                  <w:pPr>
                    <w:widowControl/>
                    <w:wordWrap w:val="0"/>
                    <w:adjustRightInd w:val="0"/>
                    <w:snapToGrid w:val="0"/>
                    <w:jc w:val="center"/>
                    <w:rPr>
                      <w:rFonts w:hint="default" w:eastAsia="宋体"/>
                      <w:color w:val="FF0000"/>
                      <w:szCs w:val="21"/>
                      <w:lang w:val="en-US" w:eastAsia="zh-CN"/>
                    </w:rPr>
                  </w:pPr>
                  <w:r>
                    <w:rPr>
                      <w:rFonts w:hint="eastAsia"/>
                      <w:color w:val="FF0000"/>
                      <w:szCs w:val="21"/>
                    </w:rPr>
                    <w:t>0.03</w:t>
                  </w:r>
                  <w:r>
                    <w:rPr>
                      <w:rFonts w:hint="eastAsia"/>
                      <w:color w:val="FF0000"/>
                      <w:szCs w:val="21"/>
                      <w:lang w:val="en-US" w:eastAsia="zh-CN"/>
                    </w:rPr>
                    <w:t>24</w:t>
                  </w:r>
                </w:p>
              </w:tc>
              <w:tc>
                <w:tcPr>
                  <w:tcW w:w="404" w:type="pct"/>
                  <w:vAlign w:val="center"/>
                </w:tcPr>
                <w:p w14:paraId="259DF2CE">
                  <w:pPr>
                    <w:widowControl/>
                    <w:wordWrap w:val="0"/>
                    <w:adjustRightInd w:val="0"/>
                    <w:snapToGrid w:val="0"/>
                    <w:jc w:val="center"/>
                    <w:rPr>
                      <w:color w:val="FF0000"/>
                      <w:szCs w:val="21"/>
                    </w:rPr>
                  </w:pPr>
                  <w:r>
                    <w:rPr>
                      <w:rFonts w:hint="eastAsia"/>
                      <w:color w:val="FF0000"/>
                      <w:szCs w:val="21"/>
                    </w:rPr>
                    <w:t>3.</w:t>
                  </w:r>
                  <w:r>
                    <w:rPr>
                      <w:rFonts w:hint="eastAsia"/>
                      <w:color w:val="FF0000"/>
                      <w:szCs w:val="21"/>
                      <w:lang w:val="en-US" w:eastAsia="zh-CN"/>
                    </w:rPr>
                    <w:t>6890</w:t>
                  </w:r>
                </w:p>
              </w:tc>
            </w:tr>
            <w:tr w14:paraId="3C1529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0" w:hRule="atLeast"/>
                <w:jc w:val="center"/>
              </w:trPr>
              <w:tc>
                <w:tcPr>
                  <w:tcW w:w="297" w:type="pct"/>
                  <w:vMerge w:val="continue"/>
                  <w:vAlign w:val="center"/>
                </w:tcPr>
                <w:p w14:paraId="6A379F05">
                  <w:pPr>
                    <w:widowControl/>
                    <w:wordWrap w:val="0"/>
                    <w:adjustRightInd w:val="0"/>
                    <w:snapToGrid w:val="0"/>
                    <w:jc w:val="center"/>
                    <w:rPr>
                      <w:color w:val="FF0000"/>
                      <w:szCs w:val="21"/>
                    </w:rPr>
                  </w:pPr>
                </w:p>
              </w:tc>
              <w:tc>
                <w:tcPr>
                  <w:tcW w:w="416" w:type="pct"/>
                  <w:vAlign w:val="center"/>
                </w:tcPr>
                <w:p w14:paraId="3BBE2806">
                  <w:pPr>
                    <w:widowControl/>
                    <w:wordWrap w:val="0"/>
                    <w:adjustRightInd w:val="0"/>
                    <w:snapToGrid w:val="0"/>
                    <w:jc w:val="center"/>
                    <w:rPr>
                      <w:color w:val="FF0000"/>
                      <w:szCs w:val="21"/>
                    </w:rPr>
                  </w:pPr>
                  <w:r>
                    <w:rPr>
                      <w:rFonts w:hint="eastAsia"/>
                      <w:color w:val="FF0000"/>
                      <w:szCs w:val="21"/>
                    </w:rPr>
                    <w:t>非甲烷总烃</w:t>
                  </w:r>
                </w:p>
              </w:tc>
              <w:tc>
                <w:tcPr>
                  <w:tcW w:w="409" w:type="pct"/>
                  <w:shd w:val="clear" w:color="auto" w:fill="auto"/>
                  <w:vAlign w:val="center"/>
                </w:tcPr>
                <w:p w14:paraId="769AD9EB">
                  <w:pPr>
                    <w:widowControl/>
                    <w:wordWrap w:val="0"/>
                    <w:adjustRightInd w:val="0"/>
                    <w:snapToGrid w:val="0"/>
                    <w:jc w:val="center"/>
                    <w:rPr>
                      <w:rFonts w:hint="default" w:eastAsia="宋体"/>
                      <w:color w:val="FF0000"/>
                      <w:szCs w:val="21"/>
                      <w:lang w:val="en-US" w:eastAsia="zh-CN"/>
                    </w:rPr>
                  </w:pPr>
                  <w:r>
                    <w:rPr>
                      <w:rFonts w:hint="eastAsia"/>
                      <w:color w:val="FF0000"/>
                      <w:szCs w:val="21"/>
                    </w:rPr>
                    <w:t>0.00</w:t>
                  </w:r>
                  <w:r>
                    <w:rPr>
                      <w:rFonts w:hint="eastAsia"/>
                      <w:color w:val="FF0000"/>
                      <w:szCs w:val="21"/>
                      <w:lang w:val="en-US" w:eastAsia="zh-CN"/>
                    </w:rPr>
                    <w:t>51</w:t>
                  </w:r>
                </w:p>
              </w:tc>
              <w:tc>
                <w:tcPr>
                  <w:tcW w:w="416" w:type="pct"/>
                  <w:shd w:val="clear" w:color="auto" w:fill="auto"/>
                  <w:vAlign w:val="center"/>
                </w:tcPr>
                <w:p w14:paraId="7C2B23F2">
                  <w:pPr>
                    <w:widowControl/>
                    <w:wordWrap w:val="0"/>
                    <w:adjustRightInd w:val="0"/>
                    <w:snapToGrid w:val="0"/>
                    <w:jc w:val="center"/>
                    <w:rPr>
                      <w:rFonts w:hint="eastAsia" w:eastAsia="宋体"/>
                      <w:color w:val="FF0000"/>
                      <w:szCs w:val="21"/>
                      <w:lang w:eastAsia="zh-CN"/>
                    </w:rPr>
                  </w:pPr>
                  <w:r>
                    <w:rPr>
                      <w:rFonts w:hint="eastAsia"/>
                      <w:color w:val="FF0000"/>
                      <w:szCs w:val="21"/>
                    </w:rPr>
                    <w:t>0.004</w:t>
                  </w:r>
                  <w:r>
                    <w:rPr>
                      <w:rFonts w:hint="eastAsia"/>
                      <w:color w:val="FF0000"/>
                      <w:szCs w:val="21"/>
                      <w:lang w:val="en-US" w:eastAsia="zh-CN"/>
                    </w:rPr>
                    <w:t>3</w:t>
                  </w:r>
                </w:p>
              </w:tc>
              <w:tc>
                <w:tcPr>
                  <w:tcW w:w="413" w:type="pct"/>
                  <w:shd w:val="clear" w:color="auto" w:fill="auto"/>
                  <w:vAlign w:val="center"/>
                </w:tcPr>
                <w:p w14:paraId="1726D591">
                  <w:pPr>
                    <w:widowControl/>
                    <w:wordWrap w:val="0"/>
                    <w:adjustRightInd w:val="0"/>
                    <w:snapToGrid w:val="0"/>
                    <w:jc w:val="center"/>
                    <w:rPr>
                      <w:color w:val="FF0000"/>
                      <w:szCs w:val="21"/>
                    </w:rPr>
                  </w:pPr>
                  <w:r>
                    <w:rPr>
                      <w:rFonts w:hint="eastAsia"/>
                      <w:color w:val="FF0000"/>
                      <w:szCs w:val="21"/>
                    </w:rPr>
                    <w:t>/</w:t>
                  </w:r>
                </w:p>
              </w:tc>
              <w:tc>
                <w:tcPr>
                  <w:tcW w:w="308" w:type="pct"/>
                  <w:vAlign w:val="center"/>
                </w:tcPr>
                <w:p w14:paraId="3AAB7649">
                  <w:pPr>
                    <w:widowControl/>
                    <w:wordWrap w:val="0"/>
                    <w:adjustRightInd w:val="0"/>
                    <w:snapToGrid w:val="0"/>
                    <w:jc w:val="center"/>
                    <w:rPr>
                      <w:color w:val="FF0000"/>
                      <w:szCs w:val="21"/>
                    </w:rPr>
                  </w:pPr>
                  <w:r>
                    <w:rPr>
                      <w:rFonts w:hint="eastAsia"/>
                      <w:color w:val="FF0000"/>
                      <w:szCs w:val="21"/>
                    </w:rPr>
                    <w:t>无组织</w:t>
                  </w:r>
                </w:p>
              </w:tc>
              <w:tc>
                <w:tcPr>
                  <w:tcW w:w="723" w:type="pct"/>
                  <w:vAlign w:val="center"/>
                </w:tcPr>
                <w:p w14:paraId="6A7E2D14">
                  <w:pPr>
                    <w:widowControl/>
                    <w:wordWrap w:val="0"/>
                    <w:adjustRightInd w:val="0"/>
                    <w:snapToGrid w:val="0"/>
                    <w:jc w:val="center"/>
                    <w:rPr>
                      <w:color w:val="FF0000"/>
                      <w:szCs w:val="21"/>
                    </w:rPr>
                  </w:pPr>
                  <w:r>
                    <w:rPr>
                      <w:rFonts w:hint="eastAsia"/>
                      <w:color w:val="FF0000"/>
                      <w:szCs w:val="21"/>
                    </w:rPr>
                    <w:t>/</w:t>
                  </w:r>
                </w:p>
              </w:tc>
              <w:tc>
                <w:tcPr>
                  <w:tcW w:w="271" w:type="pct"/>
                  <w:shd w:val="clear" w:color="auto" w:fill="auto"/>
                  <w:vAlign w:val="center"/>
                </w:tcPr>
                <w:p w14:paraId="3AEC106C">
                  <w:pPr>
                    <w:widowControl/>
                    <w:wordWrap w:val="0"/>
                    <w:adjustRightInd w:val="0"/>
                    <w:snapToGrid w:val="0"/>
                    <w:jc w:val="center"/>
                    <w:rPr>
                      <w:color w:val="FF0000"/>
                      <w:szCs w:val="21"/>
                    </w:rPr>
                  </w:pPr>
                  <w:r>
                    <w:rPr>
                      <w:rFonts w:hint="eastAsia"/>
                      <w:color w:val="FF0000"/>
                      <w:szCs w:val="21"/>
                    </w:rPr>
                    <w:t>/</w:t>
                  </w:r>
                </w:p>
              </w:tc>
              <w:tc>
                <w:tcPr>
                  <w:tcW w:w="549" w:type="pct"/>
                  <w:shd w:val="clear" w:color="auto" w:fill="auto"/>
                  <w:vAlign w:val="center"/>
                </w:tcPr>
                <w:p w14:paraId="2781348F">
                  <w:pPr>
                    <w:widowControl/>
                    <w:wordWrap w:val="0"/>
                    <w:adjustRightInd w:val="0"/>
                    <w:snapToGrid w:val="0"/>
                    <w:jc w:val="center"/>
                    <w:rPr>
                      <w:color w:val="FF0000"/>
                      <w:szCs w:val="21"/>
                    </w:rPr>
                  </w:pPr>
                  <w:r>
                    <w:rPr>
                      <w:rFonts w:hint="eastAsia"/>
                      <w:color w:val="FF0000"/>
                      <w:szCs w:val="21"/>
                    </w:rPr>
                    <w:t>/</w:t>
                  </w:r>
                </w:p>
              </w:tc>
              <w:tc>
                <w:tcPr>
                  <w:tcW w:w="358" w:type="pct"/>
                  <w:vAlign w:val="center"/>
                </w:tcPr>
                <w:p w14:paraId="1CB0A399">
                  <w:pPr>
                    <w:widowControl/>
                    <w:wordWrap w:val="0"/>
                    <w:adjustRightInd w:val="0"/>
                    <w:snapToGrid w:val="0"/>
                    <w:jc w:val="center"/>
                    <w:rPr>
                      <w:color w:val="FF0000"/>
                      <w:szCs w:val="21"/>
                    </w:rPr>
                  </w:pPr>
                  <w:r>
                    <w:rPr>
                      <w:rFonts w:hint="eastAsia"/>
                      <w:color w:val="FF0000"/>
                      <w:szCs w:val="21"/>
                    </w:rPr>
                    <w:t>0.00</w:t>
                  </w:r>
                  <w:r>
                    <w:rPr>
                      <w:rFonts w:hint="eastAsia"/>
                      <w:color w:val="FF0000"/>
                      <w:szCs w:val="21"/>
                      <w:lang w:val="en-US" w:eastAsia="zh-CN"/>
                    </w:rPr>
                    <w:t>51</w:t>
                  </w:r>
                </w:p>
              </w:tc>
              <w:tc>
                <w:tcPr>
                  <w:tcW w:w="430" w:type="pct"/>
                  <w:vAlign w:val="center"/>
                </w:tcPr>
                <w:p w14:paraId="3A299C8C">
                  <w:pPr>
                    <w:widowControl/>
                    <w:wordWrap w:val="0"/>
                    <w:adjustRightInd w:val="0"/>
                    <w:snapToGrid w:val="0"/>
                    <w:jc w:val="center"/>
                    <w:rPr>
                      <w:color w:val="FF0000"/>
                      <w:szCs w:val="21"/>
                    </w:rPr>
                  </w:pPr>
                  <w:r>
                    <w:rPr>
                      <w:rFonts w:hint="eastAsia"/>
                      <w:color w:val="FF0000"/>
                      <w:szCs w:val="21"/>
                    </w:rPr>
                    <w:t>0.004</w:t>
                  </w:r>
                  <w:r>
                    <w:rPr>
                      <w:rFonts w:hint="eastAsia"/>
                      <w:color w:val="FF0000"/>
                      <w:szCs w:val="21"/>
                      <w:lang w:val="en-US" w:eastAsia="zh-CN"/>
                    </w:rPr>
                    <w:t>3</w:t>
                  </w:r>
                </w:p>
              </w:tc>
              <w:tc>
                <w:tcPr>
                  <w:tcW w:w="404" w:type="pct"/>
                  <w:vAlign w:val="center"/>
                </w:tcPr>
                <w:p w14:paraId="22978959">
                  <w:pPr>
                    <w:widowControl/>
                    <w:wordWrap w:val="0"/>
                    <w:adjustRightInd w:val="0"/>
                    <w:snapToGrid w:val="0"/>
                    <w:jc w:val="center"/>
                    <w:rPr>
                      <w:color w:val="FF0000"/>
                      <w:szCs w:val="21"/>
                    </w:rPr>
                  </w:pPr>
                  <w:r>
                    <w:rPr>
                      <w:rFonts w:hint="eastAsia"/>
                      <w:color w:val="FF0000"/>
                      <w:szCs w:val="21"/>
                    </w:rPr>
                    <w:t>/</w:t>
                  </w:r>
                </w:p>
              </w:tc>
            </w:tr>
          </w:tbl>
          <w:p w14:paraId="1BF02EE5">
            <w:pPr>
              <w:spacing w:line="360" w:lineRule="auto"/>
              <w:ind w:firstLine="480" w:firstLineChars="200"/>
              <w:rPr>
                <w:bCs/>
                <w:color w:val="auto"/>
                <w:sz w:val="24"/>
                <w:szCs w:val="22"/>
              </w:rPr>
            </w:pPr>
            <w:r>
              <w:rPr>
                <w:bCs/>
                <w:color w:val="auto"/>
                <w:kern w:val="0"/>
                <w:sz w:val="24"/>
                <w:lang w:bidi="en-US"/>
              </w:rPr>
              <w:t>（2）污染物源强核算依据</w:t>
            </w:r>
          </w:p>
          <w:p w14:paraId="6843C322">
            <w:pPr>
              <w:spacing w:line="360" w:lineRule="auto"/>
              <w:ind w:firstLine="480" w:firstLineChars="200"/>
              <w:contextualSpacing/>
              <w:rPr>
                <w:color w:val="auto"/>
                <w:sz w:val="24"/>
              </w:rPr>
            </w:pPr>
            <w:r>
              <w:rPr>
                <w:rFonts w:hint="eastAsia"/>
                <w:color w:val="auto"/>
                <w:sz w:val="24"/>
              </w:rPr>
              <w:t>1）有机废气（石油醚、乙酸乙酯、</w:t>
            </w:r>
            <w:r>
              <w:rPr>
                <w:rFonts w:hint="eastAsia"/>
                <w:color w:val="auto"/>
                <w:sz w:val="24"/>
                <w:lang w:val="en-US" w:eastAsia="zh-CN"/>
              </w:rPr>
              <w:t>甲醇、</w:t>
            </w:r>
            <w:r>
              <w:rPr>
                <w:rFonts w:hint="eastAsia"/>
                <w:color w:val="auto"/>
                <w:sz w:val="24"/>
              </w:rPr>
              <w:t>N,N-二甲基甲酰胺、四氢呋喃、乙醇、三乙胺</w:t>
            </w:r>
            <w:r>
              <w:rPr>
                <w:rFonts w:hint="eastAsia"/>
                <w:color w:val="auto"/>
                <w:sz w:val="24"/>
                <w:lang w:eastAsia="zh-CN"/>
              </w:rPr>
              <w:t>、N,N-二异丙基乙胺、吡咯酸乙酯</w:t>
            </w:r>
            <w:r>
              <w:rPr>
                <w:rFonts w:hint="eastAsia"/>
                <w:color w:val="auto"/>
                <w:sz w:val="24"/>
              </w:rPr>
              <w:t>）</w:t>
            </w:r>
          </w:p>
          <w:p w14:paraId="7FD1CBF5">
            <w:pPr>
              <w:spacing w:line="360" w:lineRule="auto"/>
              <w:ind w:firstLine="480" w:firstLineChars="200"/>
              <w:contextualSpacing/>
              <w:rPr>
                <w:color w:val="auto"/>
                <w:sz w:val="24"/>
              </w:rPr>
            </w:pPr>
            <w:r>
              <w:rPr>
                <w:color w:val="auto"/>
                <w:sz w:val="24"/>
              </w:rPr>
              <w:t>本项目有机废气主要来源于</w:t>
            </w:r>
            <w:r>
              <w:rPr>
                <w:rFonts w:hint="eastAsia"/>
                <w:color w:val="auto"/>
                <w:sz w:val="24"/>
              </w:rPr>
              <w:t>研发试验</w:t>
            </w:r>
            <w:r>
              <w:rPr>
                <w:color w:val="auto"/>
                <w:sz w:val="24"/>
              </w:rPr>
              <w:t>过程</w:t>
            </w:r>
            <w:r>
              <w:rPr>
                <w:rFonts w:hint="eastAsia"/>
                <w:color w:val="auto"/>
                <w:sz w:val="24"/>
              </w:rPr>
              <w:t>及</w:t>
            </w:r>
            <w:r>
              <w:rPr>
                <w:rFonts w:hint="eastAsia"/>
                <w:color w:val="auto"/>
                <w:sz w:val="24"/>
                <w:lang w:eastAsia="zh-CN"/>
              </w:rPr>
              <w:t>危废贮存库</w:t>
            </w:r>
            <w:r>
              <w:rPr>
                <w:rFonts w:hint="eastAsia"/>
                <w:color w:val="auto"/>
                <w:sz w:val="24"/>
              </w:rPr>
              <w:t>实验废液</w:t>
            </w:r>
            <w:r>
              <w:rPr>
                <w:color w:val="auto"/>
                <w:sz w:val="24"/>
              </w:rPr>
              <w:t>中有机溶剂的挥发，有机溶剂主要包括</w:t>
            </w:r>
            <w:r>
              <w:rPr>
                <w:rFonts w:hint="eastAsia"/>
                <w:color w:val="auto"/>
                <w:sz w:val="24"/>
              </w:rPr>
              <w:t>石油醚、乙酸乙酯、</w:t>
            </w:r>
            <w:r>
              <w:rPr>
                <w:rFonts w:hint="eastAsia"/>
                <w:color w:val="auto"/>
                <w:sz w:val="24"/>
                <w:lang w:val="en-US" w:eastAsia="zh-CN"/>
              </w:rPr>
              <w:t>甲醇、</w:t>
            </w:r>
            <w:r>
              <w:rPr>
                <w:rFonts w:hint="eastAsia"/>
                <w:color w:val="auto"/>
                <w:sz w:val="24"/>
              </w:rPr>
              <w:t>N,N-二甲基甲酰胺、四氢呋喃、乙醇、三乙胺</w:t>
            </w:r>
            <w:r>
              <w:rPr>
                <w:rFonts w:hint="eastAsia"/>
                <w:color w:val="auto"/>
                <w:sz w:val="24"/>
                <w:lang w:eastAsia="zh-CN"/>
              </w:rPr>
              <w:t>、N,N-二异丙基乙胺、吡咯酸乙酯</w:t>
            </w:r>
            <w:r>
              <w:rPr>
                <w:color w:val="auto"/>
                <w:sz w:val="24"/>
              </w:rPr>
              <w:t>，</w:t>
            </w:r>
            <w:r>
              <w:rPr>
                <w:rFonts w:hint="eastAsia"/>
                <w:color w:val="auto"/>
                <w:sz w:val="24"/>
              </w:rPr>
              <w:t>参照《空气污染物排放和控制</w:t>
            </w:r>
            <w:r>
              <w:rPr>
                <w:rFonts w:ascii="宋体" w:hAnsi="宋体" w:cs="宋体"/>
                <w:color w:val="auto"/>
                <w:sz w:val="24"/>
              </w:rPr>
              <w:t>手册工业污染源调查与研究第二辑</w:t>
            </w:r>
            <w:r>
              <w:rPr>
                <w:rFonts w:hint="eastAsia"/>
                <w:color w:val="auto"/>
                <w:sz w:val="24"/>
              </w:rPr>
              <w:t>》（美国环境保护局编）中表5-29可知，各有机试剂挥发比例如下，则项目实验过程中有机废气产生量如下表。</w:t>
            </w:r>
          </w:p>
          <w:p w14:paraId="3E5B3795">
            <w:pPr>
              <w:contextualSpacing/>
              <w:jc w:val="center"/>
              <w:rPr>
                <w:b/>
                <w:bCs/>
                <w:color w:val="auto"/>
                <w:szCs w:val="21"/>
              </w:rPr>
            </w:pPr>
            <w:r>
              <w:rPr>
                <w:rFonts w:hint="eastAsia"/>
                <w:b/>
                <w:bCs/>
                <w:color w:val="auto"/>
                <w:szCs w:val="21"/>
              </w:rPr>
              <w:t>表4-2   本项目VOCs废气产生情况一览表</w:t>
            </w:r>
          </w:p>
          <w:tbl>
            <w:tblPr>
              <w:tblStyle w:val="19"/>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560"/>
              <w:gridCol w:w="1377"/>
              <w:gridCol w:w="1049"/>
              <w:gridCol w:w="1362"/>
              <w:gridCol w:w="1020"/>
              <w:gridCol w:w="1195"/>
            </w:tblGrid>
            <w:tr w14:paraId="65D4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47CB433">
                  <w:pPr>
                    <w:contextualSpacing/>
                    <w:jc w:val="center"/>
                    <w:rPr>
                      <w:color w:val="auto"/>
                      <w:szCs w:val="21"/>
                    </w:rPr>
                  </w:pPr>
                  <w:r>
                    <w:rPr>
                      <w:rFonts w:hint="eastAsia"/>
                      <w:color w:val="auto"/>
                      <w:szCs w:val="21"/>
                    </w:rPr>
                    <w:t>序号</w:t>
                  </w:r>
                </w:p>
              </w:tc>
              <w:tc>
                <w:tcPr>
                  <w:tcW w:w="1560" w:type="dxa"/>
                  <w:vAlign w:val="center"/>
                </w:tcPr>
                <w:p w14:paraId="31B02ADA">
                  <w:pPr>
                    <w:contextualSpacing/>
                    <w:jc w:val="center"/>
                    <w:rPr>
                      <w:color w:val="auto"/>
                      <w:szCs w:val="21"/>
                    </w:rPr>
                  </w:pPr>
                  <w:r>
                    <w:rPr>
                      <w:rFonts w:hint="eastAsia"/>
                      <w:color w:val="auto"/>
                      <w:szCs w:val="21"/>
                    </w:rPr>
                    <w:t>名称</w:t>
                  </w:r>
                </w:p>
              </w:tc>
              <w:tc>
                <w:tcPr>
                  <w:tcW w:w="1377" w:type="dxa"/>
                  <w:vAlign w:val="center"/>
                </w:tcPr>
                <w:p w14:paraId="6A0106CB">
                  <w:pPr>
                    <w:contextualSpacing/>
                    <w:jc w:val="center"/>
                    <w:rPr>
                      <w:color w:val="auto"/>
                      <w:szCs w:val="21"/>
                    </w:rPr>
                  </w:pPr>
                  <w:r>
                    <w:rPr>
                      <w:rFonts w:hint="eastAsia"/>
                      <w:color w:val="auto"/>
                      <w:szCs w:val="21"/>
                    </w:rPr>
                    <w:t>使用量（t/a）</w:t>
                  </w:r>
                </w:p>
              </w:tc>
              <w:tc>
                <w:tcPr>
                  <w:tcW w:w="1049" w:type="dxa"/>
                  <w:vAlign w:val="center"/>
                </w:tcPr>
                <w:p w14:paraId="2C8C7809">
                  <w:pPr>
                    <w:contextualSpacing/>
                    <w:jc w:val="center"/>
                    <w:rPr>
                      <w:color w:val="auto"/>
                      <w:szCs w:val="21"/>
                    </w:rPr>
                  </w:pPr>
                  <w:r>
                    <w:rPr>
                      <w:rFonts w:hint="eastAsia"/>
                      <w:color w:val="auto"/>
                      <w:szCs w:val="21"/>
                    </w:rPr>
                    <w:t>产污系数（%）</w:t>
                  </w:r>
                </w:p>
              </w:tc>
              <w:tc>
                <w:tcPr>
                  <w:tcW w:w="1362" w:type="dxa"/>
                </w:tcPr>
                <w:p w14:paraId="45DA3950">
                  <w:pPr>
                    <w:contextualSpacing/>
                    <w:jc w:val="center"/>
                    <w:rPr>
                      <w:color w:val="auto"/>
                      <w:szCs w:val="21"/>
                    </w:rPr>
                  </w:pPr>
                  <w:r>
                    <w:rPr>
                      <w:rFonts w:hint="eastAsia"/>
                      <w:color w:val="auto"/>
                      <w:szCs w:val="21"/>
                    </w:rPr>
                    <w:t>VOCs产生量（kg/a）</w:t>
                  </w:r>
                </w:p>
              </w:tc>
              <w:tc>
                <w:tcPr>
                  <w:tcW w:w="1020" w:type="dxa"/>
                </w:tcPr>
                <w:p w14:paraId="30ABA9A4">
                  <w:pPr>
                    <w:contextualSpacing/>
                    <w:jc w:val="center"/>
                    <w:rPr>
                      <w:color w:val="auto"/>
                      <w:szCs w:val="21"/>
                    </w:rPr>
                  </w:pPr>
                  <w:r>
                    <w:rPr>
                      <w:rFonts w:hint="eastAsia"/>
                      <w:color w:val="auto"/>
                      <w:szCs w:val="21"/>
                    </w:rPr>
                    <w:t>产生速率（kg/h）</w:t>
                  </w:r>
                </w:p>
              </w:tc>
              <w:tc>
                <w:tcPr>
                  <w:tcW w:w="1195" w:type="dxa"/>
                </w:tcPr>
                <w:p w14:paraId="24D689DF">
                  <w:pPr>
                    <w:contextualSpacing/>
                    <w:jc w:val="center"/>
                    <w:rPr>
                      <w:color w:val="auto"/>
                      <w:szCs w:val="21"/>
                    </w:rPr>
                  </w:pPr>
                  <w:r>
                    <w:rPr>
                      <w:rFonts w:hint="eastAsia"/>
                      <w:color w:val="auto"/>
                      <w:szCs w:val="21"/>
                    </w:rPr>
                    <w:t>产生浓度（mg/m</w:t>
                  </w:r>
                  <w:r>
                    <w:rPr>
                      <w:rFonts w:hint="eastAsia"/>
                      <w:color w:val="auto"/>
                      <w:szCs w:val="21"/>
                      <w:vertAlign w:val="superscript"/>
                    </w:rPr>
                    <w:t>3</w:t>
                  </w:r>
                  <w:r>
                    <w:rPr>
                      <w:rFonts w:hint="eastAsia"/>
                      <w:color w:val="auto"/>
                      <w:szCs w:val="21"/>
                    </w:rPr>
                    <w:t>）</w:t>
                  </w:r>
                </w:p>
              </w:tc>
            </w:tr>
            <w:tr w14:paraId="0919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14:paraId="789C16E7">
                  <w:pPr>
                    <w:contextualSpacing/>
                    <w:jc w:val="center"/>
                    <w:rPr>
                      <w:color w:val="auto"/>
                      <w:szCs w:val="21"/>
                    </w:rPr>
                  </w:pPr>
                  <w:r>
                    <w:rPr>
                      <w:rFonts w:hint="eastAsia"/>
                      <w:color w:val="auto"/>
                      <w:szCs w:val="21"/>
                    </w:rPr>
                    <w:t>1</w:t>
                  </w:r>
                </w:p>
              </w:tc>
              <w:tc>
                <w:tcPr>
                  <w:tcW w:w="1560" w:type="dxa"/>
                </w:tcPr>
                <w:p w14:paraId="3F9685DB">
                  <w:pPr>
                    <w:contextualSpacing/>
                    <w:jc w:val="center"/>
                    <w:rPr>
                      <w:color w:val="auto"/>
                      <w:szCs w:val="21"/>
                    </w:rPr>
                  </w:pPr>
                  <w:r>
                    <w:rPr>
                      <w:rFonts w:hint="eastAsia"/>
                      <w:color w:val="auto"/>
                      <w:szCs w:val="21"/>
                    </w:rPr>
                    <w:t>石油醚</w:t>
                  </w:r>
                </w:p>
              </w:tc>
              <w:tc>
                <w:tcPr>
                  <w:tcW w:w="1377" w:type="dxa"/>
                </w:tcPr>
                <w:p w14:paraId="0E049364">
                  <w:pPr>
                    <w:contextualSpacing/>
                    <w:jc w:val="center"/>
                    <w:rPr>
                      <w:color w:val="auto"/>
                      <w:szCs w:val="21"/>
                    </w:rPr>
                  </w:pPr>
                  <w:r>
                    <w:rPr>
                      <w:rFonts w:hint="eastAsia"/>
                      <w:color w:val="auto"/>
                      <w:szCs w:val="21"/>
                    </w:rPr>
                    <w:t>0.2</w:t>
                  </w:r>
                </w:p>
              </w:tc>
              <w:tc>
                <w:tcPr>
                  <w:tcW w:w="1049" w:type="dxa"/>
                </w:tcPr>
                <w:p w14:paraId="084E9402">
                  <w:pPr>
                    <w:contextualSpacing/>
                    <w:jc w:val="center"/>
                    <w:rPr>
                      <w:color w:val="auto"/>
                      <w:szCs w:val="21"/>
                    </w:rPr>
                  </w:pPr>
                  <w:r>
                    <w:rPr>
                      <w:rFonts w:hint="eastAsia"/>
                      <w:color w:val="auto"/>
                      <w:szCs w:val="21"/>
                    </w:rPr>
                    <w:t>10*</w:t>
                  </w:r>
                </w:p>
              </w:tc>
              <w:tc>
                <w:tcPr>
                  <w:tcW w:w="1362" w:type="dxa"/>
                  <w:vAlign w:val="center"/>
                </w:tcPr>
                <w:p w14:paraId="5851C9B5">
                  <w:pPr>
                    <w:widowControl/>
                    <w:jc w:val="center"/>
                    <w:textAlignment w:val="center"/>
                    <w:rPr>
                      <w:color w:val="auto"/>
                      <w:szCs w:val="21"/>
                    </w:rPr>
                  </w:pPr>
                  <w:r>
                    <w:rPr>
                      <w:rFonts w:hint="eastAsia"/>
                      <w:color w:val="auto"/>
                      <w:kern w:val="0"/>
                      <w:sz w:val="22"/>
                      <w:szCs w:val="22"/>
                      <w:lang w:bidi="ar"/>
                    </w:rPr>
                    <w:t>20</w:t>
                  </w:r>
                </w:p>
              </w:tc>
              <w:tc>
                <w:tcPr>
                  <w:tcW w:w="1020" w:type="dxa"/>
                  <w:vAlign w:val="center"/>
                </w:tcPr>
                <w:p w14:paraId="0B724195">
                  <w:pPr>
                    <w:widowControl/>
                    <w:jc w:val="center"/>
                    <w:textAlignment w:val="center"/>
                    <w:rPr>
                      <w:color w:val="auto"/>
                      <w:kern w:val="0"/>
                      <w:szCs w:val="21"/>
                      <w:lang w:bidi="ar"/>
                    </w:rPr>
                  </w:pPr>
                  <w:r>
                    <w:rPr>
                      <w:color w:val="auto"/>
                      <w:kern w:val="0"/>
                      <w:szCs w:val="21"/>
                      <w:lang w:bidi="ar"/>
                    </w:rPr>
                    <w:t>0.017</w:t>
                  </w:r>
                </w:p>
              </w:tc>
              <w:tc>
                <w:tcPr>
                  <w:tcW w:w="1195" w:type="dxa"/>
                  <w:vAlign w:val="center"/>
                </w:tcPr>
                <w:p w14:paraId="3FDC2566">
                  <w:pPr>
                    <w:widowControl/>
                    <w:jc w:val="center"/>
                    <w:textAlignment w:val="center"/>
                    <w:rPr>
                      <w:color w:val="auto"/>
                      <w:kern w:val="0"/>
                      <w:szCs w:val="21"/>
                      <w:lang w:bidi="ar"/>
                    </w:rPr>
                  </w:pPr>
                  <w:r>
                    <w:rPr>
                      <w:color w:val="auto"/>
                      <w:kern w:val="0"/>
                      <w:szCs w:val="21"/>
                      <w:lang w:bidi="ar"/>
                    </w:rPr>
                    <w:t>1.900</w:t>
                  </w:r>
                </w:p>
              </w:tc>
            </w:tr>
            <w:tr w14:paraId="605D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14:paraId="07EE6976">
                  <w:pPr>
                    <w:contextualSpacing/>
                    <w:jc w:val="center"/>
                    <w:rPr>
                      <w:color w:val="auto"/>
                      <w:szCs w:val="21"/>
                    </w:rPr>
                  </w:pPr>
                  <w:r>
                    <w:rPr>
                      <w:rFonts w:hint="eastAsia"/>
                      <w:color w:val="auto"/>
                      <w:szCs w:val="21"/>
                    </w:rPr>
                    <w:t>2</w:t>
                  </w:r>
                </w:p>
              </w:tc>
              <w:tc>
                <w:tcPr>
                  <w:tcW w:w="1560" w:type="dxa"/>
                </w:tcPr>
                <w:p w14:paraId="109A2B33">
                  <w:pPr>
                    <w:contextualSpacing/>
                    <w:jc w:val="center"/>
                    <w:rPr>
                      <w:color w:val="auto"/>
                      <w:szCs w:val="21"/>
                    </w:rPr>
                  </w:pPr>
                  <w:r>
                    <w:rPr>
                      <w:rFonts w:hint="eastAsia"/>
                      <w:color w:val="auto"/>
                      <w:szCs w:val="21"/>
                    </w:rPr>
                    <w:t>乙酸乙酯</w:t>
                  </w:r>
                </w:p>
              </w:tc>
              <w:tc>
                <w:tcPr>
                  <w:tcW w:w="1377" w:type="dxa"/>
                </w:tcPr>
                <w:p w14:paraId="34C713B0">
                  <w:pPr>
                    <w:contextualSpacing/>
                    <w:jc w:val="center"/>
                    <w:rPr>
                      <w:color w:val="auto"/>
                      <w:szCs w:val="21"/>
                    </w:rPr>
                  </w:pPr>
                  <w:r>
                    <w:rPr>
                      <w:rFonts w:hint="eastAsia"/>
                      <w:color w:val="auto"/>
                      <w:szCs w:val="21"/>
                    </w:rPr>
                    <w:t>0.1</w:t>
                  </w:r>
                </w:p>
              </w:tc>
              <w:tc>
                <w:tcPr>
                  <w:tcW w:w="1049" w:type="dxa"/>
                </w:tcPr>
                <w:p w14:paraId="348736F3">
                  <w:pPr>
                    <w:contextualSpacing/>
                    <w:jc w:val="center"/>
                    <w:rPr>
                      <w:color w:val="auto"/>
                      <w:szCs w:val="21"/>
                    </w:rPr>
                  </w:pPr>
                  <w:r>
                    <w:rPr>
                      <w:rFonts w:hint="eastAsia"/>
                      <w:color w:val="auto"/>
                      <w:szCs w:val="21"/>
                    </w:rPr>
                    <w:t>30</w:t>
                  </w:r>
                </w:p>
              </w:tc>
              <w:tc>
                <w:tcPr>
                  <w:tcW w:w="1362" w:type="dxa"/>
                  <w:vAlign w:val="center"/>
                </w:tcPr>
                <w:p w14:paraId="4FD778B1">
                  <w:pPr>
                    <w:widowControl/>
                    <w:jc w:val="center"/>
                    <w:textAlignment w:val="center"/>
                    <w:rPr>
                      <w:color w:val="auto"/>
                      <w:szCs w:val="21"/>
                    </w:rPr>
                  </w:pPr>
                  <w:r>
                    <w:rPr>
                      <w:rFonts w:hint="eastAsia"/>
                      <w:color w:val="auto"/>
                      <w:kern w:val="0"/>
                      <w:sz w:val="22"/>
                      <w:szCs w:val="22"/>
                      <w:lang w:bidi="ar"/>
                    </w:rPr>
                    <w:t>30</w:t>
                  </w:r>
                </w:p>
              </w:tc>
              <w:tc>
                <w:tcPr>
                  <w:tcW w:w="1020" w:type="dxa"/>
                  <w:vAlign w:val="center"/>
                </w:tcPr>
                <w:p w14:paraId="110D2E3C">
                  <w:pPr>
                    <w:widowControl/>
                    <w:jc w:val="center"/>
                    <w:textAlignment w:val="center"/>
                    <w:rPr>
                      <w:color w:val="auto"/>
                      <w:kern w:val="0"/>
                      <w:szCs w:val="21"/>
                      <w:lang w:bidi="ar"/>
                    </w:rPr>
                  </w:pPr>
                  <w:r>
                    <w:rPr>
                      <w:color w:val="auto"/>
                      <w:kern w:val="0"/>
                      <w:szCs w:val="21"/>
                      <w:lang w:bidi="ar"/>
                    </w:rPr>
                    <w:t>0.025</w:t>
                  </w:r>
                </w:p>
              </w:tc>
              <w:tc>
                <w:tcPr>
                  <w:tcW w:w="1195" w:type="dxa"/>
                  <w:vAlign w:val="center"/>
                </w:tcPr>
                <w:p w14:paraId="5AA25413">
                  <w:pPr>
                    <w:widowControl/>
                    <w:jc w:val="center"/>
                    <w:textAlignment w:val="center"/>
                    <w:rPr>
                      <w:color w:val="auto"/>
                      <w:kern w:val="0"/>
                      <w:szCs w:val="21"/>
                      <w:lang w:bidi="ar"/>
                    </w:rPr>
                  </w:pPr>
                  <w:r>
                    <w:rPr>
                      <w:color w:val="auto"/>
                      <w:kern w:val="0"/>
                      <w:szCs w:val="21"/>
                      <w:lang w:bidi="ar"/>
                    </w:rPr>
                    <w:t>2.850</w:t>
                  </w:r>
                </w:p>
              </w:tc>
            </w:tr>
            <w:tr w14:paraId="5C08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14:paraId="66F201BB">
                  <w:pPr>
                    <w:contextualSpacing/>
                    <w:jc w:val="center"/>
                    <w:rPr>
                      <w:color w:val="auto"/>
                      <w:szCs w:val="21"/>
                    </w:rPr>
                  </w:pPr>
                  <w:r>
                    <w:rPr>
                      <w:rFonts w:hint="eastAsia"/>
                      <w:color w:val="auto"/>
                      <w:szCs w:val="21"/>
                    </w:rPr>
                    <w:t>3</w:t>
                  </w:r>
                </w:p>
              </w:tc>
              <w:tc>
                <w:tcPr>
                  <w:tcW w:w="1560" w:type="dxa"/>
                </w:tcPr>
                <w:p w14:paraId="624D0F78">
                  <w:pPr>
                    <w:contextualSpacing/>
                    <w:jc w:val="center"/>
                    <w:rPr>
                      <w:color w:val="auto"/>
                      <w:szCs w:val="21"/>
                    </w:rPr>
                  </w:pPr>
                  <w:r>
                    <w:rPr>
                      <w:rFonts w:hint="eastAsia"/>
                      <w:color w:val="auto"/>
                      <w:szCs w:val="21"/>
                    </w:rPr>
                    <w:t>甲醇</w:t>
                  </w:r>
                </w:p>
              </w:tc>
              <w:tc>
                <w:tcPr>
                  <w:tcW w:w="1377" w:type="dxa"/>
                </w:tcPr>
                <w:p w14:paraId="38E9D042">
                  <w:pPr>
                    <w:contextualSpacing/>
                    <w:jc w:val="center"/>
                    <w:rPr>
                      <w:color w:val="auto"/>
                      <w:szCs w:val="21"/>
                    </w:rPr>
                  </w:pPr>
                  <w:r>
                    <w:rPr>
                      <w:rFonts w:hint="eastAsia"/>
                      <w:color w:val="auto"/>
                      <w:szCs w:val="21"/>
                    </w:rPr>
                    <w:t>0.1</w:t>
                  </w:r>
                </w:p>
              </w:tc>
              <w:tc>
                <w:tcPr>
                  <w:tcW w:w="1049" w:type="dxa"/>
                </w:tcPr>
                <w:p w14:paraId="5EEDF2ED">
                  <w:pPr>
                    <w:contextualSpacing/>
                    <w:jc w:val="center"/>
                    <w:rPr>
                      <w:color w:val="auto"/>
                      <w:szCs w:val="21"/>
                    </w:rPr>
                  </w:pPr>
                  <w:r>
                    <w:rPr>
                      <w:rFonts w:hint="eastAsia"/>
                      <w:color w:val="auto"/>
                      <w:szCs w:val="21"/>
                    </w:rPr>
                    <w:t>31</w:t>
                  </w:r>
                </w:p>
              </w:tc>
              <w:tc>
                <w:tcPr>
                  <w:tcW w:w="1362" w:type="dxa"/>
                  <w:vAlign w:val="center"/>
                </w:tcPr>
                <w:p w14:paraId="736EE20E">
                  <w:pPr>
                    <w:widowControl/>
                    <w:jc w:val="center"/>
                    <w:textAlignment w:val="center"/>
                    <w:rPr>
                      <w:color w:val="auto"/>
                      <w:szCs w:val="21"/>
                    </w:rPr>
                  </w:pPr>
                  <w:r>
                    <w:rPr>
                      <w:color w:val="auto"/>
                      <w:kern w:val="0"/>
                      <w:sz w:val="22"/>
                      <w:szCs w:val="22"/>
                      <w:lang w:bidi="ar"/>
                    </w:rPr>
                    <w:t>31</w:t>
                  </w:r>
                </w:p>
              </w:tc>
              <w:tc>
                <w:tcPr>
                  <w:tcW w:w="1020" w:type="dxa"/>
                  <w:vAlign w:val="center"/>
                </w:tcPr>
                <w:p w14:paraId="4DC49AA0">
                  <w:pPr>
                    <w:widowControl/>
                    <w:jc w:val="center"/>
                    <w:textAlignment w:val="center"/>
                    <w:rPr>
                      <w:color w:val="auto"/>
                      <w:kern w:val="0"/>
                      <w:szCs w:val="21"/>
                      <w:lang w:bidi="ar"/>
                    </w:rPr>
                  </w:pPr>
                  <w:r>
                    <w:rPr>
                      <w:color w:val="auto"/>
                      <w:kern w:val="0"/>
                      <w:szCs w:val="21"/>
                      <w:lang w:bidi="ar"/>
                    </w:rPr>
                    <w:t>0.026</w:t>
                  </w:r>
                </w:p>
              </w:tc>
              <w:tc>
                <w:tcPr>
                  <w:tcW w:w="1195" w:type="dxa"/>
                  <w:vAlign w:val="center"/>
                </w:tcPr>
                <w:p w14:paraId="4B9E6E75">
                  <w:pPr>
                    <w:widowControl/>
                    <w:jc w:val="center"/>
                    <w:textAlignment w:val="center"/>
                    <w:rPr>
                      <w:color w:val="auto"/>
                      <w:kern w:val="0"/>
                      <w:szCs w:val="21"/>
                      <w:lang w:bidi="ar"/>
                    </w:rPr>
                  </w:pPr>
                  <w:r>
                    <w:rPr>
                      <w:color w:val="auto"/>
                      <w:kern w:val="0"/>
                      <w:szCs w:val="21"/>
                      <w:lang w:bidi="ar"/>
                    </w:rPr>
                    <w:t>2.945</w:t>
                  </w:r>
                </w:p>
              </w:tc>
            </w:tr>
            <w:tr w14:paraId="4029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C8F973B">
                  <w:pPr>
                    <w:contextualSpacing/>
                    <w:jc w:val="center"/>
                    <w:rPr>
                      <w:color w:val="auto"/>
                      <w:szCs w:val="21"/>
                    </w:rPr>
                  </w:pPr>
                  <w:r>
                    <w:rPr>
                      <w:rFonts w:hint="eastAsia"/>
                      <w:color w:val="auto"/>
                      <w:szCs w:val="21"/>
                    </w:rPr>
                    <w:t>4</w:t>
                  </w:r>
                </w:p>
              </w:tc>
              <w:tc>
                <w:tcPr>
                  <w:tcW w:w="1560" w:type="dxa"/>
                </w:tcPr>
                <w:p w14:paraId="1AACBBD7">
                  <w:pPr>
                    <w:contextualSpacing/>
                    <w:jc w:val="center"/>
                    <w:rPr>
                      <w:color w:val="auto"/>
                      <w:szCs w:val="21"/>
                    </w:rPr>
                  </w:pPr>
                  <w:r>
                    <w:rPr>
                      <w:color w:val="auto"/>
                      <w:szCs w:val="21"/>
                    </w:rPr>
                    <w:t>N,N-二甲基甲酰胺</w:t>
                  </w:r>
                </w:p>
              </w:tc>
              <w:tc>
                <w:tcPr>
                  <w:tcW w:w="1377" w:type="dxa"/>
                  <w:vAlign w:val="center"/>
                </w:tcPr>
                <w:p w14:paraId="46798CB4">
                  <w:pPr>
                    <w:contextualSpacing/>
                    <w:jc w:val="center"/>
                    <w:rPr>
                      <w:color w:val="auto"/>
                      <w:szCs w:val="21"/>
                    </w:rPr>
                  </w:pPr>
                  <w:r>
                    <w:rPr>
                      <w:rFonts w:hint="eastAsia"/>
                      <w:color w:val="auto"/>
                      <w:szCs w:val="21"/>
                    </w:rPr>
                    <w:t>0.05</w:t>
                  </w:r>
                </w:p>
              </w:tc>
              <w:tc>
                <w:tcPr>
                  <w:tcW w:w="1049" w:type="dxa"/>
                  <w:vAlign w:val="center"/>
                </w:tcPr>
                <w:p w14:paraId="097CCEA9">
                  <w:pPr>
                    <w:contextualSpacing/>
                    <w:jc w:val="center"/>
                    <w:rPr>
                      <w:color w:val="auto"/>
                      <w:szCs w:val="21"/>
                    </w:rPr>
                  </w:pPr>
                  <w:r>
                    <w:rPr>
                      <w:rFonts w:hint="eastAsia"/>
                      <w:color w:val="auto"/>
                      <w:szCs w:val="21"/>
                    </w:rPr>
                    <w:t>10*</w:t>
                  </w:r>
                </w:p>
              </w:tc>
              <w:tc>
                <w:tcPr>
                  <w:tcW w:w="1362" w:type="dxa"/>
                  <w:vAlign w:val="center"/>
                </w:tcPr>
                <w:p w14:paraId="6548671A">
                  <w:pPr>
                    <w:widowControl/>
                    <w:jc w:val="center"/>
                    <w:textAlignment w:val="center"/>
                    <w:rPr>
                      <w:color w:val="auto"/>
                      <w:szCs w:val="21"/>
                    </w:rPr>
                  </w:pPr>
                  <w:r>
                    <w:rPr>
                      <w:color w:val="auto"/>
                      <w:kern w:val="0"/>
                      <w:sz w:val="22"/>
                      <w:szCs w:val="22"/>
                      <w:lang w:bidi="ar"/>
                    </w:rPr>
                    <w:t>5</w:t>
                  </w:r>
                </w:p>
              </w:tc>
              <w:tc>
                <w:tcPr>
                  <w:tcW w:w="1020" w:type="dxa"/>
                  <w:vAlign w:val="center"/>
                </w:tcPr>
                <w:p w14:paraId="0E32B3C1">
                  <w:pPr>
                    <w:widowControl/>
                    <w:jc w:val="center"/>
                    <w:textAlignment w:val="center"/>
                    <w:rPr>
                      <w:color w:val="auto"/>
                      <w:kern w:val="0"/>
                      <w:szCs w:val="21"/>
                      <w:lang w:bidi="ar"/>
                    </w:rPr>
                  </w:pPr>
                  <w:r>
                    <w:rPr>
                      <w:color w:val="auto"/>
                      <w:kern w:val="0"/>
                      <w:szCs w:val="21"/>
                      <w:lang w:bidi="ar"/>
                    </w:rPr>
                    <w:t>0.004</w:t>
                  </w:r>
                </w:p>
              </w:tc>
              <w:tc>
                <w:tcPr>
                  <w:tcW w:w="1195" w:type="dxa"/>
                  <w:vAlign w:val="center"/>
                </w:tcPr>
                <w:p w14:paraId="3964FD57">
                  <w:pPr>
                    <w:widowControl/>
                    <w:jc w:val="center"/>
                    <w:textAlignment w:val="center"/>
                    <w:rPr>
                      <w:color w:val="auto"/>
                      <w:kern w:val="0"/>
                      <w:szCs w:val="21"/>
                      <w:lang w:bidi="ar"/>
                    </w:rPr>
                  </w:pPr>
                  <w:r>
                    <w:rPr>
                      <w:color w:val="auto"/>
                      <w:kern w:val="0"/>
                      <w:szCs w:val="21"/>
                      <w:lang w:bidi="ar"/>
                    </w:rPr>
                    <w:t>0.475</w:t>
                  </w:r>
                </w:p>
              </w:tc>
            </w:tr>
            <w:tr w14:paraId="440D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F19D00C">
                  <w:pPr>
                    <w:contextualSpacing/>
                    <w:jc w:val="center"/>
                    <w:rPr>
                      <w:color w:val="auto"/>
                      <w:szCs w:val="21"/>
                    </w:rPr>
                  </w:pPr>
                  <w:r>
                    <w:rPr>
                      <w:rFonts w:hint="eastAsia"/>
                      <w:color w:val="auto"/>
                      <w:szCs w:val="21"/>
                    </w:rPr>
                    <w:t>5</w:t>
                  </w:r>
                </w:p>
              </w:tc>
              <w:tc>
                <w:tcPr>
                  <w:tcW w:w="1560" w:type="dxa"/>
                </w:tcPr>
                <w:p w14:paraId="7B4DC8F4">
                  <w:pPr>
                    <w:contextualSpacing/>
                    <w:jc w:val="center"/>
                    <w:rPr>
                      <w:color w:val="auto"/>
                      <w:szCs w:val="21"/>
                    </w:rPr>
                  </w:pPr>
                  <w:r>
                    <w:rPr>
                      <w:rFonts w:hint="eastAsia"/>
                      <w:color w:val="auto"/>
                      <w:szCs w:val="21"/>
                    </w:rPr>
                    <w:t>四氢呋喃</w:t>
                  </w:r>
                </w:p>
              </w:tc>
              <w:tc>
                <w:tcPr>
                  <w:tcW w:w="1377" w:type="dxa"/>
                </w:tcPr>
                <w:p w14:paraId="57650EF0">
                  <w:pPr>
                    <w:contextualSpacing/>
                    <w:jc w:val="center"/>
                    <w:rPr>
                      <w:color w:val="auto"/>
                      <w:szCs w:val="21"/>
                    </w:rPr>
                  </w:pPr>
                  <w:r>
                    <w:rPr>
                      <w:rFonts w:hint="eastAsia"/>
                      <w:color w:val="auto"/>
                      <w:szCs w:val="21"/>
                    </w:rPr>
                    <w:t>0.05</w:t>
                  </w:r>
                </w:p>
              </w:tc>
              <w:tc>
                <w:tcPr>
                  <w:tcW w:w="1049" w:type="dxa"/>
                </w:tcPr>
                <w:p w14:paraId="0C140AF9">
                  <w:pPr>
                    <w:contextualSpacing/>
                    <w:jc w:val="center"/>
                    <w:rPr>
                      <w:color w:val="auto"/>
                      <w:szCs w:val="21"/>
                    </w:rPr>
                  </w:pPr>
                  <w:r>
                    <w:rPr>
                      <w:rFonts w:hint="eastAsia"/>
                      <w:color w:val="auto"/>
                      <w:szCs w:val="21"/>
                    </w:rPr>
                    <w:t>10*</w:t>
                  </w:r>
                </w:p>
              </w:tc>
              <w:tc>
                <w:tcPr>
                  <w:tcW w:w="1362" w:type="dxa"/>
                  <w:vAlign w:val="center"/>
                </w:tcPr>
                <w:p w14:paraId="731F19F4">
                  <w:pPr>
                    <w:widowControl/>
                    <w:jc w:val="center"/>
                    <w:textAlignment w:val="center"/>
                    <w:rPr>
                      <w:color w:val="auto"/>
                      <w:szCs w:val="21"/>
                    </w:rPr>
                  </w:pPr>
                  <w:r>
                    <w:rPr>
                      <w:color w:val="auto"/>
                      <w:kern w:val="0"/>
                      <w:sz w:val="22"/>
                      <w:szCs w:val="22"/>
                      <w:lang w:bidi="ar"/>
                    </w:rPr>
                    <w:t>5</w:t>
                  </w:r>
                </w:p>
              </w:tc>
              <w:tc>
                <w:tcPr>
                  <w:tcW w:w="1020" w:type="dxa"/>
                  <w:vAlign w:val="center"/>
                </w:tcPr>
                <w:p w14:paraId="1FAB8BA4">
                  <w:pPr>
                    <w:widowControl/>
                    <w:jc w:val="center"/>
                    <w:textAlignment w:val="center"/>
                    <w:rPr>
                      <w:color w:val="auto"/>
                      <w:kern w:val="0"/>
                      <w:szCs w:val="21"/>
                      <w:lang w:bidi="ar"/>
                    </w:rPr>
                  </w:pPr>
                  <w:r>
                    <w:rPr>
                      <w:color w:val="auto"/>
                      <w:kern w:val="0"/>
                      <w:szCs w:val="21"/>
                      <w:lang w:bidi="ar"/>
                    </w:rPr>
                    <w:t>0.004</w:t>
                  </w:r>
                </w:p>
              </w:tc>
              <w:tc>
                <w:tcPr>
                  <w:tcW w:w="1195" w:type="dxa"/>
                  <w:vAlign w:val="center"/>
                </w:tcPr>
                <w:p w14:paraId="44F9F7B5">
                  <w:pPr>
                    <w:widowControl/>
                    <w:jc w:val="center"/>
                    <w:textAlignment w:val="center"/>
                    <w:rPr>
                      <w:color w:val="auto"/>
                      <w:kern w:val="0"/>
                      <w:szCs w:val="21"/>
                      <w:lang w:bidi="ar"/>
                    </w:rPr>
                  </w:pPr>
                  <w:r>
                    <w:rPr>
                      <w:color w:val="auto"/>
                      <w:kern w:val="0"/>
                      <w:szCs w:val="21"/>
                      <w:lang w:bidi="ar"/>
                    </w:rPr>
                    <w:t>0.475</w:t>
                  </w:r>
                </w:p>
              </w:tc>
            </w:tr>
            <w:tr w14:paraId="426A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1B71C5E">
                  <w:pPr>
                    <w:contextualSpacing/>
                    <w:jc w:val="center"/>
                    <w:rPr>
                      <w:color w:val="auto"/>
                      <w:szCs w:val="21"/>
                    </w:rPr>
                  </w:pPr>
                  <w:r>
                    <w:rPr>
                      <w:rFonts w:hint="eastAsia"/>
                      <w:color w:val="auto"/>
                      <w:szCs w:val="21"/>
                    </w:rPr>
                    <w:t>6</w:t>
                  </w:r>
                </w:p>
              </w:tc>
              <w:tc>
                <w:tcPr>
                  <w:tcW w:w="1560" w:type="dxa"/>
                </w:tcPr>
                <w:p w14:paraId="6C188DCE">
                  <w:pPr>
                    <w:contextualSpacing/>
                    <w:jc w:val="center"/>
                    <w:rPr>
                      <w:color w:val="auto"/>
                      <w:szCs w:val="21"/>
                    </w:rPr>
                  </w:pPr>
                  <w:r>
                    <w:rPr>
                      <w:rFonts w:hint="eastAsia"/>
                      <w:color w:val="auto"/>
                      <w:szCs w:val="21"/>
                    </w:rPr>
                    <w:t>乙醇</w:t>
                  </w:r>
                </w:p>
              </w:tc>
              <w:tc>
                <w:tcPr>
                  <w:tcW w:w="1377" w:type="dxa"/>
                </w:tcPr>
                <w:p w14:paraId="501D68E1">
                  <w:pPr>
                    <w:contextualSpacing/>
                    <w:jc w:val="center"/>
                    <w:rPr>
                      <w:color w:val="auto"/>
                      <w:szCs w:val="21"/>
                    </w:rPr>
                  </w:pPr>
                  <w:r>
                    <w:rPr>
                      <w:rFonts w:hint="eastAsia"/>
                      <w:color w:val="auto"/>
                      <w:szCs w:val="21"/>
                    </w:rPr>
                    <w:t>0.05</w:t>
                  </w:r>
                </w:p>
              </w:tc>
              <w:tc>
                <w:tcPr>
                  <w:tcW w:w="1049" w:type="dxa"/>
                </w:tcPr>
                <w:p w14:paraId="6527EA8E">
                  <w:pPr>
                    <w:contextualSpacing/>
                    <w:jc w:val="center"/>
                    <w:rPr>
                      <w:color w:val="auto"/>
                      <w:szCs w:val="21"/>
                    </w:rPr>
                  </w:pPr>
                  <w:r>
                    <w:rPr>
                      <w:rFonts w:hint="eastAsia"/>
                      <w:color w:val="auto"/>
                      <w:szCs w:val="21"/>
                    </w:rPr>
                    <w:t>10</w:t>
                  </w:r>
                </w:p>
              </w:tc>
              <w:tc>
                <w:tcPr>
                  <w:tcW w:w="1362" w:type="dxa"/>
                  <w:vAlign w:val="center"/>
                </w:tcPr>
                <w:p w14:paraId="63F48F60">
                  <w:pPr>
                    <w:widowControl/>
                    <w:jc w:val="center"/>
                    <w:textAlignment w:val="center"/>
                    <w:rPr>
                      <w:color w:val="auto"/>
                      <w:szCs w:val="21"/>
                    </w:rPr>
                  </w:pPr>
                  <w:r>
                    <w:rPr>
                      <w:color w:val="auto"/>
                      <w:kern w:val="0"/>
                      <w:sz w:val="22"/>
                      <w:szCs w:val="22"/>
                      <w:lang w:bidi="ar"/>
                    </w:rPr>
                    <w:t>5</w:t>
                  </w:r>
                </w:p>
              </w:tc>
              <w:tc>
                <w:tcPr>
                  <w:tcW w:w="1020" w:type="dxa"/>
                  <w:vAlign w:val="center"/>
                </w:tcPr>
                <w:p w14:paraId="7F08CD31">
                  <w:pPr>
                    <w:widowControl/>
                    <w:jc w:val="center"/>
                    <w:textAlignment w:val="center"/>
                    <w:rPr>
                      <w:color w:val="auto"/>
                      <w:kern w:val="0"/>
                      <w:szCs w:val="21"/>
                      <w:lang w:bidi="ar"/>
                    </w:rPr>
                  </w:pPr>
                  <w:r>
                    <w:rPr>
                      <w:color w:val="auto"/>
                      <w:kern w:val="0"/>
                      <w:szCs w:val="21"/>
                      <w:lang w:bidi="ar"/>
                    </w:rPr>
                    <w:t>0.004</w:t>
                  </w:r>
                </w:p>
              </w:tc>
              <w:tc>
                <w:tcPr>
                  <w:tcW w:w="1195" w:type="dxa"/>
                  <w:vAlign w:val="center"/>
                </w:tcPr>
                <w:p w14:paraId="35C93A37">
                  <w:pPr>
                    <w:widowControl/>
                    <w:jc w:val="center"/>
                    <w:textAlignment w:val="center"/>
                    <w:rPr>
                      <w:color w:val="auto"/>
                      <w:kern w:val="0"/>
                      <w:szCs w:val="21"/>
                      <w:lang w:bidi="ar"/>
                    </w:rPr>
                  </w:pPr>
                  <w:r>
                    <w:rPr>
                      <w:color w:val="auto"/>
                      <w:kern w:val="0"/>
                      <w:szCs w:val="21"/>
                      <w:lang w:bidi="ar"/>
                    </w:rPr>
                    <w:t>0.475</w:t>
                  </w:r>
                </w:p>
              </w:tc>
            </w:tr>
            <w:tr w14:paraId="41F0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D976F2B">
                  <w:pPr>
                    <w:contextualSpacing/>
                    <w:jc w:val="center"/>
                    <w:rPr>
                      <w:color w:val="auto"/>
                      <w:szCs w:val="21"/>
                    </w:rPr>
                  </w:pPr>
                  <w:r>
                    <w:rPr>
                      <w:rFonts w:hint="eastAsia"/>
                      <w:color w:val="auto"/>
                      <w:szCs w:val="21"/>
                    </w:rPr>
                    <w:t>7</w:t>
                  </w:r>
                </w:p>
              </w:tc>
              <w:tc>
                <w:tcPr>
                  <w:tcW w:w="1560" w:type="dxa"/>
                </w:tcPr>
                <w:p w14:paraId="23F723B7">
                  <w:pPr>
                    <w:contextualSpacing/>
                    <w:jc w:val="center"/>
                    <w:rPr>
                      <w:color w:val="auto"/>
                      <w:szCs w:val="21"/>
                    </w:rPr>
                  </w:pPr>
                  <w:r>
                    <w:rPr>
                      <w:rFonts w:hint="eastAsia"/>
                      <w:color w:val="auto"/>
                      <w:szCs w:val="21"/>
                    </w:rPr>
                    <w:t>三乙胺</w:t>
                  </w:r>
                </w:p>
              </w:tc>
              <w:tc>
                <w:tcPr>
                  <w:tcW w:w="1377" w:type="dxa"/>
                </w:tcPr>
                <w:p w14:paraId="4515C0C0">
                  <w:pPr>
                    <w:contextualSpacing/>
                    <w:jc w:val="center"/>
                    <w:rPr>
                      <w:color w:val="auto"/>
                      <w:szCs w:val="21"/>
                    </w:rPr>
                  </w:pPr>
                  <w:r>
                    <w:rPr>
                      <w:rFonts w:hint="eastAsia"/>
                      <w:color w:val="auto"/>
                      <w:szCs w:val="21"/>
                    </w:rPr>
                    <w:t>0.02</w:t>
                  </w:r>
                </w:p>
              </w:tc>
              <w:tc>
                <w:tcPr>
                  <w:tcW w:w="1049" w:type="dxa"/>
                </w:tcPr>
                <w:p w14:paraId="0E810822">
                  <w:pPr>
                    <w:contextualSpacing/>
                    <w:jc w:val="center"/>
                    <w:rPr>
                      <w:color w:val="auto"/>
                      <w:szCs w:val="21"/>
                    </w:rPr>
                  </w:pPr>
                  <w:r>
                    <w:rPr>
                      <w:rFonts w:hint="eastAsia"/>
                      <w:color w:val="auto"/>
                      <w:szCs w:val="21"/>
                    </w:rPr>
                    <w:t>10*</w:t>
                  </w:r>
                </w:p>
              </w:tc>
              <w:tc>
                <w:tcPr>
                  <w:tcW w:w="1362" w:type="dxa"/>
                  <w:vAlign w:val="center"/>
                </w:tcPr>
                <w:p w14:paraId="6D5DAB91">
                  <w:pPr>
                    <w:widowControl/>
                    <w:jc w:val="center"/>
                    <w:textAlignment w:val="center"/>
                    <w:rPr>
                      <w:color w:val="auto"/>
                      <w:szCs w:val="21"/>
                    </w:rPr>
                  </w:pPr>
                  <w:r>
                    <w:rPr>
                      <w:color w:val="auto"/>
                      <w:kern w:val="0"/>
                      <w:sz w:val="22"/>
                      <w:szCs w:val="22"/>
                      <w:lang w:bidi="ar"/>
                    </w:rPr>
                    <w:t>2</w:t>
                  </w:r>
                </w:p>
              </w:tc>
              <w:tc>
                <w:tcPr>
                  <w:tcW w:w="1020" w:type="dxa"/>
                  <w:vAlign w:val="center"/>
                </w:tcPr>
                <w:p w14:paraId="352A3A08">
                  <w:pPr>
                    <w:widowControl/>
                    <w:jc w:val="center"/>
                    <w:textAlignment w:val="center"/>
                    <w:rPr>
                      <w:color w:val="auto"/>
                      <w:kern w:val="0"/>
                      <w:szCs w:val="21"/>
                      <w:lang w:bidi="ar"/>
                    </w:rPr>
                  </w:pPr>
                  <w:r>
                    <w:rPr>
                      <w:color w:val="auto"/>
                      <w:kern w:val="0"/>
                      <w:szCs w:val="21"/>
                      <w:lang w:bidi="ar"/>
                    </w:rPr>
                    <w:t>0.002</w:t>
                  </w:r>
                </w:p>
              </w:tc>
              <w:tc>
                <w:tcPr>
                  <w:tcW w:w="1195" w:type="dxa"/>
                  <w:vAlign w:val="center"/>
                </w:tcPr>
                <w:p w14:paraId="18308171">
                  <w:pPr>
                    <w:widowControl/>
                    <w:jc w:val="center"/>
                    <w:textAlignment w:val="center"/>
                    <w:rPr>
                      <w:color w:val="auto"/>
                      <w:kern w:val="0"/>
                      <w:szCs w:val="21"/>
                      <w:lang w:bidi="ar"/>
                    </w:rPr>
                  </w:pPr>
                  <w:r>
                    <w:rPr>
                      <w:color w:val="auto"/>
                      <w:kern w:val="0"/>
                      <w:szCs w:val="21"/>
                      <w:lang w:bidi="ar"/>
                    </w:rPr>
                    <w:t>0.190</w:t>
                  </w:r>
                </w:p>
              </w:tc>
            </w:tr>
            <w:tr w14:paraId="3EAE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821A85C">
                  <w:pPr>
                    <w:contextualSpacing/>
                    <w:jc w:val="center"/>
                    <w:rPr>
                      <w:rFonts w:hint="eastAsia"/>
                      <w:color w:val="auto"/>
                      <w:szCs w:val="21"/>
                    </w:rPr>
                  </w:pPr>
                  <w:r>
                    <w:rPr>
                      <w:rFonts w:hint="eastAsia"/>
                      <w:color w:val="auto"/>
                      <w:szCs w:val="21"/>
                    </w:rPr>
                    <w:t>8</w:t>
                  </w:r>
                </w:p>
              </w:tc>
              <w:tc>
                <w:tcPr>
                  <w:tcW w:w="1560" w:type="dxa"/>
                </w:tcPr>
                <w:p w14:paraId="31097074">
                  <w:pPr>
                    <w:contextualSpacing/>
                    <w:jc w:val="center"/>
                    <w:rPr>
                      <w:rFonts w:hint="eastAsia"/>
                      <w:color w:val="auto"/>
                      <w:szCs w:val="21"/>
                    </w:rPr>
                  </w:pPr>
                  <w:r>
                    <w:rPr>
                      <w:rFonts w:hint="eastAsia"/>
                      <w:color w:val="auto"/>
                      <w:szCs w:val="21"/>
                    </w:rPr>
                    <w:t>N,N-二异丙基乙胺</w:t>
                  </w:r>
                </w:p>
              </w:tc>
              <w:tc>
                <w:tcPr>
                  <w:tcW w:w="1377" w:type="dxa"/>
                  <w:vAlign w:val="center"/>
                </w:tcPr>
                <w:p w14:paraId="376B9F6B">
                  <w:pPr>
                    <w:contextualSpacing/>
                    <w:jc w:val="center"/>
                    <w:rPr>
                      <w:rFonts w:hint="default" w:eastAsia="宋体"/>
                      <w:color w:val="auto"/>
                      <w:szCs w:val="21"/>
                      <w:lang w:val="en-US" w:eastAsia="zh-CN"/>
                    </w:rPr>
                  </w:pPr>
                  <w:r>
                    <w:rPr>
                      <w:rFonts w:hint="eastAsia"/>
                      <w:color w:val="auto"/>
                      <w:szCs w:val="21"/>
                      <w:lang w:val="en-US" w:eastAsia="zh-CN"/>
                    </w:rPr>
                    <w:t>0.02</w:t>
                  </w:r>
                </w:p>
              </w:tc>
              <w:tc>
                <w:tcPr>
                  <w:tcW w:w="1049" w:type="dxa"/>
                  <w:vAlign w:val="center"/>
                </w:tcPr>
                <w:p w14:paraId="681CB941">
                  <w:pPr>
                    <w:contextualSpacing/>
                    <w:jc w:val="center"/>
                    <w:rPr>
                      <w:rFonts w:hint="eastAsia"/>
                      <w:color w:val="auto"/>
                      <w:szCs w:val="21"/>
                    </w:rPr>
                  </w:pPr>
                  <w:r>
                    <w:rPr>
                      <w:rFonts w:hint="eastAsia"/>
                      <w:color w:val="auto"/>
                      <w:szCs w:val="21"/>
                    </w:rPr>
                    <w:t>10*</w:t>
                  </w:r>
                </w:p>
              </w:tc>
              <w:tc>
                <w:tcPr>
                  <w:tcW w:w="1362" w:type="dxa"/>
                  <w:vAlign w:val="center"/>
                </w:tcPr>
                <w:p w14:paraId="3A39773B">
                  <w:pPr>
                    <w:widowControl/>
                    <w:jc w:val="center"/>
                    <w:textAlignment w:val="center"/>
                    <w:rPr>
                      <w:rFonts w:hint="eastAsia" w:eastAsia="宋体"/>
                      <w:color w:val="auto"/>
                      <w:kern w:val="0"/>
                      <w:sz w:val="22"/>
                      <w:szCs w:val="22"/>
                      <w:lang w:val="en-US" w:eastAsia="zh-CN" w:bidi="ar"/>
                    </w:rPr>
                  </w:pPr>
                  <w:r>
                    <w:rPr>
                      <w:rFonts w:hint="eastAsia"/>
                      <w:color w:val="auto"/>
                      <w:kern w:val="0"/>
                      <w:sz w:val="22"/>
                      <w:szCs w:val="22"/>
                      <w:lang w:val="en-US" w:eastAsia="zh-CN" w:bidi="ar"/>
                    </w:rPr>
                    <w:t>2</w:t>
                  </w:r>
                </w:p>
              </w:tc>
              <w:tc>
                <w:tcPr>
                  <w:tcW w:w="1020" w:type="dxa"/>
                  <w:vAlign w:val="center"/>
                </w:tcPr>
                <w:p w14:paraId="339410AB">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0.002</w:t>
                  </w:r>
                </w:p>
              </w:tc>
              <w:tc>
                <w:tcPr>
                  <w:tcW w:w="1195" w:type="dxa"/>
                  <w:vAlign w:val="center"/>
                </w:tcPr>
                <w:p w14:paraId="38D74238">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0.228</w:t>
                  </w:r>
                </w:p>
              </w:tc>
            </w:tr>
            <w:tr w14:paraId="23CA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F85FF41">
                  <w:pPr>
                    <w:contextualSpacing/>
                    <w:jc w:val="center"/>
                    <w:rPr>
                      <w:rFonts w:hint="eastAsia" w:eastAsia="宋体"/>
                      <w:color w:val="auto"/>
                      <w:szCs w:val="21"/>
                      <w:lang w:val="en-US" w:eastAsia="zh-CN"/>
                    </w:rPr>
                  </w:pPr>
                  <w:r>
                    <w:rPr>
                      <w:rFonts w:hint="eastAsia"/>
                      <w:color w:val="auto"/>
                      <w:szCs w:val="21"/>
                      <w:lang w:val="en-US" w:eastAsia="zh-CN"/>
                    </w:rPr>
                    <w:t>9</w:t>
                  </w:r>
                </w:p>
              </w:tc>
              <w:tc>
                <w:tcPr>
                  <w:tcW w:w="1560" w:type="dxa"/>
                </w:tcPr>
                <w:p w14:paraId="20BE5992">
                  <w:pPr>
                    <w:contextualSpacing/>
                    <w:jc w:val="center"/>
                    <w:rPr>
                      <w:rFonts w:hint="eastAsia"/>
                      <w:color w:val="auto"/>
                      <w:szCs w:val="21"/>
                    </w:rPr>
                  </w:pPr>
                  <w:r>
                    <w:rPr>
                      <w:rFonts w:hint="eastAsia"/>
                      <w:color w:val="auto"/>
                      <w:szCs w:val="21"/>
                    </w:rPr>
                    <w:t>吡咯酸乙酯</w:t>
                  </w:r>
                </w:p>
              </w:tc>
              <w:tc>
                <w:tcPr>
                  <w:tcW w:w="1377" w:type="dxa"/>
                  <w:vAlign w:val="center"/>
                </w:tcPr>
                <w:p w14:paraId="4B97EB65">
                  <w:pPr>
                    <w:contextualSpacing/>
                    <w:jc w:val="center"/>
                    <w:rPr>
                      <w:rFonts w:hint="default" w:eastAsia="宋体"/>
                      <w:color w:val="auto"/>
                      <w:szCs w:val="21"/>
                      <w:lang w:val="en-US" w:eastAsia="zh-CN"/>
                    </w:rPr>
                  </w:pPr>
                  <w:r>
                    <w:rPr>
                      <w:rFonts w:hint="eastAsia"/>
                      <w:color w:val="auto"/>
                      <w:szCs w:val="21"/>
                      <w:lang w:val="en-US" w:eastAsia="zh-CN"/>
                    </w:rPr>
                    <w:t>0.001</w:t>
                  </w:r>
                </w:p>
              </w:tc>
              <w:tc>
                <w:tcPr>
                  <w:tcW w:w="1049" w:type="dxa"/>
                  <w:vAlign w:val="center"/>
                </w:tcPr>
                <w:p w14:paraId="1F4380C0">
                  <w:pPr>
                    <w:contextualSpacing/>
                    <w:jc w:val="center"/>
                    <w:rPr>
                      <w:rFonts w:hint="eastAsia"/>
                      <w:color w:val="auto"/>
                      <w:szCs w:val="21"/>
                    </w:rPr>
                  </w:pPr>
                  <w:r>
                    <w:rPr>
                      <w:rFonts w:hint="eastAsia"/>
                      <w:color w:val="auto"/>
                      <w:szCs w:val="21"/>
                    </w:rPr>
                    <w:t>10*</w:t>
                  </w:r>
                </w:p>
              </w:tc>
              <w:tc>
                <w:tcPr>
                  <w:tcW w:w="1362" w:type="dxa"/>
                  <w:vAlign w:val="center"/>
                </w:tcPr>
                <w:p w14:paraId="2B9F2054">
                  <w:pPr>
                    <w:widowControl/>
                    <w:jc w:val="center"/>
                    <w:textAlignment w:val="center"/>
                    <w:rPr>
                      <w:rFonts w:hint="default" w:eastAsia="宋体"/>
                      <w:color w:val="auto"/>
                      <w:kern w:val="0"/>
                      <w:sz w:val="22"/>
                      <w:szCs w:val="22"/>
                      <w:lang w:val="en-US" w:eastAsia="zh-CN" w:bidi="ar"/>
                    </w:rPr>
                  </w:pPr>
                  <w:r>
                    <w:rPr>
                      <w:rFonts w:hint="eastAsia"/>
                      <w:color w:val="auto"/>
                      <w:kern w:val="0"/>
                      <w:sz w:val="22"/>
                      <w:szCs w:val="22"/>
                      <w:lang w:val="en-US" w:eastAsia="zh-CN" w:bidi="ar"/>
                    </w:rPr>
                    <w:t>0.1</w:t>
                  </w:r>
                </w:p>
              </w:tc>
              <w:tc>
                <w:tcPr>
                  <w:tcW w:w="1020" w:type="dxa"/>
                  <w:vAlign w:val="center"/>
                </w:tcPr>
                <w:p w14:paraId="2D961EBA">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0.0001</w:t>
                  </w:r>
                </w:p>
              </w:tc>
              <w:tc>
                <w:tcPr>
                  <w:tcW w:w="1195" w:type="dxa"/>
                  <w:vAlign w:val="center"/>
                </w:tcPr>
                <w:p w14:paraId="602A5513">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0.011</w:t>
                  </w:r>
                </w:p>
              </w:tc>
            </w:tr>
            <w:tr w14:paraId="0646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88C90F7">
                  <w:pPr>
                    <w:contextualSpacing/>
                    <w:jc w:val="center"/>
                    <w:rPr>
                      <w:rFonts w:hint="default" w:eastAsia="宋体"/>
                      <w:color w:val="auto"/>
                      <w:szCs w:val="21"/>
                      <w:lang w:val="en-US" w:eastAsia="zh-CN"/>
                    </w:rPr>
                  </w:pPr>
                  <w:r>
                    <w:rPr>
                      <w:rFonts w:hint="eastAsia"/>
                      <w:color w:val="auto"/>
                      <w:szCs w:val="21"/>
                      <w:lang w:val="en-US" w:eastAsia="zh-CN"/>
                    </w:rPr>
                    <w:t>10</w:t>
                  </w:r>
                </w:p>
              </w:tc>
              <w:tc>
                <w:tcPr>
                  <w:tcW w:w="1560" w:type="dxa"/>
                </w:tcPr>
                <w:p w14:paraId="3DCEC158">
                  <w:pPr>
                    <w:contextualSpacing/>
                    <w:jc w:val="center"/>
                    <w:rPr>
                      <w:color w:val="auto"/>
                      <w:szCs w:val="21"/>
                    </w:rPr>
                  </w:pPr>
                  <w:r>
                    <w:rPr>
                      <w:rFonts w:hint="eastAsia"/>
                      <w:color w:val="auto"/>
                      <w:szCs w:val="21"/>
                    </w:rPr>
                    <w:t>合计</w:t>
                  </w:r>
                </w:p>
              </w:tc>
              <w:tc>
                <w:tcPr>
                  <w:tcW w:w="1377" w:type="dxa"/>
                </w:tcPr>
                <w:p w14:paraId="65E17017">
                  <w:pPr>
                    <w:contextualSpacing/>
                    <w:jc w:val="center"/>
                    <w:rPr>
                      <w:rFonts w:hint="default" w:eastAsia="宋体"/>
                      <w:color w:val="auto"/>
                      <w:szCs w:val="21"/>
                      <w:lang w:val="en-US" w:eastAsia="zh-CN"/>
                    </w:rPr>
                  </w:pPr>
                  <w:r>
                    <w:rPr>
                      <w:rFonts w:hint="eastAsia"/>
                      <w:color w:val="auto"/>
                      <w:szCs w:val="21"/>
                    </w:rPr>
                    <w:t>0.5</w:t>
                  </w:r>
                  <w:r>
                    <w:rPr>
                      <w:rFonts w:hint="eastAsia"/>
                      <w:color w:val="auto"/>
                      <w:szCs w:val="21"/>
                      <w:lang w:val="en-US" w:eastAsia="zh-CN"/>
                    </w:rPr>
                    <w:t>91</w:t>
                  </w:r>
                </w:p>
              </w:tc>
              <w:tc>
                <w:tcPr>
                  <w:tcW w:w="1049" w:type="dxa"/>
                </w:tcPr>
                <w:p w14:paraId="595E03A5">
                  <w:pPr>
                    <w:contextualSpacing/>
                    <w:jc w:val="center"/>
                    <w:rPr>
                      <w:color w:val="auto"/>
                      <w:szCs w:val="21"/>
                    </w:rPr>
                  </w:pPr>
                  <w:r>
                    <w:rPr>
                      <w:rFonts w:hint="eastAsia"/>
                      <w:color w:val="auto"/>
                      <w:szCs w:val="21"/>
                    </w:rPr>
                    <w:t>/</w:t>
                  </w:r>
                </w:p>
              </w:tc>
              <w:tc>
                <w:tcPr>
                  <w:tcW w:w="1362" w:type="dxa"/>
                  <w:vAlign w:val="center"/>
                </w:tcPr>
                <w:p w14:paraId="040E7E5C">
                  <w:pPr>
                    <w:widowControl/>
                    <w:jc w:val="center"/>
                    <w:textAlignment w:val="center"/>
                    <w:rPr>
                      <w:rFonts w:hint="default" w:eastAsia="宋体"/>
                      <w:color w:val="auto"/>
                      <w:kern w:val="0"/>
                      <w:sz w:val="22"/>
                      <w:szCs w:val="22"/>
                      <w:lang w:val="en-US" w:eastAsia="zh-CN" w:bidi="ar"/>
                    </w:rPr>
                  </w:pPr>
                  <w:r>
                    <w:rPr>
                      <w:rFonts w:hint="eastAsia"/>
                      <w:color w:val="auto"/>
                      <w:kern w:val="0"/>
                      <w:sz w:val="22"/>
                      <w:szCs w:val="22"/>
                      <w:lang w:val="en-US" w:eastAsia="zh-CN" w:bidi="ar"/>
                    </w:rPr>
                    <w:t>100.1</w:t>
                  </w:r>
                </w:p>
              </w:tc>
              <w:tc>
                <w:tcPr>
                  <w:tcW w:w="1020" w:type="dxa"/>
                  <w:vAlign w:val="center"/>
                </w:tcPr>
                <w:p w14:paraId="1730315F">
                  <w:pPr>
                    <w:widowControl/>
                    <w:jc w:val="center"/>
                    <w:textAlignment w:val="center"/>
                    <w:rPr>
                      <w:rFonts w:hint="eastAsia" w:eastAsia="宋体"/>
                      <w:color w:val="auto"/>
                      <w:kern w:val="0"/>
                      <w:szCs w:val="21"/>
                      <w:lang w:eastAsia="zh-CN" w:bidi="ar"/>
                    </w:rPr>
                  </w:pPr>
                  <w:r>
                    <w:rPr>
                      <w:rFonts w:hint="eastAsia"/>
                      <w:color w:val="auto"/>
                      <w:kern w:val="0"/>
                      <w:szCs w:val="21"/>
                      <w:lang w:bidi="ar"/>
                    </w:rPr>
                    <w:t>0.08</w:t>
                  </w:r>
                  <w:r>
                    <w:rPr>
                      <w:rFonts w:hint="eastAsia"/>
                      <w:color w:val="auto"/>
                      <w:kern w:val="0"/>
                      <w:szCs w:val="21"/>
                      <w:lang w:val="en-US" w:eastAsia="zh-CN" w:bidi="ar"/>
                    </w:rPr>
                    <w:t>3</w:t>
                  </w:r>
                </w:p>
              </w:tc>
              <w:tc>
                <w:tcPr>
                  <w:tcW w:w="1195" w:type="dxa"/>
                  <w:vAlign w:val="center"/>
                </w:tcPr>
                <w:p w14:paraId="6787A06E">
                  <w:pPr>
                    <w:widowControl/>
                    <w:jc w:val="center"/>
                    <w:textAlignment w:val="center"/>
                    <w:rPr>
                      <w:rFonts w:hint="default" w:eastAsia="宋体"/>
                      <w:color w:val="auto"/>
                      <w:kern w:val="0"/>
                      <w:szCs w:val="21"/>
                      <w:lang w:val="en-US" w:eastAsia="zh-CN" w:bidi="ar"/>
                    </w:rPr>
                  </w:pPr>
                  <w:r>
                    <w:rPr>
                      <w:rFonts w:hint="eastAsia"/>
                      <w:color w:val="auto"/>
                      <w:kern w:val="0"/>
                      <w:szCs w:val="21"/>
                      <w:lang w:bidi="ar"/>
                    </w:rPr>
                    <w:t>9.</w:t>
                  </w:r>
                  <w:r>
                    <w:rPr>
                      <w:rFonts w:hint="eastAsia"/>
                      <w:color w:val="auto"/>
                      <w:kern w:val="0"/>
                      <w:szCs w:val="21"/>
                      <w:lang w:val="en-US" w:eastAsia="zh-CN" w:bidi="ar"/>
                    </w:rPr>
                    <w:t>508</w:t>
                  </w:r>
                </w:p>
              </w:tc>
            </w:tr>
            <w:tr w14:paraId="6733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6" w:type="dxa"/>
                  <w:gridSpan w:val="7"/>
                </w:tcPr>
                <w:p w14:paraId="616E686E">
                  <w:pPr>
                    <w:contextualSpacing/>
                    <w:rPr>
                      <w:color w:val="auto"/>
                      <w:szCs w:val="21"/>
                    </w:rPr>
                  </w:pPr>
                  <w:r>
                    <w:rPr>
                      <w:rFonts w:hint="eastAsia"/>
                      <w:color w:val="auto"/>
                      <w:szCs w:val="21"/>
                    </w:rPr>
                    <w:t>*《空气污染物排放和控制手册工业污染源调查与研究第二辑》（美国环境保护局编）没有体现的有机溶剂的产污系数参考乙醇的产污系数10%计</w:t>
                  </w:r>
                </w:p>
              </w:tc>
            </w:tr>
          </w:tbl>
          <w:p w14:paraId="7071F644">
            <w:pPr>
              <w:spacing w:line="360" w:lineRule="auto"/>
              <w:ind w:firstLine="480" w:firstLineChars="200"/>
              <w:contextualSpacing/>
              <w:rPr>
                <w:color w:val="auto"/>
                <w:sz w:val="24"/>
              </w:rPr>
            </w:pPr>
            <w:r>
              <w:rPr>
                <w:rFonts w:hint="eastAsia"/>
                <w:color w:val="auto"/>
                <w:sz w:val="24"/>
              </w:rPr>
              <w:t>本项目产生废气的实验操作必须在通风橱内进行，通风橱内为负压环境，共设置4个通风橱，通风橱配备了密闭的集气连接管道，根据《陕西省排污许可制支撑空气质量持续改善实施方案》中“表1 VOCs废气收集集气效率参考值”，“全密封设备/空间 单层密闭负压”集气效率为95%，有机</w:t>
            </w:r>
            <w:r>
              <w:rPr>
                <w:color w:val="auto"/>
                <w:sz w:val="24"/>
              </w:rPr>
              <w:t>废气</w:t>
            </w:r>
            <w:r>
              <w:rPr>
                <w:rFonts w:hint="eastAsia"/>
                <w:color w:val="auto"/>
                <w:sz w:val="24"/>
              </w:rPr>
              <w:t>经通风橱</w:t>
            </w:r>
            <w:r>
              <w:rPr>
                <w:color w:val="auto"/>
                <w:sz w:val="24"/>
              </w:rPr>
              <w:t>收集后经1套</w:t>
            </w:r>
            <w:r>
              <w:rPr>
                <w:rFonts w:hint="eastAsia"/>
                <w:color w:val="auto"/>
                <w:sz w:val="24"/>
              </w:rPr>
              <w:t>“</w:t>
            </w:r>
            <w:r>
              <w:rPr>
                <w:color w:val="auto"/>
                <w:sz w:val="24"/>
              </w:rPr>
              <w:t>活性炭</w:t>
            </w:r>
            <w:r>
              <w:rPr>
                <w:rFonts w:hint="eastAsia"/>
                <w:color w:val="auto"/>
                <w:sz w:val="24"/>
              </w:rPr>
              <w:t>吸附</w:t>
            </w:r>
            <w:r>
              <w:rPr>
                <w:color w:val="auto"/>
                <w:sz w:val="24"/>
              </w:rPr>
              <w:t>装置</w:t>
            </w:r>
            <w:r>
              <w:rPr>
                <w:rFonts w:hint="eastAsia"/>
                <w:color w:val="auto"/>
                <w:sz w:val="24"/>
              </w:rPr>
              <w:t>”</w:t>
            </w:r>
            <w:r>
              <w:rPr>
                <w:color w:val="auto"/>
                <w:sz w:val="24"/>
              </w:rPr>
              <w:t>处理，通过</w:t>
            </w:r>
            <w:r>
              <w:rPr>
                <w:rFonts w:hint="eastAsia"/>
                <w:color w:val="auto"/>
                <w:sz w:val="24"/>
              </w:rPr>
              <w:t>23m</w:t>
            </w:r>
            <w:r>
              <w:rPr>
                <w:color w:val="auto"/>
                <w:sz w:val="24"/>
              </w:rPr>
              <w:t>高</w:t>
            </w:r>
            <w:r>
              <w:rPr>
                <w:rFonts w:hint="eastAsia"/>
                <w:color w:val="auto"/>
                <w:sz w:val="24"/>
              </w:rPr>
              <w:t>DA001</w:t>
            </w:r>
            <w:r>
              <w:rPr>
                <w:color w:val="auto"/>
                <w:sz w:val="24"/>
              </w:rPr>
              <w:t>排气筒排放。</w:t>
            </w:r>
          </w:p>
          <w:p w14:paraId="14486711">
            <w:pPr>
              <w:spacing w:line="360" w:lineRule="auto"/>
              <w:ind w:firstLine="480" w:firstLineChars="200"/>
              <w:rPr>
                <w:color w:val="auto"/>
                <w:sz w:val="24"/>
              </w:rPr>
            </w:pPr>
            <w:r>
              <w:rPr>
                <w:bCs/>
                <w:color w:val="auto"/>
                <w:sz w:val="24"/>
                <w:szCs w:val="32"/>
              </w:rPr>
              <w:t>本项目设置二级活性炭，</w:t>
            </w:r>
            <w:r>
              <w:rPr>
                <w:rFonts w:hint="eastAsia"/>
                <w:bCs/>
                <w:color w:val="auto"/>
                <w:sz w:val="24"/>
                <w:szCs w:val="32"/>
              </w:rPr>
              <w:t>对非甲烷总</w:t>
            </w:r>
            <w:r>
              <w:rPr>
                <w:bCs/>
                <w:color w:val="auto"/>
                <w:sz w:val="24"/>
                <w:szCs w:val="32"/>
              </w:rPr>
              <w:t>吸附效率</w:t>
            </w:r>
            <w:r>
              <w:rPr>
                <w:rFonts w:hint="eastAsia"/>
                <w:bCs/>
                <w:color w:val="auto"/>
                <w:sz w:val="24"/>
                <w:szCs w:val="32"/>
              </w:rPr>
              <w:t>以60%计</w:t>
            </w:r>
            <w:r>
              <w:rPr>
                <w:rFonts w:hint="eastAsia"/>
                <w:color w:val="auto"/>
                <w:kern w:val="0"/>
                <w:sz w:val="24"/>
                <w:lang w:eastAsia="zh-CN" w:bidi="ar"/>
              </w:rPr>
              <w:t>，</w:t>
            </w:r>
            <w:r>
              <w:rPr>
                <w:color w:val="auto"/>
                <w:sz w:val="24"/>
              </w:rPr>
              <w:t>项目年工作2</w:t>
            </w:r>
            <w:r>
              <w:rPr>
                <w:rFonts w:hint="eastAsia"/>
                <w:color w:val="auto"/>
                <w:sz w:val="24"/>
              </w:rPr>
              <w:t>4</w:t>
            </w:r>
            <w:r>
              <w:rPr>
                <w:color w:val="auto"/>
                <w:sz w:val="24"/>
              </w:rPr>
              <w:t>0天，每天使用有机溶剂的有效时间合计约为</w:t>
            </w:r>
            <w:r>
              <w:rPr>
                <w:rFonts w:hint="eastAsia"/>
                <w:color w:val="auto"/>
                <w:sz w:val="24"/>
              </w:rPr>
              <w:t>5</w:t>
            </w:r>
            <w:r>
              <w:rPr>
                <w:color w:val="auto"/>
                <w:sz w:val="24"/>
              </w:rPr>
              <w:t>h</w:t>
            </w:r>
            <w:r>
              <w:rPr>
                <w:rFonts w:hint="eastAsia"/>
                <w:color w:val="auto"/>
                <w:sz w:val="24"/>
              </w:rPr>
              <w:t>，</w:t>
            </w:r>
            <w:r>
              <w:rPr>
                <w:rFonts w:hint="eastAsia" w:cs="宋体"/>
                <w:bCs/>
                <w:color w:val="auto"/>
                <w:sz w:val="24"/>
                <w:szCs w:val="32"/>
              </w:rPr>
              <w:t>根据建设单位提供的设计资料，风机</w:t>
            </w:r>
            <w:r>
              <w:rPr>
                <w:rFonts w:hint="eastAsia"/>
                <w:color w:val="auto"/>
                <w:sz w:val="24"/>
              </w:rPr>
              <w:t>风量设计值8773-13936m</w:t>
            </w:r>
            <w:r>
              <w:rPr>
                <w:rFonts w:hint="eastAsia"/>
                <w:color w:val="auto"/>
                <w:sz w:val="24"/>
                <w:vertAlign w:val="superscript"/>
              </w:rPr>
              <w:t>3</w:t>
            </w:r>
            <w:r>
              <w:rPr>
                <w:rFonts w:hint="eastAsia"/>
                <w:color w:val="auto"/>
                <w:sz w:val="24"/>
              </w:rPr>
              <w:t>/h，本项目按8773m</w:t>
            </w:r>
            <w:r>
              <w:rPr>
                <w:rFonts w:hint="eastAsia"/>
                <w:color w:val="auto"/>
                <w:sz w:val="24"/>
                <w:vertAlign w:val="superscript"/>
              </w:rPr>
              <w:t>3</w:t>
            </w:r>
            <w:r>
              <w:rPr>
                <w:rFonts w:hint="eastAsia"/>
                <w:color w:val="auto"/>
                <w:sz w:val="24"/>
              </w:rPr>
              <w:t>/h计算。经计算，本项目实验过程中有机废气排放情况如下表。</w:t>
            </w:r>
          </w:p>
          <w:p w14:paraId="56C6EC9A">
            <w:pPr>
              <w:contextualSpacing/>
              <w:jc w:val="center"/>
              <w:rPr>
                <w:b/>
                <w:bCs/>
                <w:color w:val="auto"/>
                <w:szCs w:val="21"/>
              </w:rPr>
            </w:pPr>
            <w:r>
              <w:rPr>
                <w:rFonts w:hint="eastAsia"/>
                <w:b/>
                <w:bCs/>
                <w:color w:val="auto"/>
                <w:szCs w:val="21"/>
              </w:rPr>
              <w:t>表4-3   本项目VOCs废气有组织产排情况一览表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1289"/>
              <w:gridCol w:w="998"/>
              <w:gridCol w:w="1050"/>
              <w:gridCol w:w="1196"/>
              <w:gridCol w:w="1031"/>
              <w:gridCol w:w="1035"/>
              <w:gridCol w:w="1196"/>
            </w:tblGrid>
            <w:tr w14:paraId="1177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75789B1">
                  <w:pPr>
                    <w:contextualSpacing/>
                    <w:jc w:val="center"/>
                    <w:rPr>
                      <w:color w:val="auto"/>
                      <w:szCs w:val="21"/>
                    </w:rPr>
                  </w:pPr>
                  <w:r>
                    <w:rPr>
                      <w:rFonts w:hint="eastAsia"/>
                      <w:color w:val="auto"/>
                      <w:szCs w:val="21"/>
                    </w:rPr>
                    <w:t>序号</w:t>
                  </w:r>
                </w:p>
              </w:tc>
              <w:tc>
                <w:tcPr>
                  <w:tcW w:w="776" w:type="pct"/>
                  <w:vAlign w:val="center"/>
                </w:tcPr>
                <w:p w14:paraId="170BFACD">
                  <w:pPr>
                    <w:contextualSpacing/>
                    <w:jc w:val="center"/>
                    <w:rPr>
                      <w:color w:val="auto"/>
                      <w:szCs w:val="21"/>
                    </w:rPr>
                  </w:pPr>
                  <w:r>
                    <w:rPr>
                      <w:rFonts w:hint="eastAsia"/>
                      <w:color w:val="auto"/>
                      <w:szCs w:val="21"/>
                    </w:rPr>
                    <w:t>名称</w:t>
                  </w:r>
                </w:p>
              </w:tc>
              <w:tc>
                <w:tcPr>
                  <w:tcW w:w="601" w:type="pct"/>
                </w:tcPr>
                <w:p w14:paraId="1F6B6474">
                  <w:pPr>
                    <w:contextualSpacing/>
                    <w:jc w:val="center"/>
                    <w:rPr>
                      <w:color w:val="auto"/>
                      <w:szCs w:val="21"/>
                    </w:rPr>
                  </w:pPr>
                  <w:r>
                    <w:rPr>
                      <w:rFonts w:hint="eastAsia"/>
                      <w:color w:val="auto"/>
                      <w:szCs w:val="21"/>
                    </w:rPr>
                    <w:t>产生量（kg/a）</w:t>
                  </w:r>
                </w:p>
              </w:tc>
              <w:tc>
                <w:tcPr>
                  <w:tcW w:w="632" w:type="pct"/>
                </w:tcPr>
                <w:p w14:paraId="786339EF">
                  <w:pPr>
                    <w:contextualSpacing/>
                    <w:jc w:val="center"/>
                    <w:rPr>
                      <w:color w:val="auto"/>
                      <w:szCs w:val="21"/>
                    </w:rPr>
                  </w:pPr>
                  <w:r>
                    <w:rPr>
                      <w:rFonts w:hint="eastAsia"/>
                      <w:color w:val="auto"/>
                      <w:szCs w:val="21"/>
                    </w:rPr>
                    <w:t>产生速率（kg/h）</w:t>
                  </w:r>
                </w:p>
              </w:tc>
              <w:tc>
                <w:tcPr>
                  <w:tcW w:w="720" w:type="pct"/>
                </w:tcPr>
                <w:p w14:paraId="2FFCC584">
                  <w:pPr>
                    <w:contextualSpacing/>
                    <w:jc w:val="center"/>
                    <w:rPr>
                      <w:color w:val="auto"/>
                      <w:szCs w:val="21"/>
                    </w:rPr>
                  </w:pPr>
                  <w:r>
                    <w:rPr>
                      <w:rFonts w:hint="eastAsia"/>
                      <w:color w:val="auto"/>
                      <w:szCs w:val="21"/>
                    </w:rPr>
                    <w:t>产生浓度（mg/m</w:t>
                  </w:r>
                  <w:r>
                    <w:rPr>
                      <w:rFonts w:hint="eastAsia"/>
                      <w:color w:val="auto"/>
                      <w:szCs w:val="21"/>
                      <w:vertAlign w:val="superscript"/>
                    </w:rPr>
                    <w:t>3</w:t>
                  </w:r>
                  <w:r>
                    <w:rPr>
                      <w:rFonts w:hint="eastAsia"/>
                      <w:color w:val="auto"/>
                      <w:szCs w:val="21"/>
                    </w:rPr>
                    <w:t>）</w:t>
                  </w:r>
                </w:p>
              </w:tc>
              <w:tc>
                <w:tcPr>
                  <w:tcW w:w="621" w:type="pct"/>
                </w:tcPr>
                <w:p w14:paraId="59A530D0">
                  <w:pPr>
                    <w:contextualSpacing/>
                    <w:jc w:val="center"/>
                    <w:rPr>
                      <w:color w:val="auto"/>
                      <w:szCs w:val="21"/>
                    </w:rPr>
                  </w:pPr>
                  <w:r>
                    <w:rPr>
                      <w:rFonts w:hint="eastAsia"/>
                      <w:color w:val="auto"/>
                      <w:szCs w:val="21"/>
                    </w:rPr>
                    <w:t>排放量（kg/a）</w:t>
                  </w:r>
                </w:p>
              </w:tc>
              <w:tc>
                <w:tcPr>
                  <w:tcW w:w="623" w:type="pct"/>
                </w:tcPr>
                <w:p w14:paraId="2BB438C1">
                  <w:pPr>
                    <w:contextualSpacing/>
                    <w:jc w:val="center"/>
                    <w:rPr>
                      <w:color w:val="auto"/>
                      <w:szCs w:val="21"/>
                    </w:rPr>
                  </w:pPr>
                  <w:r>
                    <w:rPr>
                      <w:rFonts w:hint="eastAsia"/>
                      <w:color w:val="auto"/>
                      <w:szCs w:val="21"/>
                    </w:rPr>
                    <w:t>排放速率（kg/h）</w:t>
                  </w:r>
                </w:p>
              </w:tc>
              <w:tc>
                <w:tcPr>
                  <w:tcW w:w="720" w:type="pct"/>
                </w:tcPr>
                <w:p w14:paraId="497849A6">
                  <w:pPr>
                    <w:contextualSpacing/>
                    <w:jc w:val="center"/>
                    <w:rPr>
                      <w:color w:val="auto"/>
                      <w:szCs w:val="21"/>
                    </w:rPr>
                  </w:pPr>
                  <w:r>
                    <w:rPr>
                      <w:rFonts w:hint="eastAsia"/>
                      <w:color w:val="auto"/>
                      <w:szCs w:val="21"/>
                    </w:rPr>
                    <w:t>排放浓度（mg/m</w:t>
                  </w:r>
                  <w:r>
                    <w:rPr>
                      <w:rFonts w:hint="eastAsia"/>
                      <w:color w:val="auto"/>
                      <w:szCs w:val="21"/>
                      <w:vertAlign w:val="superscript"/>
                    </w:rPr>
                    <w:t>3</w:t>
                  </w:r>
                  <w:r>
                    <w:rPr>
                      <w:rFonts w:hint="eastAsia"/>
                      <w:color w:val="auto"/>
                      <w:szCs w:val="21"/>
                    </w:rPr>
                    <w:t>）</w:t>
                  </w:r>
                </w:p>
              </w:tc>
            </w:tr>
            <w:tr w14:paraId="73B0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14:paraId="0263311F">
                  <w:pPr>
                    <w:contextualSpacing/>
                    <w:jc w:val="center"/>
                    <w:rPr>
                      <w:color w:val="auto"/>
                      <w:szCs w:val="21"/>
                    </w:rPr>
                  </w:pPr>
                  <w:r>
                    <w:rPr>
                      <w:rFonts w:hint="eastAsia"/>
                      <w:color w:val="auto"/>
                      <w:szCs w:val="21"/>
                    </w:rPr>
                    <w:t>1</w:t>
                  </w:r>
                </w:p>
              </w:tc>
              <w:tc>
                <w:tcPr>
                  <w:tcW w:w="776" w:type="pct"/>
                </w:tcPr>
                <w:p w14:paraId="0B5D44F0">
                  <w:pPr>
                    <w:contextualSpacing/>
                    <w:jc w:val="center"/>
                    <w:rPr>
                      <w:color w:val="auto"/>
                      <w:szCs w:val="21"/>
                    </w:rPr>
                  </w:pPr>
                  <w:r>
                    <w:rPr>
                      <w:rFonts w:hint="eastAsia"/>
                      <w:color w:val="auto"/>
                      <w:szCs w:val="21"/>
                    </w:rPr>
                    <w:t>石油醚</w:t>
                  </w:r>
                </w:p>
              </w:tc>
              <w:tc>
                <w:tcPr>
                  <w:tcW w:w="601" w:type="pct"/>
                  <w:vAlign w:val="center"/>
                </w:tcPr>
                <w:p w14:paraId="20E5FCAA">
                  <w:pPr>
                    <w:widowControl/>
                    <w:jc w:val="center"/>
                    <w:textAlignment w:val="center"/>
                    <w:rPr>
                      <w:color w:val="auto"/>
                      <w:szCs w:val="21"/>
                    </w:rPr>
                  </w:pPr>
                  <w:r>
                    <w:rPr>
                      <w:color w:val="auto"/>
                      <w:kern w:val="0"/>
                      <w:szCs w:val="21"/>
                      <w:lang w:bidi="ar"/>
                    </w:rPr>
                    <w:t>19</w:t>
                  </w:r>
                  <w:r>
                    <w:rPr>
                      <w:rFonts w:hint="eastAsia"/>
                      <w:color w:val="auto"/>
                      <w:kern w:val="0"/>
                      <w:szCs w:val="21"/>
                      <w:lang w:bidi="ar"/>
                    </w:rPr>
                    <w:t>.</w:t>
                  </w:r>
                  <w:r>
                    <w:rPr>
                      <w:color w:val="auto"/>
                      <w:kern w:val="0"/>
                      <w:szCs w:val="21"/>
                      <w:lang w:bidi="ar"/>
                    </w:rPr>
                    <w:t>0</w:t>
                  </w:r>
                </w:p>
              </w:tc>
              <w:tc>
                <w:tcPr>
                  <w:tcW w:w="632" w:type="pct"/>
                  <w:vAlign w:val="center"/>
                </w:tcPr>
                <w:p w14:paraId="6591CCCB">
                  <w:pPr>
                    <w:widowControl/>
                    <w:jc w:val="center"/>
                    <w:textAlignment w:val="center"/>
                    <w:rPr>
                      <w:color w:val="auto"/>
                      <w:kern w:val="0"/>
                      <w:szCs w:val="21"/>
                      <w:lang w:bidi="ar"/>
                    </w:rPr>
                  </w:pPr>
                  <w:r>
                    <w:rPr>
                      <w:color w:val="auto"/>
                      <w:kern w:val="0"/>
                      <w:szCs w:val="21"/>
                      <w:lang w:bidi="ar"/>
                    </w:rPr>
                    <w:t>0.01</w:t>
                  </w:r>
                  <w:r>
                    <w:rPr>
                      <w:rFonts w:hint="eastAsia"/>
                      <w:color w:val="auto"/>
                      <w:kern w:val="0"/>
                      <w:szCs w:val="21"/>
                      <w:lang w:bidi="ar"/>
                    </w:rPr>
                    <w:t>58</w:t>
                  </w:r>
                </w:p>
              </w:tc>
              <w:tc>
                <w:tcPr>
                  <w:tcW w:w="720" w:type="pct"/>
                  <w:vAlign w:val="center"/>
                </w:tcPr>
                <w:p w14:paraId="7FBD79A2">
                  <w:pPr>
                    <w:widowControl/>
                    <w:jc w:val="center"/>
                    <w:textAlignment w:val="center"/>
                    <w:rPr>
                      <w:color w:val="auto"/>
                      <w:kern w:val="0"/>
                      <w:szCs w:val="21"/>
                      <w:lang w:bidi="ar"/>
                    </w:rPr>
                  </w:pPr>
                  <w:r>
                    <w:rPr>
                      <w:color w:val="auto"/>
                      <w:kern w:val="0"/>
                      <w:szCs w:val="21"/>
                      <w:lang w:bidi="ar"/>
                    </w:rPr>
                    <w:t>1.80</w:t>
                  </w:r>
                  <w:r>
                    <w:rPr>
                      <w:rFonts w:hint="eastAsia"/>
                      <w:color w:val="auto"/>
                      <w:kern w:val="0"/>
                      <w:szCs w:val="21"/>
                      <w:lang w:bidi="ar"/>
                    </w:rPr>
                    <w:t>48</w:t>
                  </w:r>
                </w:p>
              </w:tc>
              <w:tc>
                <w:tcPr>
                  <w:tcW w:w="621" w:type="pct"/>
                  <w:vAlign w:val="center"/>
                </w:tcPr>
                <w:p w14:paraId="01A814C8">
                  <w:pPr>
                    <w:widowControl/>
                    <w:jc w:val="center"/>
                    <w:textAlignment w:val="center"/>
                    <w:rPr>
                      <w:color w:val="auto"/>
                      <w:kern w:val="0"/>
                      <w:szCs w:val="21"/>
                      <w:lang w:bidi="ar"/>
                    </w:rPr>
                  </w:pPr>
                  <w:r>
                    <w:rPr>
                      <w:color w:val="auto"/>
                      <w:kern w:val="0"/>
                      <w:szCs w:val="21"/>
                      <w:lang w:bidi="ar"/>
                    </w:rPr>
                    <w:t>7</w:t>
                  </w:r>
                  <w:r>
                    <w:rPr>
                      <w:rFonts w:hint="eastAsia"/>
                      <w:color w:val="auto"/>
                      <w:kern w:val="0"/>
                      <w:szCs w:val="21"/>
                      <w:lang w:bidi="ar"/>
                    </w:rPr>
                    <w:t>.</w:t>
                  </w:r>
                  <w:r>
                    <w:rPr>
                      <w:color w:val="auto"/>
                      <w:kern w:val="0"/>
                      <w:szCs w:val="21"/>
                      <w:lang w:bidi="ar"/>
                    </w:rPr>
                    <w:t>6</w:t>
                  </w:r>
                </w:p>
              </w:tc>
              <w:tc>
                <w:tcPr>
                  <w:tcW w:w="623" w:type="pct"/>
                  <w:vAlign w:val="center"/>
                </w:tcPr>
                <w:p w14:paraId="55D1A6C7">
                  <w:pPr>
                    <w:widowControl/>
                    <w:jc w:val="center"/>
                    <w:textAlignment w:val="center"/>
                    <w:rPr>
                      <w:color w:val="auto"/>
                      <w:kern w:val="0"/>
                      <w:szCs w:val="21"/>
                      <w:lang w:bidi="ar"/>
                    </w:rPr>
                  </w:pPr>
                  <w:r>
                    <w:rPr>
                      <w:color w:val="auto"/>
                      <w:kern w:val="0"/>
                      <w:szCs w:val="21"/>
                      <w:lang w:bidi="ar"/>
                    </w:rPr>
                    <w:t>0.0063</w:t>
                  </w:r>
                </w:p>
              </w:tc>
              <w:tc>
                <w:tcPr>
                  <w:tcW w:w="720" w:type="pct"/>
                  <w:vAlign w:val="center"/>
                </w:tcPr>
                <w:p w14:paraId="5F43A24B">
                  <w:pPr>
                    <w:widowControl/>
                    <w:jc w:val="center"/>
                    <w:textAlignment w:val="center"/>
                    <w:rPr>
                      <w:color w:val="auto"/>
                      <w:kern w:val="0"/>
                      <w:szCs w:val="21"/>
                      <w:lang w:bidi="ar"/>
                    </w:rPr>
                  </w:pPr>
                  <w:r>
                    <w:rPr>
                      <w:color w:val="auto"/>
                      <w:kern w:val="0"/>
                      <w:szCs w:val="21"/>
                      <w:lang w:bidi="ar"/>
                    </w:rPr>
                    <w:t>0.7219</w:t>
                  </w:r>
                </w:p>
              </w:tc>
            </w:tr>
            <w:tr w14:paraId="61EC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14:paraId="14A1943D">
                  <w:pPr>
                    <w:contextualSpacing/>
                    <w:jc w:val="center"/>
                    <w:rPr>
                      <w:color w:val="auto"/>
                      <w:szCs w:val="21"/>
                    </w:rPr>
                  </w:pPr>
                  <w:r>
                    <w:rPr>
                      <w:rFonts w:hint="eastAsia"/>
                      <w:color w:val="auto"/>
                      <w:szCs w:val="21"/>
                    </w:rPr>
                    <w:t>2</w:t>
                  </w:r>
                </w:p>
              </w:tc>
              <w:tc>
                <w:tcPr>
                  <w:tcW w:w="776" w:type="pct"/>
                </w:tcPr>
                <w:p w14:paraId="2765C1C0">
                  <w:pPr>
                    <w:contextualSpacing/>
                    <w:jc w:val="center"/>
                    <w:rPr>
                      <w:color w:val="auto"/>
                      <w:szCs w:val="21"/>
                    </w:rPr>
                  </w:pPr>
                  <w:r>
                    <w:rPr>
                      <w:rFonts w:hint="eastAsia"/>
                      <w:color w:val="auto"/>
                      <w:szCs w:val="21"/>
                    </w:rPr>
                    <w:t>乙酸乙酯</w:t>
                  </w:r>
                </w:p>
              </w:tc>
              <w:tc>
                <w:tcPr>
                  <w:tcW w:w="601" w:type="pct"/>
                  <w:vAlign w:val="center"/>
                </w:tcPr>
                <w:p w14:paraId="5C5006EA">
                  <w:pPr>
                    <w:widowControl/>
                    <w:jc w:val="center"/>
                    <w:textAlignment w:val="center"/>
                    <w:rPr>
                      <w:color w:val="auto"/>
                      <w:szCs w:val="21"/>
                    </w:rPr>
                  </w:pPr>
                  <w:r>
                    <w:rPr>
                      <w:color w:val="auto"/>
                      <w:kern w:val="0"/>
                      <w:szCs w:val="21"/>
                      <w:lang w:bidi="ar"/>
                    </w:rPr>
                    <w:t>28</w:t>
                  </w:r>
                  <w:r>
                    <w:rPr>
                      <w:rFonts w:hint="eastAsia"/>
                      <w:color w:val="auto"/>
                      <w:kern w:val="0"/>
                      <w:szCs w:val="21"/>
                      <w:lang w:bidi="ar"/>
                    </w:rPr>
                    <w:t>.</w:t>
                  </w:r>
                  <w:r>
                    <w:rPr>
                      <w:color w:val="auto"/>
                      <w:kern w:val="0"/>
                      <w:szCs w:val="21"/>
                      <w:lang w:bidi="ar"/>
                    </w:rPr>
                    <w:t>5</w:t>
                  </w:r>
                </w:p>
              </w:tc>
              <w:tc>
                <w:tcPr>
                  <w:tcW w:w="632" w:type="pct"/>
                  <w:vAlign w:val="center"/>
                </w:tcPr>
                <w:p w14:paraId="5FDC8DE4">
                  <w:pPr>
                    <w:widowControl/>
                    <w:jc w:val="center"/>
                    <w:textAlignment w:val="center"/>
                    <w:rPr>
                      <w:color w:val="auto"/>
                      <w:kern w:val="0"/>
                      <w:szCs w:val="21"/>
                      <w:lang w:bidi="ar"/>
                    </w:rPr>
                  </w:pPr>
                  <w:r>
                    <w:rPr>
                      <w:color w:val="auto"/>
                      <w:kern w:val="0"/>
                      <w:szCs w:val="21"/>
                      <w:lang w:bidi="ar"/>
                    </w:rPr>
                    <w:t>0.0238</w:t>
                  </w:r>
                </w:p>
              </w:tc>
              <w:tc>
                <w:tcPr>
                  <w:tcW w:w="720" w:type="pct"/>
                  <w:vAlign w:val="center"/>
                </w:tcPr>
                <w:p w14:paraId="410574C8">
                  <w:pPr>
                    <w:widowControl/>
                    <w:jc w:val="center"/>
                    <w:textAlignment w:val="center"/>
                    <w:rPr>
                      <w:color w:val="auto"/>
                      <w:kern w:val="0"/>
                      <w:szCs w:val="21"/>
                      <w:lang w:bidi="ar"/>
                    </w:rPr>
                  </w:pPr>
                  <w:r>
                    <w:rPr>
                      <w:color w:val="auto"/>
                      <w:kern w:val="0"/>
                      <w:szCs w:val="21"/>
                      <w:lang w:bidi="ar"/>
                    </w:rPr>
                    <w:t>2.7072</w:t>
                  </w:r>
                </w:p>
              </w:tc>
              <w:tc>
                <w:tcPr>
                  <w:tcW w:w="621" w:type="pct"/>
                  <w:vAlign w:val="center"/>
                </w:tcPr>
                <w:p w14:paraId="17F9D53D">
                  <w:pPr>
                    <w:widowControl/>
                    <w:jc w:val="center"/>
                    <w:textAlignment w:val="center"/>
                    <w:rPr>
                      <w:color w:val="auto"/>
                      <w:kern w:val="0"/>
                      <w:szCs w:val="21"/>
                      <w:lang w:bidi="ar"/>
                    </w:rPr>
                  </w:pPr>
                  <w:r>
                    <w:rPr>
                      <w:color w:val="auto"/>
                      <w:kern w:val="0"/>
                      <w:szCs w:val="21"/>
                      <w:lang w:bidi="ar"/>
                    </w:rPr>
                    <w:t>11</w:t>
                  </w:r>
                  <w:r>
                    <w:rPr>
                      <w:rFonts w:hint="eastAsia"/>
                      <w:color w:val="auto"/>
                      <w:kern w:val="0"/>
                      <w:szCs w:val="21"/>
                      <w:lang w:bidi="ar"/>
                    </w:rPr>
                    <w:t>.</w:t>
                  </w:r>
                  <w:r>
                    <w:rPr>
                      <w:color w:val="auto"/>
                      <w:kern w:val="0"/>
                      <w:szCs w:val="21"/>
                      <w:lang w:bidi="ar"/>
                    </w:rPr>
                    <w:t>4</w:t>
                  </w:r>
                </w:p>
              </w:tc>
              <w:tc>
                <w:tcPr>
                  <w:tcW w:w="623" w:type="pct"/>
                  <w:vAlign w:val="center"/>
                </w:tcPr>
                <w:p w14:paraId="6F8AB897">
                  <w:pPr>
                    <w:widowControl/>
                    <w:jc w:val="center"/>
                    <w:textAlignment w:val="center"/>
                    <w:rPr>
                      <w:color w:val="auto"/>
                      <w:kern w:val="0"/>
                      <w:szCs w:val="21"/>
                      <w:lang w:bidi="ar"/>
                    </w:rPr>
                  </w:pPr>
                  <w:r>
                    <w:rPr>
                      <w:color w:val="auto"/>
                      <w:kern w:val="0"/>
                      <w:szCs w:val="21"/>
                      <w:lang w:bidi="ar"/>
                    </w:rPr>
                    <w:t>0.0095</w:t>
                  </w:r>
                </w:p>
              </w:tc>
              <w:tc>
                <w:tcPr>
                  <w:tcW w:w="720" w:type="pct"/>
                  <w:vAlign w:val="center"/>
                </w:tcPr>
                <w:p w14:paraId="7C0D2F3D">
                  <w:pPr>
                    <w:widowControl/>
                    <w:jc w:val="center"/>
                    <w:textAlignment w:val="center"/>
                    <w:rPr>
                      <w:color w:val="auto"/>
                      <w:kern w:val="0"/>
                      <w:szCs w:val="21"/>
                      <w:lang w:bidi="ar"/>
                    </w:rPr>
                  </w:pPr>
                  <w:r>
                    <w:rPr>
                      <w:color w:val="auto"/>
                      <w:kern w:val="0"/>
                      <w:szCs w:val="21"/>
                      <w:lang w:bidi="ar"/>
                    </w:rPr>
                    <w:t>1.0829</w:t>
                  </w:r>
                </w:p>
              </w:tc>
            </w:tr>
            <w:tr w14:paraId="4EC4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14:paraId="13DD88B0">
                  <w:pPr>
                    <w:contextualSpacing/>
                    <w:jc w:val="center"/>
                    <w:rPr>
                      <w:color w:val="auto"/>
                      <w:szCs w:val="21"/>
                    </w:rPr>
                  </w:pPr>
                  <w:r>
                    <w:rPr>
                      <w:rFonts w:hint="eastAsia"/>
                      <w:color w:val="auto"/>
                      <w:szCs w:val="21"/>
                    </w:rPr>
                    <w:t>3</w:t>
                  </w:r>
                </w:p>
              </w:tc>
              <w:tc>
                <w:tcPr>
                  <w:tcW w:w="776" w:type="pct"/>
                </w:tcPr>
                <w:p w14:paraId="6DC19AFE">
                  <w:pPr>
                    <w:contextualSpacing/>
                    <w:jc w:val="center"/>
                    <w:rPr>
                      <w:color w:val="auto"/>
                      <w:szCs w:val="21"/>
                    </w:rPr>
                  </w:pPr>
                  <w:r>
                    <w:rPr>
                      <w:rFonts w:hint="eastAsia"/>
                      <w:color w:val="auto"/>
                      <w:szCs w:val="21"/>
                    </w:rPr>
                    <w:t>甲醇</w:t>
                  </w:r>
                </w:p>
              </w:tc>
              <w:tc>
                <w:tcPr>
                  <w:tcW w:w="601" w:type="pct"/>
                  <w:vAlign w:val="center"/>
                </w:tcPr>
                <w:p w14:paraId="093BCD5D">
                  <w:pPr>
                    <w:widowControl/>
                    <w:jc w:val="center"/>
                    <w:textAlignment w:val="center"/>
                    <w:rPr>
                      <w:color w:val="auto"/>
                      <w:szCs w:val="21"/>
                    </w:rPr>
                  </w:pPr>
                  <w:r>
                    <w:rPr>
                      <w:color w:val="auto"/>
                      <w:kern w:val="0"/>
                      <w:szCs w:val="21"/>
                      <w:lang w:bidi="ar"/>
                    </w:rPr>
                    <w:t>29</w:t>
                  </w:r>
                  <w:r>
                    <w:rPr>
                      <w:rFonts w:hint="eastAsia"/>
                      <w:color w:val="auto"/>
                      <w:kern w:val="0"/>
                      <w:szCs w:val="21"/>
                      <w:lang w:bidi="ar"/>
                    </w:rPr>
                    <w:t>.</w:t>
                  </w:r>
                  <w:r>
                    <w:rPr>
                      <w:color w:val="auto"/>
                      <w:kern w:val="0"/>
                      <w:szCs w:val="21"/>
                      <w:lang w:bidi="ar"/>
                    </w:rPr>
                    <w:t>5</w:t>
                  </w:r>
                </w:p>
              </w:tc>
              <w:tc>
                <w:tcPr>
                  <w:tcW w:w="632" w:type="pct"/>
                  <w:vAlign w:val="center"/>
                </w:tcPr>
                <w:p w14:paraId="15997523">
                  <w:pPr>
                    <w:widowControl/>
                    <w:jc w:val="center"/>
                    <w:textAlignment w:val="center"/>
                    <w:rPr>
                      <w:color w:val="auto"/>
                      <w:kern w:val="0"/>
                      <w:szCs w:val="21"/>
                      <w:lang w:bidi="ar"/>
                    </w:rPr>
                  </w:pPr>
                  <w:r>
                    <w:rPr>
                      <w:color w:val="auto"/>
                      <w:kern w:val="0"/>
                      <w:szCs w:val="21"/>
                      <w:lang w:bidi="ar"/>
                    </w:rPr>
                    <w:t>0.0245</w:t>
                  </w:r>
                </w:p>
              </w:tc>
              <w:tc>
                <w:tcPr>
                  <w:tcW w:w="720" w:type="pct"/>
                  <w:vAlign w:val="center"/>
                </w:tcPr>
                <w:p w14:paraId="436BAC27">
                  <w:pPr>
                    <w:widowControl/>
                    <w:jc w:val="center"/>
                    <w:textAlignment w:val="center"/>
                    <w:rPr>
                      <w:color w:val="auto"/>
                      <w:kern w:val="0"/>
                      <w:szCs w:val="21"/>
                      <w:lang w:bidi="ar"/>
                    </w:rPr>
                  </w:pPr>
                  <w:r>
                    <w:rPr>
                      <w:color w:val="auto"/>
                      <w:kern w:val="0"/>
                      <w:szCs w:val="21"/>
                      <w:lang w:bidi="ar"/>
                    </w:rPr>
                    <w:t>2.7974</w:t>
                  </w:r>
                </w:p>
              </w:tc>
              <w:tc>
                <w:tcPr>
                  <w:tcW w:w="621" w:type="pct"/>
                  <w:vAlign w:val="center"/>
                </w:tcPr>
                <w:p w14:paraId="4CCA4A90">
                  <w:pPr>
                    <w:widowControl/>
                    <w:jc w:val="center"/>
                    <w:textAlignment w:val="center"/>
                    <w:rPr>
                      <w:color w:val="auto"/>
                      <w:kern w:val="0"/>
                      <w:szCs w:val="21"/>
                      <w:lang w:bidi="ar"/>
                    </w:rPr>
                  </w:pPr>
                  <w:r>
                    <w:rPr>
                      <w:color w:val="auto"/>
                      <w:kern w:val="0"/>
                      <w:szCs w:val="21"/>
                      <w:lang w:bidi="ar"/>
                    </w:rPr>
                    <w:t>11</w:t>
                  </w:r>
                  <w:r>
                    <w:rPr>
                      <w:rFonts w:hint="eastAsia"/>
                      <w:color w:val="auto"/>
                      <w:kern w:val="0"/>
                      <w:szCs w:val="21"/>
                      <w:lang w:bidi="ar"/>
                    </w:rPr>
                    <w:t>.</w:t>
                  </w:r>
                  <w:r>
                    <w:rPr>
                      <w:color w:val="auto"/>
                      <w:kern w:val="0"/>
                      <w:szCs w:val="21"/>
                      <w:lang w:bidi="ar"/>
                    </w:rPr>
                    <w:t>8</w:t>
                  </w:r>
                </w:p>
              </w:tc>
              <w:tc>
                <w:tcPr>
                  <w:tcW w:w="623" w:type="pct"/>
                  <w:vAlign w:val="center"/>
                </w:tcPr>
                <w:p w14:paraId="3868D8B6">
                  <w:pPr>
                    <w:widowControl/>
                    <w:jc w:val="center"/>
                    <w:textAlignment w:val="center"/>
                    <w:rPr>
                      <w:color w:val="auto"/>
                      <w:kern w:val="0"/>
                      <w:szCs w:val="21"/>
                      <w:lang w:bidi="ar"/>
                    </w:rPr>
                  </w:pPr>
                  <w:r>
                    <w:rPr>
                      <w:color w:val="auto"/>
                      <w:kern w:val="0"/>
                      <w:szCs w:val="21"/>
                      <w:lang w:bidi="ar"/>
                    </w:rPr>
                    <w:t>0.0098</w:t>
                  </w:r>
                </w:p>
              </w:tc>
              <w:tc>
                <w:tcPr>
                  <w:tcW w:w="720" w:type="pct"/>
                  <w:vAlign w:val="center"/>
                </w:tcPr>
                <w:p w14:paraId="1C425B7C">
                  <w:pPr>
                    <w:widowControl/>
                    <w:jc w:val="center"/>
                    <w:textAlignment w:val="center"/>
                    <w:rPr>
                      <w:color w:val="auto"/>
                      <w:kern w:val="0"/>
                      <w:szCs w:val="21"/>
                      <w:lang w:bidi="ar"/>
                    </w:rPr>
                  </w:pPr>
                  <w:r>
                    <w:rPr>
                      <w:color w:val="auto"/>
                      <w:kern w:val="0"/>
                      <w:szCs w:val="21"/>
                      <w:lang w:bidi="ar"/>
                    </w:rPr>
                    <w:t>1.1190</w:t>
                  </w:r>
                </w:p>
              </w:tc>
            </w:tr>
            <w:tr w14:paraId="1D8B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79EAB75">
                  <w:pPr>
                    <w:contextualSpacing/>
                    <w:jc w:val="center"/>
                    <w:rPr>
                      <w:color w:val="auto"/>
                      <w:szCs w:val="21"/>
                    </w:rPr>
                  </w:pPr>
                  <w:r>
                    <w:rPr>
                      <w:rFonts w:hint="eastAsia"/>
                      <w:color w:val="auto"/>
                      <w:szCs w:val="21"/>
                    </w:rPr>
                    <w:t>4</w:t>
                  </w:r>
                </w:p>
              </w:tc>
              <w:tc>
                <w:tcPr>
                  <w:tcW w:w="776" w:type="pct"/>
                </w:tcPr>
                <w:p w14:paraId="24E04B62">
                  <w:pPr>
                    <w:contextualSpacing/>
                    <w:jc w:val="center"/>
                    <w:rPr>
                      <w:color w:val="auto"/>
                      <w:szCs w:val="21"/>
                    </w:rPr>
                  </w:pPr>
                  <w:r>
                    <w:rPr>
                      <w:color w:val="auto"/>
                      <w:szCs w:val="21"/>
                    </w:rPr>
                    <w:t>N,N-二甲基甲酰胺</w:t>
                  </w:r>
                </w:p>
              </w:tc>
              <w:tc>
                <w:tcPr>
                  <w:tcW w:w="601" w:type="pct"/>
                  <w:vAlign w:val="center"/>
                </w:tcPr>
                <w:p w14:paraId="12326C03">
                  <w:pPr>
                    <w:widowControl/>
                    <w:jc w:val="center"/>
                    <w:textAlignment w:val="center"/>
                    <w:rPr>
                      <w:color w:val="auto"/>
                      <w:szCs w:val="21"/>
                    </w:rPr>
                  </w:pPr>
                  <w:r>
                    <w:rPr>
                      <w:color w:val="auto"/>
                      <w:kern w:val="0"/>
                      <w:szCs w:val="21"/>
                      <w:lang w:bidi="ar"/>
                    </w:rPr>
                    <w:t>4</w:t>
                  </w:r>
                  <w:r>
                    <w:rPr>
                      <w:rFonts w:hint="eastAsia"/>
                      <w:color w:val="auto"/>
                      <w:kern w:val="0"/>
                      <w:szCs w:val="21"/>
                      <w:lang w:bidi="ar"/>
                    </w:rPr>
                    <w:t>.</w:t>
                  </w:r>
                  <w:r>
                    <w:rPr>
                      <w:color w:val="auto"/>
                      <w:kern w:val="0"/>
                      <w:szCs w:val="21"/>
                      <w:lang w:bidi="ar"/>
                    </w:rPr>
                    <w:t>8</w:t>
                  </w:r>
                </w:p>
              </w:tc>
              <w:tc>
                <w:tcPr>
                  <w:tcW w:w="632" w:type="pct"/>
                  <w:vAlign w:val="center"/>
                </w:tcPr>
                <w:p w14:paraId="7D6530DB">
                  <w:pPr>
                    <w:widowControl/>
                    <w:jc w:val="center"/>
                    <w:textAlignment w:val="center"/>
                    <w:rPr>
                      <w:color w:val="auto"/>
                      <w:kern w:val="0"/>
                      <w:szCs w:val="21"/>
                      <w:lang w:bidi="ar"/>
                    </w:rPr>
                  </w:pPr>
                  <w:r>
                    <w:rPr>
                      <w:color w:val="auto"/>
                      <w:kern w:val="0"/>
                      <w:szCs w:val="21"/>
                      <w:lang w:bidi="ar"/>
                    </w:rPr>
                    <w:t>0.0040</w:t>
                  </w:r>
                </w:p>
              </w:tc>
              <w:tc>
                <w:tcPr>
                  <w:tcW w:w="720" w:type="pct"/>
                  <w:vAlign w:val="center"/>
                </w:tcPr>
                <w:p w14:paraId="1364D225">
                  <w:pPr>
                    <w:widowControl/>
                    <w:jc w:val="center"/>
                    <w:textAlignment w:val="center"/>
                    <w:rPr>
                      <w:color w:val="auto"/>
                      <w:kern w:val="0"/>
                      <w:szCs w:val="21"/>
                      <w:lang w:bidi="ar"/>
                    </w:rPr>
                  </w:pPr>
                  <w:r>
                    <w:rPr>
                      <w:color w:val="auto"/>
                      <w:kern w:val="0"/>
                      <w:szCs w:val="21"/>
                      <w:lang w:bidi="ar"/>
                    </w:rPr>
                    <w:t>0.4512</w:t>
                  </w:r>
                </w:p>
              </w:tc>
              <w:tc>
                <w:tcPr>
                  <w:tcW w:w="621" w:type="pct"/>
                  <w:vAlign w:val="center"/>
                </w:tcPr>
                <w:p w14:paraId="679AB64B">
                  <w:pPr>
                    <w:widowControl/>
                    <w:jc w:val="center"/>
                    <w:textAlignment w:val="center"/>
                    <w:rPr>
                      <w:color w:val="auto"/>
                      <w:kern w:val="0"/>
                      <w:szCs w:val="21"/>
                      <w:lang w:bidi="ar"/>
                    </w:rPr>
                  </w:pPr>
                  <w:r>
                    <w:rPr>
                      <w:color w:val="auto"/>
                      <w:kern w:val="0"/>
                      <w:szCs w:val="21"/>
                      <w:lang w:bidi="ar"/>
                    </w:rPr>
                    <w:t>1</w:t>
                  </w:r>
                  <w:r>
                    <w:rPr>
                      <w:rFonts w:hint="eastAsia"/>
                      <w:color w:val="auto"/>
                      <w:kern w:val="0"/>
                      <w:szCs w:val="21"/>
                      <w:lang w:bidi="ar"/>
                    </w:rPr>
                    <w:t>.</w:t>
                  </w:r>
                  <w:r>
                    <w:rPr>
                      <w:color w:val="auto"/>
                      <w:kern w:val="0"/>
                      <w:szCs w:val="21"/>
                      <w:lang w:bidi="ar"/>
                    </w:rPr>
                    <w:t>9</w:t>
                  </w:r>
                </w:p>
              </w:tc>
              <w:tc>
                <w:tcPr>
                  <w:tcW w:w="623" w:type="pct"/>
                  <w:vAlign w:val="center"/>
                </w:tcPr>
                <w:p w14:paraId="6E1EC31A">
                  <w:pPr>
                    <w:widowControl/>
                    <w:jc w:val="center"/>
                    <w:textAlignment w:val="center"/>
                    <w:rPr>
                      <w:color w:val="auto"/>
                      <w:kern w:val="0"/>
                      <w:szCs w:val="21"/>
                      <w:lang w:bidi="ar"/>
                    </w:rPr>
                  </w:pPr>
                  <w:r>
                    <w:rPr>
                      <w:color w:val="auto"/>
                      <w:kern w:val="0"/>
                      <w:szCs w:val="21"/>
                      <w:lang w:bidi="ar"/>
                    </w:rPr>
                    <w:t>0.0016</w:t>
                  </w:r>
                </w:p>
              </w:tc>
              <w:tc>
                <w:tcPr>
                  <w:tcW w:w="720" w:type="pct"/>
                  <w:vAlign w:val="center"/>
                </w:tcPr>
                <w:p w14:paraId="0C0B239C">
                  <w:pPr>
                    <w:widowControl/>
                    <w:jc w:val="center"/>
                    <w:textAlignment w:val="center"/>
                    <w:rPr>
                      <w:color w:val="auto"/>
                      <w:kern w:val="0"/>
                      <w:szCs w:val="21"/>
                      <w:lang w:bidi="ar"/>
                    </w:rPr>
                  </w:pPr>
                  <w:r>
                    <w:rPr>
                      <w:color w:val="auto"/>
                      <w:kern w:val="0"/>
                      <w:szCs w:val="21"/>
                      <w:lang w:bidi="ar"/>
                    </w:rPr>
                    <w:t>0.1805</w:t>
                  </w:r>
                </w:p>
              </w:tc>
            </w:tr>
            <w:tr w14:paraId="12C1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1D92EDA9">
                  <w:pPr>
                    <w:contextualSpacing/>
                    <w:jc w:val="center"/>
                    <w:rPr>
                      <w:color w:val="auto"/>
                      <w:szCs w:val="21"/>
                    </w:rPr>
                  </w:pPr>
                  <w:r>
                    <w:rPr>
                      <w:rFonts w:hint="eastAsia"/>
                      <w:color w:val="auto"/>
                      <w:szCs w:val="21"/>
                    </w:rPr>
                    <w:t>5</w:t>
                  </w:r>
                </w:p>
              </w:tc>
              <w:tc>
                <w:tcPr>
                  <w:tcW w:w="776" w:type="pct"/>
                </w:tcPr>
                <w:p w14:paraId="7AABF532">
                  <w:pPr>
                    <w:contextualSpacing/>
                    <w:jc w:val="center"/>
                    <w:rPr>
                      <w:color w:val="auto"/>
                      <w:szCs w:val="21"/>
                    </w:rPr>
                  </w:pPr>
                  <w:r>
                    <w:rPr>
                      <w:rFonts w:hint="eastAsia"/>
                      <w:color w:val="auto"/>
                      <w:szCs w:val="21"/>
                    </w:rPr>
                    <w:t>四氢呋喃</w:t>
                  </w:r>
                </w:p>
              </w:tc>
              <w:tc>
                <w:tcPr>
                  <w:tcW w:w="601" w:type="pct"/>
                  <w:vAlign w:val="center"/>
                </w:tcPr>
                <w:p w14:paraId="1D9B7042">
                  <w:pPr>
                    <w:widowControl/>
                    <w:jc w:val="center"/>
                    <w:textAlignment w:val="center"/>
                    <w:rPr>
                      <w:color w:val="auto"/>
                      <w:szCs w:val="21"/>
                    </w:rPr>
                  </w:pPr>
                  <w:r>
                    <w:rPr>
                      <w:color w:val="auto"/>
                      <w:kern w:val="0"/>
                      <w:szCs w:val="21"/>
                      <w:lang w:bidi="ar"/>
                    </w:rPr>
                    <w:t>4</w:t>
                  </w:r>
                  <w:r>
                    <w:rPr>
                      <w:rFonts w:hint="eastAsia"/>
                      <w:color w:val="auto"/>
                      <w:kern w:val="0"/>
                      <w:szCs w:val="21"/>
                      <w:lang w:bidi="ar"/>
                    </w:rPr>
                    <w:t>.</w:t>
                  </w:r>
                  <w:r>
                    <w:rPr>
                      <w:color w:val="auto"/>
                      <w:kern w:val="0"/>
                      <w:szCs w:val="21"/>
                      <w:lang w:bidi="ar"/>
                    </w:rPr>
                    <w:t>8</w:t>
                  </w:r>
                </w:p>
              </w:tc>
              <w:tc>
                <w:tcPr>
                  <w:tcW w:w="632" w:type="pct"/>
                  <w:vAlign w:val="center"/>
                </w:tcPr>
                <w:p w14:paraId="71C72DAD">
                  <w:pPr>
                    <w:widowControl/>
                    <w:jc w:val="center"/>
                    <w:textAlignment w:val="center"/>
                    <w:rPr>
                      <w:color w:val="auto"/>
                      <w:kern w:val="0"/>
                      <w:szCs w:val="21"/>
                      <w:lang w:bidi="ar"/>
                    </w:rPr>
                  </w:pPr>
                  <w:r>
                    <w:rPr>
                      <w:color w:val="auto"/>
                      <w:kern w:val="0"/>
                      <w:szCs w:val="21"/>
                      <w:lang w:bidi="ar"/>
                    </w:rPr>
                    <w:t>0.0040</w:t>
                  </w:r>
                </w:p>
              </w:tc>
              <w:tc>
                <w:tcPr>
                  <w:tcW w:w="720" w:type="pct"/>
                  <w:vAlign w:val="center"/>
                </w:tcPr>
                <w:p w14:paraId="3FB700A3">
                  <w:pPr>
                    <w:widowControl/>
                    <w:jc w:val="center"/>
                    <w:textAlignment w:val="center"/>
                    <w:rPr>
                      <w:color w:val="auto"/>
                      <w:kern w:val="0"/>
                      <w:szCs w:val="21"/>
                      <w:lang w:bidi="ar"/>
                    </w:rPr>
                  </w:pPr>
                  <w:r>
                    <w:rPr>
                      <w:color w:val="auto"/>
                      <w:kern w:val="0"/>
                      <w:szCs w:val="21"/>
                      <w:lang w:bidi="ar"/>
                    </w:rPr>
                    <w:t>0.4512</w:t>
                  </w:r>
                </w:p>
              </w:tc>
              <w:tc>
                <w:tcPr>
                  <w:tcW w:w="621" w:type="pct"/>
                  <w:vAlign w:val="center"/>
                </w:tcPr>
                <w:p w14:paraId="28717207">
                  <w:pPr>
                    <w:widowControl/>
                    <w:jc w:val="center"/>
                    <w:textAlignment w:val="center"/>
                    <w:rPr>
                      <w:color w:val="auto"/>
                      <w:kern w:val="0"/>
                      <w:szCs w:val="21"/>
                      <w:lang w:bidi="ar"/>
                    </w:rPr>
                  </w:pPr>
                  <w:r>
                    <w:rPr>
                      <w:color w:val="auto"/>
                      <w:kern w:val="0"/>
                      <w:szCs w:val="21"/>
                      <w:lang w:bidi="ar"/>
                    </w:rPr>
                    <w:t>1</w:t>
                  </w:r>
                  <w:r>
                    <w:rPr>
                      <w:rFonts w:hint="eastAsia"/>
                      <w:color w:val="auto"/>
                      <w:kern w:val="0"/>
                      <w:szCs w:val="21"/>
                      <w:lang w:bidi="ar"/>
                    </w:rPr>
                    <w:t>.</w:t>
                  </w:r>
                  <w:r>
                    <w:rPr>
                      <w:color w:val="auto"/>
                      <w:kern w:val="0"/>
                      <w:szCs w:val="21"/>
                      <w:lang w:bidi="ar"/>
                    </w:rPr>
                    <w:t>9</w:t>
                  </w:r>
                </w:p>
              </w:tc>
              <w:tc>
                <w:tcPr>
                  <w:tcW w:w="623" w:type="pct"/>
                  <w:vAlign w:val="center"/>
                </w:tcPr>
                <w:p w14:paraId="593F5ED3">
                  <w:pPr>
                    <w:widowControl/>
                    <w:jc w:val="center"/>
                    <w:textAlignment w:val="center"/>
                    <w:rPr>
                      <w:color w:val="auto"/>
                      <w:kern w:val="0"/>
                      <w:szCs w:val="21"/>
                      <w:lang w:bidi="ar"/>
                    </w:rPr>
                  </w:pPr>
                  <w:r>
                    <w:rPr>
                      <w:color w:val="auto"/>
                      <w:kern w:val="0"/>
                      <w:szCs w:val="21"/>
                      <w:lang w:bidi="ar"/>
                    </w:rPr>
                    <w:t>0.0016</w:t>
                  </w:r>
                </w:p>
              </w:tc>
              <w:tc>
                <w:tcPr>
                  <w:tcW w:w="720" w:type="pct"/>
                  <w:vAlign w:val="center"/>
                </w:tcPr>
                <w:p w14:paraId="556360E3">
                  <w:pPr>
                    <w:widowControl/>
                    <w:jc w:val="center"/>
                    <w:textAlignment w:val="center"/>
                    <w:rPr>
                      <w:color w:val="auto"/>
                      <w:kern w:val="0"/>
                      <w:szCs w:val="21"/>
                      <w:lang w:bidi="ar"/>
                    </w:rPr>
                  </w:pPr>
                  <w:r>
                    <w:rPr>
                      <w:color w:val="auto"/>
                      <w:kern w:val="0"/>
                      <w:szCs w:val="21"/>
                      <w:lang w:bidi="ar"/>
                    </w:rPr>
                    <w:t>0.1805</w:t>
                  </w:r>
                </w:p>
              </w:tc>
            </w:tr>
            <w:tr w14:paraId="4F8F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0550EF8A">
                  <w:pPr>
                    <w:contextualSpacing/>
                    <w:jc w:val="center"/>
                    <w:rPr>
                      <w:color w:val="auto"/>
                      <w:szCs w:val="21"/>
                    </w:rPr>
                  </w:pPr>
                  <w:r>
                    <w:rPr>
                      <w:rFonts w:hint="eastAsia"/>
                      <w:color w:val="auto"/>
                      <w:szCs w:val="21"/>
                    </w:rPr>
                    <w:t>6</w:t>
                  </w:r>
                </w:p>
              </w:tc>
              <w:tc>
                <w:tcPr>
                  <w:tcW w:w="776" w:type="pct"/>
                </w:tcPr>
                <w:p w14:paraId="46A8308F">
                  <w:pPr>
                    <w:contextualSpacing/>
                    <w:jc w:val="center"/>
                    <w:rPr>
                      <w:color w:val="auto"/>
                      <w:szCs w:val="21"/>
                    </w:rPr>
                  </w:pPr>
                  <w:r>
                    <w:rPr>
                      <w:rFonts w:hint="eastAsia"/>
                      <w:color w:val="auto"/>
                      <w:szCs w:val="21"/>
                    </w:rPr>
                    <w:t>乙醇</w:t>
                  </w:r>
                </w:p>
              </w:tc>
              <w:tc>
                <w:tcPr>
                  <w:tcW w:w="601" w:type="pct"/>
                  <w:vAlign w:val="center"/>
                </w:tcPr>
                <w:p w14:paraId="698CC921">
                  <w:pPr>
                    <w:widowControl/>
                    <w:jc w:val="center"/>
                    <w:textAlignment w:val="center"/>
                    <w:rPr>
                      <w:color w:val="auto"/>
                      <w:szCs w:val="21"/>
                    </w:rPr>
                  </w:pPr>
                  <w:r>
                    <w:rPr>
                      <w:color w:val="auto"/>
                      <w:kern w:val="0"/>
                      <w:szCs w:val="21"/>
                      <w:lang w:bidi="ar"/>
                    </w:rPr>
                    <w:t>4</w:t>
                  </w:r>
                  <w:r>
                    <w:rPr>
                      <w:rFonts w:hint="eastAsia"/>
                      <w:color w:val="auto"/>
                      <w:kern w:val="0"/>
                      <w:szCs w:val="21"/>
                      <w:lang w:bidi="ar"/>
                    </w:rPr>
                    <w:t>.</w:t>
                  </w:r>
                  <w:r>
                    <w:rPr>
                      <w:color w:val="auto"/>
                      <w:kern w:val="0"/>
                      <w:szCs w:val="21"/>
                      <w:lang w:bidi="ar"/>
                    </w:rPr>
                    <w:t>8</w:t>
                  </w:r>
                </w:p>
              </w:tc>
              <w:tc>
                <w:tcPr>
                  <w:tcW w:w="632" w:type="pct"/>
                  <w:vAlign w:val="center"/>
                </w:tcPr>
                <w:p w14:paraId="4E8F0683">
                  <w:pPr>
                    <w:widowControl/>
                    <w:jc w:val="center"/>
                    <w:textAlignment w:val="center"/>
                    <w:rPr>
                      <w:color w:val="auto"/>
                      <w:kern w:val="0"/>
                      <w:szCs w:val="21"/>
                      <w:lang w:bidi="ar"/>
                    </w:rPr>
                  </w:pPr>
                  <w:r>
                    <w:rPr>
                      <w:color w:val="auto"/>
                      <w:kern w:val="0"/>
                      <w:szCs w:val="21"/>
                      <w:lang w:bidi="ar"/>
                    </w:rPr>
                    <w:t>0.0040</w:t>
                  </w:r>
                </w:p>
              </w:tc>
              <w:tc>
                <w:tcPr>
                  <w:tcW w:w="720" w:type="pct"/>
                  <w:vAlign w:val="center"/>
                </w:tcPr>
                <w:p w14:paraId="553AA1C7">
                  <w:pPr>
                    <w:widowControl/>
                    <w:jc w:val="center"/>
                    <w:textAlignment w:val="center"/>
                    <w:rPr>
                      <w:color w:val="auto"/>
                      <w:kern w:val="0"/>
                      <w:szCs w:val="21"/>
                      <w:lang w:bidi="ar"/>
                    </w:rPr>
                  </w:pPr>
                  <w:r>
                    <w:rPr>
                      <w:color w:val="auto"/>
                      <w:kern w:val="0"/>
                      <w:szCs w:val="21"/>
                      <w:lang w:bidi="ar"/>
                    </w:rPr>
                    <w:t>0.4512</w:t>
                  </w:r>
                </w:p>
              </w:tc>
              <w:tc>
                <w:tcPr>
                  <w:tcW w:w="621" w:type="pct"/>
                  <w:vAlign w:val="center"/>
                </w:tcPr>
                <w:p w14:paraId="01C5D4D7">
                  <w:pPr>
                    <w:widowControl/>
                    <w:jc w:val="center"/>
                    <w:textAlignment w:val="center"/>
                    <w:rPr>
                      <w:color w:val="auto"/>
                      <w:kern w:val="0"/>
                      <w:szCs w:val="21"/>
                      <w:lang w:bidi="ar"/>
                    </w:rPr>
                  </w:pPr>
                  <w:r>
                    <w:rPr>
                      <w:color w:val="auto"/>
                      <w:kern w:val="0"/>
                      <w:szCs w:val="21"/>
                      <w:lang w:bidi="ar"/>
                    </w:rPr>
                    <w:t>1</w:t>
                  </w:r>
                  <w:r>
                    <w:rPr>
                      <w:rFonts w:hint="eastAsia"/>
                      <w:color w:val="auto"/>
                      <w:kern w:val="0"/>
                      <w:szCs w:val="21"/>
                      <w:lang w:bidi="ar"/>
                    </w:rPr>
                    <w:t>.</w:t>
                  </w:r>
                  <w:r>
                    <w:rPr>
                      <w:color w:val="auto"/>
                      <w:kern w:val="0"/>
                      <w:szCs w:val="21"/>
                      <w:lang w:bidi="ar"/>
                    </w:rPr>
                    <w:t>9</w:t>
                  </w:r>
                </w:p>
              </w:tc>
              <w:tc>
                <w:tcPr>
                  <w:tcW w:w="623" w:type="pct"/>
                  <w:vAlign w:val="center"/>
                </w:tcPr>
                <w:p w14:paraId="50EA0159">
                  <w:pPr>
                    <w:widowControl/>
                    <w:jc w:val="center"/>
                    <w:textAlignment w:val="center"/>
                    <w:rPr>
                      <w:color w:val="auto"/>
                      <w:kern w:val="0"/>
                      <w:szCs w:val="21"/>
                      <w:lang w:bidi="ar"/>
                    </w:rPr>
                  </w:pPr>
                  <w:r>
                    <w:rPr>
                      <w:color w:val="auto"/>
                      <w:kern w:val="0"/>
                      <w:szCs w:val="21"/>
                      <w:lang w:bidi="ar"/>
                    </w:rPr>
                    <w:t>0.0016</w:t>
                  </w:r>
                </w:p>
              </w:tc>
              <w:tc>
                <w:tcPr>
                  <w:tcW w:w="720" w:type="pct"/>
                  <w:vAlign w:val="center"/>
                </w:tcPr>
                <w:p w14:paraId="392D0A32">
                  <w:pPr>
                    <w:widowControl/>
                    <w:jc w:val="center"/>
                    <w:textAlignment w:val="center"/>
                    <w:rPr>
                      <w:color w:val="auto"/>
                      <w:kern w:val="0"/>
                      <w:szCs w:val="21"/>
                      <w:lang w:bidi="ar"/>
                    </w:rPr>
                  </w:pPr>
                  <w:r>
                    <w:rPr>
                      <w:color w:val="auto"/>
                      <w:kern w:val="0"/>
                      <w:szCs w:val="21"/>
                      <w:lang w:bidi="ar"/>
                    </w:rPr>
                    <w:t>0.1805</w:t>
                  </w:r>
                </w:p>
              </w:tc>
            </w:tr>
            <w:tr w14:paraId="3658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03" w:type="pct"/>
                  <w:vAlign w:val="center"/>
                </w:tcPr>
                <w:p w14:paraId="62685D9F">
                  <w:pPr>
                    <w:contextualSpacing/>
                    <w:jc w:val="center"/>
                    <w:rPr>
                      <w:color w:val="auto"/>
                      <w:szCs w:val="21"/>
                    </w:rPr>
                  </w:pPr>
                  <w:r>
                    <w:rPr>
                      <w:rFonts w:hint="eastAsia"/>
                      <w:color w:val="auto"/>
                      <w:szCs w:val="21"/>
                    </w:rPr>
                    <w:t>7</w:t>
                  </w:r>
                </w:p>
              </w:tc>
              <w:tc>
                <w:tcPr>
                  <w:tcW w:w="776" w:type="pct"/>
                </w:tcPr>
                <w:p w14:paraId="7031C5F6">
                  <w:pPr>
                    <w:contextualSpacing/>
                    <w:jc w:val="center"/>
                    <w:rPr>
                      <w:color w:val="auto"/>
                      <w:szCs w:val="21"/>
                    </w:rPr>
                  </w:pPr>
                  <w:r>
                    <w:rPr>
                      <w:rFonts w:hint="eastAsia"/>
                      <w:color w:val="auto"/>
                      <w:szCs w:val="21"/>
                    </w:rPr>
                    <w:t>三乙胺</w:t>
                  </w:r>
                </w:p>
              </w:tc>
              <w:tc>
                <w:tcPr>
                  <w:tcW w:w="601" w:type="pct"/>
                  <w:vAlign w:val="center"/>
                </w:tcPr>
                <w:p w14:paraId="220A41BD">
                  <w:pPr>
                    <w:widowControl/>
                    <w:jc w:val="center"/>
                    <w:textAlignment w:val="center"/>
                    <w:rPr>
                      <w:color w:val="auto"/>
                      <w:szCs w:val="21"/>
                    </w:rPr>
                  </w:pPr>
                  <w:r>
                    <w:rPr>
                      <w:color w:val="auto"/>
                      <w:kern w:val="0"/>
                      <w:szCs w:val="21"/>
                      <w:lang w:bidi="ar"/>
                    </w:rPr>
                    <w:t>1</w:t>
                  </w:r>
                  <w:r>
                    <w:rPr>
                      <w:rFonts w:hint="eastAsia"/>
                      <w:color w:val="auto"/>
                      <w:kern w:val="0"/>
                      <w:szCs w:val="21"/>
                      <w:lang w:bidi="ar"/>
                    </w:rPr>
                    <w:t>.</w:t>
                  </w:r>
                  <w:r>
                    <w:rPr>
                      <w:color w:val="auto"/>
                      <w:kern w:val="0"/>
                      <w:szCs w:val="21"/>
                      <w:lang w:bidi="ar"/>
                    </w:rPr>
                    <w:t>9</w:t>
                  </w:r>
                </w:p>
              </w:tc>
              <w:tc>
                <w:tcPr>
                  <w:tcW w:w="632" w:type="pct"/>
                  <w:vAlign w:val="center"/>
                </w:tcPr>
                <w:p w14:paraId="5AB97344">
                  <w:pPr>
                    <w:widowControl/>
                    <w:jc w:val="center"/>
                    <w:textAlignment w:val="center"/>
                    <w:rPr>
                      <w:color w:val="auto"/>
                      <w:kern w:val="0"/>
                      <w:szCs w:val="21"/>
                      <w:lang w:bidi="ar"/>
                    </w:rPr>
                  </w:pPr>
                  <w:r>
                    <w:rPr>
                      <w:color w:val="auto"/>
                      <w:kern w:val="0"/>
                      <w:szCs w:val="21"/>
                      <w:lang w:bidi="ar"/>
                    </w:rPr>
                    <w:t>0.0016</w:t>
                  </w:r>
                </w:p>
              </w:tc>
              <w:tc>
                <w:tcPr>
                  <w:tcW w:w="720" w:type="pct"/>
                  <w:vAlign w:val="center"/>
                </w:tcPr>
                <w:p w14:paraId="4259B63D">
                  <w:pPr>
                    <w:widowControl/>
                    <w:jc w:val="center"/>
                    <w:textAlignment w:val="center"/>
                    <w:rPr>
                      <w:color w:val="auto"/>
                      <w:kern w:val="0"/>
                      <w:szCs w:val="21"/>
                      <w:lang w:bidi="ar"/>
                    </w:rPr>
                  </w:pPr>
                  <w:r>
                    <w:rPr>
                      <w:color w:val="auto"/>
                      <w:kern w:val="0"/>
                      <w:szCs w:val="21"/>
                      <w:lang w:bidi="ar"/>
                    </w:rPr>
                    <w:t>0.1805</w:t>
                  </w:r>
                </w:p>
              </w:tc>
              <w:tc>
                <w:tcPr>
                  <w:tcW w:w="621" w:type="pct"/>
                  <w:vAlign w:val="center"/>
                </w:tcPr>
                <w:p w14:paraId="7F7A3F59">
                  <w:pPr>
                    <w:widowControl/>
                    <w:jc w:val="center"/>
                    <w:textAlignment w:val="center"/>
                    <w:rPr>
                      <w:color w:val="auto"/>
                      <w:kern w:val="0"/>
                      <w:szCs w:val="21"/>
                      <w:lang w:bidi="ar"/>
                    </w:rPr>
                  </w:pPr>
                  <w:r>
                    <w:rPr>
                      <w:color w:val="auto"/>
                      <w:kern w:val="0"/>
                      <w:szCs w:val="21"/>
                      <w:lang w:bidi="ar"/>
                    </w:rPr>
                    <w:t>0</w:t>
                  </w:r>
                  <w:r>
                    <w:rPr>
                      <w:rFonts w:hint="eastAsia"/>
                      <w:color w:val="auto"/>
                      <w:kern w:val="0"/>
                      <w:szCs w:val="21"/>
                      <w:lang w:bidi="ar"/>
                    </w:rPr>
                    <w:t>.</w:t>
                  </w:r>
                  <w:r>
                    <w:rPr>
                      <w:color w:val="auto"/>
                      <w:kern w:val="0"/>
                      <w:szCs w:val="21"/>
                      <w:lang w:bidi="ar"/>
                    </w:rPr>
                    <w:t>8</w:t>
                  </w:r>
                </w:p>
              </w:tc>
              <w:tc>
                <w:tcPr>
                  <w:tcW w:w="623" w:type="pct"/>
                  <w:vAlign w:val="center"/>
                </w:tcPr>
                <w:p w14:paraId="2595BDA0">
                  <w:pPr>
                    <w:widowControl/>
                    <w:jc w:val="center"/>
                    <w:textAlignment w:val="center"/>
                    <w:rPr>
                      <w:color w:val="auto"/>
                      <w:kern w:val="0"/>
                      <w:szCs w:val="21"/>
                      <w:lang w:bidi="ar"/>
                    </w:rPr>
                  </w:pPr>
                  <w:r>
                    <w:rPr>
                      <w:color w:val="auto"/>
                      <w:kern w:val="0"/>
                      <w:szCs w:val="21"/>
                      <w:lang w:bidi="ar"/>
                    </w:rPr>
                    <w:t>0.0006</w:t>
                  </w:r>
                </w:p>
              </w:tc>
              <w:tc>
                <w:tcPr>
                  <w:tcW w:w="720" w:type="pct"/>
                  <w:vAlign w:val="center"/>
                </w:tcPr>
                <w:p w14:paraId="3C46D4DD">
                  <w:pPr>
                    <w:widowControl/>
                    <w:jc w:val="center"/>
                    <w:textAlignment w:val="center"/>
                    <w:rPr>
                      <w:color w:val="auto"/>
                      <w:kern w:val="0"/>
                      <w:szCs w:val="21"/>
                      <w:lang w:bidi="ar"/>
                    </w:rPr>
                  </w:pPr>
                  <w:r>
                    <w:rPr>
                      <w:color w:val="auto"/>
                      <w:kern w:val="0"/>
                      <w:szCs w:val="21"/>
                      <w:lang w:bidi="ar"/>
                    </w:rPr>
                    <w:t>0.0722</w:t>
                  </w:r>
                </w:p>
              </w:tc>
            </w:tr>
            <w:tr w14:paraId="0887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03" w:type="pct"/>
                  <w:vAlign w:val="center"/>
                </w:tcPr>
                <w:p w14:paraId="6C03B652">
                  <w:pPr>
                    <w:widowControl/>
                    <w:jc w:val="center"/>
                    <w:textAlignment w:val="center"/>
                    <w:rPr>
                      <w:rFonts w:hint="eastAsia" w:eastAsia="宋体"/>
                      <w:color w:val="auto"/>
                      <w:szCs w:val="21"/>
                      <w:lang w:val="en-US" w:eastAsia="zh-CN"/>
                    </w:rPr>
                  </w:pPr>
                  <w:r>
                    <w:rPr>
                      <w:rFonts w:hint="eastAsia"/>
                      <w:color w:val="auto"/>
                      <w:szCs w:val="21"/>
                      <w:lang w:val="en-US" w:eastAsia="zh-CN"/>
                    </w:rPr>
                    <w:t>8</w:t>
                  </w:r>
                </w:p>
              </w:tc>
              <w:tc>
                <w:tcPr>
                  <w:tcW w:w="1289" w:type="dxa"/>
                  <w:vAlign w:val="top"/>
                </w:tcPr>
                <w:p w14:paraId="01C55CBB">
                  <w:pPr>
                    <w:contextualSpacing/>
                    <w:jc w:val="center"/>
                    <w:rPr>
                      <w:rFonts w:hint="eastAsia"/>
                      <w:color w:val="auto"/>
                      <w:szCs w:val="21"/>
                    </w:rPr>
                  </w:pPr>
                  <w:r>
                    <w:rPr>
                      <w:rFonts w:hint="eastAsia"/>
                      <w:color w:val="auto"/>
                      <w:szCs w:val="21"/>
                    </w:rPr>
                    <w:t>N,N-二异丙基乙胺</w:t>
                  </w:r>
                </w:p>
              </w:tc>
              <w:tc>
                <w:tcPr>
                  <w:tcW w:w="601" w:type="pct"/>
                  <w:vAlign w:val="center"/>
                </w:tcPr>
                <w:p w14:paraId="73A9ADA4">
                  <w:pPr>
                    <w:widowControl/>
                    <w:jc w:val="center"/>
                    <w:textAlignment w:val="center"/>
                    <w:rPr>
                      <w:rFonts w:hint="default" w:eastAsia="宋体"/>
                      <w:color w:val="auto"/>
                      <w:szCs w:val="21"/>
                      <w:lang w:val="en-US" w:eastAsia="zh-CN"/>
                    </w:rPr>
                  </w:pPr>
                  <w:r>
                    <w:rPr>
                      <w:rFonts w:hint="eastAsia"/>
                      <w:color w:val="auto"/>
                      <w:szCs w:val="21"/>
                      <w:lang w:val="en-US" w:eastAsia="zh-CN"/>
                    </w:rPr>
                    <w:t>1.9</w:t>
                  </w:r>
                </w:p>
              </w:tc>
              <w:tc>
                <w:tcPr>
                  <w:tcW w:w="632" w:type="pct"/>
                  <w:vAlign w:val="center"/>
                </w:tcPr>
                <w:p w14:paraId="087E4420">
                  <w:pPr>
                    <w:widowControl/>
                    <w:jc w:val="center"/>
                    <w:textAlignment w:val="center"/>
                    <w:rPr>
                      <w:rFonts w:hint="default" w:eastAsia="宋体"/>
                      <w:color w:val="auto"/>
                      <w:szCs w:val="21"/>
                      <w:lang w:val="en-US" w:eastAsia="zh-CN"/>
                    </w:rPr>
                  </w:pPr>
                  <w:r>
                    <w:rPr>
                      <w:rFonts w:hint="eastAsia"/>
                      <w:color w:val="auto"/>
                      <w:szCs w:val="21"/>
                      <w:lang w:val="en-US" w:eastAsia="zh-CN"/>
                    </w:rPr>
                    <w:t>0.0016</w:t>
                  </w:r>
                </w:p>
              </w:tc>
              <w:tc>
                <w:tcPr>
                  <w:tcW w:w="720" w:type="pct"/>
                  <w:vAlign w:val="center"/>
                </w:tcPr>
                <w:p w14:paraId="1527C598">
                  <w:pPr>
                    <w:widowControl/>
                    <w:jc w:val="center"/>
                    <w:textAlignment w:val="center"/>
                    <w:rPr>
                      <w:rFonts w:hint="default" w:eastAsia="宋体"/>
                      <w:color w:val="auto"/>
                      <w:szCs w:val="21"/>
                      <w:lang w:val="en-US" w:eastAsia="zh-CN"/>
                    </w:rPr>
                  </w:pPr>
                  <w:r>
                    <w:rPr>
                      <w:rFonts w:hint="eastAsia"/>
                      <w:color w:val="auto"/>
                      <w:szCs w:val="21"/>
                      <w:lang w:val="en-US" w:eastAsia="zh-CN"/>
                    </w:rPr>
                    <w:t>0.1805</w:t>
                  </w:r>
                </w:p>
              </w:tc>
              <w:tc>
                <w:tcPr>
                  <w:tcW w:w="621" w:type="pct"/>
                  <w:vAlign w:val="center"/>
                </w:tcPr>
                <w:p w14:paraId="049BF3CD">
                  <w:pPr>
                    <w:widowControl/>
                    <w:jc w:val="center"/>
                    <w:textAlignment w:val="center"/>
                    <w:rPr>
                      <w:rFonts w:hint="default" w:eastAsia="宋体"/>
                      <w:color w:val="auto"/>
                      <w:szCs w:val="21"/>
                      <w:lang w:val="en-US" w:eastAsia="zh-CN"/>
                    </w:rPr>
                  </w:pPr>
                  <w:r>
                    <w:rPr>
                      <w:rFonts w:hint="eastAsia"/>
                      <w:color w:val="auto"/>
                      <w:szCs w:val="21"/>
                      <w:lang w:val="en-US" w:eastAsia="zh-CN"/>
                    </w:rPr>
                    <w:t>0.8</w:t>
                  </w:r>
                </w:p>
              </w:tc>
              <w:tc>
                <w:tcPr>
                  <w:tcW w:w="623" w:type="pct"/>
                  <w:vAlign w:val="center"/>
                </w:tcPr>
                <w:p w14:paraId="0ADAB533">
                  <w:pPr>
                    <w:widowControl/>
                    <w:jc w:val="center"/>
                    <w:textAlignment w:val="center"/>
                    <w:rPr>
                      <w:rFonts w:hint="default" w:eastAsia="宋体"/>
                      <w:color w:val="auto"/>
                      <w:szCs w:val="21"/>
                      <w:lang w:val="en-US" w:eastAsia="zh-CN"/>
                    </w:rPr>
                  </w:pPr>
                  <w:r>
                    <w:rPr>
                      <w:rFonts w:hint="eastAsia"/>
                      <w:color w:val="auto"/>
                      <w:szCs w:val="21"/>
                      <w:lang w:val="en-US" w:eastAsia="zh-CN"/>
                    </w:rPr>
                    <w:t>0.0006</w:t>
                  </w:r>
                </w:p>
              </w:tc>
              <w:tc>
                <w:tcPr>
                  <w:tcW w:w="720" w:type="pct"/>
                  <w:vAlign w:val="center"/>
                </w:tcPr>
                <w:p w14:paraId="5FFA5B0B">
                  <w:pPr>
                    <w:widowControl/>
                    <w:jc w:val="center"/>
                    <w:textAlignment w:val="center"/>
                    <w:rPr>
                      <w:rFonts w:hint="default" w:eastAsia="宋体"/>
                      <w:color w:val="auto"/>
                      <w:szCs w:val="21"/>
                      <w:lang w:val="en-US" w:eastAsia="zh-CN"/>
                    </w:rPr>
                  </w:pPr>
                  <w:r>
                    <w:rPr>
                      <w:rFonts w:hint="eastAsia"/>
                      <w:color w:val="auto"/>
                      <w:szCs w:val="21"/>
                      <w:lang w:val="en-US" w:eastAsia="zh-CN"/>
                    </w:rPr>
                    <w:t>0.0722</w:t>
                  </w:r>
                </w:p>
              </w:tc>
            </w:tr>
            <w:tr w14:paraId="097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03" w:type="pct"/>
                  <w:vAlign w:val="center"/>
                </w:tcPr>
                <w:p w14:paraId="469E9474">
                  <w:pPr>
                    <w:widowControl/>
                    <w:jc w:val="center"/>
                    <w:textAlignment w:val="center"/>
                    <w:rPr>
                      <w:rFonts w:hint="eastAsia" w:eastAsia="宋体"/>
                      <w:color w:val="auto"/>
                      <w:szCs w:val="21"/>
                      <w:lang w:val="en-US" w:eastAsia="zh-CN"/>
                    </w:rPr>
                  </w:pPr>
                  <w:r>
                    <w:rPr>
                      <w:rFonts w:hint="eastAsia"/>
                      <w:color w:val="auto"/>
                      <w:szCs w:val="21"/>
                      <w:lang w:val="en-US" w:eastAsia="zh-CN"/>
                    </w:rPr>
                    <w:t>9</w:t>
                  </w:r>
                </w:p>
              </w:tc>
              <w:tc>
                <w:tcPr>
                  <w:tcW w:w="1289" w:type="dxa"/>
                  <w:vAlign w:val="top"/>
                </w:tcPr>
                <w:p w14:paraId="0464EECC">
                  <w:pPr>
                    <w:contextualSpacing/>
                    <w:jc w:val="center"/>
                    <w:rPr>
                      <w:rFonts w:hint="eastAsia"/>
                      <w:color w:val="auto"/>
                      <w:szCs w:val="21"/>
                    </w:rPr>
                  </w:pPr>
                  <w:r>
                    <w:rPr>
                      <w:rFonts w:hint="eastAsia"/>
                      <w:color w:val="auto"/>
                      <w:szCs w:val="21"/>
                    </w:rPr>
                    <w:t>吡咯酸乙酯</w:t>
                  </w:r>
                </w:p>
              </w:tc>
              <w:tc>
                <w:tcPr>
                  <w:tcW w:w="601" w:type="pct"/>
                  <w:vAlign w:val="center"/>
                </w:tcPr>
                <w:p w14:paraId="778DEB1A">
                  <w:pPr>
                    <w:widowControl/>
                    <w:jc w:val="center"/>
                    <w:textAlignment w:val="center"/>
                    <w:rPr>
                      <w:rFonts w:hint="default" w:eastAsia="宋体"/>
                      <w:color w:val="auto"/>
                      <w:szCs w:val="21"/>
                      <w:lang w:val="en-US" w:eastAsia="zh-CN"/>
                    </w:rPr>
                  </w:pPr>
                  <w:r>
                    <w:rPr>
                      <w:rFonts w:hint="eastAsia"/>
                      <w:color w:val="auto"/>
                      <w:szCs w:val="21"/>
                      <w:lang w:val="en-US" w:eastAsia="zh-CN"/>
                    </w:rPr>
                    <w:t>0.1</w:t>
                  </w:r>
                </w:p>
              </w:tc>
              <w:tc>
                <w:tcPr>
                  <w:tcW w:w="632" w:type="pct"/>
                  <w:vAlign w:val="center"/>
                </w:tcPr>
                <w:p w14:paraId="0B2D7E9C">
                  <w:pPr>
                    <w:widowControl/>
                    <w:jc w:val="center"/>
                    <w:textAlignment w:val="center"/>
                    <w:rPr>
                      <w:rFonts w:hint="default" w:eastAsia="宋体"/>
                      <w:color w:val="auto"/>
                      <w:szCs w:val="21"/>
                      <w:lang w:val="en-US" w:eastAsia="zh-CN"/>
                    </w:rPr>
                  </w:pPr>
                  <w:r>
                    <w:rPr>
                      <w:rFonts w:hint="eastAsia"/>
                      <w:color w:val="auto"/>
                      <w:szCs w:val="21"/>
                      <w:lang w:val="en-US" w:eastAsia="zh-CN"/>
                    </w:rPr>
                    <w:t>0.0001</w:t>
                  </w:r>
                </w:p>
              </w:tc>
              <w:tc>
                <w:tcPr>
                  <w:tcW w:w="720" w:type="pct"/>
                  <w:vAlign w:val="center"/>
                </w:tcPr>
                <w:p w14:paraId="71D146C6">
                  <w:pPr>
                    <w:widowControl/>
                    <w:jc w:val="center"/>
                    <w:textAlignment w:val="center"/>
                    <w:rPr>
                      <w:rFonts w:hint="default" w:eastAsia="宋体"/>
                      <w:color w:val="auto"/>
                      <w:szCs w:val="21"/>
                      <w:lang w:val="en-US" w:eastAsia="zh-CN"/>
                    </w:rPr>
                  </w:pPr>
                  <w:r>
                    <w:rPr>
                      <w:rFonts w:hint="eastAsia"/>
                      <w:color w:val="auto"/>
                      <w:szCs w:val="21"/>
                      <w:lang w:val="en-US" w:eastAsia="zh-CN"/>
                    </w:rPr>
                    <w:t>0.0090</w:t>
                  </w:r>
                </w:p>
              </w:tc>
              <w:tc>
                <w:tcPr>
                  <w:tcW w:w="621" w:type="pct"/>
                  <w:vAlign w:val="center"/>
                </w:tcPr>
                <w:p w14:paraId="12094311">
                  <w:pPr>
                    <w:widowControl/>
                    <w:jc w:val="center"/>
                    <w:textAlignment w:val="center"/>
                    <w:rPr>
                      <w:rFonts w:hint="default" w:eastAsia="宋体"/>
                      <w:color w:val="auto"/>
                      <w:szCs w:val="21"/>
                      <w:lang w:val="en-US" w:eastAsia="zh-CN"/>
                    </w:rPr>
                  </w:pPr>
                  <w:r>
                    <w:rPr>
                      <w:rFonts w:hint="eastAsia"/>
                      <w:color w:val="auto"/>
                      <w:szCs w:val="21"/>
                      <w:lang w:val="en-US" w:eastAsia="zh-CN"/>
                    </w:rPr>
                    <w:t>0.04</w:t>
                  </w:r>
                </w:p>
              </w:tc>
              <w:tc>
                <w:tcPr>
                  <w:tcW w:w="623" w:type="pct"/>
                  <w:vAlign w:val="center"/>
                </w:tcPr>
                <w:p w14:paraId="3D550610">
                  <w:pPr>
                    <w:widowControl/>
                    <w:jc w:val="center"/>
                    <w:textAlignment w:val="center"/>
                    <w:rPr>
                      <w:rFonts w:hint="default" w:eastAsia="宋体"/>
                      <w:color w:val="auto"/>
                      <w:szCs w:val="21"/>
                      <w:lang w:val="en-US" w:eastAsia="zh-CN"/>
                    </w:rPr>
                  </w:pPr>
                  <w:r>
                    <w:rPr>
                      <w:rFonts w:hint="eastAsia"/>
                      <w:color w:val="auto"/>
                      <w:szCs w:val="21"/>
                      <w:lang w:val="en-US" w:eastAsia="zh-CN"/>
                    </w:rPr>
                    <w:t>0.00003</w:t>
                  </w:r>
                </w:p>
              </w:tc>
              <w:tc>
                <w:tcPr>
                  <w:tcW w:w="720" w:type="pct"/>
                  <w:vAlign w:val="center"/>
                </w:tcPr>
                <w:p w14:paraId="127DE944">
                  <w:pPr>
                    <w:widowControl/>
                    <w:jc w:val="center"/>
                    <w:textAlignment w:val="center"/>
                    <w:rPr>
                      <w:rFonts w:hint="default" w:eastAsia="宋体"/>
                      <w:color w:val="auto"/>
                      <w:szCs w:val="21"/>
                      <w:lang w:val="en-US" w:eastAsia="zh-CN"/>
                    </w:rPr>
                  </w:pPr>
                  <w:r>
                    <w:rPr>
                      <w:rFonts w:hint="eastAsia"/>
                      <w:color w:val="auto"/>
                      <w:szCs w:val="21"/>
                      <w:lang w:val="en-US" w:eastAsia="zh-CN"/>
                    </w:rPr>
                    <w:t>0.0036</w:t>
                  </w:r>
                </w:p>
              </w:tc>
            </w:tr>
            <w:tr w14:paraId="534E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14671BF3">
                  <w:pPr>
                    <w:contextualSpacing/>
                    <w:jc w:val="center"/>
                    <w:rPr>
                      <w:rFonts w:hint="default" w:eastAsia="宋体"/>
                      <w:color w:val="auto"/>
                      <w:szCs w:val="21"/>
                      <w:lang w:val="en-US" w:eastAsia="zh-CN"/>
                    </w:rPr>
                  </w:pPr>
                  <w:r>
                    <w:rPr>
                      <w:rFonts w:hint="eastAsia"/>
                      <w:color w:val="auto"/>
                      <w:szCs w:val="21"/>
                      <w:lang w:val="en-US" w:eastAsia="zh-CN"/>
                    </w:rPr>
                    <w:t>10</w:t>
                  </w:r>
                </w:p>
              </w:tc>
              <w:tc>
                <w:tcPr>
                  <w:tcW w:w="776" w:type="pct"/>
                </w:tcPr>
                <w:p w14:paraId="56E053D7">
                  <w:pPr>
                    <w:contextualSpacing/>
                    <w:jc w:val="center"/>
                    <w:rPr>
                      <w:color w:val="auto"/>
                      <w:szCs w:val="21"/>
                    </w:rPr>
                  </w:pPr>
                  <w:r>
                    <w:rPr>
                      <w:rFonts w:hint="eastAsia"/>
                      <w:color w:val="auto"/>
                      <w:szCs w:val="21"/>
                    </w:rPr>
                    <w:t>合计</w:t>
                  </w:r>
                </w:p>
              </w:tc>
              <w:tc>
                <w:tcPr>
                  <w:tcW w:w="601" w:type="pct"/>
                  <w:vAlign w:val="center"/>
                </w:tcPr>
                <w:p w14:paraId="5490AEED">
                  <w:pPr>
                    <w:widowControl/>
                    <w:jc w:val="center"/>
                    <w:textAlignment w:val="center"/>
                    <w:rPr>
                      <w:color w:val="auto"/>
                      <w:kern w:val="0"/>
                      <w:szCs w:val="21"/>
                      <w:lang w:bidi="ar"/>
                    </w:rPr>
                  </w:pPr>
                  <w:r>
                    <w:rPr>
                      <w:color w:val="auto"/>
                      <w:kern w:val="0"/>
                      <w:szCs w:val="21"/>
                      <w:lang w:bidi="ar"/>
                    </w:rPr>
                    <w:t>9</w:t>
                  </w:r>
                  <w:r>
                    <w:rPr>
                      <w:rFonts w:hint="eastAsia"/>
                      <w:color w:val="auto"/>
                      <w:kern w:val="0"/>
                      <w:szCs w:val="21"/>
                      <w:lang w:val="en-US" w:eastAsia="zh-CN" w:bidi="ar"/>
                    </w:rPr>
                    <w:t>7</w:t>
                  </w:r>
                  <w:r>
                    <w:rPr>
                      <w:rFonts w:hint="eastAsia"/>
                      <w:color w:val="auto"/>
                      <w:kern w:val="0"/>
                      <w:szCs w:val="21"/>
                      <w:lang w:bidi="ar"/>
                    </w:rPr>
                    <w:t>.</w:t>
                  </w:r>
                  <w:r>
                    <w:rPr>
                      <w:color w:val="auto"/>
                      <w:kern w:val="0"/>
                      <w:szCs w:val="21"/>
                      <w:lang w:bidi="ar"/>
                    </w:rPr>
                    <w:t>1</w:t>
                  </w:r>
                </w:p>
              </w:tc>
              <w:tc>
                <w:tcPr>
                  <w:tcW w:w="632" w:type="pct"/>
                  <w:vAlign w:val="center"/>
                </w:tcPr>
                <w:p w14:paraId="234A3F7C">
                  <w:pPr>
                    <w:widowControl/>
                    <w:jc w:val="center"/>
                    <w:textAlignment w:val="center"/>
                    <w:rPr>
                      <w:rFonts w:hint="default" w:eastAsia="宋体"/>
                      <w:color w:val="auto"/>
                      <w:kern w:val="0"/>
                      <w:szCs w:val="21"/>
                      <w:lang w:val="en-US" w:eastAsia="zh-CN" w:bidi="ar"/>
                    </w:rPr>
                  </w:pPr>
                  <w:r>
                    <w:rPr>
                      <w:color w:val="auto"/>
                      <w:kern w:val="0"/>
                      <w:szCs w:val="21"/>
                      <w:lang w:bidi="ar"/>
                    </w:rPr>
                    <w:t>0.0</w:t>
                  </w:r>
                  <w:r>
                    <w:rPr>
                      <w:rFonts w:hint="eastAsia"/>
                      <w:color w:val="auto"/>
                      <w:kern w:val="0"/>
                      <w:szCs w:val="21"/>
                      <w:lang w:val="en-US" w:eastAsia="zh-CN" w:bidi="ar"/>
                    </w:rPr>
                    <w:t>812</w:t>
                  </w:r>
                </w:p>
              </w:tc>
              <w:tc>
                <w:tcPr>
                  <w:tcW w:w="720" w:type="pct"/>
                  <w:vAlign w:val="center"/>
                </w:tcPr>
                <w:p w14:paraId="0F18DE4A">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9.2603</w:t>
                  </w:r>
                </w:p>
              </w:tc>
              <w:tc>
                <w:tcPr>
                  <w:tcW w:w="621" w:type="pct"/>
                  <w:vAlign w:val="center"/>
                </w:tcPr>
                <w:p w14:paraId="74EA8280">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38.84</w:t>
                  </w:r>
                </w:p>
              </w:tc>
              <w:tc>
                <w:tcPr>
                  <w:tcW w:w="623" w:type="pct"/>
                  <w:vAlign w:val="center"/>
                </w:tcPr>
                <w:p w14:paraId="37C23660">
                  <w:pPr>
                    <w:widowControl/>
                    <w:jc w:val="center"/>
                    <w:textAlignment w:val="center"/>
                    <w:rPr>
                      <w:rFonts w:hint="default" w:eastAsia="宋体"/>
                      <w:color w:val="auto"/>
                      <w:kern w:val="0"/>
                      <w:szCs w:val="21"/>
                      <w:lang w:val="en-US" w:eastAsia="zh-CN" w:bidi="ar"/>
                    </w:rPr>
                  </w:pPr>
                  <w:r>
                    <w:rPr>
                      <w:color w:val="auto"/>
                      <w:kern w:val="0"/>
                      <w:szCs w:val="21"/>
                      <w:lang w:bidi="ar"/>
                    </w:rPr>
                    <w:t>0.03</w:t>
                  </w:r>
                  <w:r>
                    <w:rPr>
                      <w:rFonts w:hint="eastAsia"/>
                      <w:color w:val="auto"/>
                      <w:kern w:val="0"/>
                      <w:szCs w:val="21"/>
                      <w:lang w:val="en-US" w:eastAsia="zh-CN" w:bidi="ar"/>
                    </w:rPr>
                    <w:t>25</w:t>
                  </w:r>
                </w:p>
              </w:tc>
              <w:tc>
                <w:tcPr>
                  <w:tcW w:w="720" w:type="pct"/>
                  <w:vAlign w:val="center"/>
                </w:tcPr>
                <w:p w14:paraId="0239CA87">
                  <w:pPr>
                    <w:widowControl/>
                    <w:jc w:val="center"/>
                    <w:textAlignment w:val="center"/>
                    <w:rPr>
                      <w:rFonts w:hint="default" w:eastAsia="宋体"/>
                      <w:color w:val="auto"/>
                      <w:kern w:val="0"/>
                      <w:szCs w:val="21"/>
                      <w:lang w:val="en-US" w:eastAsia="zh-CN" w:bidi="ar"/>
                    </w:rPr>
                  </w:pPr>
                  <w:r>
                    <w:rPr>
                      <w:color w:val="auto"/>
                      <w:kern w:val="0"/>
                      <w:szCs w:val="21"/>
                      <w:lang w:bidi="ar"/>
                    </w:rPr>
                    <w:t>3.</w:t>
                  </w:r>
                  <w:r>
                    <w:rPr>
                      <w:rFonts w:hint="eastAsia"/>
                      <w:color w:val="auto"/>
                      <w:kern w:val="0"/>
                      <w:szCs w:val="21"/>
                      <w:lang w:val="en-US" w:eastAsia="zh-CN" w:bidi="ar"/>
                    </w:rPr>
                    <w:t>8292</w:t>
                  </w:r>
                </w:p>
              </w:tc>
            </w:tr>
          </w:tbl>
          <w:p w14:paraId="0C052089">
            <w:pPr>
              <w:jc w:val="center"/>
              <w:rPr>
                <w:b/>
                <w:bCs/>
                <w:color w:val="auto"/>
                <w:szCs w:val="21"/>
              </w:rPr>
            </w:pPr>
            <w:r>
              <w:rPr>
                <w:rFonts w:hint="eastAsia"/>
                <w:b/>
                <w:bCs/>
                <w:color w:val="auto"/>
                <w:szCs w:val="21"/>
              </w:rPr>
              <w:t>表4-4   本项目VOCs废气无组织产排情况一览表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2814"/>
              <w:gridCol w:w="2080"/>
              <w:gridCol w:w="2296"/>
            </w:tblGrid>
            <w:tr w14:paraId="4951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01BFE965">
                  <w:pPr>
                    <w:contextualSpacing/>
                    <w:jc w:val="center"/>
                    <w:rPr>
                      <w:color w:val="auto"/>
                      <w:szCs w:val="21"/>
                    </w:rPr>
                  </w:pPr>
                  <w:r>
                    <w:rPr>
                      <w:rFonts w:hint="eastAsia"/>
                      <w:color w:val="auto"/>
                      <w:szCs w:val="21"/>
                    </w:rPr>
                    <w:t>序号</w:t>
                  </w:r>
                </w:p>
              </w:tc>
              <w:tc>
                <w:tcPr>
                  <w:tcW w:w="1695" w:type="pct"/>
                  <w:vAlign w:val="center"/>
                </w:tcPr>
                <w:p w14:paraId="1DA6122C">
                  <w:pPr>
                    <w:contextualSpacing/>
                    <w:jc w:val="center"/>
                    <w:rPr>
                      <w:color w:val="auto"/>
                      <w:szCs w:val="21"/>
                    </w:rPr>
                  </w:pPr>
                  <w:r>
                    <w:rPr>
                      <w:rFonts w:hint="eastAsia"/>
                      <w:color w:val="auto"/>
                      <w:szCs w:val="21"/>
                    </w:rPr>
                    <w:t>名称</w:t>
                  </w:r>
                </w:p>
              </w:tc>
              <w:tc>
                <w:tcPr>
                  <w:tcW w:w="1253" w:type="pct"/>
                </w:tcPr>
                <w:p w14:paraId="124B317E">
                  <w:pPr>
                    <w:contextualSpacing/>
                    <w:jc w:val="center"/>
                    <w:rPr>
                      <w:color w:val="auto"/>
                      <w:szCs w:val="21"/>
                    </w:rPr>
                  </w:pPr>
                  <w:r>
                    <w:rPr>
                      <w:rFonts w:hint="eastAsia"/>
                      <w:color w:val="auto"/>
                      <w:szCs w:val="21"/>
                    </w:rPr>
                    <w:t>产生/排放量（kg/a）</w:t>
                  </w:r>
                </w:p>
              </w:tc>
              <w:tc>
                <w:tcPr>
                  <w:tcW w:w="1383" w:type="pct"/>
                </w:tcPr>
                <w:p w14:paraId="4AC8C377">
                  <w:pPr>
                    <w:contextualSpacing/>
                    <w:jc w:val="center"/>
                    <w:rPr>
                      <w:color w:val="auto"/>
                      <w:szCs w:val="21"/>
                    </w:rPr>
                  </w:pPr>
                  <w:r>
                    <w:rPr>
                      <w:rFonts w:hint="eastAsia"/>
                      <w:color w:val="auto"/>
                      <w:szCs w:val="21"/>
                    </w:rPr>
                    <w:t>产生/排放速率（kg/h）</w:t>
                  </w:r>
                </w:p>
              </w:tc>
            </w:tr>
            <w:tr w14:paraId="72B2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pct"/>
                </w:tcPr>
                <w:p w14:paraId="429DC3BE">
                  <w:pPr>
                    <w:contextualSpacing/>
                    <w:jc w:val="center"/>
                    <w:rPr>
                      <w:color w:val="auto"/>
                      <w:szCs w:val="21"/>
                    </w:rPr>
                  </w:pPr>
                  <w:r>
                    <w:rPr>
                      <w:rFonts w:hint="eastAsia"/>
                      <w:color w:val="auto"/>
                      <w:szCs w:val="21"/>
                    </w:rPr>
                    <w:t>1</w:t>
                  </w:r>
                </w:p>
              </w:tc>
              <w:tc>
                <w:tcPr>
                  <w:tcW w:w="1695" w:type="pct"/>
                </w:tcPr>
                <w:p w14:paraId="1F27E4BD">
                  <w:pPr>
                    <w:contextualSpacing/>
                    <w:jc w:val="center"/>
                    <w:rPr>
                      <w:color w:val="auto"/>
                      <w:szCs w:val="21"/>
                    </w:rPr>
                  </w:pPr>
                  <w:r>
                    <w:rPr>
                      <w:rFonts w:hint="eastAsia"/>
                      <w:color w:val="auto"/>
                      <w:szCs w:val="21"/>
                    </w:rPr>
                    <w:t>石油醚</w:t>
                  </w:r>
                </w:p>
              </w:tc>
              <w:tc>
                <w:tcPr>
                  <w:tcW w:w="1253" w:type="pct"/>
                  <w:vAlign w:val="center"/>
                </w:tcPr>
                <w:p w14:paraId="445EBDB3">
                  <w:pPr>
                    <w:widowControl/>
                    <w:jc w:val="center"/>
                    <w:textAlignment w:val="center"/>
                    <w:rPr>
                      <w:color w:val="auto"/>
                      <w:szCs w:val="21"/>
                    </w:rPr>
                  </w:pPr>
                  <w:r>
                    <w:rPr>
                      <w:color w:val="auto"/>
                      <w:kern w:val="0"/>
                      <w:szCs w:val="21"/>
                      <w:lang w:bidi="ar"/>
                    </w:rPr>
                    <w:t>1</w:t>
                  </w:r>
                  <w:r>
                    <w:rPr>
                      <w:rFonts w:hint="eastAsia"/>
                      <w:color w:val="auto"/>
                      <w:kern w:val="0"/>
                      <w:szCs w:val="21"/>
                      <w:lang w:bidi="ar"/>
                    </w:rPr>
                    <w:t>.</w:t>
                  </w:r>
                  <w:r>
                    <w:rPr>
                      <w:color w:val="auto"/>
                      <w:kern w:val="0"/>
                      <w:szCs w:val="21"/>
                      <w:lang w:bidi="ar"/>
                    </w:rPr>
                    <w:t>0</w:t>
                  </w:r>
                </w:p>
              </w:tc>
              <w:tc>
                <w:tcPr>
                  <w:tcW w:w="1383" w:type="pct"/>
                  <w:vAlign w:val="center"/>
                </w:tcPr>
                <w:p w14:paraId="5F69E8DB">
                  <w:pPr>
                    <w:widowControl/>
                    <w:jc w:val="center"/>
                    <w:textAlignment w:val="center"/>
                    <w:rPr>
                      <w:color w:val="auto"/>
                      <w:kern w:val="0"/>
                      <w:szCs w:val="21"/>
                      <w:lang w:bidi="ar"/>
                    </w:rPr>
                  </w:pPr>
                  <w:r>
                    <w:rPr>
                      <w:color w:val="auto"/>
                      <w:kern w:val="0"/>
                      <w:szCs w:val="21"/>
                      <w:lang w:bidi="ar"/>
                    </w:rPr>
                    <w:t>0.0008</w:t>
                  </w:r>
                </w:p>
              </w:tc>
            </w:tr>
            <w:tr w14:paraId="6DCB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31E1D163">
                  <w:pPr>
                    <w:contextualSpacing/>
                    <w:jc w:val="center"/>
                    <w:rPr>
                      <w:color w:val="auto"/>
                      <w:szCs w:val="21"/>
                    </w:rPr>
                  </w:pPr>
                  <w:r>
                    <w:rPr>
                      <w:rFonts w:hint="eastAsia"/>
                      <w:color w:val="auto"/>
                      <w:szCs w:val="21"/>
                    </w:rPr>
                    <w:t>2</w:t>
                  </w:r>
                </w:p>
              </w:tc>
              <w:tc>
                <w:tcPr>
                  <w:tcW w:w="1695" w:type="pct"/>
                </w:tcPr>
                <w:p w14:paraId="7D5D4709">
                  <w:pPr>
                    <w:contextualSpacing/>
                    <w:jc w:val="center"/>
                    <w:rPr>
                      <w:color w:val="auto"/>
                      <w:szCs w:val="21"/>
                    </w:rPr>
                  </w:pPr>
                  <w:r>
                    <w:rPr>
                      <w:rFonts w:hint="eastAsia"/>
                      <w:color w:val="auto"/>
                      <w:szCs w:val="21"/>
                    </w:rPr>
                    <w:t>乙酸乙酯</w:t>
                  </w:r>
                </w:p>
              </w:tc>
              <w:tc>
                <w:tcPr>
                  <w:tcW w:w="1253" w:type="pct"/>
                  <w:vAlign w:val="center"/>
                </w:tcPr>
                <w:p w14:paraId="41EB8EBB">
                  <w:pPr>
                    <w:widowControl/>
                    <w:jc w:val="center"/>
                    <w:textAlignment w:val="center"/>
                    <w:rPr>
                      <w:color w:val="auto"/>
                      <w:szCs w:val="21"/>
                    </w:rPr>
                  </w:pPr>
                  <w:r>
                    <w:rPr>
                      <w:color w:val="auto"/>
                      <w:kern w:val="0"/>
                      <w:szCs w:val="21"/>
                      <w:lang w:bidi="ar"/>
                    </w:rPr>
                    <w:t>1</w:t>
                  </w:r>
                  <w:r>
                    <w:rPr>
                      <w:rFonts w:hint="eastAsia"/>
                      <w:color w:val="auto"/>
                      <w:kern w:val="0"/>
                      <w:szCs w:val="21"/>
                      <w:lang w:bidi="ar"/>
                    </w:rPr>
                    <w:t>.</w:t>
                  </w:r>
                  <w:r>
                    <w:rPr>
                      <w:color w:val="auto"/>
                      <w:kern w:val="0"/>
                      <w:szCs w:val="21"/>
                      <w:lang w:bidi="ar"/>
                    </w:rPr>
                    <w:t>5</w:t>
                  </w:r>
                </w:p>
              </w:tc>
              <w:tc>
                <w:tcPr>
                  <w:tcW w:w="1383" w:type="pct"/>
                  <w:vAlign w:val="center"/>
                </w:tcPr>
                <w:p w14:paraId="6523D20C">
                  <w:pPr>
                    <w:widowControl/>
                    <w:jc w:val="center"/>
                    <w:textAlignment w:val="center"/>
                    <w:rPr>
                      <w:color w:val="auto"/>
                      <w:kern w:val="0"/>
                      <w:szCs w:val="21"/>
                      <w:lang w:bidi="ar"/>
                    </w:rPr>
                  </w:pPr>
                  <w:r>
                    <w:rPr>
                      <w:color w:val="auto"/>
                      <w:kern w:val="0"/>
                      <w:szCs w:val="21"/>
                      <w:lang w:bidi="ar"/>
                    </w:rPr>
                    <w:t>0.0013</w:t>
                  </w:r>
                </w:p>
              </w:tc>
            </w:tr>
            <w:tr w14:paraId="3696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4D80C8A8">
                  <w:pPr>
                    <w:contextualSpacing/>
                    <w:jc w:val="center"/>
                    <w:rPr>
                      <w:color w:val="auto"/>
                      <w:szCs w:val="21"/>
                    </w:rPr>
                  </w:pPr>
                  <w:r>
                    <w:rPr>
                      <w:rFonts w:hint="eastAsia"/>
                      <w:color w:val="auto"/>
                      <w:szCs w:val="21"/>
                    </w:rPr>
                    <w:t>3</w:t>
                  </w:r>
                </w:p>
              </w:tc>
              <w:tc>
                <w:tcPr>
                  <w:tcW w:w="1695" w:type="pct"/>
                </w:tcPr>
                <w:p w14:paraId="5C3B44C4">
                  <w:pPr>
                    <w:contextualSpacing/>
                    <w:jc w:val="center"/>
                    <w:rPr>
                      <w:color w:val="auto"/>
                      <w:szCs w:val="21"/>
                    </w:rPr>
                  </w:pPr>
                  <w:r>
                    <w:rPr>
                      <w:rFonts w:hint="eastAsia"/>
                      <w:color w:val="auto"/>
                      <w:szCs w:val="21"/>
                    </w:rPr>
                    <w:t>甲醇</w:t>
                  </w:r>
                </w:p>
              </w:tc>
              <w:tc>
                <w:tcPr>
                  <w:tcW w:w="1253" w:type="pct"/>
                  <w:vAlign w:val="center"/>
                </w:tcPr>
                <w:p w14:paraId="6C690861">
                  <w:pPr>
                    <w:widowControl/>
                    <w:jc w:val="center"/>
                    <w:textAlignment w:val="center"/>
                    <w:rPr>
                      <w:color w:val="auto"/>
                      <w:szCs w:val="21"/>
                    </w:rPr>
                  </w:pPr>
                  <w:r>
                    <w:rPr>
                      <w:color w:val="auto"/>
                      <w:kern w:val="0"/>
                      <w:szCs w:val="21"/>
                      <w:lang w:bidi="ar"/>
                    </w:rPr>
                    <w:t>1</w:t>
                  </w:r>
                  <w:r>
                    <w:rPr>
                      <w:rFonts w:hint="eastAsia"/>
                      <w:color w:val="auto"/>
                      <w:kern w:val="0"/>
                      <w:szCs w:val="21"/>
                      <w:lang w:bidi="ar"/>
                    </w:rPr>
                    <w:t>.</w:t>
                  </w:r>
                  <w:r>
                    <w:rPr>
                      <w:color w:val="auto"/>
                      <w:kern w:val="0"/>
                      <w:szCs w:val="21"/>
                      <w:lang w:bidi="ar"/>
                    </w:rPr>
                    <w:t>6</w:t>
                  </w:r>
                </w:p>
              </w:tc>
              <w:tc>
                <w:tcPr>
                  <w:tcW w:w="1383" w:type="pct"/>
                  <w:vAlign w:val="center"/>
                </w:tcPr>
                <w:p w14:paraId="4DE35693">
                  <w:pPr>
                    <w:widowControl/>
                    <w:jc w:val="center"/>
                    <w:textAlignment w:val="center"/>
                    <w:rPr>
                      <w:color w:val="auto"/>
                      <w:kern w:val="0"/>
                      <w:szCs w:val="21"/>
                      <w:lang w:bidi="ar"/>
                    </w:rPr>
                  </w:pPr>
                  <w:r>
                    <w:rPr>
                      <w:color w:val="auto"/>
                      <w:kern w:val="0"/>
                      <w:szCs w:val="21"/>
                      <w:lang w:bidi="ar"/>
                    </w:rPr>
                    <w:t>0.0013</w:t>
                  </w:r>
                </w:p>
              </w:tc>
            </w:tr>
            <w:tr w14:paraId="3C71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667" w:type="pct"/>
                  <w:vAlign w:val="center"/>
                </w:tcPr>
                <w:p w14:paraId="51755BAB">
                  <w:pPr>
                    <w:contextualSpacing/>
                    <w:jc w:val="center"/>
                    <w:rPr>
                      <w:color w:val="auto"/>
                      <w:szCs w:val="21"/>
                    </w:rPr>
                  </w:pPr>
                  <w:r>
                    <w:rPr>
                      <w:rFonts w:hint="eastAsia"/>
                      <w:color w:val="auto"/>
                      <w:szCs w:val="21"/>
                    </w:rPr>
                    <w:t>4</w:t>
                  </w:r>
                </w:p>
              </w:tc>
              <w:tc>
                <w:tcPr>
                  <w:tcW w:w="1695" w:type="pct"/>
                </w:tcPr>
                <w:p w14:paraId="0649E813">
                  <w:pPr>
                    <w:contextualSpacing/>
                    <w:jc w:val="center"/>
                    <w:rPr>
                      <w:color w:val="auto"/>
                      <w:szCs w:val="21"/>
                    </w:rPr>
                  </w:pPr>
                  <w:r>
                    <w:rPr>
                      <w:color w:val="auto"/>
                      <w:szCs w:val="21"/>
                    </w:rPr>
                    <w:t>N,N-二甲基甲酰胺</w:t>
                  </w:r>
                </w:p>
              </w:tc>
              <w:tc>
                <w:tcPr>
                  <w:tcW w:w="1253" w:type="pct"/>
                  <w:vAlign w:val="center"/>
                </w:tcPr>
                <w:p w14:paraId="13EF56D3">
                  <w:pPr>
                    <w:widowControl/>
                    <w:jc w:val="center"/>
                    <w:textAlignment w:val="center"/>
                    <w:rPr>
                      <w:color w:val="auto"/>
                      <w:szCs w:val="21"/>
                    </w:rPr>
                  </w:pPr>
                  <w:r>
                    <w:rPr>
                      <w:color w:val="auto"/>
                      <w:kern w:val="0"/>
                      <w:szCs w:val="21"/>
                      <w:lang w:bidi="ar"/>
                    </w:rPr>
                    <w:t>0</w:t>
                  </w:r>
                  <w:r>
                    <w:rPr>
                      <w:rFonts w:hint="eastAsia"/>
                      <w:color w:val="auto"/>
                      <w:kern w:val="0"/>
                      <w:szCs w:val="21"/>
                      <w:lang w:bidi="ar"/>
                    </w:rPr>
                    <w:t>.</w:t>
                  </w:r>
                  <w:r>
                    <w:rPr>
                      <w:color w:val="auto"/>
                      <w:kern w:val="0"/>
                      <w:szCs w:val="21"/>
                      <w:lang w:bidi="ar"/>
                    </w:rPr>
                    <w:t>3</w:t>
                  </w:r>
                </w:p>
              </w:tc>
              <w:tc>
                <w:tcPr>
                  <w:tcW w:w="1383" w:type="pct"/>
                  <w:vAlign w:val="center"/>
                </w:tcPr>
                <w:p w14:paraId="2DF1DF6A">
                  <w:pPr>
                    <w:widowControl/>
                    <w:jc w:val="center"/>
                    <w:textAlignment w:val="center"/>
                    <w:rPr>
                      <w:color w:val="auto"/>
                      <w:kern w:val="0"/>
                      <w:szCs w:val="21"/>
                      <w:lang w:bidi="ar"/>
                    </w:rPr>
                  </w:pPr>
                  <w:r>
                    <w:rPr>
                      <w:color w:val="auto"/>
                      <w:kern w:val="0"/>
                      <w:szCs w:val="21"/>
                      <w:lang w:bidi="ar"/>
                    </w:rPr>
                    <w:t>0.0002</w:t>
                  </w:r>
                </w:p>
              </w:tc>
            </w:tr>
            <w:tr w14:paraId="44C3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11F1B135">
                  <w:pPr>
                    <w:contextualSpacing/>
                    <w:jc w:val="center"/>
                    <w:rPr>
                      <w:color w:val="auto"/>
                      <w:szCs w:val="21"/>
                    </w:rPr>
                  </w:pPr>
                  <w:r>
                    <w:rPr>
                      <w:rFonts w:hint="eastAsia"/>
                      <w:color w:val="auto"/>
                      <w:szCs w:val="21"/>
                    </w:rPr>
                    <w:t>5</w:t>
                  </w:r>
                </w:p>
              </w:tc>
              <w:tc>
                <w:tcPr>
                  <w:tcW w:w="1695" w:type="pct"/>
                </w:tcPr>
                <w:p w14:paraId="07319F68">
                  <w:pPr>
                    <w:contextualSpacing/>
                    <w:jc w:val="center"/>
                    <w:rPr>
                      <w:color w:val="auto"/>
                      <w:szCs w:val="21"/>
                    </w:rPr>
                  </w:pPr>
                  <w:r>
                    <w:rPr>
                      <w:rFonts w:hint="eastAsia"/>
                      <w:color w:val="auto"/>
                      <w:szCs w:val="21"/>
                    </w:rPr>
                    <w:t>四氢呋喃</w:t>
                  </w:r>
                </w:p>
              </w:tc>
              <w:tc>
                <w:tcPr>
                  <w:tcW w:w="1253" w:type="pct"/>
                  <w:vAlign w:val="center"/>
                </w:tcPr>
                <w:p w14:paraId="3684F603">
                  <w:pPr>
                    <w:widowControl/>
                    <w:jc w:val="center"/>
                    <w:textAlignment w:val="center"/>
                    <w:rPr>
                      <w:color w:val="auto"/>
                      <w:szCs w:val="21"/>
                    </w:rPr>
                  </w:pPr>
                  <w:r>
                    <w:rPr>
                      <w:color w:val="auto"/>
                      <w:kern w:val="0"/>
                      <w:szCs w:val="21"/>
                      <w:lang w:bidi="ar"/>
                    </w:rPr>
                    <w:t>0</w:t>
                  </w:r>
                  <w:r>
                    <w:rPr>
                      <w:rFonts w:hint="eastAsia"/>
                      <w:color w:val="auto"/>
                      <w:kern w:val="0"/>
                      <w:szCs w:val="21"/>
                      <w:lang w:bidi="ar"/>
                    </w:rPr>
                    <w:t>.</w:t>
                  </w:r>
                  <w:r>
                    <w:rPr>
                      <w:color w:val="auto"/>
                      <w:kern w:val="0"/>
                      <w:szCs w:val="21"/>
                      <w:lang w:bidi="ar"/>
                    </w:rPr>
                    <w:t>3</w:t>
                  </w:r>
                </w:p>
              </w:tc>
              <w:tc>
                <w:tcPr>
                  <w:tcW w:w="1383" w:type="pct"/>
                  <w:vAlign w:val="center"/>
                </w:tcPr>
                <w:p w14:paraId="18A1844E">
                  <w:pPr>
                    <w:widowControl/>
                    <w:jc w:val="center"/>
                    <w:textAlignment w:val="center"/>
                    <w:rPr>
                      <w:color w:val="auto"/>
                      <w:kern w:val="0"/>
                      <w:szCs w:val="21"/>
                      <w:lang w:bidi="ar"/>
                    </w:rPr>
                  </w:pPr>
                  <w:r>
                    <w:rPr>
                      <w:color w:val="auto"/>
                      <w:kern w:val="0"/>
                      <w:szCs w:val="21"/>
                      <w:lang w:bidi="ar"/>
                    </w:rPr>
                    <w:t>0.0002</w:t>
                  </w:r>
                </w:p>
              </w:tc>
            </w:tr>
            <w:tr w14:paraId="6593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15CF321B">
                  <w:pPr>
                    <w:contextualSpacing/>
                    <w:jc w:val="center"/>
                    <w:rPr>
                      <w:color w:val="auto"/>
                      <w:szCs w:val="21"/>
                    </w:rPr>
                  </w:pPr>
                  <w:r>
                    <w:rPr>
                      <w:rFonts w:hint="eastAsia"/>
                      <w:color w:val="auto"/>
                      <w:szCs w:val="21"/>
                    </w:rPr>
                    <w:t>6</w:t>
                  </w:r>
                </w:p>
              </w:tc>
              <w:tc>
                <w:tcPr>
                  <w:tcW w:w="1695" w:type="pct"/>
                </w:tcPr>
                <w:p w14:paraId="097286C9">
                  <w:pPr>
                    <w:contextualSpacing/>
                    <w:jc w:val="center"/>
                    <w:rPr>
                      <w:color w:val="auto"/>
                      <w:szCs w:val="21"/>
                    </w:rPr>
                  </w:pPr>
                  <w:r>
                    <w:rPr>
                      <w:rFonts w:hint="eastAsia"/>
                      <w:color w:val="auto"/>
                      <w:szCs w:val="21"/>
                    </w:rPr>
                    <w:t>乙醇</w:t>
                  </w:r>
                </w:p>
              </w:tc>
              <w:tc>
                <w:tcPr>
                  <w:tcW w:w="1253" w:type="pct"/>
                  <w:vAlign w:val="center"/>
                </w:tcPr>
                <w:p w14:paraId="0555A203">
                  <w:pPr>
                    <w:widowControl/>
                    <w:jc w:val="center"/>
                    <w:textAlignment w:val="center"/>
                    <w:rPr>
                      <w:color w:val="auto"/>
                      <w:szCs w:val="21"/>
                    </w:rPr>
                  </w:pPr>
                  <w:r>
                    <w:rPr>
                      <w:color w:val="auto"/>
                      <w:kern w:val="0"/>
                      <w:szCs w:val="21"/>
                      <w:lang w:bidi="ar"/>
                    </w:rPr>
                    <w:t>0</w:t>
                  </w:r>
                  <w:r>
                    <w:rPr>
                      <w:rFonts w:hint="eastAsia"/>
                      <w:color w:val="auto"/>
                      <w:kern w:val="0"/>
                      <w:szCs w:val="21"/>
                      <w:lang w:bidi="ar"/>
                    </w:rPr>
                    <w:t>.</w:t>
                  </w:r>
                  <w:r>
                    <w:rPr>
                      <w:color w:val="auto"/>
                      <w:kern w:val="0"/>
                      <w:szCs w:val="21"/>
                      <w:lang w:bidi="ar"/>
                    </w:rPr>
                    <w:t>3</w:t>
                  </w:r>
                </w:p>
              </w:tc>
              <w:tc>
                <w:tcPr>
                  <w:tcW w:w="1383" w:type="pct"/>
                  <w:vAlign w:val="center"/>
                </w:tcPr>
                <w:p w14:paraId="1FE519C0">
                  <w:pPr>
                    <w:widowControl/>
                    <w:jc w:val="center"/>
                    <w:textAlignment w:val="center"/>
                    <w:rPr>
                      <w:color w:val="auto"/>
                      <w:kern w:val="0"/>
                      <w:szCs w:val="21"/>
                      <w:lang w:bidi="ar"/>
                    </w:rPr>
                  </w:pPr>
                  <w:r>
                    <w:rPr>
                      <w:color w:val="auto"/>
                      <w:kern w:val="0"/>
                      <w:szCs w:val="21"/>
                      <w:lang w:bidi="ar"/>
                    </w:rPr>
                    <w:t>0.0002</w:t>
                  </w:r>
                </w:p>
              </w:tc>
            </w:tr>
            <w:tr w14:paraId="76C7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667" w:type="pct"/>
                  <w:vAlign w:val="center"/>
                </w:tcPr>
                <w:p w14:paraId="7A8B580E">
                  <w:pPr>
                    <w:contextualSpacing/>
                    <w:jc w:val="center"/>
                    <w:rPr>
                      <w:color w:val="auto"/>
                      <w:szCs w:val="21"/>
                    </w:rPr>
                  </w:pPr>
                  <w:r>
                    <w:rPr>
                      <w:rFonts w:hint="eastAsia"/>
                      <w:color w:val="auto"/>
                      <w:szCs w:val="21"/>
                    </w:rPr>
                    <w:t>7</w:t>
                  </w:r>
                </w:p>
              </w:tc>
              <w:tc>
                <w:tcPr>
                  <w:tcW w:w="1695" w:type="pct"/>
                </w:tcPr>
                <w:p w14:paraId="7D24C8EB">
                  <w:pPr>
                    <w:contextualSpacing/>
                    <w:jc w:val="center"/>
                    <w:rPr>
                      <w:color w:val="auto"/>
                      <w:szCs w:val="21"/>
                    </w:rPr>
                  </w:pPr>
                  <w:r>
                    <w:rPr>
                      <w:rFonts w:hint="eastAsia"/>
                      <w:color w:val="auto"/>
                      <w:szCs w:val="21"/>
                    </w:rPr>
                    <w:t>三乙胺</w:t>
                  </w:r>
                </w:p>
              </w:tc>
              <w:tc>
                <w:tcPr>
                  <w:tcW w:w="1253" w:type="pct"/>
                  <w:vAlign w:val="center"/>
                </w:tcPr>
                <w:p w14:paraId="464C5752">
                  <w:pPr>
                    <w:widowControl/>
                    <w:jc w:val="center"/>
                    <w:textAlignment w:val="center"/>
                    <w:rPr>
                      <w:color w:val="auto"/>
                      <w:szCs w:val="21"/>
                    </w:rPr>
                  </w:pPr>
                  <w:r>
                    <w:rPr>
                      <w:color w:val="auto"/>
                      <w:kern w:val="0"/>
                      <w:szCs w:val="21"/>
                      <w:lang w:bidi="ar"/>
                    </w:rPr>
                    <w:t>0</w:t>
                  </w:r>
                  <w:r>
                    <w:rPr>
                      <w:rFonts w:hint="eastAsia"/>
                      <w:color w:val="auto"/>
                      <w:kern w:val="0"/>
                      <w:szCs w:val="21"/>
                      <w:lang w:bidi="ar"/>
                    </w:rPr>
                    <w:t>.</w:t>
                  </w:r>
                  <w:r>
                    <w:rPr>
                      <w:color w:val="auto"/>
                      <w:kern w:val="0"/>
                      <w:szCs w:val="21"/>
                      <w:lang w:bidi="ar"/>
                    </w:rPr>
                    <w:t>1</w:t>
                  </w:r>
                </w:p>
              </w:tc>
              <w:tc>
                <w:tcPr>
                  <w:tcW w:w="1383" w:type="pct"/>
                  <w:vAlign w:val="center"/>
                </w:tcPr>
                <w:p w14:paraId="6E1CB86F">
                  <w:pPr>
                    <w:widowControl/>
                    <w:jc w:val="center"/>
                    <w:textAlignment w:val="center"/>
                    <w:rPr>
                      <w:color w:val="auto"/>
                      <w:kern w:val="0"/>
                      <w:szCs w:val="21"/>
                      <w:lang w:bidi="ar"/>
                    </w:rPr>
                  </w:pPr>
                  <w:r>
                    <w:rPr>
                      <w:color w:val="auto"/>
                      <w:kern w:val="0"/>
                      <w:szCs w:val="21"/>
                      <w:lang w:bidi="ar"/>
                    </w:rPr>
                    <w:t>0.0001</w:t>
                  </w:r>
                </w:p>
              </w:tc>
            </w:tr>
            <w:tr w14:paraId="739F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667" w:type="pct"/>
                  <w:vAlign w:val="center"/>
                </w:tcPr>
                <w:p w14:paraId="76E3AA23">
                  <w:pPr>
                    <w:widowControl/>
                    <w:jc w:val="center"/>
                    <w:textAlignment w:val="center"/>
                    <w:rPr>
                      <w:rFonts w:hint="eastAsia"/>
                      <w:color w:val="auto"/>
                      <w:szCs w:val="21"/>
                    </w:rPr>
                  </w:pPr>
                  <w:r>
                    <w:rPr>
                      <w:rFonts w:hint="eastAsia"/>
                      <w:color w:val="auto"/>
                      <w:szCs w:val="21"/>
                    </w:rPr>
                    <w:t>8</w:t>
                  </w:r>
                </w:p>
              </w:tc>
              <w:tc>
                <w:tcPr>
                  <w:tcW w:w="2814" w:type="dxa"/>
                  <w:vAlign w:val="top"/>
                </w:tcPr>
                <w:p w14:paraId="45BA9598">
                  <w:pPr>
                    <w:contextualSpacing/>
                    <w:jc w:val="center"/>
                    <w:rPr>
                      <w:rFonts w:hint="eastAsia"/>
                      <w:color w:val="auto"/>
                      <w:szCs w:val="21"/>
                    </w:rPr>
                  </w:pPr>
                  <w:r>
                    <w:rPr>
                      <w:rFonts w:hint="eastAsia"/>
                      <w:color w:val="auto"/>
                      <w:szCs w:val="21"/>
                    </w:rPr>
                    <w:t>N,N-二异丙基乙胺</w:t>
                  </w:r>
                </w:p>
              </w:tc>
              <w:tc>
                <w:tcPr>
                  <w:tcW w:w="1253" w:type="pct"/>
                  <w:vAlign w:val="center"/>
                </w:tcPr>
                <w:p w14:paraId="59407CD5">
                  <w:pPr>
                    <w:widowControl/>
                    <w:jc w:val="center"/>
                    <w:textAlignment w:val="center"/>
                    <w:rPr>
                      <w:rFonts w:hint="default" w:eastAsia="宋体"/>
                      <w:color w:val="auto"/>
                      <w:szCs w:val="21"/>
                      <w:lang w:val="en-US" w:eastAsia="zh-CN"/>
                    </w:rPr>
                  </w:pPr>
                  <w:r>
                    <w:rPr>
                      <w:rFonts w:hint="eastAsia"/>
                      <w:color w:val="auto"/>
                      <w:szCs w:val="21"/>
                      <w:lang w:val="en-US" w:eastAsia="zh-CN"/>
                    </w:rPr>
                    <w:t>0.1</w:t>
                  </w:r>
                </w:p>
              </w:tc>
              <w:tc>
                <w:tcPr>
                  <w:tcW w:w="1383" w:type="pct"/>
                  <w:vAlign w:val="center"/>
                </w:tcPr>
                <w:p w14:paraId="1B01ABFC">
                  <w:pPr>
                    <w:widowControl/>
                    <w:jc w:val="center"/>
                    <w:textAlignment w:val="center"/>
                    <w:rPr>
                      <w:rFonts w:hint="default" w:eastAsia="宋体"/>
                      <w:color w:val="auto"/>
                      <w:szCs w:val="21"/>
                      <w:lang w:val="en-US" w:eastAsia="zh-CN"/>
                    </w:rPr>
                  </w:pPr>
                  <w:r>
                    <w:rPr>
                      <w:rFonts w:hint="eastAsia"/>
                      <w:color w:val="auto"/>
                      <w:szCs w:val="21"/>
                      <w:lang w:val="en-US" w:eastAsia="zh-CN"/>
                    </w:rPr>
                    <w:t>0.0001</w:t>
                  </w:r>
                </w:p>
              </w:tc>
            </w:tr>
            <w:tr w14:paraId="2EE4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667" w:type="pct"/>
                  <w:vAlign w:val="center"/>
                </w:tcPr>
                <w:p w14:paraId="55EAE7C0">
                  <w:pPr>
                    <w:widowControl/>
                    <w:jc w:val="center"/>
                    <w:textAlignment w:val="center"/>
                    <w:rPr>
                      <w:rFonts w:hint="eastAsia" w:eastAsia="宋体"/>
                      <w:color w:val="auto"/>
                      <w:szCs w:val="21"/>
                      <w:lang w:val="en-US" w:eastAsia="zh-CN"/>
                    </w:rPr>
                  </w:pPr>
                  <w:r>
                    <w:rPr>
                      <w:rFonts w:hint="eastAsia"/>
                      <w:color w:val="auto"/>
                      <w:szCs w:val="21"/>
                      <w:lang w:val="en-US" w:eastAsia="zh-CN"/>
                    </w:rPr>
                    <w:t>9</w:t>
                  </w:r>
                </w:p>
              </w:tc>
              <w:tc>
                <w:tcPr>
                  <w:tcW w:w="2814" w:type="dxa"/>
                  <w:vAlign w:val="top"/>
                </w:tcPr>
                <w:p w14:paraId="01DED4E8">
                  <w:pPr>
                    <w:contextualSpacing/>
                    <w:jc w:val="center"/>
                    <w:rPr>
                      <w:rFonts w:hint="eastAsia"/>
                      <w:color w:val="auto"/>
                      <w:szCs w:val="21"/>
                    </w:rPr>
                  </w:pPr>
                  <w:r>
                    <w:rPr>
                      <w:rFonts w:hint="eastAsia"/>
                      <w:color w:val="auto"/>
                      <w:szCs w:val="21"/>
                    </w:rPr>
                    <w:t>吡咯酸乙酯</w:t>
                  </w:r>
                </w:p>
              </w:tc>
              <w:tc>
                <w:tcPr>
                  <w:tcW w:w="1253" w:type="pct"/>
                  <w:vAlign w:val="center"/>
                </w:tcPr>
                <w:p w14:paraId="1A462889">
                  <w:pPr>
                    <w:widowControl/>
                    <w:jc w:val="center"/>
                    <w:textAlignment w:val="center"/>
                    <w:rPr>
                      <w:rFonts w:hint="default" w:eastAsia="宋体"/>
                      <w:color w:val="auto"/>
                      <w:szCs w:val="21"/>
                      <w:lang w:val="en-US" w:eastAsia="zh-CN"/>
                    </w:rPr>
                  </w:pPr>
                  <w:r>
                    <w:rPr>
                      <w:rFonts w:hint="eastAsia"/>
                      <w:color w:val="auto"/>
                      <w:szCs w:val="21"/>
                      <w:lang w:val="en-US" w:eastAsia="zh-CN"/>
                    </w:rPr>
                    <w:t>0.01</w:t>
                  </w:r>
                </w:p>
              </w:tc>
              <w:tc>
                <w:tcPr>
                  <w:tcW w:w="1383" w:type="pct"/>
                  <w:vAlign w:val="center"/>
                </w:tcPr>
                <w:p w14:paraId="1721B5E5">
                  <w:pPr>
                    <w:widowControl/>
                    <w:jc w:val="center"/>
                    <w:textAlignment w:val="center"/>
                    <w:rPr>
                      <w:rFonts w:hint="default" w:eastAsia="宋体"/>
                      <w:color w:val="auto"/>
                      <w:szCs w:val="21"/>
                      <w:lang w:val="en-US" w:eastAsia="zh-CN"/>
                    </w:rPr>
                  </w:pPr>
                  <w:r>
                    <w:rPr>
                      <w:rFonts w:hint="eastAsia"/>
                      <w:color w:val="auto"/>
                      <w:szCs w:val="21"/>
                      <w:lang w:val="en-US" w:eastAsia="zh-CN"/>
                    </w:rPr>
                    <w:t>0.000004</w:t>
                  </w:r>
                </w:p>
              </w:tc>
            </w:tr>
            <w:tr w14:paraId="018D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3049AFB2">
                  <w:pPr>
                    <w:contextualSpacing/>
                    <w:jc w:val="center"/>
                    <w:rPr>
                      <w:rFonts w:hint="default" w:eastAsia="宋体"/>
                      <w:color w:val="auto"/>
                      <w:szCs w:val="21"/>
                      <w:lang w:val="en-US" w:eastAsia="zh-CN"/>
                    </w:rPr>
                  </w:pPr>
                  <w:r>
                    <w:rPr>
                      <w:rFonts w:hint="eastAsia"/>
                      <w:color w:val="auto"/>
                      <w:szCs w:val="21"/>
                      <w:lang w:val="en-US" w:eastAsia="zh-CN"/>
                    </w:rPr>
                    <w:t>10</w:t>
                  </w:r>
                </w:p>
              </w:tc>
              <w:tc>
                <w:tcPr>
                  <w:tcW w:w="1695" w:type="pct"/>
                </w:tcPr>
                <w:p w14:paraId="1B0F1A03">
                  <w:pPr>
                    <w:contextualSpacing/>
                    <w:jc w:val="center"/>
                    <w:rPr>
                      <w:color w:val="auto"/>
                      <w:szCs w:val="21"/>
                    </w:rPr>
                  </w:pPr>
                  <w:r>
                    <w:rPr>
                      <w:rFonts w:hint="eastAsia"/>
                      <w:color w:val="auto"/>
                      <w:szCs w:val="21"/>
                    </w:rPr>
                    <w:t>合计</w:t>
                  </w:r>
                </w:p>
              </w:tc>
              <w:tc>
                <w:tcPr>
                  <w:tcW w:w="1253" w:type="pct"/>
                  <w:vAlign w:val="center"/>
                </w:tcPr>
                <w:p w14:paraId="59A3D17E">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5.1</w:t>
                  </w:r>
                </w:p>
              </w:tc>
              <w:tc>
                <w:tcPr>
                  <w:tcW w:w="1383" w:type="pct"/>
                  <w:vAlign w:val="center"/>
                </w:tcPr>
                <w:p w14:paraId="7CE28862">
                  <w:pPr>
                    <w:widowControl/>
                    <w:jc w:val="center"/>
                    <w:textAlignment w:val="center"/>
                    <w:rPr>
                      <w:rFonts w:hint="eastAsia" w:eastAsia="宋体"/>
                      <w:color w:val="auto"/>
                      <w:kern w:val="0"/>
                      <w:szCs w:val="21"/>
                      <w:lang w:eastAsia="zh-CN" w:bidi="ar"/>
                    </w:rPr>
                  </w:pPr>
                  <w:r>
                    <w:rPr>
                      <w:color w:val="auto"/>
                      <w:kern w:val="0"/>
                      <w:szCs w:val="21"/>
                      <w:lang w:bidi="ar"/>
                    </w:rPr>
                    <w:t>0.004</w:t>
                  </w:r>
                  <w:r>
                    <w:rPr>
                      <w:rFonts w:hint="eastAsia"/>
                      <w:color w:val="auto"/>
                      <w:kern w:val="0"/>
                      <w:szCs w:val="21"/>
                      <w:lang w:val="en-US" w:eastAsia="zh-CN" w:bidi="ar"/>
                    </w:rPr>
                    <w:t>3</w:t>
                  </w:r>
                </w:p>
              </w:tc>
            </w:tr>
          </w:tbl>
          <w:p w14:paraId="42F3DEB3">
            <w:pPr>
              <w:spacing w:line="360" w:lineRule="auto"/>
              <w:ind w:firstLine="480" w:firstLineChars="200"/>
              <w:rPr>
                <w:rFonts w:hint="eastAsia"/>
                <w:bCs/>
                <w:color w:val="auto"/>
                <w:kern w:val="0"/>
                <w:sz w:val="24"/>
                <w:lang w:bidi="en-US"/>
              </w:rPr>
            </w:pPr>
            <w:r>
              <w:rPr>
                <w:rFonts w:hint="eastAsia"/>
                <w:bCs/>
                <w:color w:val="auto"/>
                <w:kern w:val="0"/>
                <w:sz w:val="24"/>
                <w:lang w:bidi="en-US"/>
              </w:rPr>
              <w:t>综上计算，本项目有非甲烷总烃有组织产生量为9</w:t>
            </w:r>
            <w:r>
              <w:rPr>
                <w:rFonts w:hint="eastAsia"/>
                <w:bCs/>
                <w:color w:val="auto"/>
                <w:kern w:val="0"/>
                <w:sz w:val="24"/>
                <w:lang w:val="en-US" w:eastAsia="zh-CN" w:bidi="en-US"/>
              </w:rPr>
              <w:t>7</w:t>
            </w:r>
            <w:r>
              <w:rPr>
                <w:rFonts w:hint="eastAsia"/>
                <w:bCs/>
                <w:color w:val="auto"/>
                <w:kern w:val="0"/>
                <w:sz w:val="24"/>
                <w:lang w:bidi="en-US"/>
              </w:rPr>
              <w:t>.1kg/a、产生速率为0.</w:t>
            </w:r>
            <w:r>
              <w:rPr>
                <w:rFonts w:hint="eastAsia"/>
                <w:bCs/>
                <w:color w:val="auto"/>
                <w:kern w:val="0"/>
                <w:sz w:val="24"/>
                <w:lang w:val="en-US" w:eastAsia="zh-CN" w:bidi="en-US"/>
              </w:rPr>
              <w:t>0812</w:t>
            </w:r>
            <w:r>
              <w:rPr>
                <w:rFonts w:hint="eastAsia"/>
                <w:bCs/>
                <w:color w:val="auto"/>
                <w:kern w:val="0"/>
                <w:sz w:val="24"/>
                <w:lang w:bidi="en-US"/>
              </w:rPr>
              <w:t>kg/h、产生浓度为</w:t>
            </w:r>
            <w:r>
              <w:rPr>
                <w:rFonts w:hint="eastAsia"/>
                <w:bCs/>
                <w:color w:val="auto"/>
                <w:kern w:val="0"/>
                <w:sz w:val="24"/>
                <w:lang w:val="en-US" w:eastAsia="zh-CN" w:bidi="en-US"/>
              </w:rPr>
              <w:t>9.2603</w:t>
            </w:r>
            <w:r>
              <w:rPr>
                <w:rFonts w:hint="eastAsia"/>
                <w:bCs/>
                <w:color w:val="auto"/>
                <w:kern w:val="0"/>
                <w:sz w:val="24"/>
                <w:lang w:bidi="en-US"/>
              </w:rPr>
              <w:t>mg/m</w:t>
            </w:r>
            <w:r>
              <w:rPr>
                <w:rFonts w:hint="eastAsia"/>
                <w:bCs/>
                <w:color w:val="auto"/>
                <w:kern w:val="0"/>
                <w:sz w:val="24"/>
                <w:vertAlign w:val="superscript"/>
                <w:lang w:bidi="en-US"/>
              </w:rPr>
              <w:t>3</w:t>
            </w:r>
            <w:r>
              <w:rPr>
                <w:rFonts w:hint="eastAsia"/>
                <w:bCs/>
                <w:color w:val="auto"/>
                <w:kern w:val="0"/>
                <w:sz w:val="24"/>
                <w:lang w:bidi="en-US"/>
              </w:rPr>
              <w:t>；有组织排放量为3</w:t>
            </w:r>
            <w:r>
              <w:rPr>
                <w:rFonts w:hint="eastAsia"/>
                <w:bCs/>
                <w:color w:val="auto"/>
                <w:kern w:val="0"/>
                <w:sz w:val="24"/>
                <w:lang w:val="en-US" w:eastAsia="zh-CN" w:bidi="en-US"/>
              </w:rPr>
              <w:t>8.84</w:t>
            </w:r>
            <w:r>
              <w:rPr>
                <w:rFonts w:hint="eastAsia"/>
                <w:bCs/>
                <w:color w:val="auto"/>
                <w:kern w:val="0"/>
                <w:sz w:val="24"/>
                <w:lang w:bidi="en-US"/>
              </w:rPr>
              <w:t>kg/a、排放速率为0.03</w:t>
            </w:r>
            <w:r>
              <w:rPr>
                <w:rFonts w:hint="eastAsia"/>
                <w:bCs/>
                <w:color w:val="auto"/>
                <w:kern w:val="0"/>
                <w:sz w:val="24"/>
                <w:lang w:val="en-US" w:eastAsia="zh-CN" w:bidi="en-US"/>
              </w:rPr>
              <w:t>25</w:t>
            </w:r>
            <w:r>
              <w:rPr>
                <w:rFonts w:hint="eastAsia"/>
                <w:bCs/>
                <w:color w:val="auto"/>
                <w:kern w:val="0"/>
                <w:sz w:val="24"/>
                <w:lang w:bidi="en-US"/>
              </w:rPr>
              <w:t>kg/h、排放浓度为3.</w:t>
            </w:r>
            <w:r>
              <w:rPr>
                <w:rFonts w:hint="eastAsia"/>
                <w:bCs/>
                <w:color w:val="auto"/>
                <w:kern w:val="0"/>
                <w:sz w:val="24"/>
                <w:lang w:val="en-US" w:eastAsia="zh-CN" w:bidi="en-US"/>
              </w:rPr>
              <w:t>8292</w:t>
            </w:r>
            <w:r>
              <w:rPr>
                <w:rFonts w:hint="eastAsia"/>
                <w:bCs/>
                <w:color w:val="auto"/>
                <w:kern w:val="0"/>
                <w:sz w:val="24"/>
                <w:lang w:bidi="en-US"/>
              </w:rPr>
              <w:t>mg/m</w:t>
            </w:r>
            <w:r>
              <w:rPr>
                <w:rFonts w:hint="eastAsia"/>
                <w:bCs/>
                <w:color w:val="auto"/>
                <w:kern w:val="0"/>
                <w:sz w:val="24"/>
                <w:vertAlign w:val="superscript"/>
                <w:lang w:bidi="en-US"/>
              </w:rPr>
              <w:t>3</w:t>
            </w:r>
            <w:r>
              <w:rPr>
                <w:rFonts w:hint="eastAsia"/>
                <w:bCs/>
                <w:color w:val="auto"/>
                <w:kern w:val="0"/>
                <w:sz w:val="24"/>
                <w:lang w:bidi="en-US"/>
              </w:rPr>
              <w:t>，满足《制药工业大气污染物排放标准》（GB37823-2019）有组织排放标准限值要求。无组织非甲烷总烃排放量为</w:t>
            </w:r>
            <w:r>
              <w:rPr>
                <w:rFonts w:hint="eastAsia"/>
                <w:bCs/>
                <w:color w:val="auto"/>
                <w:kern w:val="0"/>
                <w:sz w:val="24"/>
                <w:lang w:val="en-US" w:eastAsia="zh-CN" w:bidi="en-US"/>
              </w:rPr>
              <w:t>5.1</w:t>
            </w:r>
            <w:r>
              <w:rPr>
                <w:rFonts w:hint="eastAsia"/>
                <w:bCs/>
                <w:color w:val="auto"/>
                <w:kern w:val="0"/>
                <w:sz w:val="24"/>
                <w:lang w:bidi="en-US"/>
              </w:rPr>
              <w:t>kg/a，排放速率为0.004</w:t>
            </w:r>
            <w:r>
              <w:rPr>
                <w:rFonts w:hint="eastAsia"/>
                <w:bCs/>
                <w:color w:val="auto"/>
                <w:kern w:val="0"/>
                <w:sz w:val="24"/>
                <w:lang w:val="en-US" w:eastAsia="zh-CN" w:bidi="en-US"/>
              </w:rPr>
              <w:t>3</w:t>
            </w:r>
            <w:r>
              <w:rPr>
                <w:rFonts w:hint="eastAsia"/>
                <w:bCs/>
                <w:color w:val="auto"/>
                <w:kern w:val="0"/>
                <w:sz w:val="24"/>
                <w:lang w:bidi="en-US"/>
              </w:rPr>
              <w:t>kg/h，满足《大气污染物综合排放标准》（GB16297-1996）表2中无组织排放标准限值要求。</w:t>
            </w:r>
          </w:p>
          <w:p w14:paraId="6185C19C">
            <w:pPr>
              <w:spacing w:line="360" w:lineRule="auto"/>
              <w:ind w:firstLine="480" w:firstLineChars="200"/>
              <w:rPr>
                <w:rFonts w:hint="default" w:eastAsia="宋体"/>
                <w:bCs/>
                <w:color w:val="FF0000"/>
                <w:kern w:val="0"/>
                <w:sz w:val="24"/>
                <w:lang w:val="en-US" w:eastAsia="zh-CN" w:bidi="en-US"/>
              </w:rPr>
            </w:pPr>
            <w:r>
              <w:rPr>
                <w:rFonts w:hint="eastAsia"/>
                <w:bCs/>
                <w:color w:val="FF0000"/>
                <w:kern w:val="0"/>
                <w:sz w:val="24"/>
                <w:lang w:val="en-US" w:eastAsia="zh-CN" w:bidi="en-US"/>
              </w:rPr>
              <w:t>本项目甲醇产生量较少，同时因非甲烷总烃中包括甲醇，则纳入非甲烷总烃内考虑，不再单独对甲醇产排情况进行计算，经通风橱负压收集后，采用活性炭吸附，最终达标排放，对环境影响较小。</w:t>
            </w:r>
          </w:p>
          <w:p w14:paraId="1B5355F8">
            <w:pPr>
              <w:spacing w:line="360" w:lineRule="auto"/>
              <w:ind w:firstLine="480" w:firstLineChars="200"/>
              <w:rPr>
                <w:bCs/>
                <w:color w:val="FF0000"/>
                <w:kern w:val="0"/>
                <w:sz w:val="24"/>
                <w:lang w:bidi="en-US"/>
              </w:rPr>
            </w:pPr>
            <w:r>
              <w:rPr>
                <w:rFonts w:hint="eastAsia"/>
                <w:bCs/>
                <w:color w:val="FF0000"/>
                <w:kern w:val="0"/>
                <w:sz w:val="24"/>
                <w:lang w:bidi="en-US"/>
              </w:rPr>
              <w:t>2）无机废气（氨）</w:t>
            </w:r>
          </w:p>
          <w:p w14:paraId="5E075B51">
            <w:pPr>
              <w:spacing w:line="360" w:lineRule="auto"/>
              <w:ind w:firstLine="480" w:firstLineChars="200"/>
              <w:rPr>
                <w:bCs/>
                <w:color w:val="FF0000"/>
                <w:kern w:val="0"/>
                <w:sz w:val="24"/>
                <w:lang w:bidi="en-US"/>
              </w:rPr>
            </w:pPr>
            <w:r>
              <w:rPr>
                <w:rFonts w:hint="eastAsia"/>
                <w:bCs/>
                <w:color w:val="FF0000"/>
                <w:kern w:val="0"/>
                <w:sz w:val="24"/>
                <w:lang w:bidi="en-US"/>
              </w:rPr>
              <w:t>本项目氨水</w:t>
            </w:r>
            <w:r>
              <w:rPr>
                <w:rFonts w:hint="eastAsia"/>
                <w:bCs/>
                <w:color w:val="FF0000"/>
                <w:kern w:val="0"/>
                <w:sz w:val="24"/>
                <w:lang w:val="en-US" w:eastAsia="zh-CN" w:bidi="en-US"/>
              </w:rPr>
              <w:t>用量较少，在密闭容器中保存，仅实验过程中产生少量氨气，具有刺激性气味。由于使用量较小，本次评价不再对氨气产生量进行计算。氨气经通风橱负压收集后，采用活性炭吸附，最终达标排放，对环境影响较小。</w:t>
            </w:r>
          </w:p>
          <w:p w14:paraId="63616E4A">
            <w:pPr>
              <w:spacing w:line="360" w:lineRule="auto"/>
              <w:ind w:firstLine="480" w:firstLineChars="200"/>
              <w:rPr>
                <w:rFonts w:hint="eastAsia" w:eastAsia="宋体"/>
                <w:bCs/>
                <w:color w:val="auto"/>
                <w:kern w:val="0"/>
                <w:sz w:val="24"/>
                <w:lang w:val="en-US" w:eastAsia="zh-CN" w:bidi="en-US"/>
              </w:rPr>
            </w:pPr>
            <w:r>
              <w:rPr>
                <w:bCs/>
                <w:color w:val="auto"/>
                <w:kern w:val="0"/>
                <w:sz w:val="24"/>
                <w:lang w:bidi="en-US"/>
              </w:rPr>
              <w:t>（3）废气排放口设置情况</w:t>
            </w:r>
          </w:p>
          <w:p w14:paraId="2BD0E6F3">
            <w:pPr>
              <w:widowControl/>
              <w:spacing w:line="360" w:lineRule="auto"/>
              <w:ind w:firstLine="480" w:firstLineChars="200"/>
              <w:jc w:val="left"/>
              <w:rPr>
                <w:color w:val="auto"/>
                <w:kern w:val="0"/>
                <w:sz w:val="24"/>
                <w:lang w:bidi="en-US"/>
              </w:rPr>
            </w:pPr>
            <w:r>
              <w:rPr>
                <w:color w:val="auto"/>
                <w:kern w:val="0"/>
                <w:sz w:val="24"/>
                <w:lang w:bidi="en-US"/>
              </w:rPr>
              <w:t>项目生产过程中产生的</w:t>
            </w:r>
            <w:r>
              <w:rPr>
                <w:rFonts w:hint="eastAsia"/>
                <w:color w:val="auto"/>
                <w:kern w:val="0"/>
                <w:sz w:val="24"/>
                <w:lang w:bidi="en-US"/>
              </w:rPr>
              <w:t>研发废气非甲烷总烃通风橱收集后经一套“活性炭吸附装置”处理后经23m</w:t>
            </w:r>
            <w:r>
              <w:rPr>
                <w:color w:val="auto"/>
                <w:kern w:val="0"/>
                <w:sz w:val="24"/>
                <w:lang w:bidi="en-US"/>
              </w:rPr>
              <w:t>高DA00</w:t>
            </w:r>
            <w:r>
              <w:rPr>
                <w:rFonts w:hint="eastAsia"/>
                <w:color w:val="auto"/>
                <w:kern w:val="0"/>
                <w:sz w:val="24"/>
                <w:lang w:bidi="en-US"/>
              </w:rPr>
              <w:t>1</w:t>
            </w:r>
            <w:r>
              <w:rPr>
                <w:color w:val="auto"/>
                <w:kern w:val="0"/>
                <w:sz w:val="24"/>
                <w:lang w:bidi="en-US"/>
              </w:rPr>
              <w:t>排气筒排放</w:t>
            </w:r>
            <w:r>
              <w:rPr>
                <w:color w:val="auto"/>
                <w:kern w:val="0"/>
                <w:sz w:val="24"/>
                <w:szCs w:val="20"/>
              </w:rPr>
              <w:t>。</w:t>
            </w:r>
          </w:p>
          <w:p w14:paraId="0838B87F">
            <w:pPr>
              <w:widowControl/>
              <w:spacing w:line="360" w:lineRule="auto"/>
              <w:ind w:firstLine="480" w:firstLineChars="200"/>
              <w:jc w:val="left"/>
              <w:rPr>
                <w:color w:val="auto"/>
                <w:kern w:val="0"/>
                <w:sz w:val="24"/>
                <w:lang w:bidi="en-US"/>
              </w:rPr>
            </w:pPr>
            <w:r>
              <w:rPr>
                <w:color w:val="auto"/>
                <w:kern w:val="0"/>
                <w:sz w:val="24"/>
                <w:lang w:bidi="en-US"/>
              </w:rPr>
              <w:t>排放口具体情况见下表。</w:t>
            </w:r>
          </w:p>
          <w:p w14:paraId="030A86CE">
            <w:pPr>
              <w:autoSpaceDE w:val="0"/>
              <w:autoSpaceDN w:val="0"/>
              <w:jc w:val="center"/>
              <w:rPr>
                <w:b/>
                <w:color w:val="auto"/>
                <w:szCs w:val="21"/>
              </w:rPr>
            </w:pPr>
            <w:r>
              <w:rPr>
                <w:b/>
                <w:color w:val="auto"/>
                <w:szCs w:val="21"/>
              </w:rPr>
              <w:t>表</w:t>
            </w:r>
            <w:r>
              <w:rPr>
                <w:rFonts w:hint="eastAsia"/>
                <w:b/>
                <w:color w:val="auto"/>
                <w:szCs w:val="21"/>
              </w:rPr>
              <w:t xml:space="preserve">4-5   </w:t>
            </w:r>
            <w:r>
              <w:rPr>
                <w:b/>
                <w:color w:val="auto"/>
                <w:szCs w:val="21"/>
              </w:rPr>
              <w:t>项目废气排放口设置情况</w:t>
            </w:r>
          </w:p>
          <w:tbl>
            <w:tblPr>
              <w:tblStyle w:val="18"/>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741"/>
              <w:gridCol w:w="734"/>
              <w:gridCol w:w="785"/>
              <w:gridCol w:w="550"/>
              <w:gridCol w:w="515"/>
              <w:gridCol w:w="484"/>
              <w:gridCol w:w="599"/>
              <w:gridCol w:w="1663"/>
              <w:gridCol w:w="2202"/>
            </w:tblGrid>
            <w:tr w14:paraId="29D6E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3" w:hRule="atLeast"/>
                <w:jc w:val="center"/>
              </w:trPr>
              <w:tc>
                <w:tcPr>
                  <w:tcW w:w="448" w:type="pct"/>
                  <w:vAlign w:val="center"/>
                </w:tcPr>
                <w:p w14:paraId="45E235D2">
                  <w:pPr>
                    <w:widowControl/>
                    <w:adjustRightInd w:val="0"/>
                    <w:snapToGrid w:val="0"/>
                    <w:jc w:val="center"/>
                    <w:rPr>
                      <w:color w:val="auto"/>
                      <w:kern w:val="0"/>
                      <w:szCs w:val="21"/>
                      <w:lang w:bidi="en-US"/>
                    </w:rPr>
                  </w:pPr>
                  <w:r>
                    <w:rPr>
                      <w:color w:val="auto"/>
                      <w:kern w:val="0"/>
                      <w:szCs w:val="21"/>
                      <w:lang w:bidi="en-US"/>
                    </w:rPr>
                    <w:t>排放口名称</w:t>
                  </w:r>
                </w:p>
              </w:tc>
              <w:tc>
                <w:tcPr>
                  <w:tcW w:w="443" w:type="pct"/>
                  <w:vAlign w:val="center"/>
                </w:tcPr>
                <w:p w14:paraId="1237A0D8">
                  <w:pPr>
                    <w:widowControl/>
                    <w:adjustRightInd w:val="0"/>
                    <w:snapToGrid w:val="0"/>
                    <w:jc w:val="center"/>
                    <w:rPr>
                      <w:color w:val="auto"/>
                      <w:kern w:val="0"/>
                      <w:szCs w:val="21"/>
                      <w:lang w:bidi="en-US"/>
                    </w:rPr>
                  </w:pPr>
                  <w:r>
                    <w:rPr>
                      <w:color w:val="auto"/>
                      <w:kern w:val="0"/>
                      <w:szCs w:val="21"/>
                      <w:lang w:bidi="en-US"/>
                    </w:rPr>
                    <w:t>排放口编号</w:t>
                  </w:r>
                </w:p>
              </w:tc>
              <w:tc>
                <w:tcPr>
                  <w:tcW w:w="474" w:type="pct"/>
                  <w:vAlign w:val="center"/>
                </w:tcPr>
                <w:p w14:paraId="7B2249FE">
                  <w:pPr>
                    <w:widowControl/>
                    <w:adjustRightInd w:val="0"/>
                    <w:snapToGrid w:val="0"/>
                    <w:jc w:val="center"/>
                    <w:rPr>
                      <w:color w:val="auto"/>
                      <w:kern w:val="0"/>
                      <w:szCs w:val="21"/>
                      <w:lang w:bidi="en-US"/>
                    </w:rPr>
                  </w:pPr>
                  <w:r>
                    <w:rPr>
                      <w:color w:val="auto"/>
                      <w:kern w:val="0"/>
                      <w:szCs w:val="21"/>
                      <w:lang w:bidi="en-US"/>
                    </w:rPr>
                    <w:t>污染物</w:t>
                  </w:r>
                </w:p>
              </w:tc>
              <w:tc>
                <w:tcPr>
                  <w:tcW w:w="332" w:type="pct"/>
                  <w:vAlign w:val="center"/>
                </w:tcPr>
                <w:p w14:paraId="6D7D9912">
                  <w:pPr>
                    <w:widowControl/>
                    <w:adjustRightInd w:val="0"/>
                    <w:snapToGrid w:val="0"/>
                    <w:jc w:val="center"/>
                    <w:rPr>
                      <w:color w:val="auto"/>
                      <w:kern w:val="0"/>
                      <w:szCs w:val="21"/>
                      <w:lang w:bidi="en-US"/>
                    </w:rPr>
                  </w:pPr>
                  <w:r>
                    <w:rPr>
                      <w:color w:val="auto"/>
                      <w:kern w:val="0"/>
                      <w:szCs w:val="21"/>
                      <w:lang w:bidi="en-US"/>
                    </w:rPr>
                    <w:t>高度/m</w:t>
                  </w:r>
                </w:p>
              </w:tc>
              <w:tc>
                <w:tcPr>
                  <w:tcW w:w="311" w:type="pct"/>
                  <w:vAlign w:val="center"/>
                </w:tcPr>
                <w:p w14:paraId="066634DD">
                  <w:pPr>
                    <w:widowControl/>
                    <w:adjustRightInd w:val="0"/>
                    <w:snapToGrid w:val="0"/>
                    <w:jc w:val="center"/>
                    <w:rPr>
                      <w:color w:val="auto"/>
                      <w:kern w:val="0"/>
                      <w:szCs w:val="21"/>
                      <w:lang w:bidi="en-US"/>
                    </w:rPr>
                  </w:pPr>
                  <w:r>
                    <w:rPr>
                      <w:color w:val="auto"/>
                      <w:kern w:val="0"/>
                      <w:szCs w:val="21"/>
                      <w:lang w:bidi="en-US"/>
                    </w:rPr>
                    <w:t>内径/m</w:t>
                  </w:r>
                </w:p>
              </w:tc>
              <w:tc>
                <w:tcPr>
                  <w:tcW w:w="292" w:type="pct"/>
                  <w:vAlign w:val="center"/>
                </w:tcPr>
                <w:p w14:paraId="1A06B65D">
                  <w:pPr>
                    <w:widowControl/>
                    <w:adjustRightInd w:val="0"/>
                    <w:snapToGrid w:val="0"/>
                    <w:jc w:val="center"/>
                    <w:rPr>
                      <w:color w:val="auto"/>
                      <w:kern w:val="0"/>
                      <w:szCs w:val="21"/>
                      <w:lang w:bidi="en-US"/>
                    </w:rPr>
                  </w:pPr>
                  <w:r>
                    <w:rPr>
                      <w:color w:val="auto"/>
                      <w:kern w:val="0"/>
                      <w:szCs w:val="21"/>
                      <w:lang w:bidi="en-US"/>
                    </w:rPr>
                    <w:t>温度/℃</w:t>
                  </w:r>
                </w:p>
              </w:tc>
              <w:tc>
                <w:tcPr>
                  <w:tcW w:w="362" w:type="pct"/>
                  <w:vAlign w:val="center"/>
                </w:tcPr>
                <w:p w14:paraId="0E8ECA7B">
                  <w:pPr>
                    <w:widowControl/>
                    <w:adjustRightInd w:val="0"/>
                    <w:snapToGrid w:val="0"/>
                    <w:jc w:val="center"/>
                    <w:rPr>
                      <w:color w:val="auto"/>
                      <w:kern w:val="0"/>
                      <w:szCs w:val="21"/>
                      <w:lang w:bidi="en-US"/>
                    </w:rPr>
                  </w:pPr>
                  <w:r>
                    <w:rPr>
                      <w:color w:val="auto"/>
                      <w:kern w:val="0"/>
                      <w:szCs w:val="21"/>
                      <w:lang w:bidi="en-US"/>
                    </w:rPr>
                    <w:t>类型</w:t>
                  </w:r>
                </w:p>
              </w:tc>
              <w:tc>
                <w:tcPr>
                  <w:tcW w:w="1004" w:type="pct"/>
                  <w:vAlign w:val="center"/>
                </w:tcPr>
                <w:p w14:paraId="16FA891C">
                  <w:pPr>
                    <w:widowControl/>
                    <w:adjustRightInd w:val="0"/>
                    <w:snapToGrid w:val="0"/>
                    <w:jc w:val="center"/>
                    <w:rPr>
                      <w:color w:val="auto"/>
                      <w:kern w:val="0"/>
                      <w:szCs w:val="21"/>
                      <w:lang w:bidi="en-US"/>
                    </w:rPr>
                  </w:pPr>
                  <w:r>
                    <w:rPr>
                      <w:color w:val="auto"/>
                      <w:kern w:val="0"/>
                      <w:szCs w:val="21"/>
                      <w:lang w:bidi="en-US"/>
                    </w:rPr>
                    <w:t>坐标</w:t>
                  </w:r>
                </w:p>
              </w:tc>
              <w:tc>
                <w:tcPr>
                  <w:tcW w:w="1330" w:type="pct"/>
                  <w:vAlign w:val="center"/>
                </w:tcPr>
                <w:p w14:paraId="246AA208">
                  <w:pPr>
                    <w:widowControl/>
                    <w:adjustRightInd w:val="0"/>
                    <w:snapToGrid w:val="0"/>
                    <w:jc w:val="center"/>
                    <w:rPr>
                      <w:color w:val="auto"/>
                      <w:kern w:val="0"/>
                      <w:szCs w:val="21"/>
                      <w:lang w:bidi="en-US"/>
                    </w:rPr>
                  </w:pPr>
                  <w:r>
                    <w:rPr>
                      <w:color w:val="auto"/>
                      <w:kern w:val="0"/>
                      <w:szCs w:val="21"/>
                      <w:lang w:bidi="en-US"/>
                    </w:rPr>
                    <w:t>排放标准</w:t>
                  </w:r>
                </w:p>
              </w:tc>
            </w:tr>
            <w:tr w14:paraId="3E10A5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448" w:type="pct"/>
                  <w:vAlign w:val="center"/>
                </w:tcPr>
                <w:p w14:paraId="33C985C9">
                  <w:pPr>
                    <w:widowControl/>
                    <w:adjustRightInd w:val="0"/>
                    <w:snapToGrid w:val="0"/>
                    <w:jc w:val="center"/>
                    <w:rPr>
                      <w:color w:val="auto"/>
                      <w:kern w:val="0"/>
                      <w:szCs w:val="21"/>
                      <w:lang w:bidi="en-US"/>
                    </w:rPr>
                  </w:pPr>
                  <w:r>
                    <w:rPr>
                      <w:rFonts w:hint="eastAsia"/>
                      <w:color w:val="auto"/>
                      <w:kern w:val="0"/>
                      <w:szCs w:val="21"/>
                      <w:lang w:bidi="en-US"/>
                    </w:rPr>
                    <w:t>研发废气排气筒</w:t>
                  </w:r>
                </w:p>
              </w:tc>
              <w:tc>
                <w:tcPr>
                  <w:tcW w:w="443" w:type="pct"/>
                  <w:vAlign w:val="center"/>
                </w:tcPr>
                <w:p w14:paraId="551E3986">
                  <w:pPr>
                    <w:widowControl/>
                    <w:adjustRightInd w:val="0"/>
                    <w:snapToGrid w:val="0"/>
                    <w:jc w:val="center"/>
                    <w:rPr>
                      <w:color w:val="auto"/>
                      <w:kern w:val="0"/>
                      <w:szCs w:val="21"/>
                      <w:lang w:bidi="en-US"/>
                    </w:rPr>
                  </w:pPr>
                  <w:r>
                    <w:rPr>
                      <w:rFonts w:hint="eastAsia"/>
                      <w:color w:val="auto"/>
                      <w:kern w:val="0"/>
                      <w:szCs w:val="21"/>
                      <w:lang w:bidi="en-US"/>
                    </w:rPr>
                    <w:t>DA001</w:t>
                  </w:r>
                </w:p>
              </w:tc>
              <w:tc>
                <w:tcPr>
                  <w:tcW w:w="474" w:type="pct"/>
                  <w:vAlign w:val="center"/>
                </w:tcPr>
                <w:p w14:paraId="0391AACA">
                  <w:pPr>
                    <w:widowControl/>
                    <w:adjustRightInd w:val="0"/>
                    <w:snapToGrid w:val="0"/>
                    <w:jc w:val="center"/>
                    <w:rPr>
                      <w:rFonts w:hint="default" w:eastAsia="宋体"/>
                      <w:color w:val="auto"/>
                      <w:kern w:val="0"/>
                      <w:szCs w:val="21"/>
                      <w:lang w:val="en-US" w:eastAsia="zh-CN" w:bidi="en-US"/>
                    </w:rPr>
                  </w:pPr>
                  <w:r>
                    <w:rPr>
                      <w:color w:val="auto"/>
                      <w:kern w:val="0"/>
                      <w:szCs w:val="21"/>
                      <w:lang w:bidi="en-US"/>
                    </w:rPr>
                    <w:t>非甲烷总烃</w:t>
                  </w:r>
                </w:p>
              </w:tc>
              <w:tc>
                <w:tcPr>
                  <w:tcW w:w="332" w:type="pct"/>
                  <w:vAlign w:val="center"/>
                </w:tcPr>
                <w:p w14:paraId="0651CA73">
                  <w:pPr>
                    <w:adjustRightInd w:val="0"/>
                    <w:snapToGrid w:val="0"/>
                    <w:jc w:val="center"/>
                    <w:rPr>
                      <w:color w:val="auto"/>
                      <w:kern w:val="0"/>
                      <w:szCs w:val="21"/>
                      <w:lang w:bidi="en-US"/>
                    </w:rPr>
                  </w:pPr>
                  <w:r>
                    <w:rPr>
                      <w:rFonts w:hint="eastAsia"/>
                      <w:color w:val="auto"/>
                      <w:kern w:val="0"/>
                      <w:szCs w:val="21"/>
                    </w:rPr>
                    <w:t>23</w:t>
                  </w:r>
                </w:p>
              </w:tc>
              <w:tc>
                <w:tcPr>
                  <w:tcW w:w="311" w:type="pct"/>
                  <w:vAlign w:val="center"/>
                </w:tcPr>
                <w:p w14:paraId="0AD040B3">
                  <w:pPr>
                    <w:adjustRightInd w:val="0"/>
                    <w:snapToGrid w:val="0"/>
                    <w:jc w:val="center"/>
                    <w:rPr>
                      <w:color w:val="auto"/>
                      <w:kern w:val="0"/>
                      <w:szCs w:val="21"/>
                      <w:lang w:bidi="en-US"/>
                    </w:rPr>
                  </w:pPr>
                  <w:r>
                    <w:rPr>
                      <w:color w:val="auto"/>
                      <w:kern w:val="0"/>
                      <w:szCs w:val="21"/>
                    </w:rPr>
                    <w:t>0.</w:t>
                  </w:r>
                  <w:r>
                    <w:rPr>
                      <w:rFonts w:hint="eastAsia"/>
                      <w:color w:val="auto"/>
                      <w:kern w:val="0"/>
                      <w:szCs w:val="21"/>
                    </w:rPr>
                    <w:t>4</w:t>
                  </w:r>
                </w:p>
              </w:tc>
              <w:tc>
                <w:tcPr>
                  <w:tcW w:w="292" w:type="pct"/>
                  <w:vAlign w:val="center"/>
                </w:tcPr>
                <w:p w14:paraId="724EB8DD">
                  <w:pPr>
                    <w:widowControl/>
                    <w:adjustRightInd w:val="0"/>
                    <w:snapToGrid w:val="0"/>
                    <w:jc w:val="center"/>
                    <w:rPr>
                      <w:color w:val="auto"/>
                      <w:kern w:val="0"/>
                      <w:szCs w:val="21"/>
                      <w:lang w:bidi="en-US"/>
                    </w:rPr>
                  </w:pPr>
                  <w:r>
                    <w:rPr>
                      <w:rFonts w:hint="eastAsia"/>
                      <w:color w:val="auto"/>
                      <w:kern w:val="0"/>
                      <w:szCs w:val="21"/>
                      <w:lang w:bidi="en-US"/>
                    </w:rPr>
                    <w:t>25</w:t>
                  </w:r>
                </w:p>
              </w:tc>
              <w:tc>
                <w:tcPr>
                  <w:tcW w:w="362" w:type="pct"/>
                  <w:vAlign w:val="center"/>
                </w:tcPr>
                <w:p w14:paraId="5116EC12">
                  <w:pPr>
                    <w:widowControl/>
                    <w:adjustRightInd w:val="0"/>
                    <w:snapToGrid w:val="0"/>
                    <w:jc w:val="center"/>
                    <w:rPr>
                      <w:color w:val="auto"/>
                      <w:kern w:val="0"/>
                      <w:szCs w:val="21"/>
                      <w:lang w:bidi="en-US"/>
                    </w:rPr>
                  </w:pPr>
                  <w:r>
                    <w:rPr>
                      <w:color w:val="auto"/>
                      <w:kern w:val="0"/>
                      <w:szCs w:val="21"/>
                      <w:lang w:bidi="en-US"/>
                    </w:rPr>
                    <w:t>一般排放口</w:t>
                  </w:r>
                </w:p>
              </w:tc>
              <w:tc>
                <w:tcPr>
                  <w:tcW w:w="1004" w:type="pct"/>
                  <w:vAlign w:val="center"/>
                </w:tcPr>
                <w:p w14:paraId="776B5D0E">
                  <w:pPr>
                    <w:widowControl/>
                    <w:adjustRightInd w:val="0"/>
                    <w:snapToGrid w:val="0"/>
                    <w:jc w:val="center"/>
                    <w:rPr>
                      <w:color w:val="auto"/>
                      <w:kern w:val="0"/>
                      <w:szCs w:val="21"/>
                      <w:lang w:bidi="en-US"/>
                    </w:rPr>
                  </w:pPr>
                  <w:r>
                    <w:rPr>
                      <w:color w:val="auto"/>
                      <w:kern w:val="0"/>
                      <w:szCs w:val="21"/>
                      <w:lang w:bidi="en-US"/>
                    </w:rPr>
                    <w:t>E10</w:t>
                  </w:r>
                  <w:r>
                    <w:rPr>
                      <w:rFonts w:hint="eastAsia"/>
                      <w:color w:val="auto"/>
                      <w:kern w:val="0"/>
                      <w:szCs w:val="21"/>
                      <w:lang w:bidi="en-US"/>
                    </w:rPr>
                    <w:t>8</w:t>
                  </w:r>
                  <w:r>
                    <w:rPr>
                      <w:color w:val="auto"/>
                      <w:kern w:val="0"/>
                      <w:szCs w:val="21"/>
                      <w:lang w:bidi="en-US"/>
                    </w:rPr>
                    <w:t>°</w:t>
                  </w:r>
                  <w:r>
                    <w:rPr>
                      <w:rFonts w:hint="eastAsia"/>
                      <w:color w:val="auto"/>
                      <w:kern w:val="0"/>
                      <w:szCs w:val="21"/>
                      <w:lang w:bidi="en-US"/>
                    </w:rPr>
                    <w:t>41</w:t>
                  </w:r>
                  <w:r>
                    <w:rPr>
                      <w:color w:val="auto"/>
                      <w:kern w:val="0"/>
                      <w:szCs w:val="21"/>
                      <w:lang w:bidi="en-US"/>
                    </w:rPr>
                    <w:t>′</w:t>
                  </w:r>
                  <w:r>
                    <w:rPr>
                      <w:rFonts w:hint="eastAsia"/>
                      <w:color w:val="auto"/>
                      <w:kern w:val="0"/>
                      <w:szCs w:val="21"/>
                      <w:lang w:bidi="en-US"/>
                    </w:rPr>
                    <w:t>57.613</w:t>
                  </w:r>
                  <w:r>
                    <w:rPr>
                      <w:color w:val="auto"/>
                      <w:kern w:val="0"/>
                      <w:szCs w:val="21"/>
                      <w:lang w:bidi="en-US"/>
                    </w:rPr>
                    <w:t>″</w:t>
                  </w:r>
                </w:p>
                <w:p w14:paraId="6CDDDF37">
                  <w:pPr>
                    <w:adjustRightInd w:val="0"/>
                    <w:snapToGrid w:val="0"/>
                    <w:jc w:val="center"/>
                    <w:rPr>
                      <w:color w:val="auto"/>
                      <w:kern w:val="0"/>
                      <w:szCs w:val="21"/>
                    </w:rPr>
                  </w:pPr>
                  <w:r>
                    <w:rPr>
                      <w:color w:val="auto"/>
                      <w:kern w:val="0"/>
                      <w:szCs w:val="21"/>
                      <w:lang w:bidi="en-US"/>
                    </w:rPr>
                    <w:t>N34°</w:t>
                  </w:r>
                  <w:r>
                    <w:rPr>
                      <w:rFonts w:hint="eastAsia"/>
                      <w:color w:val="auto"/>
                      <w:kern w:val="0"/>
                      <w:szCs w:val="21"/>
                      <w:lang w:bidi="en-US"/>
                    </w:rPr>
                    <w:t>17</w:t>
                  </w:r>
                  <w:r>
                    <w:rPr>
                      <w:color w:val="auto"/>
                      <w:kern w:val="0"/>
                      <w:szCs w:val="21"/>
                      <w:lang w:bidi="en-US"/>
                    </w:rPr>
                    <w:t>′</w:t>
                  </w:r>
                  <w:r>
                    <w:rPr>
                      <w:rFonts w:hint="eastAsia"/>
                      <w:color w:val="auto"/>
                      <w:kern w:val="0"/>
                      <w:szCs w:val="21"/>
                      <w:lang w:bidi="en-US"/>
                    </w:rPr>
                    <w:t>23.014</w:t>
                  </w:r>
                  <w:r>
                    <w:rPr>
                      <w:color w:val="auto"/>
                      <w:kern w:val="0"/>
                      <w:szCs w:val="21"/>
                      <w:lang w:bidi="en-US"/>
                    </w:rPr>
                    <w:t>″</w:t>
                  </w:r>
                </w:p>
              </w:tc>
              <w:tc>
                <w:tcPr>
                  <w:tcW w:w="1330" w:type="pct"/>
                  <w:vAlign w:val="center"/>
                </w:tcPr>
                <w:p w14:paraId="16C92802">
                  <w:pPr>
                    <w:widowControl/>
                    <w:adjustRightInd w:val="0"/>
                    <w:snapToGrid w:val="0"/>
                    <w:jc w:val="center"/>
                    <w:rPr>
                      <w:color w:val="auto"/>
                      <w:kern w:val="0"/>
                      <w:szCs w:val="21"/>
                    </w:rPr>
                  </w:pPr>
                  <w:r>
                    <w:rPr>
                      <w:rFonts w:hint="eastAsia"/>
                      <w:color w:val="auto"/>
                      <w:kern w:val="0"/>
                      <w:szCs w:val="21"/>
                    </w:rPr>
                    <w:t>执行《制药工业大气污染物排放标准》（GB37823-2019）标准</w:t>
                  </w:r>
                </w:p>
              </w:tc>
            </w:tr>
          </w:tbl>
          <w:p w14:paraId="1FA15263">
            <w:pPr>
              <w:spacing w:line="360" w:lineRule="auto"/>
              <w:ind w:firstLine="480" w:firstLineChars="200"/>
              <w:rPr>
                <w:bCs/>
                <w:color w:val="auto"/>
                <w:sz w:val="24"/>
              </w:rPr>
            </w:pPr>
            <w:r>
              <w:rPr>
                <w:rFonts w:hint="eastAsia"/>
                <w:bCs/>
                <w:color w:val="auto"/>
                <w:sz w:val="24"/>
              </w:rPr>
              <w:t>（4）</w:t>
            </w:r>
            <w:r>
              <w:rPr>
                <w:bCs/>
                <w:color w:val="auto"/>
                <w:sz w:val="24"/>
              </w:rPr>
              <w:t>废气</w:t>
            </w:r>
            <w:r>
              <w:rPr>
                <w:rFonts w:hint="eastAsia"/>
                <w:bCs/>
                <w:color w:val="auto"/>
                <w:sz w:val="24"/>
              </w:rPr>
              <w:t>处理措施合理性</w:t>
            </w:r>
            <w:r>
              <w:rPr>
                <w:bCs/>
                <w:color w:val="auto"/>
                <w:sz w:val="24"/>
              </w:rPr>
              <w:t>分析</w:t>
            </w:r>
          </w:p>
          <w:p w14:paraId="0AE25F48">
            <w:pPr>
              <w:spacing w:line="360" w:lineRule="auto"/>
              <w:ind w:firstLine="480" w:firstLineChars="200"/>
              <w:rPr>
                <w:bCs/>
                <w:color w:val="auto"/>
                <w:sz w:val="24"/>
              </w:rPr>
            </w:pPr>
            <w:r>
              <w:rPr>
                <w:bCs/>
                <w:color w:val="auto"/>
                <w:sz w:val="24"/>
              </w:rPr>
              <w:t>参照《排污许可证申请与核发技术规范 制药工业</w:t>
            </w:r>
            <w:r>
              <w:rPr>
                <w:rFonts w:hint="eastAsia"/>
                <w:bCs/>
                <w:color w:val="auto"/>
                <w:sz w:val="24"/>
              </w:rPr>
              <w:t>-</w:t>
            </w:r>
            <w:r>
              <w:rPr>
                <w:bCs/>
                <w:color w:val="auto"/>
                <w:sz w:val="24"/>
              </w:rPr>
              <w:t>化学药品制剂制造》（HJ 1063</w:t>
            </w:r>
            <w:r>
              <w:rPr>
                <w:rFonts w:hint="eastAsia"/>
                <w:bCs/>
                <w:color w:val="auto"/>
                <w:sz w:val="24"/>
              </w:rPr>
              <w:t>-</w:t>
            </w:r>
            <w:r>
              <w:rPr>
                <w:bCs/>
                <w:color w:val="auto"/>
                <w:sz w:val="24"/>
              </w:rPr>
              <w:t>2019）表A.1废气治理可行技术参考表中</w:t>
            </w:r>
            <w:r>
              <w:rPr>
                <w:rFonts w:hint="eastAsia"/>
                <w:bCs/>
                <w:color w:val="auto"/>
                <w:sz w:val="24"/>
              </w:rPr>
              <w:t>“</w:t>
            </w:r>
            <w:r>
              <w:rPr>
                <w:bCs/>
                <w:color w:val="auto"/>
                <w:sz w:val="24"/>
              </w:rPr>
              <w:t>研发废气</w:t>
            </w:r>
            <w:r>
              <w:rPr>
                <w:rFonts w:hint="eastAsia"/>
                <w:bCs/>
                <w:color w:val="auto"/>
                <w:sz w:val="24"/>
              </w:rPr>
              <w:t>”</w:t>
            </w:r>
            <w:r>
              <w:rPr>
                <w:bCs/>
                <w:color w:val="auto"/>
                <w:sz w:val="24"/>
              </w:rPr>
              <w:t>可行技术为</w:t>
            </w:r>
            <w:r>
              <w:rPr>
                <w:rFonts w:hint="eastAsia"/>
                <w:bCs/>
                <w:color w:val="auto"/>
                <w:sz w:val="24"/>
              </w:rPr>
              <w:t>“</w:t>
            </w:r>
            <w:r>
              <w:rPr>
                <w:bCs/>
                <w:color w:val="auto"/>
                <w:sz w:val="24"/>
              </w:rPr>
              <w:t>吸附、吸收</w:t>
            </w:r>
            <w:r>
              <w:rPr>
                <w:rFonts w:hint="eastAsia"/>
                <w:bCs/>
                <w:color w:val="auto"/>
                <w:sz w:val="24"/>
              </w:rPr>
              <w:t>”</w:t>
            </w:r>
            <w:r>
              <w:rPr>
                <w:bCs/>
                <w:color w:val="auto"/>
                <w:sz w:val="24"/>
              </w:rPr>
              <w:t>，本项目采用二级活性炭吸附工艺，污染物排放浓度满足《制药工业大气污染物排放标准》（GB37823-2019）要求，措施可行。</w:t>
            </w:r>
          </w:p>
          <w:p w14:paraId="296E134A">
            <w:pPr>
              <w:wordWrap w:val="0"/>
              <w:spacing w:line="360" w:lineRule="auto"/>
              <w:ind w:firstLine="480" w:firstLineChars="200"/>
              <w:rPr>
                <w:color w:val="auto"/>
                <w:sz w:val="24"/>
                <w:szCs w:val="32"/>
              </w:rPr>
            </w:pPr>
            <w:r>
              <w:rPr>
                <w:rFonts w:hint="eastAsia"/>
                <w:color w:val="auto"/>
                <w:sz w:val="24"/>
                <w:szCs w:val="32"/>
              </w:rPr>
              <w:t>（5）排气筒设置合理性分析</w:t>
            </w:r>
          </w:p>
          <w:p w14:paraId="7EE6D851">
            <w:pPr>
              <w:wordWrap w:val="0"/>
              <w:spacing w:line="360" w:lineRule="auto"/>
              <w:ind w:firstLine="480" w:firstLineChars="200"/>
              <w:rPr>
                <w:bCs/>
                <w:color w:val="auto"/>
                <w:sz w:val="24"/>
                <w:szCs w:val="22"/>
              </w:rPr>
            </w:pPr>
            <w:r>
              <w:rPr>
                <w:rFonts w:hint="eastAsia"/>
                <w:bCs/>
                <w:color w:val="auto"/>
                <w:sz w:val="24"/>
                <w:szCs w:val="22"/>
              </w:rPr>
              <w:t>根据</w:t>
            </w:r>
            <w:r>
              <w:rPr>
                <w:rFonts w:hint="eastAsia" w:hAnsi="宋体"/>
                <w:color w:val="auto"/>
                <w:sz w:val="24"/>
              </w:rPr>
              <w:t>《制药工业大气污染物排放标准》（GB37823-2019）中“4.7 排放光气、氰化氢和氯气的排气筒高度不低于25m，其他排气筒高度不低于15m”</w:t>
            </w:r>
            <w:r>
              <w:rPr>
                <w:rFonts w:hint="eastAsia"/>
                <w:bCs/>
                <w:color w:val="auto"/>
                <w:sz w:val="24"/>
                <w:lang w:eastAsia="zh-CN"/>
              </w:rPr>
              <w:t>；</w:t>
            </w:r>
            <w:r>
              <w:rPr>
                <w:rFonts w:hint="eastAsia"/>
                <w:color w:val="auto"/>
                <w:sz w:val="24"/>
                <w:szCs w:val="32"/>
                <w:lang w:val="en-US" w:eastAsia="zh-CN"/>
              </w:rPr>
              <w:t>根据</w:t>
            </w:r>
            <w:r>
              <w:rPr>
                <w:rFonts w:hAnsi="宋体"/>
                <w:color w:val="auto"/>
                <w:sz w:val="24"/>
                <w:lang w:val="zh-TW"/>
              </w:rPr>
              <w:t>《大气污染物综合排放标准》</w:t>
            </w:r>
            <w:r>
              <w:rPr>
                <w:rFonts w:hint="eastAsia" w:hAnsi="宋体"/>
                <w:color w:val="auto"/>
                <w:sz w:val="24"/>
                <w:lang w:val="zh-TW"/>
              </w:rPr>
              <w:t>（</w:t>
            </w:r>
            <w:r>
              <w:rPr>
                <w:rFonts w:hAnsi="宋体"/>
                <w:color w:val="auto"/>
                <w:sz w:val="24"/>
                <w:lang w:val="zh-TW"/>
              </w:rPr>
              <w:t>GB16297-1996</w:t>
            </w:r>
            <w:r>
              <w:rPr>
                <w:rFonts w:hint="eastAsia" w:hAnsi="宋体"/>
                <w:color w:val="auto"/>
                <w:sz w:val="24"/>
                <w:lang w:val="zh-TW"/>
              </w:rPr>
              <w:t>），</w:t>
            </w:r>
            <w:r>
              <w:rPr>
                <w:rFonts w:hint="eastAsia" w:hAnsi="宋体"/>
                <w:color w:val="auto"/>
                <w:sz w:val="24"/>
              </w:rPr>
              <w:t>排气筒高度应高出周围200m半径范围的建筑5m以上</w:t>
            </w:r>
            <w:r>
              <w:rPr>
                <w:rFonts w:hint="eastAsia" w:hAnsi="宋体"/>
                <w:color w:val="auto"/>
                <w:sz w:val="24"/>
                <w:lang w:eastAsia="zh-CN"/>
              </w:rPr>
              <w:t>；</w:t>
            </w:r>
            <w:r>
              <w:rPr>
                <w:rFonts w:hint="eastAsia" w:hAnsi="宋体"/>
                <w:color w:val="auto"/>
                <w:sz w:val="24"/>
                <w:lang w:val="en-US" w:eastAsia="zh-CN"/>
              </w:rPr>
              <w:t>根据</w:t>
            </w:r>
            <w:r>
              <w:rPr>
                <w:rFonts w:hint="eastAsia"/>
                <w:bCs/>
                <w:color w:val="auto"/>
                <w:sz w:val="24"/>
                <w:szCs w:val="22"/>
              </w:rPr>
              <w:t>根据生产厂房、生产工艺的要求设置，本项目共设置1根排气筒，排气筒高度为23m，</w:t>
            </w:r>
            <w:r>
              <w:rPr>
                <w:rFonts w:hint="eastAsia"/>
                <w:color w:val="auto"/>
                <w:kern w:val="0"/>
                <w:sz w:val="24"/>
                <w:lang w:bidi="ar"/>
              </w:rPr>
              <w:t>周围半径200m范围内最高建筑物</w:t>
            </w:r>
            <w:r>
              <w:rPr>
                <w:rFonts w:hint="eastAsia"/>
                <w:bCs/>
                <w:color w:val="auto"/>
                <w:sz w:val="24"/>
                <w:szCs w:val="22"/>
              </w:rPr>
              <w:t>为研发楼，约为18m，符合高出周围</w:t>
            </w:r>
            <w:r>
              <w:rPr>
                <w:rFonts w:hint="eastAsia" w:hAnsi="宋体"/>
                <w:color w:val="auto"/>
                <w:sz w:val="24"/>
              </w:rPr>
              <w:t>200m半径范围的建筑5m以上。则</w:t>
            </w:r>
            <w:r>
              <w:rPr>
                <w:rFonts w:hint="eastAsia"/>
                <w:bCs/>
                <w:color w:val="auto"/>
                <w:sz w:val="24"/>
                <w:szCs w:val="22"/>
              </w:rPr>
              <w:t>本项目设置1根排气筒，排气筒高均为23m设置合理。</w:t>
            </w:r>
          </w:p>
          <w:p w14:paraId="7905A4D7">
            <w:pPr>
              <w:wordWrap w:val="0"/>
              <w:spacing w:line="360" w:lineRule="auto"/>
              <w:ind w:firstLine="480" w:firstLineChars="200"/>
              <w:rPr>
                <w:color w:val="auto"/>
                <w:sz w:val="24"/>
                <w:szCs w:val="32"/>
              </w:rPr>
            </w:pPr>
            <w:r>
              <w:rPr>
                <w:rFonts w:hint="eastAsia"/>
                <w:bCs/>
                <w:color w:val="auto"/>
                <w:sz w:val="24"/>
                <w:szCs w:val="22"/>
              </w:rPr>
              <w:t>（6）</w:t>
            </w:r>
            <w:r>
              <w:rPr>
                <w:color w:val="auto"/>
                <w:sz w:val="24"/>
                <w:szCs w:val="32"/>
              </w:rPr>
              <w:t>非正常情况污染排放</w:t>
            </w:r>
          </w:p>
          <w:p w14:paraId="6891D167">
            <w:pPr>
              <w:wordWrap w:val="0"/>
              <w:spacing w:line="360" w:lineRule="auto"/>
              <w:ind w:firstLine="480" w:firstLineChars="200"/>
              <w:rPr>
                <w:color w:val="auto"/>
                <w:sz w:val="24"/>
                <w:szCs w:val="32"/>
              </w:rPr>
            </w:pPr>
            <w:r>
              <w:rPr>
                <w:color w:val="auto"/>
                <w:sz w:val="24"/>
                <w:szCs w:val="32"/>
              </w:rPr>
              <w:t>项目非正常情况主要是设备开停时环保</w:t>
            </w:r>
            <w:r>
              <w:rPr>
                <w:rFonts w:hint="eastAsia"/>
                <w:color w:val="auto"/>
                <w:sz w:val="24"/>
                <w:szCs w:val="32"/>
              </w:rPr>
              <w:t>设施</w:t>
            </w:r>
            <w:r>
              <w:rPr>
                <w:color w:val="auto"/>
                <w:sz w:val="24"/>
                <w:szCs w:val="32"/>
              </w:rPr>
              <w:t>未提前开启</w:t>
            </w:r>
            <w:r>
              <w:rPr>
                <w:rFonts w:hint="eastAsia"/>
                <w:color w:val="auto"/>
                <w:sz w:val="24"/>
                <w:szCs w:val="32"/>
              </w:rPr>
              <w:t>或环保设施故障无法运行</w:t>
            </w:r>
            <w:r>
              <w:rPr>
                <w:color w:val="auto"/>
                <w:sz w:val="24"/>
                <w:szCs w:val="32"/>
              </w:rPr>
              <w:t>，造成废气超标排放，以最不利情况下废气处理系统</w:t>
            </w:r>
            <w:r>
              <w:rPr>
                <w:rFonts w:hint="eastAsia"/>
                <w:color w:val="auto"/>
                <w:sz w:val="24"/>
                <w:szCs w:val="32"/>
              </w:rPr>
              <w:t>收集、处理</w:t>
            </w:r>
            <w:r>
              <w:rPr>
                <w:color w:val="auto"/>
                <w:sz w:val="24"/>
                <w:szCs w:val="32"/>
              </w:rPr>
              <w:t>效率为零考虑，源强最大的时段废气排放1h对周围环境的影响，具体见下表。</w:t>
            </w:r>
          </w:p>
          <w:p w14:paraId="3D1B3BA7">
            <w:pPr>
              <w:autoSpaceDE w:val="0"/>
              <w:autoSpaceDN w:val="0"/>
              <w:jc w:val="center"/>
              <w:rPr>
                <w:b/>
                <w:color w:val="auto"/>
                <w:szCs w:val="21"/>
              </w:rPr>
            </w:pPr>
            <w:r>
              <w:rPr>
                <w:b/>
                <w:color w:val="auto"/>
                <w:szCs w:val="21"/>
              </w:rPr>
              <w:t>表</w:t>
            </w:r>
            <w:r>
              <w:rPr>
                <w:rFonts w:hint="eastAsia"/>
                <w:b/>
                <w:color w:val="auto"/>
                <w:szCs w:val="21"/>
              </w:rPr>
              <w:t xml:space="preserve">4-6   </w:t>
            </w:r>
            <w:r>
              <w:rPr>
                <w:b/>
                <w:color w:val="auto"/>
                <w:szCs w:val="21"/>
              </w:rPr>
              <w:t>非正常情况废气排放情况一览表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7"/>
              <w:gridCol w:w="4391"/>
            </w:tblGrid>
            <w:tr w14:paraId="43B8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4" w:type="pct"/>
                  <w:tcBorders>
                    <w:tl2br w:val="nil"/>
                    <w:tr2bl w:val="nil"/>
                  </w:tcBorders>
                  <w:vAlign w:val="center"/>
                </w:tcPr>
                <w:p w14:paraId="58CC4A56">
                  <w:pPr>
                    <w:kinsoku w:val="0"/>
                    <w:overflowPunct w:val="0"/>
                    <w:autoSpaceDE w:val="0"/>
                    <w:autoSpaceDN w:val="0"/>
                    <w:adjustRightInd w:val="0"/>
                    <w:snapToGrid w:val="0"/>
                    <w:jc w:val="center"/>
                    <w:rPr>
                      <w:color w:val="auto"/>
                      <w:szCs w:val="21"/>
                    </w:rPr>
                  </w:pPr>
                  <w:r>
                    <w:rPr>
                      <w:color w:val="auto"/>
                      <w:szCs w:val="21"/>
                    </w:rPr>
                    <w:t>产排污环节</w:t>
                  </w:r>
                </w:p>
              </w:tc>
              <w:tc>
                <w:tcPr>
                  <w:tcW w:w="2645" w:type="pct"/>
                  <w:tcBorders>
                    <w:tl2br w:val="nil"/>
                    <w:tr2bl w:val="nil"/>
                  </w:tcBorders>
                  <w:vAlign w:val="center"/>
                </w:tcPr>
                <w:p w14:paraId="705D023F">
                  <w:pPr>
                    <w:kinsoku w:val="0"/>
                    <w:overflowPunct w:val="0"/>
                    <w:autoSpaceDE w:val="0"/>
                    <w:autoSpaceDN w:val="0"/>
                    <w:adjustRightInd w:val="0"/>
                    <w:snapToGrid w:val="0"/>
                    <w:jc w:val="center"/>
                    <w:rPr>
                      <w:color w:val="FF0000"/>
                      <w:szCs w:val="21"/>
                    </w:rPr>
                  </w:pPr>
                  <w:r>
                    <w:rPr>
                      <w:rFonts w:hint="eastAsia"/>
                      <w:color w:val="FF0000"/>
                      <w:szCs w:val="21"/>
                    </w:rPr>
                    <w:t>研发工序</w:t>
                  </w:r>
                </w:p>
              </w:tc>
            </w:tr>
            <w:tr w14:paraId="3017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4" w:type="pct"/>
                  <w:tcBorders>
                    <w:tl2br w:val="nil"/>
                    <w:tr2bl w:val="nil"/>
                  </w:tcBorders>
                  <w:vAlign w:val="center"/>
                </w:tcPr>
                <w:p w14:paraId="6CDCBB25">
                  <w:pPr>
                    <w:kinsoku w:val="0"/>
                    <w:overflowPunct w:val="0"/>
                    <w:autoSpaceDE w:val="0"/>
                    <w:autoSpaceDN w:val="0"/>
                    <w:adjustRightInd w:val="0"/>
                    <w:snapToGrid w:val="0"/>
                    <w:jc w:val="center"/>
                    <w:rPr>
                      <w:color w:val="auto"/>
                      <w:szCs w:val="21"/>
                    </w:rPr>
                  </w:pPr>
                  <w:r>
                    <w:rPr>
                      <w:color w:val="auto"/>
                      <w:szCs w:val="21"/>
                    </w:rPr>
                    <w:t>污染物种类</w:t>
                  </w:r>
                </w:p>
              </w:tc>
              <w:tc>
                <w:tcPr>
                  <w:tcW w:w="2645" w:type="pct"/>
                  <w:tcBorders>
                    <w:tl2br w:val="nil"/>
                    <w:tr2bl w:val="nil"/>
                  </w:tcBorders>
                  <w:vAlign w:val="center"/>
                </w:tcPr>
                <w:p w14:paraId="6B04795E">
                  <w:pPr>
                    <w:kinsoku w:val="0"/>
                    <w:overflowPunct w:val="0"/>
                    <w:autoSpaceDE w:val="0"/>
                    <w:autoSpaceDN w:val="0"/>
                    <w:adjustRightInd w:val="0"/>
                    <w:snapToGrid w:val="0"/>
                    <w:jc w:val="center"/>
                    <w:rPr>
                      <w:color w:val="FF0000"/>
                      <w:szCs w:val="21"/>
                    </w:rPr>
                  </w:pPr>
                  <w:r>
                    <w:rPr>
                      <w:rFonts w:hint="eastAsia"/>
                      <w:color w:val="FF0000"/>
                      <w:szCs w:val="21"/>
                    </w:rPr>
                    <w:t>非甲烷总烃</w:t>
                  </w:r>
                </w:p>
              </w:tc>
            </w:tr>
            <w:tr w14:paraId="5FCB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4" w:type="pct"/>
                  <w:tcBorders>
                    <w:tl2br w:val="nil"/>
                    <w:tr2bl w:val="nil"/>
                  </w:tcBorders>
                  <w:vAlign w:val="center"/>
                </w:tcPr>
                <w:p w14:paraId="1258611A">
                  <w:pPr>
                    <w:kinsoku w:val="0"/>
                    <w:overflowPunct w:val="0"/>
                    <w:autoSpaceDE w:val="0"/>
                    <w:autoSpaceDN w:val="0"/>
                    <w:adjustRightInd w:val="0"/>
                    <w:snapToGrid w:val="0"/>
                    <w:jc w:val="center"/>
                    <w:rPr>
                      <w:color w:val="auto"/>
                      <w:szCs w:val="21"/>
                    </w:rPr>
                  </w:pPr>
                  <w:r>
                    <w:rPr>
                      <w:rFonts w:hint="eastAsia"/>
                      <w:color w:val="auto"/>
                      <w:szCs w:val="21"/>
                    </w:rPr>
                    <w:t>排放浓度mg/m</w:t>
                  </w:r>
                  <w:r>
                    <w:rPr>
                      <w:rFonts w:hint="eastAsia"/>
                      <w:color w:val="auto"/>
                      <w:szCs w:val="21"/>
                      <w:vertAlign w:val="superscript"/>
                    </w:rPr>
                    <w:t>3</w:t>
                  </w:r>
                </w:p>
              </w:tc>
              <w:tc>
                <w:tcPr>
                  <w:tcW w:w="2645" w:type="pct"/>
                  <w:tcBorders>
                    <w:tl2br w:val="nil"/>
                    <w:tr2bl w:val="nil"/>
                  </w:tcBorders>
                  <w:vAlign w:val="center"/>
                </w:tcPr>
                <w:p w14:paraId="6391E907">
                  <w:pPr>
                    <w:kinsoku w:val="0"/>
                    <w:overflowPunct w:val="0"/>
                    <w:autoSpaceDE w:val="0"/>
                    <w:autoSpaceDN w:val="0"/>
                    <w:adjustRightInd w:val="0"/>
                    <w:snapToGrid w:val="0"/>
                    <w:jc w:val="center"/>
                    <w:rPr>
                      <w:rFonts w:hint="default" w:eastAsia="宋体"/>
                      <w:color w:val="FF0000"/>
                      <w:szCs w:val="21"/>
                      <w:lang w:val="en-US" w:eastAsia="zh-CN"/>
                    </w:rPr>
                  </w:pPr>
                  <w:r>
                    <w:rPr>
                      <w:rFonts w:hint="eastAsia"/>
                      <w:color w:val="FF0000"/>
                      <w:szCs w:val="21"/>
                      <w:lang w:val="en-US" w:eastAsia="zh-CN"/>
                    </w:rPr>
                    <w:t>9.2603</w:t>
                  </w:r>
                </w:p>
              </w:tc>
            </w:tr>
            <w:tr w14:paraId="6261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4" w:type="pct"/>
                  <w:tcBorders>
                    <w:tl2br w:val="nil"/>
                    <w:tr2bl w:val="nil"/>
                  </w:tcBorders>
                  <w:vAlign w:val="center"/>
                </w:tcPr>
                <w:p w14:paraId="3D7C394A">
                  <w:pPr>
                    <w:kinsoku w:val="0"/>
                    <w:overflowPunct w:val="0"/>
                    <w:autoSpaceDE w:val="0"/>
                    <w:autoSpaceDN w:val="0"/>
                    <w:adjustRightInd w:val="0"/>
                    <w:snapToGrid w:val="0"/>
                    <w:jc w:val="center"/>
                    <w:rPr>
                      <w:color w:val="auto"/>
                      <w:szCs w:val="21"/>
                    </w:rPr>
                  </w:pPr>
                  <w:r>
                    <w:rPr>
                      <w:color w:val="auto"/>
                      <w:szCs w:val="21"/>
                    </w:rPr>
                    <w:t>持续时间</w:t>
                  </w:r>
                </w:p>
              </w:tc>
              <w:tc>
                <w:tcPr>
                  <w:tcW w:w="2645" w:type="pct"/>
                  <w:tcBorders>
                    <w:tl2br w:val="nil"/>
                    <w:tr2bl w:val="nil"/>
                  </w:tcBorders>
                  <w:vAlign w:val="center"/>
                </w:tcPr>
                <w:p w14:paraId="2F243AA4">
                  <w:pPr>
                    <w:kinsoku w:val="0"/>
                    <w:overflowPunct w:val="0"/>
                    <w:autoSpaceDE w:val="0"/>
                    <w:autoSpaceDN w:val="0"/>
                    <w:adjustRightInd w:val="0"/>
                    <w:snapToGrid w:val="0"/>
                    <w:jc w:val="center"/>
                    <w:rPr>
                      <w:color w:val="FF0000"/>
                      <w:szCs w:val="21"/>
                    </w:rPr>
                  </w:pPr>
                  <w:r>
                    <w:rPr>
                      <w:color w:val="FF0000"/>
                      <w:szCs w:val="21"/>
                    </w:rPr>
                    <w:t>1h</w:t>
                  </w:r>
                </w:p>
              </w:tc>
            </w:tr>
            <w:tr w14:paraId="4FA6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4" w:type="pct"/>
                  <w:tcBorders>
                    <w:tl2br w:val="nil"/>
                    <w:tr2bl w:val="nil"/>
                  </w:tcBorders>
                  <w:vAlign w:val="center"/>
                </w:tcPr>
                <w:p w14:paraId="14BCF5A2">
                  <w:pPr>
                    <w:kinsoku w:val="0"/>
                    <w:overflowPunct w:val="0"/>
                    <w:autoSpaceDE w:val="0"/>
                    <w:autoSpaceDN w:val="0"/>
                    <w:adjustRightInd w:val="0"/>
                    <w:snapToGrid w:val="0"/>
                    <w:jc w:val="center"/>
                    <w:rPr>
                      <w:color w:val="auto"/>
                      <w:szCs w:val="21"/>
                    </w:rPr>
                  </w:pPr>
                  <w:r>
                    <w:rPr>
                      <w:color w:val="auto"/>
                      <w:szCs w:val="21"/>
                    </w:rPr>
                    <w:t>排放量kg</w:t>
                  </w:r>
                </w:p>
              </w:tc>
              <w:tc>
                <w:tcPr>
                  <w:tcW w:w="2645" w:type="pct"/>
                  <w:tcBorders>
                    <w:tl2br w:val="nil"/>
                    <w:tr2bl w:val="nil"/>
                  </w:tcBorders>
                  <w:vAlign w:val="center"/>
                </w:tcPr>
                <w:p w14:paraId="302813AE">
                  <w:pPr>
                    <w:kinsoku w:val="0"/>
                    <w:overflowPunct w:val="0"/>
                    <w:autoSpaceDE w:val="0"/>
                    <w:autoSpaceDN w:val="0"/>
                    <w:adjustRightInd w:val="0"/>
                    <w:snapToGrid w:val="0"/>
                    <w:jc w:val="center"/>
                    <w:rPr>
                      <w:rFonts w:hint="default" w:eastAsia="宋体"/>
                      <w:color w:val="FF0000"/>
                      <w:szCs w:val="21"/>
                      <w:lang w:val="en-US" w:eastAsia="zh-CN"/>
                    </w:rPr>
                  </w:pPr>
                  <w:r>
                    <w:rPr>
                      <w:rFonts w:hint="eastAsia"/>
                      <w:color w:val="FF0000"/>
                      <w:szCs w:val="21"/>
                    </w:rPr>
                    <w:t>0.0</w:t>
                  </w:r>
                  <w:r>
                    <w:rPr>
                      <w:rFonts w:hint="eastAsia"/>
                      <w:color w:val="FF0000"/>
                      <w:szCs w:val="21"/>
                      <w:lang w:val="en-US" w:eastAsia="zh-CN"/>
                    </w:rPr>
                    <w:t>812</w:t>
                  </w:r>
                </w:p>
              </w:tc>
            </w:tr>
          </w:tbl>
          <w:p w14:paraId="50D6544B">
            <w:pPr>
              <w:wordWrap w:val="0"/>
              <w:spacing w:line="360" w:lineRule="auto"/>
              <w:ind w:firstLine="480" w:firstLineChars="200"/>
              <w:rPr>
                <w:color w:val="auto"/>
                <w:sz w:val="24"/>
              </w:rPr>
            </w:pPr>
            <w:r>
              <w:rPr>
                <w:color w:val="auto"/>
                <w:sz w:val="24"/>
                <w:szCs w:val="32"/>
              </w:rPr>
              <w:t>防治措施：</w:t>
            </w:r>
            <w:r>
              <w:rPr>
                <w:rFonts w:hint="eastAsia"/>
                <w:color w:val="auto"/>
                <w:sz w:val="24"/>
                <w:szCs w:val="32"/>
              </w:rPr>
              <w:t>在非正常工况下，需</w:t>
            </w:r>
            <w:r>
              <w:rPr>
                <w:color w:val="auto"/>
                <w:sz w:val="24"/>
                <w:szCs w:val="32"/>
              </w:rPr>
              <w:t>严格控制生产，装置</w:t>
            </w:r>
            <w:r>
              <w:rPr>
                <w:rFonts w:hint="eastAsia"/>
                <w:color w:val="auto"/>
                <w:sz w:val="24"/>
                <w:szCs w:val="32"/>
              </w:rPr>
              <w:t>开启</w:t>
            </w:r>
            <w:r>
              <w:rPr>
                <w:color w:val="auto"/>
                <w:sz w:val="24"/>
                <w:szCs w:val="32"/>
              </w:rPr>
              <w:t>时先运行废气处理系统，</w:t>
            </w:r>
            <w:r>
              <w:rPr>
                <w:rFonts w:hint="eastAsia"/>
                <w:color w:val="auto"/>
                <w:sz w:val="24"/>
                <w:szCs w:val="32"/>
              </w:rPr>
              <w:t>关闭</w:t>
            </w:r>
            <w:r>
              <w:rPr>
                <w:color w:val="auto"/>
                <w:sz w:val="24"/>
                <w:szCs w:val="32"/>
              </w:rPr>
              <w:t>时后停废气处理装置，避免开停时出现废气事故排放；加强废气处理设施的运营维护，定期检修、定期更换</w:t>
            </w:r>
            <w:r>
              <w:rPr>
                <w:rFonts w:hint="eastAsia"/>
                <w:color w:val="auto"/>
                <w:sz w:val="24"/>
                <w:szCs w:val="32"/>
              </w:rPr>
              <w:t>布袋</w:t>
            </w:r>
            <w:r>
              <w:rPr>
                <w:color w:val="auto"/>
                <w:sz w:val="24"/>
                <w:szCs w:val="32"/>
              </w:rPr>
              <w:t>，确保废气处理设施正常运行；当出现非正常排放时，建设单位应采取紧急处理措施，暂时停止生产，及时维修，直到生产设施或环保设施正常运转，坚决杜绝非正常排放。</w:t>
            </w:r>
          </w:p>
          <w:p w14:paraId="496C9624">
            <w:pPr>
              <w:wordWrap w:val="0"/>
              <w:spacing w:line="360" w:lineRule="auto"/>
              <w:ind w:firstLine="480" w:firstLineChars="200"/>
              <w:rPr>
                <w:bCs/>
                <w:color w:val="auto"/>
                <w:sz w:val="24"/>
                <w:szCs w:val="22"/>
              </w:rPr>
            </w:pPr>
            <w:r>
              <w:rPr>
                <w:bCs/>
                <w:color w:val="auto"/>
                <w:sz w:val="24"/>
                <w:szCs w:val="22"/>
              </w:rPr>
              <w:t>（</w:t>
            </w:r>
            <w:r>
              <w:rPr>
                <w:rFonts w:hint="eastAsia"/>
                <w:bCs/>
                <w:color w:val="auto"/>
                <w:sz w:val="24"/>
                <w:szCs w:val="22"/>
              </w:rPr>
              <w:t>7</w:t>
            </w:r>
            <w:r>
              <w:rPr>
                <w:bCs/>
                <w:color w:val="auto"/>
                <w:sz w:val="24"/>
                <w:szCs w:val="22"/>
              </w:rPr>
              <w:t>）废气监测计划</w:t>
            </w:r>
          </w:p>
          <w:p w14:paraId="65C8B533">
            <w:pPr>
              <w:wordWrap w:val="0"/>
              <w:spacing w:line="360" w:lineRule="auto"/>
              <w:ind w:firstLine="480" w:firstLineChars="200"/>
              <w:rPr>
                <w:bCs/>
                <w:color w:val="auto"/>
                <w:sz w:val="24"/>
                <w:szCs w:val="22"/>
              </w:rPr>
            </w:pPr>
            <w:r>
              <w:rPr>
                <w:rFonts w:hint="eastAsia"/>
                <w:bCs/>
                <w:color w:val="auto"/>
                <w:sz w:val="24"/>
                <w:szCs w:val="22"/>
              </w:rPr>
              <w:t>根据查询，“</w:t>
            </w:r>
            <w:r>
              <w:rPr>
                <w:rFonts w:hint="eastAsia"/>
                <w:color w:val="auto"/>
                <w:sz w:val="24"/>
              </w:rPr>
              <w:t>研究和试验发展</w:t>
            </w:r>
            <w:r>
              <w:rPr>
                <w:rFonts w:hint="eastAsia"/>
                <w:bCs/>
                <w:color w:val="auto"/>
                <w:sz w:val="24"/>
                <w:szCs w:val="22"/>
              </w:rPr>
              <w:t>”</w:t>
            </w:r>
            <w:r>
              <w:rPr>
                <w:rFonts w:hint="eastAsia"/>
                <w:color w:val="auto"/>
                <w:sz w:val="24"/>
              </w:rPr>
              <w:t>行业无相关自行监测技术指南，故</w:t>
            </w:r>
            <w:r>
              <w:rPr>
                <w:rFonts w:hint="eastAsia"/>
                <w:color w:val="FF0000"/>
                <w:sz w:val="24"/>
              </w:rPr>
              <w:t>参考《排污单位自行监测技术指南</w:t>
            </w:r>
            <w:r>
              <w:rPr>
                <w:rFonts w:hint="eastAsia"/>
                <w:color w:val="FF0000"/>
                <w:sz w:val="24"/>
                <w:lang w:val="en-US" w:eastAsia="zh-CN"/>
              </w:rPr>
              <w:t xml:space="preserve"> </w:t>
            </w:r>
            <w:r>
              <w:rPr>
                <w:rFonts w:hint="eastAsia"/>
                <w:color w:val="FF0000"/>
                <w:sz w:val="24"/>
              </w:rPr>
              <w:t>总则》（HJ819-2017）</w:t>
            </w:r>
            <w:r>
              <w:rPr>
                <w:bCs/>
                <w:color w:val="auto"/>
                <w:sz w:val="24"/>
                <w:szCs w:val="22"/>
              </w:rPr>
              <w:t>中的相关监测要求，制定了运营期废气监测计划，见下表。</w:t>
            </w:r>
          </w:p>
          <w:p w14:paraId="5FDC425D">
            <w:pPr>
              <w:jc w:val="center"/>
              <w:rPr>
                <w:b/>
                <w:color w:val="auto"/>
                <w:kern w:val="0"/>
                <w:szCs w:val="21"/>
              </w:rPr>
            </w:pPr>
            <w:r>
              <w:rPr>
                <w:b/>
                <w:color w:val="auto"/>
                <w:kern w:val="0"/>
                <w:szCs w:val="21"/>
              </w:rPr>
              <w:t>表</w:t>
            </w:r>
            <w:r>
              <w:rPr>
                <w:rFonts w:hint="eastAsia"/>
                <w:b/>
                <w:color w:val="auto"/>
                <w:kern w:val="0"/>
                <w:szCs w:val="21"/>
              </w:rPr>
              <w:t xml:space="preserve">4-7   </w:t>
            </w:r>
            <w:r>
              <w:rPr>
                <w:b/>
                <w:color w:val="auto"/>
                <w:kern w:val="0"/>
                <w:szCs w:val="21"/>
              </w:rPr>
              <w:t>运营期</w:t>
            </w:r>
            <w:r>
              <w:rPr>
                <w:rFonts w:hint="eastAsia"/>
                <w:b/>
                <w:color w:val="auto"/>
                <w:kern w:val="0"/>
                <w:szCs w:val="21"/>
              </w:rPr>
              <w:t>废气</w:t>
            </w:r>
            <w:r>
              <w:rPr>
                <w:b/>
                <w:color w:val="auto"/>
                <w:kern w:val="0"/>
                <w:szCs w:val="21"/>
              </w:rPr>
              <w:t>监测计划</w:t>
            </w:r>
            <w:r>
              <w:rPr>
                <w:rFonts w:hint="eastAsia"/>
                <w:b/>
                <w:color w:val="auto"/>
                <w:kern w:val="0"/>
                <w:szCs w:val="21"/>
              </w:rPr>
              <w:t>一览表</w:t>
            </w:r>
          </w:p>
          <w:tbl>
            <w:tblPr>
              <w:tblStyle w:val="18"/>
              <w:tblW w:w="497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7" w:type="dxa"/>
                <w:bottom w:w="0" w:type="dxa"/>
                <w:right w:w="57" w:type="dxa"/>
              </w:tblCellMar>
            </w:tblPr>
            <w:tblGrid>
              <w:gridCol w:w="671"/>
              <w:gridCol w:w="369"/>
              <w:gridCol w:w="1175"/>
              <w:gridCol w:w="974"/>
              <w:gridCol w:w="898"/>
              <w:gridCol w:w="4175"/>
            </w:tblGrid>
            <w:tr w14:paraId="0AE87E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406" w:type="pct"/>
                  <w:vAlign w:val="center"/>
                </w:tcPr>
                <w:p w14:paraId="1FEAC5A6">
                  <w:pPr>
                    <w:spacing w:line="240" w:lineRule="exact"/>
                    <w:jc w:val="center"/>
                    <w:rPr>
                      <w:color w:val="FF0000"/>
                      <w:szCs w:val="21"/>
                    </w:rPr>
                  </w:pPr>
                  <w:r>
                    <w:rPr>
                      <w:color w:val="FF0000"/>
                      <w:szCs w:val="21"/>
                    </w:rPr>
                    <w:t>污染源</w:t>
                  </w:r>
                </w:p>
              </w:tc>
              <w:tc>
                <w:tcPr>
                  <w:tcW w:w="934" w:type="pct"/>
                  <w:gridSpan w:val="2"/>
                  <w:vAlign w:val="center"/>
                </w:tcPr>
                <w:p w14:paraId="0CAD3F4F">
                  <w:pPr>
                    <w:spacing w:line="240" w:lineRule="exact"/>
                    <w:jc w:val="center"/>
                    <w:rPr>
                      <w:color w:val="FF0000"/>
                      <w:szCs w:val="21"/>
                    </w:rPr>
                  </w:pPr>
                  <w:r>
                    <w:rPr>
                      <w:color w:val="FF0000"/>
                      <w:szCs w:val="21"/>
                    </w:rPr>
                    <w:t>监测项目</w:t>
                  </w:r>
                </w:p>
              </w:tc>
              <w:tc>
                <w:tcPr>
                  <w:tcW w:w="589" w:type="pct"/>
                  <w:vAlign w:val="center"/>
                </w:tcPr>
                <w:p w14:paraId="6D62708B">
                  <w:pPr>
                    <w:spacing w:line="240" w:lineRule="exact"/>
                    <w:jc w:val="center"/>
                    <w:rPr>
                      <w:color w:val="FF0000"/>
                      <w:szCs w:val="21"/>
                    </w:rPr>
                  </w:pPr>
                  <w:r>
                    <w:rPr>
                      <w:color w:val="FF0000"/>
                      <w:szCs w:val="21"/>
                    </w:rPr>
                    <w:t>监测点位置</w:t>
                  </w:r>
                </w:p>
              </w:tc>
              <w:tc>
                <w:tcPr>
                  <w:tcW w:w="543" w:type="pct"/>
                  <w:vAlign w:val="center"/>
                </w:tcPr>
                <w:p w14:paraId="74848332">
                  <w:pPr>
                    <w:spacing w:line="240" w:lineRule="exact"/>
                    <w:jc w:val="center"/>
                    <w:rPr>
                      <w:color w:val="FF0000"/>
                      <w:szCs w:val="21"/>
                    </w:rPr>
                  </w:pPr>
                  <w:r>
                    <w:rPr>
                      <w:color w:val="FF0000"/>
                      <w:szCs w:val="21"/>
                    </w:rPr>
                    <w:t>监测频率</w:t>
                  </w:r>
                </w:p>
              </w:tc>
              <w:tc>
                <w:tcPr>
                  <w:tcW w:w="2526" w:type="pct"/>
                  <w:vAlign w:val="center"/>
                </w:tcPr>
                <w:p w14:paraId="1AAA1B5D">
                  <w:pPr>
                    <w:spacing w:line="240" w:lineRule="exact"/>
                    <w:jc w:val="center"/>
                    <w:rPr>
                      <w:color w:val="FF0000"/>
                      <w:szCs w:val="21"/>
                    </w:rPr>
                  </w:pPr>
                  <w:r>
                    <w:rPr>
                      <w:color w:val="FF0000"/>
                      <w:szCs w:val="21"/>
                    </w:rPr>
                    <w:t>控制指标</w:t>
                  </w:r>
                </w:p>
              </w:tc>
            </w:tr>
            <w:tr w14:paraId="6CD4C1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112" w:hRule="atLeast"/>
                <w:jc w:val="center"/>
              </w:trPr>
              <w:tc>
                <w:tcPr>
                  <w:tcW w:w="406" w:type="pct"/>
                  <w:vMerge w:val="restart"/>
                  <w:vAlign w:val="center"/>
                </w:tcPr>
                <w:p w14:paraId="144BB0CE">
                  <w:pPr>
                    <w:spacing w:line="240" w:lineRule="exact"/>
                    <w:jc w:val="center"/>
                    <w:rPr>
                      <w:color w:val="FF0000"/>
                      <w:szCs w:val="21"/>
                    </w:rPr>
                  </w:pPr>
                  <w:r>
                    <w:rPr>
                      <w:rFonts w:hint="eastAsia"/>
                      <w:color w:val="FF0000"/>
                      <w:szCs w:val="21"/>
                    </w:rPr>
                    <w:t>废气</w:t>
                  </w:r>
                </w:p>
              </w:tc>
              <w:tc>
                <w:tcPr>
                  <w:tcW w:w="223" w:type="pct"/>
                  <w:vAlign w:val="center"/>
                </w:tcPr>
                <w:p w14:paraId="36CA908D">
                  <w:pPr>
                    <w:spacing w:line="240" w:lineRule="exact"/>
                    <w:jc w:val="center"/>
                    <w:rPr>
                      <w:color w:val="FF0000"/>
                      <w:szCs w:val="21"/>
                    </w:rPr>
                  </w:pPr>
                  <w:r>
                    <w:rPr>
                      <w:rFonts w:hint="eastAsia"/>
                      <w:color w:val="FF0000"/>
                      <w:szCs w:val="21"/>
                    </w:rPr>
                    <w:t>有组织</w:t>
                  </w:r>
                </w:p>
              </w:tc>
              <w:tc>
                <w:tcPr>
                  <w:tcW w:w="711" w:type="pct"/>
                  <w:vAlign w:val="center"/>
                </w:tcPr>
                <w:p w14:paraId="1418302A">
                  <w:pPr>
                    <w:spacing w:line="240" w:lineRule="exact"/>
                    <w:jc w:val="center"/>
                    <w:rPr>
                      <w:color w:val="FF0000"/>
                      <w:szCs w:val="21"/>
                    </w:rPr>
                  </w:pPr>
                  <w:r>
                    <w:rPr>
                      <w:rFonts w:hint="eastAsia"/>
                      <w:color w:val="FF0000"/>
                      <w:szCs w:val="21"/>
                    </w:rPr>
                    <w:t>非甲烷总烃</w:t>
                  </w:r>
                </w:p>
              </w:tc>
              <w:tc>
                <w:tcPr>
                  <w:tcW w:w="589" w:type="pct"/>
                  <w:vAlign w:val="center"/>
                </w:tcPr>
                <w:p w14:paraId="7EFC84E9">
                  <w:pPr>
                    <w:spacing w:line="240" w:lineRule="exact"/>
                    <w:jc w:val="center"/>
                    <w:rPr>
                      <w:color w:val="FF0000"/>
                      <w:szCs w:val="21"/>
                    </w:rPr>
                  </w:pPr>
                  <w:r>
                    <w:rPr>
                      <w:rFonts w:hint="eastAsia"/>
                      <w:color w:val="FF0000"/>
                      <w:szCs w:val="21"/>
                    </w:rPr>
                    <w:t>DA001出口</w:t>
                  </w:r>
                </w:p>
              </w:tc>
              <w:tc>
                <w:tcPr>
                  <w:tcW w:w="543" w:type="pct"/>
                  <w:vAlign w:val="center"/>
                </w:tcPr>
                <w:p w14:paraId="3883CDB0">
                  <w:pPr>
                    <w:spacing w:line="240" w:lineRule="exact"/>
                    <w:jc w:val="center"/>
                    <w:rPr>
                      <w:color w:val="FF0000"/>
                      <w:szCs w:val="21"/>
                    </w:rPr>
                  </w:pPr>
                  <w:r>
                    <w:rPr>
                      <w:rFonts w:hint="eastAsia"/>
                      <w:color w:val="FF0000"/>
                      <w:kern w:val="0"/>
                      <w:szCs w:val="21"/>
                    </w:rPr>
                    <w:t>1次</w:t>
                  </w:r>
                  <w:r>
                    <w:rPr>
                      <w:rFonts w:hint="eastAsia"/>
                      <w:color w:val="FF0000"/>
                      <w:kern w:val="0"/>
                      <w:szCs w:val="21"/>
                      <w:lang w:val="en-US" w:eastAsia="zh-CN"/>
                    </w:rPr>
                    <w:t>/</w:t>
                  </w:r>
                  <w:r>
                    <w:rPr>
                      <w:rFonts w:hint="eastAsia"/>
                      <w:color w:val="FF0000"/>
                      <w:kern w:val="0"/>
                      <w:szCs w:val="21"/>
                    </w:rPr>
                    <w:t>年</w:t>
                  </w:r>
                </w:p>
              </w:tc>
              <w:tc>
                <w:tcPr>
                  <w:tcW w:w="2526" w:type="pct"/>
                  <w:vAlign w:val="center"/>
                </w:tcPr>
                <w:p w14:paraId="3376BA45">
                  <w:pPr>
                    <w:spacing w:line="240" w:lineRule="exact"/>
                    <w:jc w:val="center"/>
                    <w:rPr>
                      <w:color w:val="FF0000"/>
                      <w:szCs w:val="21"/>
                    </w:rPr>
                  </w:pPr>
                  <w:r>
                    <w:rPr>
                      <w:rFonts w:hint="eastAsia"/>
                      <w:color w:val="FF0000"/>
                      <w:kern w:val="0"/>
                      <w:szCs w:val="21"/>
                    </w:rPr>
                    <w:t>《制药工业大气污染物排放标准》（GB37823-2019）</w:t>
                  </w:r>
                </w:p>
              </w:tc>
            </w:tr>
            <w:tr w14:paraId="7F6DE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406" w:type="pct"/>
                  <w:vMerge w:val="continue"/>
                  <w:vAlign w:val="center"/>
                </w:tcPr>
                <w:p w14:paraId="6866252A">
                  <w:pPr>
                    <w:spacing w:line="240" w:lineRule="exact"/>
                    <w:jc w:val="center"/>
                    <w:rPr>
                      <w:color w:val="FF0000"/>
                      <w:szCs w:val="21"/>
                    </w:rPr>
                  </w:pPr>
                </w:p>
              </w:tc>
              <w:tc>
                <w:tcPr>
                  <w:tcW w:w="223" w:type="pct"/>
                  <w:vMerge w:val="restart"/>
                  <w:vAlign w:val="center"/>
                </w:tcPr>
                <w:p w14:paraId="0AFE85D8">
                  <w:pPr>
                    <w:spacing w:line="240" w:lineRule="exact"/>
                    <w:jc w:val="center"/>
                    <w:rPr>
                      <w:color w:val="FF0000"/>
                      <w:kern w:val="0"/>
                      <w:szCs w:val="21"/>
                    </w:rPr>
                  </w:pPr>
                  <w:r>
                    <w:rPr>
                      <w:color w:val="FF0000"/>
                      <w:kern w:val="0"/>
                      <w:szCs w:val="21"/>
                    </w:rPr>
                    <w:t>无组织</w:t>
                  </w:r>
                </w:p>
              </w:tc>
              <w:tc>
                <w:tcPr>
                  <w:tcW w:w="711" w:type="pct"/>
                  <w:vAlign w:val="center"/>
                </w:tcPr>
                <w:p w14:paraId="616154EE">
                  <w:pPr>
                    <w:spacing w:line="240" w:lineRule="exact"/>
                    <w:jc w:val="center"/>
                    <w:rPr>
                      <w:color w:val="FF0000"/>
                      <w:kern w:val="0"/>
                      <w:szCs w:val="21"/>
                    </w:rPr>
                  </w:pPr>
                  <w:r>
                    <w:rPr>
                      <w:rFonts w:hint="eastAsia"/>
                      <w:color w:val="FF0000"/>
                    </w:rPr>
                    <w:t>非甲烷总烃</w:t>
                  </w:r>
                </w:p>
              </w:tc>
              <w:tc>
                <w:tcPr>
                  <w:tcW w:w="589" w:type="pct"/>
                  <w:vAlign w:val="center"/>
                </w:tcPr>
                <w:p w14:paraId="6E0427C4">
                  <w:pPr>
                    <w:spacing w:line="240" w:lineRule="exact"/>
                    <w:jc w:val="center"/>
                    <w:rPr>
                      <w:color w:val="FF0000"/>
                      <w:kern w:val="0"/>
                      <w:szCs w:val="21"/>
                    </w:rPr>
                  </w:pPr>
                  <w:r>
                    <w:rPr>
                      <w:rFonts w:hint="eastAsia"/>
                      <w:color w:val="FF0000"/>
                      <w:kern w:val="0"/>
                      <w:szCs w:val="21"/>
                    </w:rPr>
                    <w:t>厂区内门窗处</w:t>
                  </w:r>
                </w:p>
              </w:tc>
              <w:tc>
                <w:tcPr>
                  <w:tcW w:w="543" w:type="pct"/>
                  <w:vAlign w:val="center"/>
                </w:tcPr>
                <w:p w14:paraId="30768D54">
                  <w:pPr>
                    <w:spacing w:line="240" w:lineRule="exact"/>
                    <w:jc w:val="center"/>
                    <w:rPr>
                      <w:color w:val="FF0000"/>
                      <w:kern w:val="0"/>
                      <w:szCs w:val="21"/>
                    </w:rPr>
                  </w:pPr>
                  <w:r>
                    <w:rPr>
                      <w:rFonts w:hint="eastAsia"/>
                      <w:color w:val="FF0000"/>
                      <w:kern w:val="0"/>
                      <w:szCs w:val="21"/>
                    </w:rPr>
                    <w:t>1次</w:t>
                  </w:r>
                  <w:r>
                    <w:rPr>
                      <w:rFonts w:hint="eastAsia"/>
                      <w:color w:val="FF0000"/>
                      <w:kern w:val="0"/>
                      <w:szCs w:val="21"/>
                      <w:lang w:val="en-US" w:eastAsia="zh-CN"/>
                    </w:rPr>
                    <w:t>/</w:t>
                  </w:r>
                  <w:r>
                    <w:rPr>
                      <w:rFonts w:hint="eastAsia"/>
                      <w:color w:val="FF0000"/>
                      <w:kern w:val="0"/>
                      <w:szCs w:val="21"/>
                    </w:rPr>
                    <w:t>年</w:t>
                  </w:r>
                </w:p>
              </w:tc>
              <w:tc>
                <w:tcPr>
                  <w:tcW w:w="2526" w:type="pct"/>
                  <w:vAlign w:val="center"/>
                </w:tcPr>
                <w:p w14:paraId="4F18A48F">
                  <w:pPr>
                    <w:spacing w:line="240" w:lineRule="exact"/>
                    <w:jc w:val="center"/>
                    <w:rPr>
                      <w:color w:val="FF0000"/>
                      <w:kern w:val="0"/>
                      <w:szCs w:val="21"/>
                    </w:rPr>
                  </w:pPr>
                  <w:r>
                    <w:rPr>
                      <w:rFonts w:hint="eastAsia"/>
                      <w:color w:val="FF0000"/>
                      <w:kern w:val="0"/>
                      <w:szCs w:val="21"/>
                    </w:rPr>
                    <w:t>《制药工业大气污染物排放标准》（GB37823-2019）</w:t>
                  </w:r>
                </w:p>
              </w:tc>
            </w:tr>
            <w:tr w14:paraId="1241DE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406" w:type="pct"/>
                  <w:vMerge w:val="continue"/>
                  <w:vAlign w:val="center"/>
                </w:tcPr>
                <w:p w14:paraId="35843B52">
                  <w:pPr>
                    <w:spacing w:line="240" w:lineRule="exact"/>
                    <w:jc w:val="center"/>
                    <w:rPr>
                      <w:color w:val="FF0000"/>
                      <w:szCs w:val="21"/>
                    </w:rPr>
                  </w:pPr>
                </w:p>
              </w:tc>
              <w:tc>
                <w:tcPr>
                  <w:tcW w:w="223" w:type="pct"/>
                  <w:vMerge w:val="continue"/>
                  <w:vAlign w:val="center"/>
                </w:tcPr>
                <w:p w14:paraId="2CE4957A">
                  <w:pPr>
                    <w:spacing w:line="240" w:lineRule="exact"/>
                    <w:jc w:val="center"/>
                    <w:rPr>
                      <w:color w:val="FF0000"/>
                      <w:kern w:val="0"/>
                      <w:szCs w:val="21"/>
                    </w:rPr>
                  </w:pPr>
                </w:p>
              </w:tc>
              <w:tc>
                <w:tcPr>
                  <w:tcW w:w="711" w:type="pct"/>
                  <w:vAlign w:val="center"/>
                </w:tcPr>
                <w:p w14:paraId="5847373F">
                  <w:pPr>
                    <w:spacing w:line="240" w:lineRule="exact"/>
                    <w:jc w:val="center"/>
                    <w:rPr>
                      <w:color w:val="FF0000"/>
                    </w:rPr>
                  </w:pPr>
                  <w:r>
                    <w:rPr>
                      <w:rFonts w:hint="eastAsia"/>
                      <w:color w:val="FF0000"/>
                      <w:szCs w:val="21"/>
                    </w:rPr>
                    <w:t>非甲烷总烃</w:t>
                  </w:r>
                </w:p>
              </w:tc>
              <w:tc>
                <w:tcPr>
                  <w:tcW w:w="589" w:type="pct"/>
                  <w:vAlign w:val="center"/>
                </w:tcPr>
                <w:p w14:paraId="3F1F4221">
                  <w:pPr>
                    <w:spacing w:line="240" w:lineRule="exact"/>
                    <w:jc w:val="center"/>
                    <w:rPr>
                      <w:color w:val="FF0000"/>
                      <w:kern w:val="0"/>
                      <w:szCs w:val="21"/>
                    </w:rPr>
                  </w:pPr>
                  <w:r>
                    <w:rPr>
                      <w:rFonts w:hint="eastAsia"/>
                      <w:color w:val="FF0000"/>
                      <w:kern w:val="0"/>
                      <w:szCs w:val="21"/>
                    </w:rPr>
                    <w:t>厂界</w:t>
                  </w:r>
                </w:p>
              </w:tc>
              <w:tc>
                <w:tcPr>
                  <w:tcW w:w="543" w:type="pct"/>
                  <w:vAlign w:val="center"/>
                </w:tcPr>
                <w:p w14:paraId="2D38C874">
                  <w:pPr>
                    <w:spacing w:line="240" w:lineRule="exact"/>
                    <w:jc w:val="center"/>
                    <w:rPr>
                      <w:color w:val="FF0000"/>
                      <w:kern w:val="0"/>
                      <w:szCs w:val="21"/>
                    </w:rPr>
                  </w:pPr>
                  <w:r>
                    <w:rPr>
                      <w:rFonts w:hint="eastAsia"/>
                      <w:color w:val="FF0000"/>
                      <w:kern w:val="0"/>
                      <w:szCs w:val="21"/>
                    </w:rPr>
                    <w:t>1次</w:t>
                  </w:r>
                  <w:r>
                    <w:rPr>
                      <w:rFonts w:hint="eastAsia"/>
                      <w:color w:val="FF0000"/>
                      <w:kern w:val="0"/>
                      <w:szCs w:val="21"/>
                      <w:lang w:val="en-US" w:eastAsia="zh-CN"/>
                    </w:rPr>
                    <w:t>/</w:t>
                  </w:r>
                  <w:r>
                    <w:rPr>
                      <w:rFonts w:hint="eastAsia"/>
                      <w:color w:val="FF0000"/>
                      <w:kern w:val="0"/>
                      <w:szCs w:val="21"/>
                    </w:rPr>
                    <w:t>年</w:t>
                  </w:r>
                </w:p>
              </w:tc>
              <w:tc>
                <w:tcPr>
                  <w:tcW w:w="2526" w:type="pct"/>
                  <w:vAlign w:val="center"/>
                </w:tcPr>
                <w:p w14:paraId="766EC328">
                  <w:pPr>
                    <w:spacing w:line="240" w:lineRule="exact"/>
                    <w:jc w:val="center"/>
                    <w:rPr>
                      <w:color w:val="FF0000"/>
                      <w:kern w:val="0"/>
                      <w:szCs w:val="21"/>
                    </w:rPr>
                  </w:pPr>
                  <w:r>
                    <w:rPr>
                      <w:color w:val="FF0000"/>
                      <w:szCs w:val="21"/>
                    </w:rPr>
                    <w:t>《大气污染物综合排放标准》</w:t>
                  </w:r>
                  <w:r>
                    <w:rPr>
                      <w:rFonts w:hint="eastAsia"/>
                      <w:color w:val="FF0000"/>
                      <w:szCs w:val="21"/>
                    </w:rPr>
                    <w:t>（</w:t>
                  </w:r>
                  <w:r>
                    <w:rPr>
                      <w:color w:val="FF0000"/>
                      <w:szCs w:val="21"/>
                    </w:rPr>
                    <w:t>GB16297-1996</w:t>
                  </w:r>
                  <w:r>
                    <w:rPr>
                      <w:rFonts w:hint="eastAsia"/>
                      <w:color w:val="FF0000"/>
                      <w:szCs w:val="21"/>
                    </w:rPr>
                    <w:t>）</w:t>
                  </w:r>
                </w:p>
              </w:tc>
            </w:tr>
          </w:tbl>
          <w:p w14:paraId="0401AFD7">
            <w:pPr>
              <w:spacing w:line="360" w:lineRule="auto"/>
              <w:ind w:firstLine="482" w:firstLineChars="200"/>
              <w:rPr>
                <w:b/>
                <w:bCs/>
                <w:color w:val="auto"/>
                <w:kern w:val="0"/>
                <w:sz w:val="24"/>
                <w:szCs w:val="20"/>
              </w:rPr>
            </w:pPr>
            <w:r>
              <w:rPr>
                <w:b/>
                <w:bCs/>
                <w:color w:val="auto"/>
                <w:kern w:val="0"/>
                <w:sz w:val="24"/>
                <w:szCs w:val="20"/>
              </w:rPr>
              <w:t>2、废水</w:t>
            </w:r>
          </w:p>
          <w:p w14:paraId="4FC38EB1">
            <w:pPr>
              <w:spacing w:line="360" w:lineRule="auto"/>
              <w:ind w:firstLine="480" w:firstLineChars="200"/>
              <w:rPr>
                <w:color w:val="auto"/>
                <w:kern w:val="0"/>
                <w:sz w:val="24"/>
                <w:szCs w:val="20"/>
              </w:rPr>
            </w:pPr>
            <w:r>
              <w:rPr>
                <w:color w:val="auto"/>
                <w:kern w:val="0"/>
                <w:sz w:val="24"/>
                <w:szCs w:val="20"/>
              </w:rPr>
              <w:t>（1）废水排放</w:t>
            </w:r>
            <w:r>
              <w:rPr>
                <w:rFonts w:hint="eastAsia"/>
                <w:color w:val="auto"/>
                <w:kern w:val="0"/>
                <w:sz w:val="24"/>
                <w:szCs w:val="20"/>
              </w:rPr>
              <w:t>源强</w:t>
            </w:r>
          </w:p>
          <w:p w14:paraId="1C45F000">
            <w:pPr>
              <w:spacing w:line="360" w:lineRule="auto"/>
              <w:ind w:firstLine="480" w:firstLineChars="200"/>
              <w:rPr>
                <w:rFonts w:cs="宋体"/>
                <w:color w:val="auto"/>
                <w:kern w:val="0"/>
                <w:sz w:val="24"/>
              </w:rPr>
            </w:pPr>
            <w:r>
              <w:rPr>
                <w:rFonts w:hint="eastAsia" w:cs="宋体"/>
                <w:color w:val="auto"/>
                <w:kern w:val="0"/>
                <w:sz w:val="24"/>
              </w:rPr>
              <w:t>本</w:t>
            </w:r>
            <w:r>
              <w:rPr>
                <w:rFonts w:cs="宋体"/>
                <w:color w:val="auto"/>
                <w:kern w:val="0"/>
                <w:sz w:val="24"/>
              </w:rPr>
              <w:t>项目</w:t>
            </w:r>
            <w:r>
              <w:rPr>
                <w:rFonts w:hint="eastAsia" w:cs="宋体"/>
                <w:color w:val="auto"/>
                <w:kern w:val="0"/>
                <w:sz w:val="24"/>
              </w:rPr>
              <w:t>生活污水、设备及仪器清洗废水、实验平台及车间清洁废水总产生量0.275</w:t>
            </w:r>
            <w:r>
              <w:rPr>
                <w:color w:val="auto"/>
                <w:kern w:val="0"/>
                <w:sz w:val="24"/>
                <w:szCs w:val="22"/>
              </w:rPr>
              <w:t>m</w:t>
            </w:r>
            <w:r>
              <w:rPr>
                <w:color w:val="auto"/>
                <w:kern w:val="0"/>
                <w:sz w:val="24"/>
                <w:szCs w:val="22"/>
                <w:vertAlign w:val="superscript"/>
              </w:rPr>
              <w:t>3</w:t>
            </w:r>
            <w:r>
              <w:rPr>
                <w:color w:val="auto"/>
                <w:kern w:val="0"/>
                <w:sz w:val="24"/>
                <w:szCs w:val="22"/>
              </w:rPr>
              <w:t>/</w:t>
            </w:r>
            <w:r>
              <w:rPr>
                <w:rFonts w:hint="eastAsia"/>
                <w:color w:val="auto"/>
                <w:kern w:val="0"/>
                <w:sz w:val="24"/>
                <w:szCs w:val="22"/>
              </w:rPr>
              <w:t>d（65.92m</w:t>
            </w:r>
            <w:r>
              <w:rPr>
                <w:rFonts w:hint="eastAsia"/>
                <w:color w:val="auto"/>
                <w:kern w:val="0"/>
                <w:sz w:val="24"/>
                <w:szCs w:val="22"/>
                <w:vertAlign w:val="superscript"/>
              </w:rPr>
              <w:t>3</w:t>
            </w:r>
            <w:r>
              <w:rPr>
                <w:rFonts w:hint="eastAsia"/>
                <w:color w:val="auto"/>
                <w:kern w:val="0"/>
                <w:sz w:val="24"/>
                <w:szCs w:val="22"/>
              </w:rPr>
              <w:t>/a）</w:t>
            </w:r>
            <w:r>
              <w:rPr>
                <w:rFonts w:hint="eastAsia" w:cs="宋体"/>
                <w:color w:val="auto"/>
                <w:kern w:val="0"/>
                <w:sz w:val="24"/>
              </w:rPr>
              <w:t>，</w:t>
            </w:r>
            <w:r>
              <w:rPr>
                <w:rFonts w:hint="eastAsia"/>
                <w:bCs/>
                <w:color w:val="auto"/>
                <w:sz w:val="24"/>
              </w:rPr>
              <w:t>依托</w:t>
            </w:r>
            <w:r>
              <w:rPr>
                <w:rFonts w:hint="eastAsia"/>
                <w:color w:val="auto"/>
                <w:kern w:val="0"/>
                <w:sz w:val="24"/>
              </w:rPr>
              <w:t>西安生漆涂料研究所</w:t>
            </w:r>
            <w:r>
              <w:rPr>
                <w:rFonts w:hint="eastAsia"/>
                <w:bCs/>
                <w:color w:val="auto"/>
                <w:sz w:val="24"/>
              </w:rPr>
              <w:t>化粪池（50m</w:t>
            </w:r>
            <w:r>
              <w:rPr>
                <w:rFonts w:hint="eastAsia"/>
                <w:bCs/>
                <w:color w:val="auto"/>
                <w:sz w:val="24"/>
                <w:vertAlign w:val="superscript"/>
              </w:rPr>
              <w:t>3</w:t>
            </w:r>
            <w:r>
              <w:rPr>
                <w:rFonts w:hint="eastAsia"/>
                <w:bCs/>
                <w:color w:val="auto"/>
                <w:sz w:val="24"/>
              </w:rPr>
              <w:t>）及地埋式一体化污水处理设施（10m</w:t>
            </w:r>
            <w:r>
              <w:rPr>
                <w:rFonts w:hint="eastAsia"/>
                <w:bCs/>
                <w:color w:val="auto"/>
                <w:sz w:val="24"/>
                <w:vertAlign w:val="superscript"/>
              </w:rPr>
              <w:t>3</w:t>
            </w:r>
            <w:r>
              <w:rPr>
                <w:rFonts w:hint="eastAsia"/>
                <w:bCs/>
                <w:color w:val="auto"/>
                <w:sz w:val="24"/>
              </w:rPr>
              <w:t>/d）处理后经市政管网排入沣西新城渭河污水处理厂处理</w:t>
            </w:r>
            <w:r>
              <w:rPr>
                <w:rFonts w:hint="eastAsia" w:cs="宋体"/>
                <w:color w:val="auto"/>
                <w:kern w:val="0"/>
                <w:sz w:val="24"/>
              </w:rPr>
              <w:t>。</w:t>
            </w:r>
          </w:p>
          <w:p w14:paraId="4214DF5B">
            <w:pPr>
              <w:spacing w:line="360" w:lineRule="auto"/>
              <w:ind w:firstLine="480" w:firstLineChars="200"/>
              <w:rPr>
                <w:color w:val="auto"/>
                <w:kern w:val="0"/>
                <w:sz w:val="24"/>
              </w:rPr>
            </w:pPr>
            <w:r>
              <w:rPr>
                <w:rFonts w:hint="eastAsia"/>
                <w:color w:val="auto"/>
                <w:sz w:val="24"/>
              </w:rPr>
              <w:t>本项目生活污水产排浓度参考《中华全国供销合作总社生漆工程技术研究中心项目（废气、废水）竣工环境保护验收监测报告表》中监测数据，该项目废水仅为生活污水，根据监测报告中污水设备入水口及总排口的监测结果进行计算，污水处理设施处理效率为COD 81%、BOD</w:t>
            </w:r>
            <w:r>
              <w:rPr>
                <w:rFonts w:hint="eastAsia"/>
                <w:color w:val="auto"/>
                <w:sz w:val="24"/>
                <w:vertAlign w:val="subscript"/>
              </w:rPr>
              <w:t xml:space="preserve">5 </w:t>
            </w:r>
            <w:r>
              <w:rPr>
                <w:rFonts w:hint="eastAsia"/>
                <w:color w:val="auto"/>
                <w:sz w:val="24"/>
              </w:rPr>
              <w:t>82.3%、氨氮75.9%、SS 77.3%；研发室废水参考《长沙彦正生物科技有限公司实验室建设项目》中实验废水水质数据，</w:t>
            </w:r>
            <w:r>
              <w:rPr>
                <w:rFonts w:hint="eastAsia" w:ascii="宋体" w:hAnsi="宋体" w:cs="宋体"/>
                <w:color w:val="auto"/>
                <w:sz w:val="24"/>
              </w:rPr>
              <w:t>该项目</w:t>
            </w:r>
            <w:r>
              <w:rPr>
                <w:color w:val="auto"/>
                <w:sz w:val="24"/>
              </w:rPr>
              <w:t>主要</w:t>
            </w:r>
            <w:r>
              <w:rPr>
                <w:rFonts w:hint="eastAsia"/>
                <w:color w:val="auto"/>
                <w:sz w:val="24"/>
              </w:rPr>
              <w:t>从事有机合成活性药物小分子研究</w:t>
            </w:r>
            <w:r>
              <w:rPr>
                <w:color w:val="auto"/>
                <w:sz w:val="24"/>
              </w:rPr>
              <w:t>，研发工艺与</w:t>
            </w:r>
            <w:r>
              <w:rPr>
                <w:rFonts w:hint="eastAsia"/>
                <w:color w:val="auto"/>
                <w:sz w:val="24"/>
              </w:rPr>
              <w:t>本项目类似，实验废水主要为实验室清洗废水，由排水管道收集至水箱后排入污水管网，根据长沙彦正生物科技有限公司于2021年5月31日-6月1日对实验室废水总排口（与生活污水不同排口）的检测结果（检测报告编号：ZH/HY21040301），本项目取检测结果的最大值，即COD取58mg/L，BOD5取18.2mg/L，SS取42mg/L，氨氮取0.266mg/L，故具有可类比性。本次环评考虑到实验具有不确定性，计算时预留污染物产生量20%的余量。</w:t>
            </w:r>
          </w:p>
          <w:p w14:paraId="35C9781B">
            <w:pPr>
              <w:adjustRightInd w:val="0"/>
              <w:snapToGrid w:val="0"/>
              <w:jc w:val="center"/>
              <w:rPr>
                <w:b/>
                <w:bCs/>
                <w:snapToGrid w:val="0"/>
                <w:color w:val="auto"/>
                <w:kern w:val="0"/>
                <w:szCs w:val="16"/>
              </w:rPr>
            </w:pPr>
            <w:r>
              <w:rPr>
                <w:b/>
                <w:bCs/>
                <w:snapToGrid w:val="0"/>
                <w:color w:val="auto"/>
                <w:kern w:val="0"/>
                <w:szCs w:val="16"/>
              </w:rPr>
              <w:t>表4-</w:t>
            </w:r>
            <w:r>
              <w:rPr>
                <w:rFonts w:hint="eastAsia"/>
                <w:b/>
                <w:bCs/>
                <w:snapToGrid w:val="0"/>
                <w:color w:val="auto"/>
                <w:kern w:val="0"/>
                <w:szCs w:val="16"/>
              </w:rPr>
              <w:t>8</w:t>
            </w:r>
            <w:r>
              <w:rPr>
                <w:b/>
                <w:bCs/>
                <w:snapToGrid w:val="0"/>
                <w:color w:val="auto"/>
                <w:kern w:val="0"/>
                <w:szCs w:val="16"/>
              </w:rPr>
              <w:t xml:space="preserve">   废水污染物产排情况一览表</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1545"/>
              <w:gridCol w:w="1555"/>
              <w:gridCol w:w="1555"/>
              <w:gridCol w:w="1562"/>
            </w:tblGrid>
            <w:tr w14:paraId="2A99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0D1179AE">
                  <w:pPr>
                    <w:adjustRightInd w:val="0"/>
                    <w:snapToGrid w:val="0"/>
                    <w:jc w:val="center"/>
                    <w:rPr>
                      <w:color w:val="auto"/>
                      <w:szCs w:val="21"/>
                    </w:rPr>
                  </w:pPr>
                  <w:r>
                    <w:rPr>
                      <w:rFonts w:hint="eastAsia"/>
                      <w:color w:val="auto"/>
                      <w:szCs w:val="21"/>
                    </w:rPr>
                    <w:t>产排污环节</w:t>
                  </w:r>
                </w:p>
              </w:tc>
              <w:tc>
                <w:tcPr>
                  <w:tcW w:w="3745" w:type="pct"/>
                  <w:gridSpan w:val="4"/>
                  <w:vAlign w:val="center"/>
                </w:tcPr>
                <w:p w14:paraId="7275C1D4">
                  <w:pPr>
                    <w:adjustRightInd w:val="0"/>
                    <w:snapToGrid w:val="0"/>
                    <w:jc w:val="center"/>
                    <w:rPr>
                      <w:color w:val="auto"/>
                      <w:szCs w:val="21"/>
                    </w:rPr>
                  </w:pPr>
                  <w:r>
                    <w:rPr>
                      <w:rFonts w:hint="eastAsia"/>
                      <w:color w:val="auto"/>
                      <w:szCs w:val="21"/>
                    </w:rPr>
                    <w:t>职工办公生活</w:t>
                  </w:r>
                </w:p>
              </w:tc>
            </w:tr>
            <w:tr w14:paraId="5E7B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6AB3C518">
                  <w:pPr>
                    <w:adjustRightInd w:val="0"/>
                    <w:snapToGrid w:val="0"/>
                    <w:jc w:val="center"/>
                    <w:rPr>
                      <w:color w:val="auto"/>
                      <w:szCs w:val="21"/>
                    </w:rPr>
                  </w:pPr>
                  <w:r>
                    <w:rPr>
                      <w:rFonts w:hint="eastAsia"/>
                      <w:color w:val="auto"/>
                      <w:szCs w:val="21"/>
                    </w:rPr>
                    <w:t>类别</w:t>
                  </w:r>
                </w:p>
              </w:tc>
              <w:tc>
                <w:tcPr>
                  <w:tcW w:w="3745" w:type="pct"/>
                  <w:gridSpan w:val="4"/>
                  <w:vAlign w:val="center"/>
                </w:tcPr>
                <w:p w14:paraId="0D9D16AB">
                  <w:pPr>
                    <w:adjustRightInd w:val="0"/>
                    <w:snapToGrid w:val="0"/>
                    <w:jc w:val="center"/>
                    <w:rPr>
                      <w:color w:val="auto"/>
                      <w:szCs w:val="21"/>
                    </w:rPr>
                  </w:pPr>
                  <w:r>
                    <w:rPr>
                      <w:rFonts w:hint="eastAsia"/>
                      <w:color w:val="auto"/>
                      <w:szCs w:val="21"/>
                    </w:rPr>
                    <w:t>生活污水</w:t>
                  </w:r>
                  <w:r>
                    <w:rPr>
                      <w:color w:val="auto"/>
                      <w:szCs w:val="21"/>
                    </w:rPr>
                    <w:t>（</w:t>
                  </w:r>
                  <w:r>
                    <w:rPr>
                      <w:rFonts w:hint="eastAsia"/>
                      <w:color w:val="auto"/>
                      <w:szCs w:val="21"/>
                    </w:rPr>
                    <w:t>40</w:t>
                  </w:r>
                  <w:r>
                    <w:rPr>
                      <w:color w:val="auto"/>
                      <w:szCs w:val="21"/>
                    </w:rPr>
                    <w:t>m</w:t>
                  </w:r>
                  <w:r>
                    <w:rPr>
                      <w:color w:val="auto"/>
                      <w:szCs w:val="21"/>
                      <w:vertAlign w:val="superscript"/>
                    </w:rPr>
                    <w:t>3</w:t>
                  </w:r>
                  <w:r>
                    <w:rPr>
                      <w:color w:val="auto"/>
                      <w:szCs w:val="21"/>
                    </w:rPr>
                    <w:t>/a）</w:t>
                  </w:r>
                </w:p>
              </w:tc>
            </w:tr>
            <w:tr w14:paraId="6F3E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3C916545">
                  <w:pPr>
                    <w:adjustRightInd w:val="0"/>
                    <w:snapToGrid w:val="0"/>
                    <w:jc w:val="center"/>
                    <w:rPr>
                      <w:color w:val="auto"/>
                      <w:szCs w:val="21"/>
                    </w:rPr>
                  </w:pPr>
                  <w:r>
                    <w:rPr>
                      <w:rFonts w:hint="eastAsia"/>
                      <w:color w:val="auto"/>
                      <w:szCs w:val="21"/>
                    </w:rPr>
                    <w:t>污染物种类</w:t>
                  </w:r>
                </w:p>
              </w:tc>
              <w:tc>
                <w:tcPr>
                  <w:tcW w:w="931" w:type="pct"/>
                  <w:vAlign w:val="center"/>
                </w:tcPr>
                <w:p w14:paraId="30E6E91A">
                  <w:pPr>
                    <w:adjustRightInd w:val="0"/>
                    <w:snapToGrid w:val="0"/>
                    <w:jc w:val="center"/>
                    <w:rPr>
                      <w:color w:val="auto"/>
                      <w:szCs w:val="21"/>
                    </w:rPr>
                  </w:pPr>
                  <w:r>
                    <w:rPr>
                      <w:rFonts w:hint="eastAsia"/>
                      <w:color w:val="auto"/>
                      <w:szCs w:val="21"/>
                    </w:rPr>
                    <w:t>COD</w:t>
                  </w:r>
                </w:p>
              </w:tc>
              <w:tc>
                <w:tcPr>
                  <w:tcW w:w="937" w:type="pct"/>
                  <w:vAlign w:val="center"/>
                </w:tcPr>
                <w:p w14:paraId="2589468A">
                  <w:pPr>
                    <w:adjustRightInd w:val="0"/>
                    <w:snapToGrid w:val="0"/>
                    <w:jc w:val="center"/>
                    <w:rPr>
                      <w:color w:val="auto"/>
                      <w:szCs w:val="21"/>
                    </w:rPr>
                  </w:pPr>
                  <w:r>
                    <w:rPr>
                      <w:rFonts w:hint="eastAsia"/>
                      <w:color w:val="auto"/>
                      <w:szCs w:val="21"/>
                    </w:rPr>
                    <w:t>BOD</w:t>
                  </w:r>
                  <w:r>
                    <w:rPr>
                      <w:rFonts w:hint="eastAsia"/>
                      <w:color w:val="auto"/>
                      <w:szCs w:val="21"/>
                      <w:vertAlign w:val="subscript"/>
                    </w:rPr>
                    <w:t>5</w:t>
                  </w:r>
                </w:p>
              </w:tc>
              <w:tc>
                <w:tcPr>
                  <w:tcW w:w="937" w:type="pct"/>
                  <w:vAlign w:val="center"/>
                </w:tcPr>
                <w:p w14:paraId="1E63E989">
                  <w:pPr>
                    <w:adjustRightInd w:val="0"/>
                    <w:snapToGrid w:val="0"/>
                    <w:jc w:val="center"/>
                    <w:rPr>
                      <w:color w:val="auto"/>
                      <w:szCs w:val="21"/>
                    </w:rPr>
                  </w:pPr>
                  <w:r>
                    <w:rPr>
                      <w:rFonts w:hint="eastAsia"/>
                      <w:color w:val="auto"/>
                      <w:szCs w:val="21"/>
                    </w:rPr>
                    <w:t>氨氮</w:t>
                  </w:r>
                </w:p>
              </w:tc>
              <w:tc>
                <w:tcPr>
                  <w:tcW w:w="937" w:type="pct"/>
                  <w:vAlign w:val="center"/>
                </w:tcPr>
                <w:p w14:paraId="7A02F898">
                  <w:pPr>
                    <w:adjustRightInd w:val="0"/>
                    <w:snapToGrid w:val="0"/>
                    <w:jc w:val="center"/>
                    <w:rPr>
                      <w:color w:val="auto"/>
                      <w:szCs w:val="21"/>
                    </w:rPr>
                  </w:pPr>
                  <w:r>
                    <w:rPr>
                      <w:rFonts w:hint="eastAsia"/>
                      <w:color w:val="auto"/>
                      <w:szCs w:val="21"/>
                    </w:rPr>
                    <w:t>SS</w:t>
                  </w:r>
                </w:p>
              </w:tc>
            </w:tr>
            <w:tr w14:paraId="111A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4CBE8FF2">
                  <w:pPr>
                    <w:adjustRightInd w:val="0"/>
                    <w:snapToGrid w:val="0"/>
                    <w:jc w:val="center"/>
                    <w:rPr>
                      <w:color w:val="auto"/>
                      <w:szCs w:val="21"/>
                    </w:rPr>
                  </w:pPr>
                  <w:r>
                    <w:rPr>
                      <w:rFonts w:hint="eastAsia"/>
                      <w:color w:val="auto"/>
                      <w:szCs w:val="21"/>
                    </w:rPr>
                    <w:t>产生浓度（mg/L）</w:t>
                  </w:r>
                </w:p>
              </w:tc>
              <w:tc>
                <w:tcPr>
                  <w:tcW w:w="931" w:type="pct"/>
                  <w:vAlign w:val="center"/>
                </w:tcPr>
                <w:p w14:paraId="45A51433">
                  <w:pPr>
                    <w:adjustRightInd w:val="0"/>
                    <w:snapToGrid w:val="0"/>
                    <w:jc w:val="center"/>
                    <w:rPr>
                      <w:color w:val="auto"/>
                      <w:szCs w:val="21"/>
                    </w:rPr>
                  </w:pPr>
                  <w:r>
                    <w:rPr>
                      <w:rFonts w:hint="eastAsia"/>
                      <w:color w:val="auto"/>
                      <w:szCs w:val="21"/>
                    </w:rPr>
                    <w:t>225</w:t>
                  </w:r>
                </w:p>
              </w:tc>
              <w:tc>
                <w:tcPr>
                  <w:tcW w:w="937" w:type="pct"/>
                  <w:vAlign w:val="center"/>
                </w:tcPr>
                <w:p w14:paraId="6904C7D5">
                  <w:pPr>
                    <w:adjustRightInd w:val="0"/>
                    <w:snapToGrid w:val="0"/>
                    <w:jc w:val="center"/>
                    <w:rPr>
                      <w:color w:val="auto"/>
                      <w:szCs w:val="21"/>
                    </w:rPr>
                  </w:pPr>
                  <w:r>
                    <w:rPr>
                      <w:rFonts w:hint="eastAsia"/>
                      <w:color w:val="auto"/>
                      <w:szCs w:val="21"/>
                    </w:rPr>
                    <w:t>98</w:t>
                  </w:r>
                </w:p>
              </w:tc>
              <w:tc>
                <w:tcPr>
                  <w:tcW w:w="937" w:type="pct"/>
                  <w:vAlign w:val="center"/>
                </w:tcPr>
                <w:p w14:paraId="77733860">
                  <w:pPr>
                    <w:adjustRightInd w:val="0"/>
                    <w:snapToGrid w:val="0"/>
                    <w:jc w:val="center"/>
                    <w:rPr>
                      <w:color w:val="auto"/>
                      <w:szCs w:val="21"/>
                    </w:rPr>
                  </w:pPr>
                  <w:r>
                    <w:rPr>
                      <w:rFonts w:hint="eastAsia"/>
                      <w:color w:val="auto"/>
                      <w:szCs w:val="21"/>
                    </w:rPr>
                    <w:t>16.11</w:t>
                  </w:r>
                </w:p>
              </w:tc>
              <w:tc>
                <w:tcPr>
                  <w:tcW w:w="937" w:type="pct"/>
                  <w:vAlign w:val="center"/>
                </w:tcPr>
                <w:p w14:paraId="1A46C0B3">
                  <w:pPr>
                    <w:adjustRightInd w:val="0"/>
                    <w:snapToGrid w:val="0"/>
                    <w:jc w:val="center"/>
                    <w:rPr>
                      <w:color w:val="auto"/>
                      <w:szCs w:val="21"/>
                    </w:rPr>
                  </w:pPr>
                  <w:r>
                    <w:rPr>
                      <w:rFonts w:hint="eastAsia"/>
                      <w:color w:val="auto"/>
                      <w:szCs w:val="21"/>
                    </w:rPr>
                    <w:t>132</w:t>
                  </w:r>
                </w:p>
              </w:tc>
            </w:tr>
            <w:tr w14:paraId="7A2D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4" w:type="pct"/>
                  <w:vAlign w:val="center"/>
                </w:tcPr>
                <w:p w14:paraId="4D8FCF2E">
                  <w:pPr>
                    <w:adjustRightInd w:val="0"/>
                    <w:snapToGrid w:val="0"/>
                    <w:jc w:val="center"/>
                    <w:rPr>
                      <w:color w:val="auto"/>
                      <w:szCs w:val="21"/>
                    </w:rPr>
                  </w:pPr>
                  <w:r>
                    <w:rPr>
                      <w:rFonts w:hint="eastAsia"/>
                      <w:color w:val="auto"/>
                      <w:szCs w:val="21"/>
                    </w:rPr>
                    <w:t>产生量（t/a）</w:t>
                  </w:r>
                </w:p>
              </w:tc>
              <w:tc>
                <w:tcPr>
                  <w:tcW w:w="931" w:type="pct"/>
                  <w:vAlign w:val="center"/>
                </w:tcPr>
                <w:p w14:paraId="210BFF1D">
                  <w:pPr>
                    <w:adjustRightInd w:val="0"/>
                    <w:snapToGrid w:val="0"/>
                    <w:jc w:val="center"/>
                    <w:rPr>
                      <w:color w:val="auto"/>
                      <w:szCs w:val="21"/>
                    </w:rPr>
                  </w:pPr>
                  <w:r>
                    <w:rPr>
                      <w:rFonts w:hint="eastAsia"/>
                      <w:color w:val="auto"/>
                      <w:szCs w:val="21"/>
                    </w:rPr>
                    <w:t>0.009</w:t>
                  </w:r>
                </w:p>
              </w:tc>
              <w:tc>
                <w:tcPr>
                  <w:tcW w:w="937" w:type="pct"/>
                  <w:vAlign w:val="center"/>
                </w:tcPr>
                <w:p w14:paraId="6446C87C">
                  <w:pPr>
                    <w:adjustRightInd w:val="0"/>
                    <w:snapToGrid w:val="0"/>
                    <w:jc w:val="center"/>
                    <w:rPr>
                      <w:color w:val="auto"/>
                      <w:szCs w:val="21"/>
                    </w:rPr>
                  </w:pPr>
                  <w:r>
                    <w:rPr>
                      <w:rFonts w:hint="eastAsia"/>
                      <w:color w:val="auto"/>
                      <w:szCs w:val="21"/>
                    </w:rPr>
                    <w:t>0.0039</w:t>
                  </w:r>
                </w:p>
              </w:tc>
              <w:tc>
                <w:tcPr>
                  <w:tcW w:w="937" w:type="pct"/>
                  <w:vAlign w:val="center"/>
                </w:tcPr>
                <w:p w14:paraId="0A862BCB">
                  <w:pPr>
                    <w:adjustRightInd w:val="0"/>
                    <w:snapToGrid w:val="0"/>
                    <w:jc w:val="center"/>
                    <w:rPr>
                      <w:color w:val="auto"/>
                      <w:szCs w:val="21"/>
                    </w:rPr>
                  </w:pPr>
                  <w:r>
                    <w:rPr>
                      <w:rFonts w:hint="eastAsia"/>
                      <w:color w:val="auto"/>
                      <w:szCs w:val="21"/>
                    </w:rPr>
                    <w:t>0.0006</w:t>
                  </w:r>
                </w:p>
              </w:tc>
              <w:tc>
                <w:tcPr>
                  <w:tcW w:w="937" w:type="pct"/>
                  <w:vAlign w:val="center"/>
                </w:tcPr>
                <w:p w14:paraId="584AD00E">
                  <w:pPr>
                    <w:adjustRightInd w:val="0"/>
                    <w:snapToGrid w:val="0"/>
                    <w:jc w:val="center"/>
                    <w:rPr>
                      <w:color w:val="auto"/>
                      <w:szCs w:val="21"/>
                    </w:rPr>
                  </w:pPr>
                  <w:r>
                    <w:rPr>
                      <w:rFonts w:hint="eastAsia"/>
                      <w:color w:val="auto"/>
                      <w:szCs w:val="21"/>
                    </w:rPr>
                    <w:t>0.0053</w:t>
                  </w:r>
                </w:p>
              </w:tc>
            </w:tr>
            <w:tr w14:paraId="1110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2D0AC40E">
                  <w:pPr>
                    <w:adjustRightInd w:val="0"/>
                    <w:snapToGrid w:val="0"/>
                    <w:jc w:val="center"/>
                    <w:rPr>
                      <w:color w:val="auto"/>
                      <w:szCs w:val="21"/>
                    </w:rPr>
                  </w:pPr>
                  <w:r>
                    <w:rPr>
                      <w:rFonts w:hint="eastAsia"/>
                      <w:color w:val="auto"/>
                      <w:szCs w:val="21"/>
                    </w:rPr>
                    <w:t>设备及仪器清洗废水、实验平台及车间清洁废水</w:t>
                  </w:r>
                  <w:r>
                    <w:rPr>
                      <w:color w:val="auto"/>
                      <w:szCs w:val="21"/>
                    </w:rPr>
                    <w:t>（</w:t>
                  </w:r>
                  <w:r>
                    <w:rPr>
                      <w:rFonts w:hint="eastAsia"/>
                      <w:color w:val="auto"/>
                      <w:szCs w:val="21"/>
                    </w:rPr>
                    <w:t>25.92</w:t>
                  </w:r>
                  <w:r>
                    <w:rPr>
                      <w:color w:val="auto"/>
                      <w:szCs w:val="21"/>
                    </w:rPr>
                    <w:t>m</w:t>
                  </w:r>
                  <w:r>
                    <w:rPr>
                      <w:color w:val="auto"/>
                      <w:szCs w:val="21"/>
                      <w:vertAlign w:val="superscript"/>
                    </w:rPr>
                    <w:t>3</w:t>
                  </w:r>
                  <w:r>
                    <w:rPr>
                      <w:color w:val="auto"/>
                      <w:szCs w:val="21"/>
                    </w:rPr>
                    <w:t>/a）</w:t>
                  </w:r>
                </w:p>
              </w:tc>
            </w:tr>
            <w:tr w14:paraId="31E3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32987072">
                  <w:pPr>
                    <w:adjustRightInd w:val="0"/>
                    <w:snapToGrid w:val="0"/>
                    <w:jc w:val="center"/>
                    <w:rPr>
                      <w:color w:val="auto"/>
                      <w:szCs w:val="21"/>
                    </w:rPr>
                  </w:pPr>
                  <w:r>
                    <w:rPr>
                      <w:rFonts w:hint="eastAsia"/>
                      <w:color w:val="auto"/>
                      <w:szCs w:val="21"/>
                    </w:rPr>
                    <w:t>产生浓度（mg/L）</w:t>
                  </w:r>
                </w:p>
              </w:tc>
              <w:tc>
                <w:tcPr>
                  <w:tcW w:w="931" w:type="pct"/>
                  <w:vAlign w:val="center"/>
                </w:tcPr>
                <w:p w14:paraId="1D1E8CAC">
                  <w:pPr>
                    <w:adjustRightInd w:val="0"/>
                    <w:snapToGrid w:val="0"/>
                    <w:jc w:val="center"/>
                    <w:rPr>
                      <w:color w:val="auto"/>
                      <w:szCs w:val="21"/>
                    </w:rPr>
                  </w:pPr>
                  <w:r>
                    <w:rPr>
                      <w:rFonts w:hint="eastAsia"/>
                      <w:color w:val="auto"/>
                      <w:szCs w:val="21"/>
                    </w:rPr>
                    <w:t>69.6</w:t>
                  </w:r>
                </w:p>
              </w:tc>
              <w:tc>
                <w:tcPr>
                  <w:tcW w:w="937" w:type="pct"/>
                  <w:vAlign w:val="center"/>
                </w:tcPr>
                <w:p w14:paraId="3807725C">
                  <w:pPr>
                    <w:adjustRightInd w:val="0"/>
                    <w:snapToGrid w:val="0"/>
                    <w:jc w:val="center"/>
                    <w:rPr>
                      <w:color w:val="auto"/>
                      <w:szCs w:val="21"/>
                    </w:rPr>
                  </w:pPr>
                  <w:r>
                    <w:rPr>
                      <w:rFonts w:hint="eastAsia"/>
                      <w:color w:val="auto"/>
                      <w:szCs w:val="21"/>
                    </w:rPr>
                    <w:t>27.3</w:t>
                  </w:r>
                </w:p>
              </w:tc>
              <w:tc>
                <w:tcPr>
                  <w:tcW w:w="937" w:type="pct"/>
                  <w:vAlign w:val="center"/>
                </w:tcPr>
                <w:p w14:paraId="10BAFF07">
                  <w:pPr>
                    <w:adjustRightInd w:val="0"/>
                    <w:snapToGrid w:val="0"/>
                    <w:jc w:val="center"/>
                    <w:rPr>
                      <w:color w:val="auto"/>
                      <w:szCs w:val="21"/>
                    </w:rPr>
                  </w:pPr>
                  <w:r>
                    <w:rPr>
                      <w:rFonts w:hint="eastAsia"/>
                      <w:color w:val="auto"/>
                      <w:szCs w:val="21"/>
                    </w:rPr>
                    <w:t>0.32</w:t>
                  </w:r>
                </w:p>
              </w:tc>
              <w:tc>
                <w:tcPr>
                  <w:tcW w:w="937" w:type="pct"/>
                  <w:vAlign w:val="center"/>
                </w:tcPr>
                <w:p w14:paraId="70D66D95">
                  <w:pPr>
                    <w:adjustRightInd w:val="0"/>
                    <w:snapToGrid w:val="0"/>
                    <w:jc w:val="center"/>
                    <w:rPr>
                      <w:color w:val="auto"/>
                      <w:szCs w:val="21"/>
                    </w:rPr>
                  </w:pPr>
                  <w:r>
                    <w:rPr>
                      <w:rFonts w:hint="eastAsia"/>
                      <w:color w:val="auto"/>
                      <w:szCs w:val="21"/>
                    </w:rPr>
                    <w:t>50.4</w:t>
                  </w:r>
                </w:p>
              </w:tc>
            </w:tr>
            <w:tr w14:paraId="6738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713211A4">
                  <w:pPr>
                    <w:adjustRightInd w:val="0"/>
                    <w:snapToGrid w:val="0"/>
                    <w:jc w:val="center"/>
                    <w:rPr>
                      <w:color w:val="auto"/>
                      <w:szCs w:val="21"/>
                    </w:rPr>
                  </w:pPr>
                  <w:r>
                    <w:rPr>
                      <w:rFonts w:hint="eastAsia"/>
                      <w:color w:val="auto"/>
                      <w:szCs w:val="21"/>
                    </w:rPr>
                    <w:t>产生量（t/a）</w:t>
                  </w:r>
                </w:p>
              </w:tc>
              <w:tc>
                <w:tcPr>
                  <w:tcW w:w="931" w:type="pct"/>
                  <w:vAlign w:val="center"/>
                </w:tcPr>
                <w:p w14:paraId="28DBC068">
                  <w:pPr>
                    <w:adjustRightInd w:val="0"/>
                    <w:snapToGrid w:val="0"/>
                    <w:jc w:val="center"/>
                    <w:rPr>
                      <w:color w:val="auto"/>
                      <w:szCs w:val="21"/>
                    </w:rPr>
                  </w:pPr>
                  <w:r>
                    <w:rPr>
                      <w:rFonts w:hint="eastAsia"/>
                      <w:color w:val="auto"/>
                      <w:szCs w:val="21"/>
                    </w:rPr>
                    <w:t>0.0018</w:t>
                  </w:r>
                </w:p>
              </w:tc>
              <w:tc>
                <w:tcPr>
                  <w:tcW w:w="937" w:type="pct"/>
                  <w:vAlign w:val="center"/>
                </w:tcPr>
                <w:p w14:paraId="11712B21">
                  <w:pPr>
                    <w:adjustRightInd w:val="0"/>
                    <w:snapToGrid w:val="0"/>
                    <w:jc w:val="center"/>
                    <w:rPr>
                      <w:color w:val="auto"/>
                      <w:szCs w:val="21"/>
                    </w:rPr>
                  </w:pPr>
                  <w:r>
                    <w:rPr>
                      <w:rFonts w:hint="eastAsia"/>
                      <w:color w:val="auto"/>
                      <w:szCs w:val="21"/>
                    </w:rPr>
                    <w:t>0.0007</w:t>
                  </w:r>
                </w:p>
              </w:tc>
              <w:tc>
                <w:tcPr>
                  <w:tcW w:w="937" w:type="pct"/>
                  <w:vAlign w:val="center"/>
                </w:tcPr>
                <w:p w14:paraId="3D904032">
                  <w:pPr>
                    <w:adjustRightInd w:val="0"/>
                    <w:snapToGrid w:val="0"/>
                    <w:jc w:val="center"/>
                    <w:rPr>
                      <w:color w:val="auto"/>
                      <w:szCs w:val="21"/>
                    </w:rPr>
                  </w:pPr>
                  <w:r>
                    <w:rPr>
                      <w:rFonts w:hint="eastAsia"/>
                      <w:color w:val="auto"/>
                      <w:szCs w:val="21"/>
                    </w:rPr>
                    <w:t>0.00001</w:t>
                  </w:r>
                </w:p>
              </w:tc>
              <w:tc>
                <w:tcPr>
                  <w:tcW w:w="937" w:type="pct"/>
                  <w:vAlign w:val="center"/>
                </w:tcPr>
                <w:p w14:paraId="61FB8246">
                  <w:pPr>
                    <w:adjustRightInd w:val="0"/>
                    <w:snapToGrid w:val="0"/>
                    <w:jc w:val="center"/>
                    <w:rPr>
                      <w:color w:val="auto"/>
                      <w:szCs w:val="21"/>
                    </w:rPr>
                  </w:pPr>
                  <w:r>
                    <w:rPr>
                      <w:rFonts w:hint="eastAsia"/>
                      <w:color w:val="auto"/>
                      <w:szCs w:val="21"/>
                    </w:rPr>
                    <w:t>0.0013</w:t>
                  </w:r>
                </w:p>
              </w:tc>
            </w:tr>
            <w:tr w14:paraId="64BE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6F4FD581">
                  <w:pPr>
                    <w:adjustRightInd w:val="0"/>
                    <w:snapToGrid w:val="0"/>
                    <w:jc w:val="center"/>
                    <w:rPr>
                      <w:color w:val="auto"/>
                      <w:szCs w:val="21"/>
                    </w:rPr>
                  </w:pPr>
                  <w:r>
                    <w:rPr>
                      <w:rFonts w:hint="eastAsia"/>
                      <w:color w:val="auto"/>
                      <w:szCs w:val="21"/>
                    </w:rPr>
                    <w:t>综合废水</w:t>
                  </w:r>
                  <w:r>
                    <w:rPr>
                      <w:color w:val="auto"/>
                      <w:szCs w:val="21"/>
                    </w:rPr>
                    <w:t>（</w:t>
                  </w:r>
                  <w:r>
                    <w:rPr>
                      <w:rFonts w:hint="eastAsia"/>
                      <w:color w:val="auto"/>
                      <w:szCs w:val="21"/>
                    </w:rPr>
                    <w:t>65.92</w:t>
                  </w:r>
                  <w:r>
                    <w:rPr>
                      <w:color w:val="auto"/>
                      <w:szCs w:val="21"/>
                    </w:rPr>
                    <w:t>m</w:t>
                  </w:r>
                  <w:r>
                    <w:rPr>
                      <w:color w:val="auto"/>
                      <w:szCs w:val="21"/>
                      <w:vertAlign w:val="superscript"/>
                    </w:rPr>
                    <w:t>3</w:t>
                  </w:r>
                  <w:r>
                    <w:rPr>
                      <w:color w:val="auto"/>
                      <w:szCs w:val="21"/>
                    </w:rPr>
                    <w:t>/a）</w:t>
                  </w:r>
                </w:p>
              </w:tc>
            </w:tr>
            <w:tr w14:paraId="5D5A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3C7FD524">
                  <w:pPr>
                    <w:adjustRightInd w:val="0"/>
                    <w:snapToGrid w:val="0"/>
                    <w:jc w:val="center"/>
                    <w:rPr>
                      <w:color w:val="auto"/>
                      <w:szCs w:val="21"/>
                    </w:rPr>
                  </w:pPr>
                  <w:r>
                    <w:rPr>
                      <w:rFonts w:hint="eastAsia"/>
                      <w:color w:val="auto"/>
                      <w:szCs w:val="21"/>
                    </w:rPr>
                    <w:t>产生浓度（mg/L）</w:t>
                  </w:r>
                </w:p>
              </w:tc>
              <w:tc>
                <w:tcPr>
                  <w:tcW w:w="931" w:type="pct"/>
                  <w:vAlign w:val="center"/>
                </w:tcPr>
                <w:p w14:paraId="4653738C">
                  <w:pPr>
                    <w:adjustRightInd w:val="0"/>
                    <w:snapToGrid w:val="0"/>
                    <w:jc w:val="center"/>
                    <w:rPr>
                      <w:color w:val="auto"/>
                      <w:szCs w:val="21"/>
                    </w:rPr>
                  </w:pPr>
                  <w:r>
                    <w:rPr>
                      <w:rFonts w:hint="eastAsia"/>
                      <w:color w:val="auto"/>
                      <w:szCs w:val="21"/>
                    </w:rPr>
                    <w:t>163.9</w:t>
                  </w:r>
                </w:p>
              </w:tc>
              <w:tc>
                <w:tcPr>
                  <w:tcW w:w="937" w:type="pct"/>
                  <w:vAlign w:val="center"/>
                </w:tcPr>
                <w:p w14:paraId="451EC4D9">
                  <w:pPr>
                    <w:adjustRightInd w:val="0"/>
                    <w:snapToGrid w:val="0"/>
                    <w:jc w:val="center"/>
                    <w:rPr>
                      <w:color w:val="auto"/>
                      <w:szCs w:val="21"/>
                    </w:rPr>
                  </w:pPr>
                  <w:r>
                    <w:rPr>
                      <w:rFonts w:hint="eastAsia"/>
                      <w:color w:val="auto"/>
                      <w:szCs w:val="21"/>
                    </w:rPr>
                    <w:t>70.2</w:t>
                  </w:r>
                </w:p>
              </w:tc>
              <w:tc>
                <w:tcPr>
                  <w:tcW w:w="937" w:type="pct"/>
                  <w:vAlign w:val="center"/>
                </w:tcPr>
                <w:p w14:paraId="42D55382">
                  <w:pPr>
                    <w:adjustRightInd w:val="0"/>
                    <w:snapToGrid w:val="0"/>
                    <w:jc w:val="center"/>
                    <w:rPr>
                      <w:color w:val="auto"/>
                      <w:szCs w:val="21"/>
                    </w:rPr>
                  </w:pPr>
                  <w:r>
                    <w:rPr>
                      <w:rFonts w:hint="eastAsia"/>
                      <w:color w:val="auto"/>
                      <w:szCs w:val="21"/>
                    </w:rPr>
                    <w:t>9.9</w:t>
                  </w:r>
                </w:p>
              </w:tc>
              <w:tc>
                <w:tcPr>
                  <w:tcW w:w="937" w:type="pct"/>
                  <w:vAlign w:val="center"/>
                </w:tcPr>
                <w:p w14:paraId="242E20FE">
                  <w:pPr>
                    <w:adjustRightInd w:val="0"/>
                    <w:snapToGrid w:val="0"/>
                    <w:jc w:val="center"/>
                    <w:rPr>
                      <w:color w:val="auto"/>
                      <w:szCs w:val="21"/>
                    </w:rPr>
                  </w:pPr>
                  <w:r>
                    <w:rPr>
                      <w:rFonts w:hint="eastAsia"/>
                      <w:color w:val="auto"/>
                      <w:szCs w:val="21"/>
                    </w:rPr>
                    <w:t>99.9</w:t>
                  </w:r>
                </w:p>
              </w:tc>
            </w:tr>
            <w:tr w14:paraId="4CEB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0153B966">
                  <w:pPr>
                    <w:adjustRightInd w:val="0"/>
                    <w:snapToGrid w:val="0"/>
                    <w:jc w:val="center"/>
                    <w:rPr>
                      <w:color w:val="auto"/>
                      <w:szCs w:val="21"/>
                    </w:rPr>
                  </w:pPr>
                  <w:r>
                    <w:rPr>
                      <w:rFonts w:hint="eastAsia"/>
                      <w:color w:val="auto"/>
                      <w:szCs w:val="21"/>
                    </w:rPr>
                    <w:t>产生量（t/a）</w:t>
                  </w:r>
                </w:p>
              </w:tc>
              <w:tc>
                <w:tcPr>
                  <w:tcW w:w="931" w:type="pct"/>
                  <w:vAlign w:val="center"/>
                </w:tcPr>
                <w:p w14:paraId="000BDD72">
                  <w:pPr>
                    <w:adjustRightInd w:val="0"/>
                    <w:snapToGrid w:val="0"/>
                    <w:jc w:val="center"/>
                    <w:rPr>
                      <w:color w:val="auto"/>
                      <w:szCs w:val="21"/>
                    </w:rPr>
                  </w:pPr>
                  <w:r>
                    <w:rPr>
                      <w:rFonts w:hint="eastAsia"/>
                      <w:color w:val="auto"/>
                      <w:szCs w:val="21"/>
                    </w:rPr>
                    <w:t>0.0108</w:t>
                  </w:r>
                </w:p>
              </w:tc>
              <w:tc>
                <w:tcPr>
                  <w:tcW w:w="937" w:type="pct"/>
                  <w:vAlign w:val="center"/>
                </w:tcPr>
                <w:p w14:paraId="5097776F">
                  <w:pPr>
                    <w:adjustRightInd w:val="0"/>
                    <w:snapToGrid w:val="0"/>
                    <w:jc w:val="center"/>
                    <w:rPr>
                      <w:color w:val="auto"/>
                      <w:szCs w:val="21"/>
                    </w:rPr>
                  </w:pPr>
                  <w:r>
                    <w:rPr>
                      <w:rFonts w:hint="eastAsia"/>
                      <w:color w:val="auto"/>
                      <w:szCs w:val="21"/>
                    </w:rPr>
                    <w:t>0.0046</w:t>
                  </w:r>
                </w:p>
              </w:tc>
              <w:tc>
                <w:tcPr>
                  <w:tcW w:w="937" w:type="pct"/>
                  <w:vAlign w:val="center"/>
                </w:tcPr>
                <w:p w14:paraId="40AEB6A0">
                  <w:pPr>
                    <w:adjustRightInd w:val="0"/>
                    <w:snapToGrid w:val="0"/>
                    <w:jc w:val="center"/>
                    <w:rPr>
                      <w:color w:val="auto"/>
                      <w:szCs w:val="21"/>
                    </w:rPr>
                  </w:pPr>
                  <w:r>
                    <w:rPr>
                      <w:rFonts w:hint="eastAsia"/>
                      <w:color w:val="auto"/>
                      <w:szCs w:val="21"/>
                    </w:rPr>
                    <w:t>0.0007</w:t>
                  </w:r>
                </w:p>
              </w:tc>
              <w:tc>
                <w:tcPr>
                  <w:tcW w:w="937" w:type="pct"/>
                  <w:vAlign w:val="center"/>
                </w:tcPr>
                <w:p w14:paraId="27481112">
                  <w:pPr>
                    <w:adjustRightInd w:val="0"/>
                    <w:snapToGrid w:val="0"/>
                    <w:jc w:val="center"/>
                    <w:rPr>
                      <w:color w:val="auto"/>
                      <w:szCs w:val="21"/>
                    </w:rPr>
                  </w:pPr>
                  <w:r>
                    <w:rPr>
                      <w:rFonts w:hint="eastAsia"/>
                      <w:color w:val="auto"/>
                      <w:szCs w:val="21"/>
                    </w:rPr>
                    <w:t>0.0066</w:t>
                  </w:r>
                </w:p>
              </w:tc>
            </w:tr>
            <w:tr w14:paraId="5D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05A4B47B">
                  <w:pPr>
                    <w:adjustRightInd w:val="0"/>
                    <w:snapToGrid w:val="0"/>
                    <w:jc w:val="center"/>
                    <w:rPr>
                      <w:color w:val="auto"/>
                      <w:szCs w:val="21"/>
                    </w:rPr>
                  </w:pPr>
                  <w:r>
                    <w:rPr>
                      <w:rFonts w:hint="eastAsia"/>
                      <w:color w:val="auto"/>
                      <w:szCs w:val="21"/>
                    </w:rPr>
                    <w:t>处理效率（%）</w:t>
                  </w:r>
                </w:p>
              </w:tc>
              <w:tc>
                <w:tcPr>
                  <w:tcW w:w="931" w:type="pct"/>
                  <w:vAlign w:val="center"/>
                </w:tcPr>
                <w:p w14:paraId="2A2949DB">
                  <w:pPr>
                    <w:adjustRightInd w:val="0"/>
                    <w:snapToGrid w:val="0"/>
                    <w:jc w:val="center"/>
                    <w:rPr>
                      <w:color w:val="auto"/>
                      <w:szCs w:val="21"/>
                    </w:rPr>
                  </w:pPr>
                  <w:r>
                    <w:rPr>
                      <w:rFonts w:hint="eastAsia"/>
                      <w:color w:val="auto"/>
                      <w:szCs w:val="21"/>
                    </w:rPr>
                    <w:t>81%</w:t>
                  </w:r>
                </w:p>
              </w:tc>
              <w:tc>
                <w:tcPr>
                  <w:tcW w:w="937" w:type="pct"/>
                  <w:vAlign w:val="center"/>
                </w:tcPr>
                <w:p w14:paraId="5B5E7463">
                  <w:pPr>
                    <w:adjustRightInd w:val="0"/>
                    <w:snapToGrid w:val="0"/>
                    <w:jc w:val="center"/>
                    <w:rPr>
                      <w:color w:val="auto"/>
                      <w:szCs w:val="21"/>
                    </w:rPr>
                  </w:pPr>
                  <w:r>
                    <w:rPr>
                      <w:rFonts w:hint="eastAsia"/>
                      <w:color w:val="auto"/>
                      <w:szCs w:val="21"/>
                    </w:rPr>
                    <w:t>82.3%</w:t>
                  </w:r>
                </w:p>
              </w:tc>
              <w:tc>
                <w:tcPr>
                  <w:tcW w:w="937" w:type="pct"/>
                  <w:vAlign w:val="center"/>
                </w:tcPr>
                <w:p w14:paraId="0898DE8C">
                  <w:pPr>
                    <w:adjustRightInd w:val="0"/>
                    <w:snapToGrid w:val="0"/>
                    <w:jc w:val="center"/>
                    <w:rPr>
                      <w:color w:val="auto"/>
                      <w:szCs w:val="21"/>
                    </w:rPr>
                  </w:pPr>
                  <w:r>
                    <w:rPr>
                      <w:rFonts w:hint="eastAsia"/>
                      <w:color w:val="auto"/>
                      <w:szCs w:val="21"/>
                    </w:rPr>
                    <w:t>75.9%</w:t>
                  </w:r>
                </w:p>
              </w:tc>
              <w:tc>
                <w:tcPr>
                  <w:tcW w:w="937" w:type="pct"/>
                  <w:vAlign w:val="center"/>
                </w:tcPr>
                <w:p w14:paraId="1B1E2EA0">
                  <w:pPr>
                    <w:adjustRightInd w:val="0"/>
                    <w:snapToGrid w:val="0"/>
                    <w:jc w:val="center"/>
                    <w:rPr>
                      <w:color w:val="auto"/>
                      <w:szCs w:val="21"/>
                    </w:rPr>
                  </w:pPr>
                  <w:r>
                    <w:rPr>
                      <w:rFonts w:hint="eastAsia"/>
                      <w:color w:val="auto"/>
                      <w:szCs w:val="21"/>
                    </w:rPr>
                    <w:t>77.3%</w:t>
                  </w:r>
                </w:p>
              </w:tc>
            </w:tr>
            <w:tr w14:paraId="6841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7B99FE0B">
                  <w:pPr>
                    <w:adjustRightInd w:val="0"/>
                    <w:snapToGrid w:val="0"/>
                    <w:jc w:val="center"/>
                    <w:rPr>
                      <w:color w:val="auto"/>
                      <w:szCs w:val="21"/>
                    </w:rPr>
                  </w:pPr>
                  <w:r>
                    <w:rPr>
                      <w:rFonts w:hint="eastAsia"/>
                      <w:color w:val="auto"/>
                      <w:szCs w:val="21"/>
                    </w:rPr>
                    <w:t>排放浓度（mg/L）</w:t>
                  </w:r>
                </w:p>
              </w:tc>
              <w:tc>
                <w:tcPr>
                  <w:tcW w:w="931" w:type="pct"/>
                  <w:vAlign w:val="center"/>
                </w:tcPr>
                <w:p w14:paraId="25701BB2">
                  <w:pPr>
                    <w:adjustRightInd w:val="0"/>
                    <w:snapToGrid w:val="0"/>
                    <w:jc w:val="center"/>
                    <w:rPr>
                      <w:color w:val="auto"/>
                      <w:szCs w:val="21"/>
                    </w:rPr>
                  </w:pPr>
                  <w:r>
                    <w:rPr>
                      <w:rFonts w:hint="eastAsia"/>
                      <w:color w:val="auto"/>
                      <w:szCs w:val="21"/>
                    </w:rPr>
                    <w:t>31.1</w:t>
                  </w:r>
                </w:p>
              </w:tc>
              <w:tc>
                <w:tcPr>
                  <w:tcW w:w="937" w:type="pct"/>
                  <w:vAlign w:val="center"/>
                </w:tcPr>
                <w:p w14:paraId="50B4E6F4">
                  <w:pPr>
                    <w:adjustRightInd w:val="0"/>
                    <w:snapToGrid w:val="0"/>
                    <w:jc w:val="center"/>
                    <w:rPr>
                      <w:color w:val="auto"/>
                      <w:szCs w:val="21"/>
                    </w:rPr>
                  </w:pPr>
                  <w:r>
                    <w:rPr>
                      <w:rFonts w:hint="eastAsia"/>
                      <w:color w:val="auto"/>
                      <w:szCs w:val="21"/>
                    </w:rPr>
                    <w:t>12.4</w:t>
                  </w:r>
                </w:p>
              </w:tc>
              <w:tc>
                <w:tcPr>
                  <w:tcW w:w="937" w:type="pct"/>
                  <w:vAlign w:val="center"/>
                </w:tcPr>
                <w:p w14:paraId="1C222471">
                  <w:pPr>
                    <w:adjustRightInd w:val="0"/>
                    <w:snapToGrid w:val="0"/>
                    <w:jc w:val="center"/>
                    <w:rPr>
                      <w:color w:val="auto"/>
                      <w:szCs w:val="21"/>
                    </w:rPr>
                  </w:pPr>
                  <w:r>
                    <w:rPr>
                      <w:rFonts w:hint="eastAsia"/>
                      <w:color w:val="auto"/>
                      <w:szCs w:val="21"/>
                    </w:rPr>
                    <w:t>2.4</w:t>
                  </w:r>
                </w:p>
              </w:tc>
              <w:tc>
                <w:tcPr>
                  <w:tcW w:w="937" w:type="pct"/>
                  <w:vAlign w:val="center"/>
                </w:tcPr>
                <w:p w14:paraId="43690F15">
                  <w:pPr>
                    <w:adjustRightInd w:val="0"/>
                    <w:snapToGrid w:val="0"/>
                    <w:jc w:val="center"/>
                    <w:rPr>
                      <w:color w:val="auto"/>
                      <w:szCs w:val="21"/>
                    </w:rPr>
                  </w:pPr>
                  <w:r>
                    <w:rPr>
                      <w:rFonts w:hint="eastAsia"/>
                      <w:color w:val="auto"/>
                      <w:szCs w:val="21"/>
                    </w:rPr>
                    <w:t>22.7</w:t>
                  </w:r>
                </w:p>
              </w:tc>
            </w:tr>
            <w:tr w14:paraId="67E7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vAlign w:val="center"/>
                </w:tcPr>
                <w:p w14:paraId="7FE9038C">
                  <w:pPr>
                    <w:adjustRightInd w:val="0"/>
                    <w:snapToGrid w:val="0"/>
                    <w:jc w:val="center"/>
                    <w:rPr>
                      <w:color w:val="auto"/>
                      <w:szCs w:val="21"/>
                    </w:rPr>
                  </w:pPr>
                  <w:r>
                    <w:rPr>
                      <w:rFonts w:hint="eastAsia"/>
                      <w:color w:val="auto"/>
                      <w:szCs w:val="21"/>
                    </w:rPr>
                    <w:t>排放量（t/a）</w:t>
                  </w:r>
                </w:p>
              </w:tc>
              <w:tc>
                <w:tcPr>
                  <w:tcW w:w="931" w:type="pct"/>
                  <w:vAlign w:val="center"/>
                </w:tcPr>
                <w:p w14:paraId="293A10CA">
                  <w:pPr>
                    <w:adjustRightInd w:val="0"/>
                    <w:snapToGrid w:val="0"/>
                    <w:jc w:val="center"/>
                    <w:rPr>
                      <w:color w:val="auto"/>
                      <w:szCs w:val="21"/>
                    </w:rPr>
                  </w:pPr>
                  <w:r>
                    <w:rPr>
                      <w:rFonts w:hint="eastAsia"/>
                      <w:color w:val="auto"/>
                      <w:szCs w:val="21"/>
                    </w:rPr>
                    <w:t>0.0021</w:t>
                  </w:r>
                </w:p>
              </w:tc>
              <w:tc>
                <w:tcPr>
                  <w:tcW w:w="937" w:type="pct"/>
                  <w:vAlign w:val="center"/>
                </w:tcPr>
                <w:p w14:paraId="33A2E3D5">
                  <w:pPr>
                    <w:adjustRightInd w:val="0"/>
                    <w:snapToGrid w:val="0"/>
                    <w:jc w:val="center"/>
                    <w:rPr>
                      <w:color w:val="auto"/>
                      <w:szCs w:val="21"/>
                    </w:rPr>
                  </w:pPr>
                  <w:r>
                    <w:rPr>
                      <w:rFonts w:hint="eastAsia"/>
                      <w:color w:val="auto"/>
                      <w:szCs w:val="21"/>
                    </w:rPr>
                    <w:t>0.0008</w:t>
                  </w:r>
                </w:p>
              </w:tc>
              <w:tc>
                <w:tcPr>
                  <w:tcW w:w="937" w:type="pct"/>
                  <w:vAlign w:val="center"/>
                </w:tcPr>
                <w:p w14:paraId="0B0B430A">
                  <w:pPr>
                    <w:adjustRightInd w:val="0"/>
                    <w:snapToGrid w:val="0"/>
                    <w:jc w:val="center"/>
                    <w:rPr>
                      <w:color w:val="auto"/>
                      <w:szCs w:val="21"/>
                    </w:rPr>
                  </w:pPr>
                  <w:r>
                    <w:rPr>
                      <w:rFonts w:hint="eastAsia"/>
                      <w:color w:val="auto"/>
                      <w:szCs w:val="21"/>
                    </w:rPr>
                    <w:t>0.0002</w:t>
                  </w:r>
                </w:p>
              </w:tc>
              <w:tc>
                <w:tcPr>
                  <w:tcW w:w="937" w:type="pct"/>
                  <w:vAlign w:val="center"/>
                </w:tcPr>
                <w:p w14:paraId="4A17963F">
                  <w:pPr>
                    <w:adjustRightInd w:val="0"/>
                    <w:snapToGrid w:val="0"/>
                    <w:jc w:val="center"/>
                    <w:rPr>
                      <w:color w:val="auto"/>
                      <w:szCs w:val="21"/>
                    </w:rPr>
                  </w:pPr>
                  <w:r>
                    <w:rPr>
                      <w:rFonts w:hint="eastAsia"/>
                      <w:color w:val="auto"/>
                      <w:szCs w:val="21"/>
                    </w:rPr>
                    <w:t>0.0015</w:t>
                  </w:r>
                </w:p>
              </w:tc>
            </w:tr>
          </w:tbl>
          <w:p w14:paraId="39659D56">
            <w:pPr>
              <w:spacing w:line="360" w:lineRule="auto"/>
              <w:ind w:left="420" w:leftChars="200"/>
              <w:rPr>
                <w:color w:val="auto"/>
                <w:kern w:val="0"/>
                <w:sz w:val="24"/>
                <w:szCs w:val="20"/>
              </w:rPr>
            </w:pPr>
            <w:r>
              <w:rPr>
                <w:rFonts w:hint="eastAsia"/>
                <w:color w:val="auto"/>
                <w:kern w:val="0"/>
                <w:sz w:val="24"/>
                <w:szCs w:val="20"/>
              </w:rPr>
              <w:t>（2）</w:t>
            </w:r>
            <w:r>
              <w:rPr>
                <w:color w:val="auto"/>
                <w:kern w:val="0"/>
                <w:sz w:val="24"/>
                <w:szCs w:val="20"/>
              </w:rPr>
              <w:t>达标排放分析</w:t>
            </w:r>
          </w:p>
          <w:p w14:paraId="0A51B7C6">
            <w:pPr>
              <w:spacing w:line="360" w:lineRule="auto"/>
              <w:ind w:firstLine="480" w:firstLineChars="200"/>
              <w:rPr>
                <w:color w:val="auto"/>
                <w:kern w:val="0"/>
                <w:sz w:val="24"/>
                <w:szCs w:val="20"/>
              </w:rPr>
            </w:pPr>
            <w:r>
              <w:rPr>
                <w:rFonts w:hint="eastAsia"/>
                <w:color w:val="auto"/>
                <w:kern w:val="0"/>
                <w:sz w:val="24"/>
              </w:rPr>
              <w:t>根据工程分析，项目废水中各污染因子的排放浓度均满足《污水综合排放标准》（GB8978-1996）三级标准及《污水排入城镇下水道水质标准》（GB/T31962-2015）中相关限值要求。</w:t>
            </w:r>
          </w:p>
          <w:p w14:paraId="7C03DE00">
            <w:pPr>
              <w:spacing w:line="360" w:lineRule="auto"/>
              <w:ind w:firstLine="480" w:firstLineChars="200"/>
              <w:rPr>
                <w:color w:val="auto"/>
                <w:kern w:val="0"/>
                <w:sz w:val="24"/>
              </w:rPr>
            </w:pPr>
            <w:r>
              <w:rPr>
                <w:color w:val="auto"/>
                <w:kern w:val="0"/>
                <w:sz w:val="24"/>
                <w:szCs w:val="20"/>
              </w:rPr>
              <w:t>（</w:t>
            </w:r>
            <w:r>
              <w:rPr>
                <w:rFonts w:hint="eastAsia"/>
                <w:color w:val="auto"/>
                <w:kern w:val="0"/>
                <w:sz w:val="24"/>
                <w:szCs w:val="20"/>
              </w:rPr>
              <w:t>3</w:t>
            </w:r>
            <w:r>
              <w:rPr>
                <w:color w:val="auto"/>
                <w:kern w:val="0"/>
                <w:sz w:val="24"/>
                <w:szCs w:val="20"/>
              </w:rPr>
              <w:t>）</w:t>
            </w:r>
            <w:r>
              <w:rPr>
                <w:color w:val="auto"/>
                <w:kern w:val="0"/>
                <w:sz w:val="24"/>
              </w:rPr>
              <w:t>依托</w:t>
            </w:r>
            <w:r>
              <w:rPr>
                <w:rFonts w:hint="eastAsia"/>
                <w:color w:val="auto"/>
                <w:kern w:val="0"/>
                <w:sz w:val="24"/>
              </w:rPr>
              <w:t>污水处理设施的</w:t>
            </w:r>
            <w:r>
              <w:rPr>
                <w:color w:val="auto"/>
                <w:kern w:val="0"/>
                <w:sz w:val="24"/>
              </w:rPr>
              <w:t>可行性</w:t>
            </w:r>
            <w:r>
              <w:rPr>
                <w:rFonts w:hint="eastAsia"/>
                <w:color w:val="auto"/>
                <w:kern w:val="0"/>
                <w:sz w:val="24"/>
              </w:rPr>
              <w:t>分析</w:t>
            </w:r>
          </w:p>
          <w:p w14:paraId="3B68933F">
            <w:pPr>
              <w:spacing w:line="360" w:lineRule="auto"/>
              <w:ind w:firstLine="480" w:firstLineChars="200"/>
              <w:rPr>
                <w:color w:val="auto"/>
                <w:kern w:val="0"/>
                <w:sz w:val="24"/>
              </w:rPr>
            </w:pPr>
            <w:r>
              <w:rPr>
                <w:rFonts w:hint="eastAsia"/>
                <w:color w:val="auto"/>
                <w:kern w:val="0"/>
                <w:sz w:val="24"/>
                <w:szCs w:val="20"/>
              </w:rPr>
              <w:t>本项目产生的</w:t>
            </w:r>
            <w:r>
              <w:rPr>
                <w:rFonts w:hint="eastAsia" w:cs="宋体"/>
                <w:color w:val="auto"/>
                <w:kern w:val="0"/>
                <w:sz w:val="24"/>
              </w:rPr>
              <w:t>生活污水、设备及仪器清洗废水、实验平台及车间清洁废水</w:t>
            </w:r>
            <w:r>
              <w:rPr>
                <w:rFonts w:hint="eastAsia"/>
                <w:color w:val="auto"/>
                <w:kern w:val="0"/>
                <w:sz w:val="24"/>
              </w:rPr>
              <w:t>依托西安生漆涂料研究所</w:t>
            </w:r>
            <w:r>
              <w:rPr>
                <w:rFonts w:hint="eastAsia"/>
                <w:bCs/>
                <w:color w:val="auto"/>
                <w:sz w:val="24"/>
              </w:rPr>
              <w:t>化粪池及地埋式一体化污水处理设施处理后经市政管网排入沣西新城渭河污水处理厂处理</w:t>
            </w:r>
            <w:r>
              <w:rPr>
                <w:rFonts w:hint="eastAsia" w:cs="宋体"/>
                <w:color w:val="auto"/>
                <w:kern w:val="0"/>
                <w:sz w:val="24"/>
              </w:rPr>
              <w:t>。</w:t>
            </w:r>
            <w:r>
              <w:rPr>
                <w:rFonts w:hint="eastAsia"/>
                <w:color w:val="auto"/>
                <w:kern w:val="0"/>
                <w:sz w:val="24"/>
              </w:rPr>
              <w:t>根据建设单</w:t>
            </w:r>
            <w:r>
              <w:rPr>
                <w:rFonts w:hint="eastAsia"/>
                <w:color w:val="auto"/>
                <w:kern w:val="0"/>
                <w:sz w:val="24"/>
                <w:szCs w:val="20"/>
              </w:rPr>
              <w:t>位提供资料，</w:t>
            </w:r>
            <w:r>
              <w:rPr>
                <w:rFonts w:hint="eastAsia"/>
                <w:color w:val="auto"/>
                <w:kern w:val="0"/>
                <w:sz w:val="24"/>
              </w:rPr>
              <w:t>西安生漆涂料研究所化粪池位于厂区西北角，</w:t>
            </w:r>
            <w:r>
              <w:rPr>
                <w:color w:val="auto"/>
                <w:sz w:val="24"/>
                <w:lang w:bidi="ar"/>
              </w:rPr>
              <w:t>容积为</w:t>
            </w:r>
            <w:r>
              <w:rPr>
                <w:rFonts w:hint="eastAsia"/>
                <w:color w:val="auto"/>
                <w:sz w:val="24"/>
                <w:lang w:bidi="ar"/>
              </w:rPr>
              <w:t>50</w:t>
            </w:r>
            <w:r>
              <w:rPr>
                <w:color w:val="auto"/>
                <w:sz w:val="24"/>
                <w:lang w:bidi="ar"/>
              </w:rPr>
              <w:t>m</w:t>
            </w:r>
            <w:r>
              <w:rPr>
                <w:color w:val="auto"/>
                <w:sz w:val="24"/>
                <w:vertAlign w:val="superscript"/>
                <w:lang w:bidi="ar"/>
              </w:rPr>
              <w:t>3</w:t>
            </w:r>
            <w:r>
              <w:rPr>
                <w:color w:val="auto"/>
                <w:sz w:val="24"/>
                <w:lang w:bidi="ar"/>
              </w:rPr>
              <w:t>，</w:t>
            </w:r>
            <w:r>
              <w:rPr>
                <w:rFonts w:hint="eastAsia"/>
                <w:color w:val="auto"/>
                <w:kern w:val="0"/>
                <w:sz w:val="24"/>
              </w:rPr>
              <w:t>现有余量43m</w:t>
            </w:r>
            <w:r>
              <w:rPr>
                <w:rFonts w:hint="eastAsia"/>
                <w:color w:val="auto"/>
                <w:kern w:val="0"/>
                <w:sz w:val="24"/>
                <w:vertAlign w:val="superscript"/>
              </w:rPr>
              <w:t>3</w:t>
            </w:r>
            <w:r>
              <w:rPr>
                <w:rFonts w:hint="eastAsia"/>
                <w:color w:val="auto"/>
                <w:kern w:val="0"/>
                <w:sz w:val="24"/>
              </w:rPr>
              <w:t>，本项目废水产生量为0.275m</w:t>
            </w:r>
            <w:r>
              <w:rPr>
                <w:rFonts w:hint="eastAsia"/>
                <w:color w:val="auto"/>
                <w:kern w:val="0"/>
                <w:sz w:val="24"/>
                <w:vertAlign w:val="superscript"/>
              </w:rPr>
              <w:t>3</w:t>
            </w:r>
            <w:r>
              <w:rPr>
                <w:rFonts w:hint="eastAsia"/>
                <w:color w:val="auto"/>
                <w:kern w:val="0"/>
                <w:sz w:val="24"/>
              </w:rPr>
              <w:t>/d，容量完全可容纳本项目废水。</w:t>
            </w:r>
          </w:p>
          <w:p w14:paraId="35E5AB6F">
            <w:pPr>
              <w:pStyle w:val="3"/>
              <w:spacing w:line="360" w:lineRule="auto"/>
              <w:ind w:firstLine="482" w:firstLineChars="200"/>
              <w:rPr>
                <w:b/>
                <w:color w:val="auto"/>
                <w:kern w:val="0"/>
                <w:sz w:val="24"/>
                <w:szCs w:val="22"/>
              </w:rPr>
            </w:pPr>
            <w:r>
              <w:rPr>
                <w:rFonts w:hint="eastAsia"/>
                <w:b/>
                <w:color w:val="auto"/>
                <w:kern w:val="0"/>
                <w:sz w:val="24"/>
                <w:szCs w:val="22"/>
              </w:rPr>
              <w:t>污水处理站依托可行性分析：</w:t>
            </w:r>
          </w:p>
          <w:p w14:paraId="46EE891B">
            <w:pPr>
              <w:pStyle w:val="3"/>
              <w:spacing w:line="360" w:lineRule="auto"/>
              <w:ind w:firstLine="480" w:firstLineChars="200"/>
              <w:rPr>
                <w:color w:val="auto"/>
              </w:rPr>
            </w:pPr>
            <w:r>
              <w:rPr>
                <w:rFonts w:hint="eastAsia"/>
                <w:color w:val="auto"/>
                <w:kern w:val="0"/>
                <w:sz w:val="24"/>
              </w:rPr>
              <w:t>西安生漆涂料研究所</w:t>
            </w:r>
            <w:r>
              <w:rPr>
                <w:rFonts w:hint="eastAsia"/>
                <w:bCs/>
                <w:color w:val="auto"/>
                <w:sz w:val="24"/>
              </w:rPr>
              <w:t>地埋式一体化污水处理设施位于厂区西北角，主要用于处理生活污水及实验室废水，日处理废水量为10</w:t>
            </w:r>
            <w:r>
              <w:rPr>
                <w:rFonts w:hint="eastAsia"/>
                <w:color w:val="auto"/>
                <w:sz w:val="24"/>
              </w:rPr>
              <w:t>m</w:t>
            </w:r>
            <w:r>
              <w:rPr>
                <w:rFonts w:hint="eastAsia"/>
                <w:color w:val="auto"/>
                <w:sz w:val="24"/>
                <w:vertAlign w:val="superscript"/>
              </w:rPr>
              <w:t>3</w:t>
            </w:r>
            <w:r>
              <w:rPr>
                <w:rFonts w:hint="eastAsia"/>
                <w:color w:val="auto"/>
                <w:sz w:val="24"/>
              </w:rPr>
              <w:t>/d，研究所废水产生量为3.5</w:t>
            </w:r>
            <w:r>
              <w:rPr>
                <w:rFonts w:hint="eastAsia"/>
                <w:color w:val="auto"/>
                <w:kern w:val="0"/>
                <w:sz w:val="24"/>
              </w:rPr>
              <w:t>m</w:t>
            </w:r>
            <w:r>
              <w:rPr>
                <w:rFonts w:hint="eastAsia"/>
                <w:color w:val="auto"/>
                <w:kern w:val="0"/>
                <w:sz w:val="24"/>
                <w:vertAlign w:val="superscript"/>
              </w:rPr>
              <w:t>3</w:t>
            </w:r>
            <w:r>
              <w:rPr>
                <w:rFonts w:hint="eastAsia"/>
                <w:color w:val="auto"/>
                <w:kern w:val="0"/>
                <w:sz w:val="24"/>
              </w:rPr>
              <w:t>/d，本项目各类清洗废水排放管道依托现有，建设单位不需自行建设，废水产生量为0.275m</w:t>
            </w:r>
            <w:r>
              <w:rPr>
                <w:rFonts w:hint="eastAsia"/>
                <w:color w:val="auto"/>
                <w:kern w:val="0"/>
                <w:sz w:val="24"/>
                <w:vertAlign w:val="superscript"/>
              </w:rPr>
              <w:t>3</w:t>
            </w:r>
            <w:r>
              <w:rPr>
                <w:rFonts w:hint="eastAsia"/>
                <w:color w:val="auto"/>
                <w:kern w:val="0"/>
                <w:sz w:val="24"/>
              </w:rPr>
              <w:t>/d，废水中污染物主要为pH、</w:t>
            </w:r>
            <w:r>
              <w:rPr>
                <w:color w:val="auto"/>
                <w:kern w:val="0"/>
                <w:sz w:val="24"/>
              </w:rPr>
              <w:t>COD、BOD</w:t>
            </w:r>
            <w:r>
              <w:rPr>
                <w:color w:val="auto"/>
                <w:kern w:val="0"/>
                <w:sz w:val="24"/>
                <w:vertAlign w:val="subscript"/>
              </w:rPr>
              <w:t>5</w:t>
            </w:r>
            <w:r>
              <w:rPr>
                <w:color w:val="auto"/>
                <w:kern w:val="0"/>
                <w:sz w:val="24"/>
              </w:rPr>
              <w:t>、SS</w:t>
            </w:r>
            <w:r>
              <w:rPr>
                <w:rFonts w:hint="eastAsia"/>
                <w:color w:val="auto"/>
                <w:kern w:val="0"/>
                <w:sz w:val="24"/>
              </w:rPr>
              <w:t>、</w:t>
            </w:r>
            <w:r>
              <w:rPr>
                <w:color w:val="auto"/>
                <w:kern w:val="0"/>
                <w:sz w:val="24"/>
              </w:rPr>
              <w:t>NH</w:t>
            </w:r>
            <w:r>
              <w:rPr>
                <w:color w:val="auto"/>
                <w:kern w:val="0"/>
                <w:sz w:val="24"/>
                <w:vertAlign w:val="subscript"/>
              </w:rPr>
              <w:t>3</w:t>
            </w:r>
            <w:r>
              <w:rPr>
                <w:color w:val="auto"/>
                <w:kern w:val="0"/>
                <w:sz w:val="24"/>
              </w:rPr>
              <w:t>-N</w:t>
            </w:r>
            <w:r>
              <w:rPr>
                <w:rFonts w:hint="eastAsia"/>
                <w:color w:val="auto"/>
                <w:kern w:val="0"/>
                <w:sz w:val="24"/>
              </w:rPr>
              <w:t>等，与研究所废水中污染物基本一致，故完全可依托西安生漆涂料研究所</w:t>
            </w:r>
            <w:r>
              <w:rPr>
                <w:rFonts w:hint="eastAsia"/>
                <w:bCs/>
                <w:color w:val="auto"/>
                <w:sz w:val="24"/>
              </w:rPr>
              <w:t>地埋式一体化污水处理设施</w:t>
            </w:r>
            <w:r>
              <w:rPr>
                <w:rFonts w:hint="eastAsia"/>
                <w:color w:val="auto"/>
                <w:kern w:val="0"/>
                <w:sz w:val="24"/>
              </w:rPr>
              <w:t>进行处理。污水处理站工艺流程见下：</w:t>
            </w:r>
          </w:p>
          <w:p w14:paraId="480EAB19">
            <w:pPr>
              <w:rPr>
                <w:color w:val="auto"/>
                <w:sz w:val="24"/>
                <w:lang w:bidi="ar"/>
              </w:rPr>
            </w:pPr>
            <w:r>
              <w:rPr>
                <w:color w:val="auto"/>
              </w:rPr>
              <w:drawing>
                <wp:inline distT="0" distB="0" distL="114300" distR="114300">
                  <wp:extent cx="5260340" cy="1782445"/>
                  <wp:effectExtent l="0" t="0" r="16510" b="825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5260340" cy="1782445"/>
                          </a:xfrm>
                          <a:prstGeom prst="rect">
                            <a:avLst/>
                          </a:prstGeom>
                          <a:noFill/>
                          <a:ln>
                            <a:noFill/>
                          </a:ln>
                        </pic:spPr>
                      </pic:pic>
                    </a:graphicData>
                  </a:graphic>
                </wp:inline>
              </w:drawing>
            </w:r>
          </w:p>
          <w:p w14:paraId="75C6B333">
            <w:pPr>
              <w:jc w:val="center"/>
              <w:rPr>
                <w:rFonts w:ascii="宋体" w:hAnsi="宋体" w:cs="宋体"/>
                <w:color w:val="auto"/>
                <w:sz w:val="24"/>
              </w:rPr>
            </w:pPr>
            <w:r>
              <w:rPr>
                <w:rFonts w:hint="eastAsia"/>
                <w:b/>
                <w:color w:val="auto"/>
                <w:kern w:val="0"/>
                <w:szCs w:val="20"/>
              </w:rPr>
              <w:t>图4-1   依托厂区污水处理站处理工艺流程图</w:t>
            </w:r>
          </w:p>
          <w:p w14:paraId="62D5928D">
            <w:pPr>
              <w:spacing w:line="360" w:lineRule="auto"/>
              <w:ind w:firstLine="482" w:firstLineChars="200"/>
              <w:rPr>
                <w:rFonts w:ascii="宋体" w:hAnsi="宋体" w:cs="宋体"/>
                <w:color w:val="auto"/>
                <w:sz w:val="24"/>
              </w:rPr>
            </w:pPr>
            <w:r>
              <w:rPr>
                <w:rFonts w:hint="eastAsia"/>
                <w:b/>
                <w:color w:val="auto"/>
                <w:kern w:val="0"/>
                <w:sz w:val="24"/>
                <w:szCs w:val="22"/>
              </w:rPr>
              <w:t>污水处理厂依托可行性分析：</w:t>
            </w:r>
          </w:p>
          <w:p w14:paraId="36642222">
            <w:pPr>
              <w:spacing w:line="360" w:lineRule="auto"/>
              <w:ind w:firstLine="480" w:firstLineChars="200"/>
              <w:rPr>
                <w:color w:val="auto"/>
                <w:sz w:val="24"/>
              </w:rPr>
            </w:pPr>
            <w:r>
              <w:rPr>
                <w:color w:val="auto"/>
                <w:sz w:val="24"/>
              </w:rPr>
              <w:t>咸阳市沣西新城渭河污水处理厂于2016年建设，采用较为先进的污水处理工艺A</w:t>
            </w:r>
            <w:r>
              <w:rPr>
                <w:color w:val="auto"/>
                <w:sz w:val="24"/>
                <w:vertAlign w:val="superscript"/>
              </w:rPr>
              <w:t>2</w:t>
            </w:r>
            <w:r>
              <w:rPr>
                <w:color w:val="auto"/>
                <w:sz w:val="24"/>
              </w:rPr>
              <w:t>O与MBR工艺或改良MBR工艺结合，其设计规模为6万立方米/日，先期日处理规模达到6万立方米/日，项目投资近55000万元。沣西新城渭河污水处理厂</w:t>
            </w:r>
            <w:r>
              <w:rPr>
                <w:rFonts w:hint="eastAsia"/>
                <w:color w:val="auto"/>
                <w:sz w:val="24"/>
              </w:rPr>
              <w:t>（</w:t>
            </w:r>
            <w:r>
              <w:rPr>
                <w:color w:val="auto"/>
                <w:sz w:val="24"/>
              </w:rPr>
              <w:t>污水、中水管网、雨水泵站及海绵城市配套项目</w:t>
            </w:r>
            <w:r>
              <w:rPr>
                <w:rFonts w:hint="eastAsia"/>
                <w:color w:val="auto"/>
                <w:sz w:val="24"/>
              </w:rPr>
              <w:t>）</w:t>
            </w:r>
            <w:r>
              <w:rPr>
                <w:color w:val="auto"/>
                <w:sz w:val="24"/>
              </w:rPr>
              <w:t>综合工程是沣西新城海绵城市建设的重要基础设施项目，主要建设内容为6万m</w:t>
            </w:r>
            <w:r>
              <w:rPr>
                <w:color w:val="auto"/>
                <w:sz w:val="24"/>
                <w:vertAlign w:val="superscript"/>
              </w:rPr>
              <w:t>3</w:t>
            </w:r>
            <w:r>
              <w:rPr>
                <w:color w:val="auto"/>
                <w:sz w:val="24"/>
              </w:rPr>
              <w:t>/d渭河污水处理厂、污水</w:t>
            </w:r>
            <w:r>
              <w:rPr>
                <w:rFonts w:hint="eastAsia"/>
                <w:color w:val="auto"/>
                <w:sz w:val="24"/>
              </w:rPr>
              <w:t>（</w:t>
            </w:r>
            <w:r>
              <w:rPr>
                <w:color w:val="auto"/>
                <w:sz w:val="24"/>
              </w:rPr>
              <w:t>中水</w:t>
            </w:r>
            <w:r>
              <w:rPr>
                <w:rFonts w:hint="eastAsia"/>
                <w:color w:val="auto"/>
                <w:sz w:val="24"/>
              </w:rPr>
              <w:t>）</w:t>
            </w:r>
            <w:r>
              <w:rPr>
                <w:color w:val="auto"/>
                <w:sz w:val="24"/>
              </w:rPr>
              <w:t>管网、2座雨水泵站和海绵城市配套工程，其中污水管道约75.3km，管径d400mm~d1650mm，规划建设中水管道约20km，中水管网覆盖沣西新城核心区域。本项目分期建设，一期完成污水处理厂全部土建工程、3万m</w:t>
            </w:r>
            <w:r>
              <w:rPr>
                <w:color w:val="auto"/>
                <w:sz w:val="24"/>
                <w:vertAlign w:val="superscript"/>
              </w:rPr>
              <w:t>3</w:t>
            </w:r>
            <w:r>
              <w:rPr>
                <w:color w:val="auto"/>
                <w:sz w:val="24"/>
              </w:rPr>
              <w:t>/d设备安装工程以及污水</w:t>
            </w:r>
            <w:r>
              <w:rPr>
                <w:rFonts w:hint="eastAsia"/>
                <w:color w:val="auto"/>
                <w:sz w:val="24"/>
              </w:rPr>
              <w:t>（</w:t>
            </w:r>
            <w:r>
              <w:rPr>
                <w:color w:val="auto"/>
                <w:sz w:val="24"/>
              </w:rPr>
              <w:t>中水</w:t>
            </w:r>
            <w:r>
              <w:rPr>
                <w:rFonts w:hint="eastAsia"/>
                <w:color w:val="auto"/>
                <w:sz w:val="24"/>
              </w:rPr>
              <w:t>）</w:t>
            </w:r>
            <w:r>
              <w:rPr>
                <w:color w:val="auto"/>
                <w:sz w:val="24"/>
              </w:rPr>
              <w:t>管网、雨水泵站及相关海绵城市配套工程，一期建设投资约5.5亿元。二期完成污水处理厂3万m</w:t>
            </w:r>
            <w:r>
              <w:rPr>
                <w:color w:val="auto"/>
                <w:sz w:val="24"/>
                <w:vertAlign w:val="superscript"/>
              </w:rPr>
              <w:t>3</w:t>
            </w:r>
            <w:r>
              <w:rPr>
                <w:color w:val="auto"/>
                <w:sz w:val="24"/>
              </w:rPr>
              <w:t>/d设备安装工程及配套设施建设，最终形成6万m</w:t>
            </w:r>
            <w:r>
              <w:rPr>
                <w:color w:val="auto"/>
                <w:sz w:val="24"/>
                <w:vertAlign w:val="superscript"/>
              </w:rPr>
              <w:t>3</w:t>
            </w:r>
            <w:r>
              <w:rPr>
                <w:color w:val="auto"/>
                <w:sz w:val="24"/>
              </w:rPr>
              <w:t>/d污水处理能力。工艺及质量要求：污水处理工艺路线拟采用技术成熟的A</w:t>
            </w:r>
            <w:r>
              <w:rPr>
                <w:color w:val="auto"/>
                <w:sz w:val="24"/>
                <w:vertAlign w:val="superscript"/>
              </w:rPr>
              <w:t>2</w:t>
            </w:r>
            <w:r>
              <w:rPr>
                <w:color w:val="auto"/>
                <w:sz w:val="24"/>
              </w:rPr>
              <w:t>O与MBR工艺或改良MBR工艺结合，建设半地下紧凑型布局、花园式污水处理厂。再生水达到《地表水环境质量标准》</w:t>
            </w:r>
            <w:r>
              <w:rPr>
                <w:rFonts w:hint="eastAsia"/>
                <w:color w:val="auto"/>
                <w:sz w:val="24"/>
              </w:rPr>
              <w:t>（</w:t>
            </w:r>
            <w:r>
              <w:rPr>
                <w:color w:val="auto"/>
                <w:sz w:val="24"/>
              </w:rPr>
              <w:t>GB3838-2002</w:t>
            </w:r>
            <w:r>
              <w:rPr>
                <w:rFonts w:hint="eastAsia"/>
                <w:color w:val="auto"/>
                <w:sz w:val="24"/>
              </w:rPr>
              <w:t>）</w:t>
            </w:r>
            <w:r>
              <w:rPr>
                <w:color w:val="auto"/>
                <w:sz w:val="24"/>
              </w:rPr>
              <w:t>中的Ⅳ类水标准，污泥处理采用机械浓缩脱水后，泥饼外运处理。</w:t>
            </w:r>
            <w:r>
              <w:rPr>
                <w:rFonts w:hint="eastAsia"/>
                <w:color w:val="auto"/>
                <w:sz w:val="24"/>
              </w:rPr>
              <w:t>本项目</w:t>
            </w:r>
            <w:r>
              <w:rPr>
                <w:rFonts w:hint="eastAsia"/>
                <w:snapToGrid w:val="0"/>
                <w:color w:val="auto"/>
                <w:kern w:val="0"/>
                <w:sz w:val="24"/>
              </w:rPr>
              <w:t>废水排水量较小，且位于污水处理厂纳污范围内，</w:t>
            </w:r>
            <w:bookmarkStart w:id="9" w:name="_GoBack"/>
            <w:bookmarkEnd w:id="9"/>
            <w:r>
              <w:rPr>
                <w:rFonts w:hint="eastAsia"/>
                <w:snapToGrid w:val="0"/>
                <w:color w:val="auto"/>
                <w:kern w:val="0"/>
                <w:sz w:val="24"/>
              </w:rPr>
              <w:t>因此，本项目污水处理依托</w:t>
            </w:r>
            <w:r>
              <w:rPr>
                <w:rFonts w:hint="eastAsia"/>
                <w:bCs/>
                <w:color w:val="auto"/>
                <w:sz w:val="24"/>
              </w:rPr>
              <w:t>沣西新城渭河污水处理厂</w:t>
            </w:r>
            <w:r>
              <w:rPr>
                <w:rFonts w:hint="eastAsia"/>
                <w:snapToGrid w:val="0"/>
                <w:color w:val="auto"/>
                <w:kern w:val="0"/>
                <w:sz w:val="24"/>
              </w:rPr>
              <w:t>处理可行。</w:t>
            </w:r>
          </w:p>
          <w:p w14:paraId="3A7E564E">
            <w:pPr>
              <w:spacing w:line="360" w:lineRule="auto"/>
              <w:ind w:firstLine="480" w:firstLineChars="200"/>
              <w:rPr>
                <w:color w:val="auto"/>
                <w:kern w:val="0"/>
                <w:sz w:val="24"/>
                <w:szCs w:val="22"/>
              </w:rPr>
            </w:pPr>
            <w:r>
              <w:rPr>
                <w:color w:val="auto"/>
                <w:kern w:val="0"/>
                <w:sz w:val="24"/>
                <w:szCs w:val="22"/>
              </w:rPr>
              <w:t>污染源排放量核算结果及自查结果见下表。</w:t>
            </w:r>
          </w:p>
          <w:p w14:paraId="1BC1D404">
            <w:pPr>
              <w:contextualSpacing/>
              <w:jc w:val="center"/>
              <w:rPr>
                <w:b/>
                <w:bCs/>
                <w:color w:val="auto"/>
                <w:kern w:val="0"/>
                <w:szCs w:val="21"/>
              </w:rPr>
            </w:pPr>
            <w:r>
              <w:rPr>
                <w:b/>
                <w:bCs/>
                <w:color w:val="auto"/>
                <w:kern w:val="0"/>
                <w:szCs w:val="21"/>
              </w:rPr>
              <w:t>表</w:t>
            </w:r>
            <w:r>
              <w:rPr>
                <w:rFonts w:hint="eastAsia"/>
                <w:b/>
                <w:bCs/>
                <w:color w:val="auto"/>
                <w:kern w:val="0"/>
                <w:szCs w:val="21"/>
              </w:rPr>
              <w:t xml:space="preserve">4-9   </w:t>
            </w:r>
            <w:r>
              <w:rPr>
                <w:b/>
                <w:bCs/>
                <w:color w:val="auto"/>
                <w:kern w:val="0"/>
                <w:szCs w:val="21"/>
              </w:rPr>
              <w:t>废水类别、污染物及污染治理设施信息表</w:t>
            </w:r>
          </w:p>
          <w:tbl>
            <w:tblPr>
              <w:tblStyle w:val="18"/>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8"/>
              <w:gridCol w:w="429"/>
              <w:gridCol w:w="863"/>
              <w:gridCol w:w="505"/>
              <w:gridCol w:w="505"/>
              <w:gridCol w:w="851"/>
              <w:gridCol w:w="928"/>
              <w:gridCol w:w="905"/>
              <w:gridCol w:w="676"/>
              <w:gridCol w:w="756"/>
              <w:gridCol w:w="1551"/>
            </w:tblGrid>
            <w:tr w14:paraId="30F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9" w:type="pct"/>
                  <w:vMerge w:val="restart"/>
                  <w:vAlign w:val="center"/>
                </w:tcPr>
                <w:p w14:paraId="75EF6395">
                  <w:pPr>
                    <w:adjustRightInd w:val="0"/>
                    <w:snapToGrid w:val="0"/>
                    <w:jc w:val="center"/>
                    <w:rPr>
                      <w:color w:val="auto"/>
                      <w:kern w:val="0"/>
                      <w:szCs w:val="21"/>
                    </w:rPr>
                  </w:pPr>
                  <w:r>
                    <w:rPr>
                      <w:rFonts w:hint="eastAsia"/>
                      <w:color w:val="auto"/>
                      <w:kern w:val="0"/>
                      <w:szCs w:val="21"/>
                    </w:rPr>
                    <w:t>序号</w:t>
                  </w:r>
                </w:p>
              </w:tc>
              <w:tc>
                <w:tcPr>
                  <w:tcW w:w="262" w:type="pct"/>
                  <w:vMerge w:val="restart"/>
                  <w:vAlign w:val="center"/>
                </w:tcPr>
                <w:p w14:paraId="7BCC4BED">
                  <w:pPr>
                    <w:adjustRightInd w:val="0"/>
                    <w:snapToGrid w:val="0"/>
                    <w:jc w:val="center"/>
                    <w:rPr>
                      <w:color w:val="auto"/>
                      <w:kern w:val="0"/>
                      <w:szCs w:val="21"/>
                    </w:rPr>
                  </w:pPr>
                  <w:r>
                    <w:rPr>
                      <w:rFonts w:hint="eastAsia"/>
                      <w:color w:val="auto"/>
                      <w:kern w:val="0"/>
                      <w:szCs w:val="21"/>
                    </w:rPr>
                    <w:t>废水类别</w:t>
                  </w:r>
                </w:p>
              </w:tc>
              <w:tc>
                <w:tcPr>
                  <w:tcW w:w="524" w:type="pct"/>
                  <w:vMerge w:val="restart"/>
                  <w:vAlign w:val="center"/>
                </w:tcPr>
                <w:p w14:paraId="6789CC97">
                  <w:pPr>
                    <w:adjustRightInd w:val="0"/>
                    <w:snapToGrid w:val="0"/>
                    <w:jc w:val="center"/>
                    <w:rPr>
                      <w:color w:val="auto"/>
                      <w:kern w:val="0"/>
                      <w:szCs w:val="21"/>
                    </w:rPr>
                  </w:pPr>
                  <w:r>
                    <w:rPr>
                      <w:rFonts w:hint="eastAsia"/>
                      <w:color w:val="auto"/>
                      <w:kern w:val="0"/>
                      <w:szCs w:val="21"/>
                    </w:rPr>
                    <w:t>污染物种类</w:t>
                  </w:r>
                </w:p>
              </w:tc>
              <w:tc>
                <w:tcPr>
                  <w:tcW w:w="308" w:type="pct"/>
                  <w:vMerge w:val="restart"/>
                  <w:vAlign w:val="center"/>
                </w:tcPr>
                <w:p w14:paraId="2C7AA2AF">
                  <w:pPr>
                    <w:adjustRightInd w:val="0"/>
                    <w:snapToGrid w:val="0"/>
                    <w:jc w:val="center"/>
                    <w:rPr>
                      <w:color w:val="auto"/>
                      <w:kern w:val="0"/>
                      <w:szCs w:val="21"/>
                    </w:rPr>
                  </w:pPr>
                  <w:r>
                    <w:rPr>
                      <w:rFonts w:hint="eastAsia"/>
                      <w:color w:val="auto"/>
                      <w:kern w:val="0"/>
                      <w:szCs w:val="21"/>
                    </w:rPr>
                    <w:t>排放去向</w:t>
                  </w:r>
                </w:p>
              </w:tc>
              <w:tc>
                <w:tcPr>
                  <w:tcW w:w="308" w:type="pct"/>
                  <w:vMerge w:val="restart"/>
                  <w:vAlign w:val="center"/>
                </w:tcPr>
                <w:p w14:paraId="77BFE7A4">
                  <w:pPr>
                    <w:adjustRightInd w:val="0"/>
                    <w:snapToGrid w:val="0"/>
                    <w:jc w:val="center"/>
                    <w:rPr>
                      <w:color w:val="auto"/>
                      <w:kern w:val="0"/>
                      <w:szCs w:val="21"/>
                    </w:rPr>
                  </w:pPr>
                  <w:r>
                    <w:rPr>
                      <w:rFonts w:hint="eastAsia"/>
                      <w:color w:val="auto"/>
                      <w:kern w:val="0"/>
                      <w:szCs w:val="21"/>
                    </w:rPr>
                    <w:t>排放规律</w:t>
                  </w:r>
                </w:p>
              </w:tc>
              <w:tc>
                <w:tcPr>
                  <w:tcW w:w="1629" w:type="pct"/>
                  <w:gridSpan w:val="3"/>
                  <w:vAlign w:val="center"/>
                </w:tcPr>
                <w:p w14:paraId="18267724">
                  <w:pPr>
                    <w:adjustRightInd w:val="0"/>
                    <w:snapToGrid w:val="0"/>
                    <w:jc w:val="center"/>
                    <w:rPr>
                      <w:color w:val="auto"/>
                      <w:kern w:val="0"/>
                      <w:szCs w:val="21"/>
                    </w:rPr>
                  </w:pPr>
                  <w:r>
                    <w:rPr>
                      <w:rFonts w:hint="eastAsia"/>
                      <w:color w:val="auto"/>
                      <w:kern w:val="0"/>
                      <w:szCs w:val="21"/>
                    </w:rPr>
                    <w:t>污染治理设施</w:t>
                  </w:r>
                </w:p>
              </w:tc>
              <w:tc>
                <w:tcPr>
                  <w:tcW w:w="379" w:type="pct"/>
                  <w:vMerge w:val="restart"/>
                  <w:vAlign w:val="center"/>
                </w:tcPr>
                <w:p w14:paraId="16B55D99">
                  <w:pPr>
                    <w:adjustRightInd w:val="0"/>
                    <w:snapToGrid w:val="0"/>
                    <w:jc w:val="center"/>
                    <w:rPr>
                      <w:color w:val="auto"/>
                      <w:kern w:val="0"/>
                      <w:szCs w:val="21"/>
                    </w:rPr>
                  </w:pPr>
                  <w:r>
                    <w:rPr>
                      <w:rFonts w:hint="eastAsia"/>
                      <w:color w:val="auto"/>
                      <w:kern w:val="0"/>
                      <w:szCs w:val="21"/>
                    </w:rPr>
                    <w:t>排放口编号</w:t>
                  </w:r>
                </w:p>
              </w:tc>
              <w:tc>
                <w:tcPr>
                  <w:tcW w:w="459" w:type="pct"/>
                  <w:vMerge w:val="restart"/>
                  <w:vAlign w:val="center"/>
                </w:tcPr>
                <w:p w14:paraId="46D46EEE">
                  <w:pPr>
                    <w:adjustRightInd w:val="0"/>
                    <w:snapToGrid w:val="0"/>
                    <w:jc w:val="center"/>
                    <w:rPr>
                      <w:color w:val="auto"/>
                      <w:kern w:val="0"/>
                      <w:szCs w:val="21"/>
                    </w:rPr>
                  </w:pPr>
                  <w:r>
                    <w:rPr>
                      <w:rFonts w:hint="eastAsia"/>
                      <w:color w:val="auto"/>
                      <w:kern w:val="0"/>
                      <w:szCs w:val="21"/>
                    </w:rPr>
                    <w:t>排放口设置是否符合要求</w:t>
                  </w:r>
                </w:p>
              </w:tc>
              <w:tc>
                <w:tcPr>
                  <w:tcW w:w="939" w:type="pct"/>
                  <w:vMerge w:val="restart"/>
                  <w:vAlign w:val="center"/>
                </w:tcPr>
                <w:p w14:paraId="5EB06AB7">
                  <w:pPr>
                    <w:adjustRightInd w:val="0"/>
                    <w:snapToGrid w:val="0"/>
                    <w:jc w:val="center"/>
                    <w:rPr>
                      <w:color w:val="auto"/>
                      <w:kern w:val="0"/>
                      <w:szCs w:val="21"/>
                    </w:rPr>
                  </w:pPr>
                  <w:r>
                    <w:rPr>
                      <w:rFonts w:hint="eastAsia"/>
                      <w:color w:val="auto"/>
                      <w:kern w:val="0"/>
                      <w:szCs w:val="21"/>
                    </w:rPr>
                    <w:t>排放口类型</w:t>
                  </w:r>
                </w:p>
              </w:tc>
            </w:tr>
            <w:tr w14:paraId="56F5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9" w:type="pct"/>
                  <w:vMerge w:val="continue"/>
                  <w:vAlign w:val="center"/>
                </w:tcPr>
                <w:p w14:paraId="1FEC6313">
                  <w:pPr>
                    <w:adjustRightInd w:val="0"/>
                    <w:snapToGrid w:val="0"/>
                    <w:jc w:val="center"/>
                    <w:rPr>
                      <w:color w:val="auto"/>
                      <w:kern w:val="0"/>
                      <w:szCs w:val="21"/>
                    </w:rPr>
                  </w:pPr>
                </w:p>
              </w:tc>
              <w:tc>
                <w:tcPr>
                  <w:tcW w:w="262" w:type="pct"/>
                  <w:vMerge w:val="continue"/>
                  <w:vAlign w:val="center"/>
                </w:tcPr>
                <w:p w14:paraId="4AA19CEE">
                  <w:pPr>
                    <w:adjustRightInd w:val="0"/>
                    <w:snapToGrid w:val="0"/>
                    <w:jc w:val="center"/>
                    <w:rPr>
                      <w:color w:val="auto"/>
                      <w:kern w:val="0"/>
                      <w:szCs w:val="21"/>
                    </w:rPr>
                  </w:pPr>
                </w:p>
              </w:tc>
              <w:tc>
                <w:tcPr>
                  <w:tcW w:w="524" w:type="pct"/>
                  <w:vMerge w:val="continue"/>
                  <w:vAlign w:val="center"/>
                </w:tcPr>
                <w:p w14:paraId="350E25D0">
                  <w:pPr>
                    <w:adjustRightInd w:val="0"/>
                    <w:snapToGrid w:val="0"/>
                    <w:jc w:val="center"/>
                    <w:rPr>
                      <w:color w:val="auto"/>
                      <w:kern w:val="0"/>
                      <w:szCs w:val="21"/>
                    </w:rPr>
                  </w:pPr>
                </w:p>
              </w:tc>
              <w:tc>
                <w:tcPr>
                  <w:tcW w:w="308" w:type="pct"/>
                  <w:vMerge w:val="continue"/>
                  <w:vAlign w:val="center"/>
                </w:tcPr>
                <w:p w14:paraId="7ACD5DBF">
                  <w:pPr>
                    <w:adjustRightInd w:val="0"/>
                    <w:snapToGrid w:val="0"/>
                    <w:jc w:val="center"/>
                    <w:rPr>
                      <w:color w:val="auto"/>
                      <w:kern w:val="0"/>
                      <w:szCs w:val="21"/>
                    </w:rPr>
                  </w:pPr>
                </w:p>
              </w:tc>
              <w:tc>
                <w:tcPr>
                  <w:tcW w:w="308" w:type="pct"/>
                  <w:vMerge w:val="continue"/>
                  <w:vAlign w:val="center"/>
                </w:tcPr>
                <w:p w14:paraId="339269A4">
                  <w:pPr>
                    <w:adjustRightInd w:val="0"/>
                    <w:snapToGrid w:val="0"/>
                    <w:jc w:val="center"/>
                    <w:rPr>
                      <w:color w:val="auto"/>
                      <w:kern w:val="0"/>
                      <w:szCs w:val="21"/>
                    </w:rPr>
                  </w:pPr>
                </w:p>
              </w:tc>
              <w:tc>
                <w:tcPr>
                  <w:tcW w:w="517" w:type="pct"/>
                  <w:vAlign w:val="center"/>
                </w:tcPr>
                <w:p w14:paraId="12EB78CB">
                  <w:pPr>
                    <w:adjustRightInd w:val="0"/>
                    <w:snapToGrid w:val="0"/>
                    <w:jc w:val="center"/>
                    <w:rPr>
                      <w:color w:val="auto"/>
                      <w:kern w:val="0"/>
                      <w:szCs w:val="21"/>
                    </w:rPr>
                  </w:pPr>
                  <w:r>
                    <w:rPr>
                      <w:rFonts w:hint="eastAsia"/>
                      <w:color w:val="auto"/>
                      <w:kern w:val="0"/>
                      <w:szCs w:val="21"/>
                    </w:rPr>
                    <w:t>污染治理设施编号</w:t>
                  </w:r>
                </w:p>
              </w:tc>
              <w:tc>
                <w:tcPr>
                  <w:tcW w:w="563" w:type="pct"/>
                  <w:vAlign w:val="center"/>
                </w:tcPr>
                <w:p w14:paraId="6E85D0C5">
                  <w:pPr>
                    <w:adjustRightInd w:val="0"/>
                    <w:snapToGrid w:val="0"/>
                    <w:jc w:val="center"/>
                    <w:rPr>
                      <w:color w:val="auto"/>
                      <w:kern w:val="0"/>
                      <w:szCs w:val="21"/>
                    </w:rPr>
                  </w:pPr>
                  <w:r>
                    <w:rPr>
                      <w:rFonts w:hint="eastAsia"/>
                      <w:color w:val="auto"/>
                      <w:kern w:val="0"/>
                      <w:szCs w:val="21"/>
                    </w:rPr>
                    <w:t>污染治理设施名称</w:t>
                  </w:r>
                </w:p>
              </w:tc>
              <w:tc>
                <w:tcPr>
                  <w:tcW w:w="548" w:type="pct"/>
                  <w:vAlign w:val="center"/>
                </w:tcPr>
                <w:p w14:paraId="1EA70B48">
                  <w:pPr>
                    <w:adjustRightInd w:val="0"/>
                    <w:snapToGrid w:val="0"/>
                    <w:jc w:val="center"/>
                    <w:rPr>
                      <w:color w:val="auto"/>
                      <w:kern w:val="0"/>
                      <w:szCs w:val="21"/>
                    </w:rPr>
                  </w:pPr>
                  <w:r>
                    <w:rPr>
                      <w:rFonts w:hint="eastAsia"/>
                      <w:color w:val="auto"/>
                      <w:kern w:val="0"/>
                      <w:szCs w:val="21"/>
                    </w:rPr>
                    <w:t>污染治理设施工艺</w:t>
                  </w:r>
                </w:p>
              </w:tc>
              <w:tc>
                <w:tcPr>
                  <w:tcW w:w="379" w:type="pct"/>
                  <w:vMerge w:val="continue"/>
                  <w:vAlign w:val="center"/>
                </w:tcPr>
                <w:p w14:paraId="09688A6C">
                  <w:pPr>
                    <w:adjustRightInd w:val="0"/>
                    <w:snapToGrid w:val="0"/>
                    <w:jc w:val="center"/>
                    <w:rPr>
                      <w:color w:val="auto"/>
                      <w:kern w:val="0"/>
                      <w:szCs w:val="21"/>
                    </w:rPr>
                  </w:pPr>
                </w:p>
              </w:tc>
              <w:tc>
                <w:tcPr>
                  <w:tcW w:w="459" w:type="pct"/>
                  <w:vMerge w:val="continue"/>
                  <w:vAlign w:val="center"/>
                </w:tcPr>
                <w:p w14:paraId="0A930CBB">
                  <w:pPr>
                    <w:adjustRightInd w:val="0"/>
                    <w:snapToGrid w:val="0"/>
                    <w:jc w:val="center"/>
                    <w:rPr>
                      <w:color w:val="auto"/>
                      <w:kern w:val="0"/>
                      <w:szCs w:val="21"/>
                    </w:rPr>
                  </w:pPr>
                </w:p>
              </w:tc>
              <w:tc>
                <w:tcPr>
                  <w:tcW w:w="939" w:type="pct"/>
                  <w:vMerge w:val="continue"/>
                  <w:vAlign w:val="center"/>
                </w:tcPr>
                <w:p w14:paraId="465C1DF3">
                  <w:pPr>
                    <w:adjustRightInd w:val="0"/>
                    <w:snapToGrid w:val="0"/>
                    <w:jc w:val="center"/>
                    <w:rPr>
                      <w:color w:val="auto"/>
                      <w:kern w:val="0"/>
                      <w:szCs w:val="21"/>
                    </w:rPr>
                  </w:pPr>
                </w:p>
              </w:tc>
            </w:tr>
            <w:tr w14:paraId="63A9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189" w:type="pct"/>
                  <w:vAlign w:val="center"/>
                </w:tcPr>
                <w:p w14:paraId="31A208DA">
                  <w:pPr>
                    <w:adjustRightInd w:val="0"/>
                    <w:snapToGrid w:val="0"/>
                    <w:jc w:val="center"/>
                    <w:rPr>
                      <w:color w:val="auto"/>
                      <w:kern w:val="0"/>
                      <w:szCs w:val="21"/>
                    </w:rPr>
                  </w:pPr>
                  <w:r>
                    <w:rPr>
                      <w:rFonts w:hint="eastAsia"/>
                      <w:color w:val="auto"/>
                      <w:kern w:val="0"/>
                      <w:szCs w:val="21"/>
                    </w:rPr>
                    <w:t>1</w:t>
                  </w:r>
                </w:p>
              </w:tc>
              <w:tc>
                <w:tcPr>
                  <w:tcW w:w="262" w:type="pct"/>
                  <w:vAlign w:val="center"/>
                </w:tcPr>
                <w:p w14:paraId="303A65C5">
                  <w:pPr>
                    <w:jc w:val="center"/>
                    <w:rPr>
                      <w:color w:val="auto"/>
                      <w:kern w:val="0"/>
                      <w:szCs w:val="21"/>
                    </w:rPr>
                  </w:pPr>
                  <w:r>
                    <w:rPr>
                      <w:rFonts w:hint="eastAsia"/>
                      <w:color w:val="auto"/>
                      <w:kern w:val="0"/>
                      <w:szCs w:val="21"/>
                    </w:rPr>
                    <w:t>综合污水</w:t>
                  </w:r>
                </w:p>
              </w:tc>
              <w:tc>
                <w:tcPr>
                  <w:tcW w:w="524" w:type="pct"/>
                  <w:vAlign w:val="center"/>
                </w:tcPr>
                <w:p w14:paraId="4B5EF07C">
                  <w:pPr>
                    <w:jc w:val="center"/>
                    <w:rPr>
                      <w:color w:val="auto"/>
                      <w:kern w:val="0"/>
                      <w:szCs w:val="21"/>
                    </w:rPr>
                  </w:pPr>
                  <w:r>
                    <w:rPr>
                      <w:rFonts w:hint="eastAsia"/>
                      <w:color w:val="auto"/>
                      <w:kern w:val="0"/>
                      <w:szCs w:val="21"/>
                    </w:rPr>
                    <w:t>pH、</w:t>
                  </w:r>
                  <w:r>
                    <w:rPr>
                      <w:color w:val="auto"/>
                      <w:kern w:val="0"/>
                      <w:szCs w:val="21"/>
                    </w:rPr>
                    <w:t>COD、BOD</w:t>
                  </w:r>
                  <w:r>
                    <w:rPr>
                      <w:color w:val="auto"/>
                      <w:kern w:val="0"/>
                      <w:szCs w:val="21"/>
                      <w:vertAlign w:val="subscript"/>
                    </w:rPr>
                    <w:t>5</w:t>
                  </w:r>
                  <w:r>
                    <w:rPr>
                      <w:color w:val="auto"/>
                      <w:kern w:val="0"/>
                      <w:szCs w:val="21"/>
                    </w:rPr>
                    <w:t>、SS</w:t>
                  </w:r>
                  <w:r>
                    <w:rPr>
                      <w:rFonts w:hint="eastAsia"/>
                      <w:color w:val="auto"/>
                      <w:kern w:val="0"/>
                      <w:szCs w:val="21"/>
                    </w:rPr>
                    <w:t>、</w:t>
                  </w:r>
                  <w:r>
                    <w:rPr>
                      <w:color w:val="auto"/>
                      <w:kern w:val="0"/>
                      <w:szCs w:val="21"/>
                    </w:rPr>
                    <w:t>NH</w:t>
                  </w:r>
                  <w:r>
                    <w:rPr>
                      <w:color w:val="auto"/>
                      <w:kern w:val="0"/>
                      <w:szCs w:val="21"/>
                      <w:vertAlign w:val="subscript"/>
                    </w:rPr>
                    <w:t>3</w:t>
                  </w:r>
                  <w:r>
                    <w:rPr>
                      <w:color w:val="auto"/>
                      <w:kern w:val="0"/>
                      <w:szCs w:val="21"/>
                    </w:rPr>
                    <w:t>-N</w:t>
                  </w:r>
                  <w:r>
                    <w:rPr>
                      <w:rFonts w:hint="eastAsia"/>
                      <w:color w:val="auto"/>
                      <w:kern w:val="0"/>
                      <w:szCs w:val="21"/>
                    </w:rPr>
                    <w:t>等</w:t>
                  </w:r>
                </w:p>
              </w:tc>
              <w:tc>
                <w:tcPr>
                  <w:tcW w:w="308" w:type="pct"/>
                  <w:vAlign w:val="center"/>
                </w:tcPr>
                <w:p w14:paraId="143CAE8D">
                  <w:pPr>
                    <w:adjustRightInd w:val="0"/>
                    <w:snapToGrid w:val="0"/>
                    <w:jc w:val="center"/>
                    <w:rPr>
                      <w:color w:val="auto"/>
                      <w:kern w:val="0"/>
                      <w:szCs w:val="21"/>
                    </w:rPr>
                  </w:pPr>
                  <w:r>
                    <w:rPr>
                      <w:rFonts w:hint="eastAsia"/>
                      <w:color w:val="auto"/>
                      <w:kern w:val="0"/>
                      <w:szCs w:val="21"/>
                    </w:rPr>
                    <w:t>沣西新城渭河污水处理厂</w:t>
                  </w:r>
                </w:p>
              </w:tc>
              <w:tc>
                <w:tcPr>
                  <w:tcW w:w="308" w:type="pct"/>
                  <w:vAlign w:val="center"/>
                </w:tcPr>
                <w:p w14:paraId="7701011B">
                  <w:pPr>
                    <w:adjustRightInd w:val="0"/>
                    <w:snapToGrid w:val="0"/>
                    <w:jc w:val="center"/>
                    <w:rPr>
                      <w:color w:val="auto"/>
                      <w:kern w:val="0"/>
                      <w:szCs w:val="21"/>
                    </w:rPr>
                  </w:pPr>
                  <w:r>
                    <w:rPr>
                      <w:rFonts w:hint="eastAsia"/>
                      <w:color w:val="auto"/>
                      <w:kern w:val="0"/>
                      <w:szCs w:val="21"/>
                    </w:rPr>
                    <w:t>间断排放</w:t>
                  </w:r>
                </w:p>
              </w:tc>
              <w:tc>
                <w:tcPr>
                  <w:tcW w:w="517" w:type="pct"/>
                  <w:vAlign w:val="center"/>
                </w:tcPr>
                <w:p w14:paraId="7C945740">
                  <w:pPr>
                    <w:adjustRightInd w:val="0"/>
                    <w:snapToGrid w:val="0"/>
                    <w:jc w:val="center"/>
                    <w:rPr>
                      <w:color w:val="auto"/>
                      <w:kern w:val="0"/>
                      <w:szCs w:val="21"/>
                    </w:rPr>
                  </w:pPr>
                  <w:r>
                    <w:rPr>
                      <w:rFonts w:hint="eastAsia"/>
                      <w:color w:val="auto"/>
                      <w:kern w:val="0"/>
                      <w:szCs w:val="21"/>
                    </w:rPr>
                    <w:t>/</w:t>
                  </w:r>
                </w:p>
              </w:tc>
              <w:tc>
                <w:tcPr>
                  <w:tcW w:w="563" w:type="pct"/>
                  <w:vAlign w:val="center"/>
                </w:tcPr>
                <w:p w14:paraId="61E4288F">
                  <w:pPr>
                    <w:adjustRightInd w:val="0"/>
                    <w:snapToGrid w:val="0"/>
                    <w:jc w:val="center"/>
                    <w:rPr>
                      <w:color w:val="auto"/>
                      <w:kern w:val="0"/>
                      <w:szCs w:val="21"/>
                    </w:rPr>
                  </w:pPr>
                  <w:r>
                    <w:rPr>
                      <w:rFonts w:hint="eastAsia"/>
                      <w:color w:val="auto"/>
                      <w:kern w:val="0"/>
                      <w:szCs w:val="21"/>
                    </w:rPr>
                    <w:t>/</w:t>
                  </w:r>
                </w:p>
              </w:tc>
              <w:tc>
                <w:tcPr>
                  <w:tcW w:w="548" w:type="pct"/>
                  <w:vAlign w:val="center"/>
                </w:tcPr>
                <w:p w14:paraId="08F4EEF6">
                  <w:pPr>
                    <w:adjustRightInd w:val="0"/>
                    <w:snapToGrid w:val="0"/>
                    <w:jc w:val="center"/>
                    <w:rPr>
                      <w:color w:val="auto"/>
                      <w:kern w:val="0"/>
                      <w:szCs w:val="21"/>
                    </w:rPr>
                  </w:pPr>
                  <w:r>
                    <w:rPr>
                      <w:rFonts w:hint="eastAsia"/>
                      <w:color w:val="auto"/>
                      <w:kern w:val="0"/>
                      <w:szCs w:val="21"/>
                    </w:rPr>
                    <w:t>/</w:t>
                  </w:r>
                </w:p>
              </w:tc>
              <w:tc>
                <w:tcPr>
                  <w:tcW w:w="379" w:type="pct"/>
                  <w:vAlign w:val="center"/>
                </w:tcPr>
                <w:p w14:paraId="37801442">
                  <w:pPr>
                    <w:adjustRightInd w:val="0"/>
                    <w:snapToGrid w:val="0"/>
                    <w:jc w:val="center"/>
                    <w:rPr>
                      <w:color w:val="auto"/>
                      <w:kern w:val="0"/>
                      <w:szCs w:val="21"/>
                    </w:rPr>
                  </w:pPr>
                  <w:r>
                    <w:rPr>
                      <w:rFonts w:hint="eastAsia"/>
                      <w:color w:val="auto"/>
                      <w:kern w:val="0"/>
                      <w:szCs w:val="21"/>
                    </w:rPr>
                    <w:t>DW001</w:t>
                  </w:r>
                </w:p>
              </w:tc>
              <w:tc>
                <w:tcPr>
                  <w:tcW w:w="459" w:type="pct"/>
                  <w:vAlign w:val="center"/>
                </w:tcPr>
                <w:p w14:paraId="4795E6FE">
                  <w:pPr>
                    <w:adjustRightInd w:val="0"/>
                    <w:snapToGrid w:val="0"/>
                    <w:jc w:val="center"/>
                    <w:rPr>
                      <w:rFonts w:ascii="宋体" w:hAnsi="宋体"/>
                      <w:color w:val="auto"/>
                      <w:kern w:val="0"/>
                      <w:szCs w:val="21"/>
                    </w:rPr>
                  </w:pPr>
                  <w:r>
                    <w:rPr>
                      <w:rFonts w:hint="eastAsia" w:ascii="宋体" w:hAnsi="宋体"/>
                      <w:color w:val="auto"/>
                      <w:kern w:val="0"/>
                      <w:szCs w:val="21"/>
                    </w:rPr>
                    <w:t>☑是</w:t>
                  </w:r>
                </w:p>
                <w:p w14:paraId="5CCB6EE5">
                  <w:pPr>
                    <w:adjustRightInd w:val="0"/>
                    <w:snapToGrid w:val="0"/>
                    <w:jc w:val="center"/>
                    <w:rPr>
                      <w:rFonts w:ascii="宋体" w:hAnsi="宋体"/>
                      <w:color w:val="auto"/>
                      <w:kern w:val="0"/>
                      <w:szCs w:val="21"/>
                    </w:rPr>
                  </w:pPr>
                  <w:r>
                    <w:rPr>
                      <w:rFonts w:hint="eastAsia" w:ascii="宋体" w:hAnsi="宋体"/>
                      <w:color w:val="auto"/>
                      <w:kern w:val="0"/>
                      <w:szCs w:val="21"/>
                    </w:rPr>
                    <w:t>□否</w:t>
                  </w:r>
                </w:p>
              </w:tc>
              <w:tc>
                <w:tcPr>
                  <w:tcW w:w="939" w:type="pct"/>
                  <w:vAlign w:val="center"/>
                </w:tcPr>
                <w:p w14:paraId="036A321E">
                  <w:pPr>
                    <w:adjustRightInd w:val="0"/>
                    <w:snapToGrid w:val="0"/>
                    <w:jc w:val="center"/>
                    <w:rPr>
                      <w:rFonts w:ascii="宋体" w:hAnsi="宋体"/>
                      <w:color w:val="auto"/>
                      <w:kern w:val="0"/>
                      <w:szCs w:val="21"/>
                    </w:rPr>
                  </w:pPr>
                  <w:r>
                    <w:rPr>
                      <w:rFonts w:hint="eastAsia" w:ascii="宋体" w:hAnsi="宋体"/>
                      <w:color w:val="auto"/>
                      <w:kern w:val="0"/>
                      <w:szCs w:val="21"/>
                    </w:rPr>
                    <w:t>☑企业总排</w:t>
                  </w:r>
                </w:p>
                <w:p w14:paraId="1C116418">
                  <w:pPr>
                    <w:adjustRightInd w:val="0"/>
                    <w:snapToGrid w:val="0"/>
                    <w:jc w:val="center"/>
                    <w:rPr>
                      <w:rFonts w:ascii="宋体" w:hAnsi="宋体"/>
                      <w:color w:val="auto"/>
                      <w:kern w:val="0"/>
                      <w:szCs w:val="21"/>
                    </w:rPr>
                  </w:pPr>
                  <w:r>
                    <w:rPr>
                      <w:rFonts w:hint="eastAsia" w:ascii="宋体" w:hAnsi="宋体"/>
                      <w:color w:val="auto"/>
                      <w:kern w:val="0"/>
                      <w:szCs w:val="21"/>
                    </w:rPr>
                    <w:t>□雨水排放</w:t>
                  </w:r>
                </w:p>
                <w:p w14:paraId="6239B339">
                  <w:pPr>
                    <w:adjustRightInd w:val="0"/>
                    <w:snapToGrid w:val="0"/>
                    <w:jc w:val="center"/>
                    <w:rPr>
                      <w:rFonts w:ascii="宋体" w:hAnsi="宋体"/>
                      <w:color w:val="auto"/>
                      <w:kern w:val="0"/>
                      <w:szCs w:val="21"/>
                    </w:rPr>
                  </w:pPr>
                  <w:r>
                    <w:rPr>
                      <w:rFonts w:hint="eastAsia" w:ascii="宋体" w:hAnsi="宋体"/>
                      <w:color w:val="auto"/>
                      <w:kern w:val="0"/>
                      <w:szCs w:val="21"/>
                    </w:rPr>
                    <w:t>□清净下水排放</w:t>
                  </w:r>
                </w:p>
                <w:p w14:paraId="5A9D8EFC">
                  <w:pPr>
                    <w:adjustRightInd w:val="0"/>
                    <w:snapToGrid w:val="0"/>
                    <w:jc w:val="center"/>
                    <w:rPr>
                      <w:rFonts w:ascii="宋体" w:hAnsi="宋体"/>
                      <w:color w:val="auto"/>
                      <w:kern w:val="0"/>
                      <w:szCs w:val="21"/>
                    </w:rPr>
                  </w:pPr>
                  <w:r>
                    <w:rPr>
                      <w:rFonts w:hint="eastAsia" w:ascii="宋体" w:hAnsi="宋体"/>
                      <w:color w:val="auto"/>
                      <w:kern w:val="0"/>
                      <w:szCs w:val="21"/>
                    </w:rPr>
                    <w:t>□温排水排放</w:t>
                  </w:r>
                </w:p>
                <w:p w14:paraId="621160A2">
                  <w:pPr>
                    <w:adjustRightInd w:val="0"/>
                    <w:snapToGrid w:val="0"/>
                    <w:jc w:val="center"/>
                    <w:rPr>
                      <w:rFonts w:ascii="宋体" w:hAnsi="宋体"/>
                      <w:color w:val="auto"/>
                      <w:kern w:val="0"/>
                      <w:szCs w:val="21"/>
                    </w:rPr>
                  </w:pPr>
                  <w:r>
                    <w:rPr>
                      <w:rFonts w:hint="eastAsia" w:ascii="宋体" w:hAnsi="宋体"/>
                      <w:color w:val="auto"/>
                      <w:kern w:val="0"/>
                      <w:szCs w:val="21"/>
                    </w:rPr>
                    <w:t>□车间或车间处理设施排放</w:t>
                  </w:r>
                </w:p>
                <w:p w14:paraId="6D620014">
                  <w:pPr>
                    <w:adjustRightInd w:val="0"/>
                    <w:snapToGrid w:val="0"/>
                    <w:jc w:val="center"/>
                    <w:rPr>
                      <w:rFonts w:ascii="宋体" w:hAnsi="宋体"/>
                      <w:color w:val="auto"/>
                      <w:kern w:val="0"/>
                      <w:szCs w:val="21"/>
                    </w:rPr>
                  </w:pPr>
                  <w:r>
                    <w:rPr>
                      <w:rFonts w:hint="eastAsia" w:ascii="宋体" w:hAnsi="宋体"/>
                      <w:color w:val="auto"/>
                      <w:kern w:val="0"/>
                      <w:szCs w:val="21"/>
                    </w:rPr>
                    <w:t>口/</w:t>
                  </w:r>
                </w:p>
              </w:tc>
            </w:tr>
          </w:tbl>
          <w:p w14:paraId="07CC5D9C">
            <w:pPr>
              <w:autoSpaceDE w:val="0"/>
              <w:autoSpaceDN w:val="0"/>
              <w:adjustRightInd w:val="0"/>
              <w:spacing w:line="360" w:lineRule="auto"/>
              <w:ind w:firstLine="480" w:firstLineChars="200"/>
              <w:jc w:val="left"/>
              <w:outlineLvl w:val="0"/>
              <w:rPr>
                <w:color w:val="auto"/>
                <w:kern w:val="0"/>
                <w:sz w:val="24"/>
              </w:rPr>
            </w:pPr>
            <w:r>
              <w:rPr>
                <w:rFonts w:hint="eastAsia"/>
                <w:color w:val="auto"/>
                <w:kern w:val="0"/>
                <w:sz w:val="24"/>
              </w:rPr>
              <w:t>（4）排放口基本情况及监测计划</w:t>
            </w:r>
          </w:p>
          <w:p w14:paraId="3F74F730">
            <w:pPr>
              <w:widowControl/>
              <w:wordWrap w:val="0"/>
              <w:spacing w:line="360" w:lineRule="auto"/>
              <w:ind w:firstLine="480" w:firstLineChars="200"/>
              <w:jc w:val="left"/>
              <w:rPr>
                <w:color w:val="auto"/>
                <w:kern w:val="0"/>
                <w:sz w:val="24"/>
                <w:lang w:bidi="en-US"/>
              </w:rPr>
            </w:pPr>
            <w:r>
              <w:rPr>
                <w:rFonts w:hint="eastAsia"/>
                <w:color w:val="auto"/>
                <w:kern w:val="0"/>
                <w:sz w:val="24"/>
                <w:lang w:bidi="en-US"/>
              </w:rPr>
              <w:t>项目运营期废水监测计划见下表。</w:t>
            </w:r>
          </w:p>
          <w:p w14:paraId="0F69F17D">
            <w:pPr>
              <w:wordWrap w:val="0"/>
              <w:autoSpaceDE w:val="0"/>
              <w:autoSpaceDN w:val="0"/>
              <w:jc w:val="center"/>
              <w:rPr>
                <w:b/>
                <w:color w:val="auto"/>
                <w:szCs w:val="21"/>
              </w:rPr>
            </w:pPr>
            <w:r>
              <w:rPr>
                <w:rFonts w:hint="eastAsia"/>
                <w:b/>
                <w:color w:val="auto"/>
                <w:szCs w:val="21"/>
              </w:rPr>
              <w:t>表4-</w:t>
            </w:r>
            <w:r>
              <w:rPr>
                <w:rFonts w:hint="eastAsia"/>
                <w:b/>
                <w:color w:val="auto"/>
                <w:szCs w:val="21"/>
                <w:lang w:val="en-US" w:eastAsia="zh-CN"/>
              </w:rPr>
              <w:t>10</w:t>
            </w:r>
            <w:r>
              <w:rPr>
                <w:rFonts w:hint="eastAsia"/>
                <w:b/>
                <w:color w:val="auto"/>
                <w:szCs w:val="21"/>
              </w:rPr>
              <w:t xml:space="preserve">  运营期废水监测计划</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1"/>
              <w:gridCol w:w="1123"/>
              <w:gridCol w:w="683"/>
              <w:gridCol w:w="666"/>
              <w:gridCol w:w="684"/>
              <w:gridCol w:w="2986"/>
              <w:gridCol w:w="1417"/>
            </w:tblGrid>
            <w:tr w14:paraId="3B3F46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46" w:type="pct"/>
                  <w:vAlign w:val="center"/>
                </w:tcPr>
                <w:p w14:paraId="42016AA9">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污染源名称</w:t>
                  </w:r>
                </w:p>
              </w:tc>
              <w:tc>
                <w:tcPr>
                  <w:tcW w:w="676" w:type="pct"/>
                  <w:vAlign w:val="center"/>
                </w:tcPr>
                <w:p w14:paraId="3F6FEC81">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监测项目</w:t>
                  </w:r>
                </w:p>
              </w:tc>
              <w:tc>
                <w:tcPr>
                  <w:tcW w:w="411" w:type="pct"/>
                  <w:vAlign w:val="center"/>
                </w:tcPr>
                <w:p w14:paraId="712261A6">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监测点位置</w:t>
                  </w:r>
                </w:p>
              </w:tc>
              <w:tc>
                <w:tcPr>
                  <w:tcW w:w="401" w:type="pct"/>
                  <w:vAlign w:val="center"/>
                </w:tcPr>
                <w:p w14:paraId="391DE969">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w:t>
                  </w:r>
                </w:p>
                <w:p w14:paraId="2C865842">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点数</w:t>
                  </w:r>
                </w:p>
              </w:tc>
              <w:tc>
                <w:tcPr>
                  <w:tcW w:w="412" w:type="pct"/>
                  <w:vAlign w:val="center"/>
                </w:tcPr>
                <w:p w14:paraId="4F1EA5DF">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w:t>
                  </w:r>
                </w:p>
                <w:p w14:paraId="381C476B">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频率</w:t>
                  </w:r>
                </w:p>
              </w:tc>
              <w:tc>
                <w:tcPr>
                  <w:tcW w:w="1798" w:type="pct"/>
                  <w:vAlign w:val="center"/>
                </w:tcPr>
                <w:p w14:paraId="5A9EDE2D">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控制指标</w:t>
                  </w:r>
                </w:p>
              </w:tc>
              <w:tc>
                <w:tcPr>
                  <w:tcW w:w="853" w:type="pct"/>
                  <w:vAlign w:val="center"/>
                </w:tcPr>
                <w:p w14:paraId="0907171E">
                  <w:pPr>
                    <w:spacing w:line="240" w:lineRule="auto"/>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备注</w:t>
                  </w:r>
                </w:p>
              </w:tc>
            </w:tr>
            <w:tr w14:paraId="02BEE2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1" w:type="dxa"/>
                  <w:vAlign w:val="center"/>
                </w:tcPr>
                <w:p w14:paraId="6E5A2AE1">
                  <w:pPr>
                    <w:jc w:val="center"/>
                    <w:rPr>
                      <w:rFonts w:hint="default" w:ascii="Times New Roman" w:hAnsi="Times New Roman" w:eastAsia="宋体" w:cs="Times New Roman"/>
                      <w:color w:val="auto"/>
                      <w:kern w:val="0"/>
                      <w:sz w:val="21"/>
                      <w:szCs w:val="21"/>
                      <w:lang w:val="en-US"/>
                    </w:rPr>
                  </w:pPr>
                  <w:r>
                    <w:rPr>
                      <w:rFonts w:hint="eastAsia"/>
                      <w:color w:val="auto"/>
                      <w:kern w:val="0"/>
                      <w:szCs w:val="21"/>
                    </w:rPr>
                    <w:t>综合污水</w:t>
                  </w:r>
                </w:p>
              </w:tc>
              <w:tc>
                <w:tcPr>
                  <w:tcW w:w="1123" w:type="dxa"/>
                  <w:vAlign w:val="center"/>
                </w:tcPr>
                <w:p w14:paraId="621111BE">
                  <w:pPr>
                    <w:jc w:val="center"/>
                    <w:rPr>
                      <w:rFonts w:hint="eastAsia" w:ascii="Times New Roman" w:hAnsi="Times New Roman" w:eastAsia="宋体" w:cs="Times New Roman"/>
                      <w:color w:val="auto"/>
                      <w:kern w:val="0"/>
                      <w:sz w:val="21"/>
                      <w:szCs w:val="21"/>
                      <w:lang w:eastAsia="zh-CN"/>
                    </w:rPr>
                  </w:pPr>
                  <w:r>
                    <w:rPr>
                      <w:rFonts w:hint="eastAsia"/>
                      <w:color w:val="auto"/>
                      <w:kern w:val="0"/>
                      <w:szCs w:val="21"/>
                    </w:rPr>
                    <w:t>pH、</w:t>
                  </w:r>
                  <w:r>
                    <w:rPr>
                      <w:color w:val="auto"/>
                      <w:kern w:val="0"/>
                      <w:szCs w:val="21"/>
                    </w:rPr>
                    <w:t>COD、BOD</w:t>
                  </w:r>
                  <w:r>
                    <w:rPr>
                      <w:color w:val="auto"/>
                      <w:kern w:val="0"/>
                      <w:szCs w:val="21"/>
                      <w:vertAlign w:val="subscript"/>
                    </w:rPr>
                    <w:t>5</w:t>
                  </w:r>
                  <w:r>
                    <w:rPr>
                      <w:color w:val="auto"/>
                      <w:kern w:val="0"/>
                      <w:szCs w:val="21"/>
                    </w:rPr>
                    <w:t>、SS</w:t>
                  </w:r>
                  <w:r>
                    <w:rPr>
                      <w:rFonts w:hint="eastAsia"/>
                      <w:color w:val="auto"/>
                      <w:kern w:val="0"/>
                      <w:szCs w:val="21"/>
                    </w:rPr>
                    <w:t>、</w:t>
                  </w:r>
                  <w:r>
                    <w:rPr>
                      <w:color w:val="auto"/>
                      <w:kern w:val="0"/>
                      <w:szCs w:val="21"/>
                    </w:rPr>
                    <w:t>NH</w:t>
                  </w:r>
                  <w:r>
                    <w:rPr>
                      <w:color w:val="auto"/>
                      <w:kern w:val="0"/>
                      <w:szCs w:val="21"/>
                      <w:vertAlign w:val="subscript"/>
                    </w:rPr>
                    <w:t>3</w:t>
                  </w:r>
                  <w:r>
                    <w:rPr>
                      <w:color w:val="auto"/>
                      <w:kern w:val="0"/>
                      <w:szCs w:val="21"/>
                    </w:rPr>
                    <w:t>-N</w:t>
                  </w:r>
                  <w:r>
                    <w:rPr>
                      <w:rFonts w:hint="eastAsia"/>
                      <w:color w:val="auto"/>
                      <w:kern w:val="0"/>
                      <w:szCs w:val="21"/>
                    </w:rPr>
                    <w:t>等</w:t>
                  </w:r>
                </w:p>
              </w:tc>
              <w:tc>
                <w:tcPr>
                  <w:tcW w:w="411" w:type="pct"/>
                  <w:vAlign w:val="center"/>
                </w:tcPr>
                <w:p w14:paraId="030C69BE">
                  <w:pPr>
                    <w:wordWrap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废水接管口</w:t>
                  </w:r>
                </w:p>
              </w:tc>
              <w:tc>
                <w:tcPr>
                  <w:tcW w:w="401" w:type="pct"/>
                  <w:vAlign w:val="center"/>
                </w:tcPr>
                <w:p w14:paraId="0E5A7D58">
                  <w:pPr>
                    <w:wordWrap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1个点</w:t>
                  </w:r>
                </w:p>
              </w:tc>
              <w:tc>
                <w:tcPr>
                  <w:tcW w:w="412" w:type="pct"/>
                  <w:vAlign w:val="center"/>
                </w:tcPr>
                <w:p w14:paraId="34FF7E62">
                  <w:pPr>
                    <w:wordWrap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1次/年</w:t>
                  </w:r>
                </w:p>
              </w:tc>
              <w:tc>
                <w:tcPr>
                  <w:tcW w:w="1798" w:type="pct"/>
                  <w:vAlign w:val="center"/>
                </w:tcPr>
                <w:p w14:paraId="3DEBA5DF">
                  <w:pPr>
                    <w:wordWrap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满足《污水综合排放标准》（GB8978-1996）中的三级标准及《污水排入城镇下水道水质标准》（GB/T31962-2015）中</w:t>
                  </w:r>
                  <w:r>
                    <w:rPr>
                      <w:rFonts w:hint="eastAsia" w:ascii="Times New Roman" w:hAnsi="Times New Roman" w:eastAsia="宋体" w:cs="Times New Roman"/>
                      <w:color w:val="auto"/>
                      <w:kern w:val="0"/>
                      <w:sz w:val="21"/>
                      <w:szCs w:val="21"/>
                      <w:lang w:val="en-US" w:eastAsia="zh-CN"/>
                    </w:rPr>
                    <w:t>B</w:t>
                  </w:r>
                  <w:r>
                    <w:rPr>
                      <w:rFonts w:hint="default" w:ascii="Times New Roman" w:hAnsi="Times New Roman" w:eastAsia="宋体" w:cs="Times New Roman"/>
                      <w:color w:val="auto"/>
                      <w:kern w:val="0"/>
                      <w:sz w:val="21"/>
                      <w:szCs w:val="21"/>
                    </w:rPr>
                    <w:t>级标准</w:t>
                  </w:r>
                </w:p>
              </w:tc>
              <w:tc>
                <w:tcPr>
                  <w:tcW w:w="853" w:type="pct"/>
                  <w:vAlign w:val="center"/>
                </w:tcPr>
                <w:p w14:paraId="44318A04">
                  <w:pPr>
                    <w:wordWrap w:val="0"/>
                    <w:spacing w:line="240" w:lineRule="auto"/>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采样口位于园区化粪池出口，可纳入园区监测计划中</w:t>
                  </w:r>
                </w:p>
              </w:tc>
            </w:tr>
          </w:tbl>
          <w:p w14:paraId="33EDBBDE">
            <w:pPr>
              <w:autoSpaceDE w:val="0"/>
              <w:autoSpaceDN w:val="0"/>
              <w:spacing w:line="360" w:lineRule="auto"/>
              <w:ind w:firstLine="482" w:firstLineChars="200"/>
              <w:textAlignment w:val="baseline"/>
              <w:rPr>
                <w:color w:val="auto"/>
                <w:kern w:val="0"/>
                <w:sz w:val="24"/>
                <w:szCs w:val="20"/>
              </w:rPr>
            </w:pPr>
            <w:r>
              <w:rPr>
                <w:b/>
                <w:color w:val="auto"/>
                <w:kern w:val="0"/>
                <w:sz w:val="24"/>
                <w:szCs w:val="20"/>
              </w:rPr>
              <w:t>3、</w:t>
            </w:r>
            <w:r>
              <w:rPr>
                <w:b/>
                <w:bCs/>
                <w:color w:val="auto"/>
                <w:kern w:val="0"/>
                <w:sz w:val="24"/>
                <w:szCs w:val="20"/>
              </w:rPr>
              <w:t>噪声</w:t>
            </w:r>
          </w:p>
          <w:p w14:paraId="424D04B9">
            <w:pPr>
              <w:autoSpaceDN w:val="0"/>
              <w:spacing w:line="360" w:lineRule="auto"/>
              <w:ind w:firstLine="480" w:firstLineChars="200"/>
              <w:rPr>
                <w:color w:val="auto"/>
                <w:kern w:val="0"/>
                <w:sz w:val="24"/>
                <w:szCs w:val="20"/>
              </w:rPr>
            </w:pPr>
            <w:r>
              <w:rPr>
                <w:color w:val="auto"/>
                <w:kern w:val="0"/>
                <w:sz w:val="24"/>
                <w:szCs w:val="20"/>
                <w:lang w:val="zh-CN"/>
              </w:rPr>
              <w:t>（1）噪声源强</w:t>
            </w:r>
          </w:p>
          <w:p w14:paraId="1FBAF537">
            <w:pPr>
              <w:spacing w:line="360" w:lineRule="auto"/>
              <w:ind w:firstLine="480" w:firstLineChars="200"/>
              <w:rPr>
                <w:color w:val="auto"/>
                <w:kern w:val="0"/>
                <w:sz w:val="24"/>
                <w:szCs w:val="20"/>
              </w:rPr>
            </w:pPr>
            <w:r>
              <w:rPr>
                <w:rFonts w:hint="eastAsia"/>
                <w:color w:val="auto"/>
                <w:kern w:val="0"/>
                <w:sz w:val="24"/>
                <w:szCs w:val="20"/>
              </w:rPr>
              <w:t>本项目研发过程中使用的蒸发仪、试验箱等研发设备噪声源强较低，经厂房隔声及距离衰减后对周围环境影响较小，不计入高噪声源强调查清单内。高噪声设备主要为研发室内泵类及环保设施风机产生的机械</w:t>
            </w:r>
            <w:r>
              <w:rPr>
                <w:color w:val="auto"/>
                <w:kern w:val="0"/>
                <w:sz w:val="24"/>
                <w:szCs w:val="20"/>
              </w:rPr>
              <w:t>噪声，根据建设单位提供资料及同类项目类比，</w:t>
            </w:r>
            <w:r>
              <w:rPr>
                <w:color w:val="auto"/>
                <w:spacing w:val="-4"/>
                <w:kern w:val="0"/>
                <w:sz w:val="24"/>
                <w:szCs w:val="20"/>
              </w:rPr>
              <w:t>源强约</w:t>
            </w:r>
            <w:r>
              <w:rPr>
                <w:rFonts w:hint="eastAsia"/>
                <w:color w:val="auto"/>
                <w:spacing w:val="-4"/>
                <w:kern w:val="0"/>
                <w:sz w:val="24"/>
                <w:szCs w:val="20"/>
              </w:rPr>
              <w:t>63~75</w:t>
            </w:r>
            <w:r>
              <w:rPr>
                <w:color w:val="auto"/>
                <w:spacing w:val="-4"/>
                <w:kern w:val="0"/>
                <w:sz w:val="24"/>
                <w:szCs w:val="20"/>
              </w:rPr>
              <w:t>dB</w:t>
            </w:r>
            <w:r>
              <w:rPr>
                <w:rFonts w:hint="eastAsia"/>
                <w:color w:val="auto"/>
                <w:spacing w:val="-4"/>
                <w:kern w:val="0"/>
                <w:sz w:val="24"/>
                <w:szCs w:val="20"/>
              </w:rPr>
              <w:t>（</w:t>
            </w:r>
            <w:r>
              <w:rPr>
                <w:color w:val="auto"/>
                <w:spacing w:val="-4"/>
                <w:kern w:val="0"/>
                <w:sz w:val="24"/>
                <w:szCs w:val="20"/>
              </w:rPr>
              <w:t>A</w:t>
            </w:r>
            <w:r>
              <w:rPr>
                <w:rFonts w:hint="eastAsia"/>
                <w:color w:val="auto"/>
                <w:spacing w:val="-4"/>
                <w:kern w:val="0"/>
                <w:sz w:val="24"/>
                <w:szCs w:val="20"/>
              </w:rPr>
              <w:t>）</w:t>
            </w:r>
            <w:r>
              <w:rPr>
                <w:color w:val="auto"/>
                <w:kern w:val="0"/>
                <w:sz w:val="24"/>
                <w:szCs w:val="20"/>
              </w:rPr>
              <w:t>，项目设备及噪声源强见表</w:t>
            </w:r>
            <w:r>
              <w:rPr>
                <w:rFonts w:hint="eastAsia"/>
                <w:color w:val="auto"/>
                <w:kern w:val="0"/>
                <w:sz w:val="24"/>
                <w:szCs w:val="20"/>
              </w:rPr>
              <w:t>4-1</w:t>
            </w:r>
            <w:r>
              <w:rPr>
                <w:rFonts w:hint="eastAsia"/>
                <w:color w:val="auto"/>
                <w:kern w:val="0"/>
                <w:sz w:val="24"/>
                <w:szCs w:val="20"/>
                <w:lang w:val="en-US" w:eastAsia="zh-CN"/>
              </w:rPr>
              <w:t>1</w:t>
            </w:r>
            <w:r>
              <w:rPr>
                <w:rFonts w:hint="eastAsia"/>
                <w:color w:val="auto"/>
                <w:kern w:val="0"/>
                <w:sz w:val="24"/>
                <w:szCs w:val="20"/>
              </w:rPr>
              <w:t>、4-1</w:t>
            </w:r>
            <w:r>
              <w:rPr>
                <w:rFonts w:hint="eastAsia"/>
                <w:color w:val="auto"/>
                <w:kern w:val="0"/>
                <w:sz w:val="24"/>
                <w:szCs w:val="20"/>
                <w:lang w:val="en-US" w:eastAsia="zh-CN"/>
              </w:rPr>
              <w:t>2</w:t>
            </w:r>
            <w:r>
              <w:rPr>
                <w:color w:val="auto"/>
                <w:kern w:val="0"/>
                <w:sz w:val="24"/>
                <w:szCs w:val="20"/>
              </w:rPr>
              <w:t>。</w:t>
            </w:r>
          </w:p>
          <w:p w14:paraId="0206D7DF">
            <w:pPr>
              <w:spacing w:line="360" w:lineRule="auto"/>
              <w:ind w:firstLine="480" w:firstLineChars="200"/>
              <w:rPr>
                <w:color w:val="auto"/>
                <w:kern w:val="0"/>
                <w:sz w:val="24"/>
                <w:szCs w:val="20"/>
              </w:rPr>
            </w:pPr>
          </w:p>
          <w:p w14:paraId="0F2209F5">
            <w:pPr>
              <w:spacing w:line="360" w:lineRule="auto"/>
              <w:ind w:firstLine="480" w:firstLineChars="200"/>
              <w:rPr>
                <w:color w:val="auto"/>
                <w:kern w:val="0"/>
                <w:sz w:val="24"/>
                <w:szCs w:val="20"/>
              </w:rPr>
            </w:pPr>
          </w:p>
          <w:p w14:paraId="0EE384A4">
            <w:pPr>
              <w:spacing w:line="360" w:lineRule="auto"/>
              <w:ind w:firstLine="480" w:firstLineChars="200"/>
              <w:rPr>
                <w:color w:val="auto"/>
                <w:kern w:val="0"/>
                <w:sz w:val="24"/>
                <w:szCs w:val="20"/>
              </w:rPr>
            </w:pPr>
          </w:p>
          <w:p w14:paraId="31C4BB41">
            <w:pPr>
              <w:spacing w:line="360" w:lineRule="auto"/>
              <w:ind w:firstLine="480" w:firstLineChars="200"/>
              <w:rPr>
                <w:color w:val="auto"/>
                <w:kern w:val="0"/>
                <w:sz w:val="24"/>
                <w:szCs w:val="20"/>
              </w:rPr>
            </w:pPr>
          </w:p>
          <w:p w14:paraId="12CEC761">
            <w:pPr>
              <w:spacing w:line="360" w:lineRule="auto"/>
              <w:ind w:firstLine="480" w:firstLineChars="200"/>
              <w:rPr>
                <w:color w:val="auto"/>
                <w:kern w:val="0"/>
                <w:sz w:val="24"/>
                <w:szCs w:val="20"/>
              </w:rPr>
            </w:pPr>
          </w:p>
          <w:p w14:paraId="0CC9286E">
            <w:pPr>
              <w:spacing w:line="360" w:lineRule="auto"/>
              <w:ind w:firstLine="480" w:firstLineChars="200"/>
              <w:rPr>
                <w:color w:val="auto"/>
                <w:kern w:val="0"/>
                <w:sz w:val="24"/>
                <w:szCs w:val="20"/>
              </w:rPr>
            </w:pPr>
          </w:p>
          <w:p w14:paraId="109B933F">
            <w:pPr>
              <w:spacing w:line="360" w:lineRule="auto"/>
              <w:ind w:firstLine="480" w:firstLineChars="200"/>
              <w:rPr>
                <w:color w:val="auto"/>
                <w:kern w:val="0"/>
                <w:sz w:val="24"/>
                <w:szCs w:val="20"/>
              </w:rPr>
            </w:pPr>
          </w:p>
          <w:p w14:paraId="530C6A87">
            <w:pPr>
              <w:spacing w:line="360" w:lineRule="auto"/>
              <w:ind w:firstLine="480" w:firstLineChars="200"/>
              <w:rPr>
                <w:color w:val="auto"/>
                <w:kern w:val="0"/>
                <w:sz w:val="24"/>
                <w:szCs w:val="20"/>
              </w:rPr>
            </w:pPr>
          </w:p>
          <w:p w14:paraId="74303FC5">
            <w:pPr>
              <w:spacing w:line="360" w:lineRule="auto"/>
              <w:ind w:firstLine="480" w:firstLineChars="200"/>
              <w:rPr>
                <w:color w:val="auto"/>
                <w:kern w:val="0"/>
                <w:sz w:val="24"/>
                <w:szCs w:val="20"/>
              </w:rPr>
            </w:pPr>
          </w:p>
          <w:p w14:paraId="7EE98358">
            <w:pPr>
              <w:spacing w:line="360" w:lineRule="auto"/>
              <w:ind w:firstLine="480" w:firstLineChars="200"/>
              <w:rPr>
                <w:color w:val="auto"/>
                <w:kern w:val="0"/>
                <w:sz w:val="24"/>
                <w:szCs w:val="20"/>
              </w:rPr>
            </w:pPr>
          </w:p>
          <w:p w14:paraId="74358A66">
            <w:pPr>
              <w:spacing w:line="360" w:lineRule="auto"/>
              <w:ind w:firstLine="480" w:firstLineChars="200"/>
              <w:rPr>
                <w:color w:val="auto"/>
                <w:kern w:val="0"/>
                <w:sz w:val="24"/>
                <w:szCs w:val="20"/>
              </w:rPr>
            </w:pPr>
          </w:p>
          <w:p w14:paraId="632A565E">
            <w:pPr>
              <w:spacing w:line="360" w:lineRule="auto"/>
              <w:ind w:firstLine="480" w:firstLineChars="200"/>
              <w:rPr>
                <w:color w:val="auto"/>
                <w:kern w:val="0"/>
                <w:sz w:val="24"/>
                <w:szCs w:val="20"/>
              </w:rPr>
            </w:pPr>
          </w:p>
          <w:p w14:paraId="70C042AE">
            <w:pPr>
              <w:spacing w:line="360" w:lineRule="auto"/>
              <w:ind w:firstLine="480" w:firstLineChars="200"/>
              <w:rPr>
                <w:color w:val="auto"/>
                <w:kern w:val="0"/>
                <w:sz w:val="24"/>
                <w:szCs w:val="20"/>
              </w:rPr>
            </w:pPr>
          </w:p>
          <w:p w14:paraId="6E10D5F5">
            <w:pPr>
              <w:spacing w:line="360" w:lineRule="auto"/>
              <w:ind w:firstLine="480" w:firstLineChars="200"/>
              <w:rPr>
                <w:color w:val="auto"/>
                <w:kern w:val="0"/>
                <w:sz w:val="24"/>
                <w:szCs w:val="20"/>
              </w:rPr>
            </w:pPr>
          </w:p>
          <w:p w14:paraId="1583D30A">
            <w:pPr>
              <w:spacing w:line="360" w:lineRule="auto"/>
              <w:ind w:firstLine="480" w:firstLineChars="200"/>
              <w:rPr>
                <w:color w:val="auto"/>
                <w:kern w:val="0"/>
                <w:sz w:val="24"/>
                <w:szCs w:val="20"/>
              </w:rPr>
            </w:pPr>
          </w:p>
          <w:p w14:paraId="646AB7F4">
            <w:pPr>
              <w:spacing w:line="360" w:lineRule="auto"/>
              <w:ind w:firstLine="480" w:firstLineChars="200"/>
              <w:rPr>
                <w:color w:val="auto"/>
                <w:kern w:val="0"/>
                <w:sz w:val="24"/>
                <w:szCs w:val="20"/>
              </w:rPr>
            </w:pPr>
          </w:p>
          <w:p w14:paraId="46B5F72A">
            <w:pPr>
              <w:spacing w:line="360" w:lineRule="auto"/>
              <w:ind w:firstLine="480" w:firstLineChars="200"/>
              <w:rPr>
                <w:color w:val="auto"/>
                <w:kern w:val="0"/>
                <w:sz w:val="24"/>
                <w:szCs w:val="20"/>
              </w:rPr>
            </w:pPr>
          </w:p>
          <w:p w14:paraId="18235626">
            <w:pPr>
              <w:spacing w:line="360" w:lineRule="auto"/>
              <w:ind w:firstLine="480" w:firstLineChars="200"/>
              <w:rPr>
                <w:color w:val="auto"/>
                <w:kern w:val="0"/>
                <w:sz w:val="24"/>
                <w:szCs w:val="20"/>
              </w:rPr>
            </w:pPr>
          </w:p>
          <w:p w14:paraId="1052BC1E">
            <w:pPr>
              <w:spacing w:line="360" w:lineRule="auto"/>
              <w:ind w:firstLine="480" w:firstLineChars="200"/>
              <w:rPr>
                <w:color w:val="auto"/>
                <w:kern w:val="0"/>
                <w:sz w:val="24"/>
                <w:szCs w:val="20"/>
              </w:rPr>
            </w:pPr>
          </w:p>
          <w:p w14:paraId="196CD78E">
            <w:pPr>
              <w:spacing w:line="360" w:lineRule="auto"/>
              <w:ind w:firstLine="480" w:firstLineChars="200"/>
              <w:rPr>
                <w:color w:val="auto"/>
                <w:kern w:val="0"/>
                <w:sz w:val="24"/>
                <w:szCs w:val="20"/>
              </w:rPr>
            </w:pPr>
          </w:p>
          <w:p w14:paraId="42453EC2">
            <w:pPr>
              <w:spacing w:line="360" w:lineRule="auto"/>
              <w:ind w:firstLine="480" w:firstLineChars="200"/>
              <w:rPr>
                <w:color w:val="auto"/>
                <w:kern w:val="0"/>
                <w:sz w:val="24"/>
                <w:szCs w:val="20"/>
              </w:rPr>
            </w:pPr>
          </w:p>
          <w:p w14:paraId="44EAC1FD">
            <w:pPr>
              <w:spacing w:line="360" w:lineRule="auto"/>
              <w:ind w:firstLine="480" w:firstLineChars="200"/>
              <w:rPr>
                <w:color w:val="auto"/>
                <w:kern w:val="0"/>
                <w:sz w:val="24"/>
                <w:szCs w:val="20"/>
              </w:rPr>
            </w:pPr>
          </w:p>
          <w:p w14:paraId="13B8A33D">
            <w:pPr>
              <w:spacing w:line="360" w:lineRule="auto"/>
              <w:ind w:firstLine="480" w:firstLineChars="200"/>
              <w:rPr>
                <w:color w:val="auto"/>
                <w:kern w:val="0"/>
                <w:sz w:val="24"/>
                <w:szCs w:val="20"/>
              </w:rPr>
            </w:pPr>
          </w:p>
          <w:p w14:paraId="68012326">
            <w:pPr>
              <w:spacing w:line="360" w:lineRule="auto"/>
              <w:ind w:firstLine="480" w:firstLineChars="200"/>
              <w:rPr>
                <w:color w:val="auto"/>
                <w:kern w:val="0"/>
                <w:sz w:val="24"/>
                <w:szCs w:val="20"/>
              </w:rPr>
            </w:pPr>
          </w:p>
          <w:p w14:paraId="30036DE2">
            <w:pPr>
              <w:spacing w:line="360" w:lineRule="auto"/>
              <w:ind w:firstLine="480" w:firstLineChars="200"/>
              <w:rPr>
                <w:color w:val="auto"/>
                <w:kern w:val="0"/>
                <w:sz w:val="24"/>
                <w:szCs w:val="20"/>
              </w:rPr>
            </w:pPr>
          </w:p>
          <w:p w14:paraId="128056A4">
            <w:pPr>
              <w:spacing w:line="360" w:lineRule="auto"/>
              <w:ind w:firstLine="480" w:firstLineChars="200"/>
              <w:rPr>
                <w:color w:val="auto"/>
                <w:kern w:val="0"/>
                <w:sz w:val="24"/>
                <w:szCs w:val="20"/>
              </w:rPr>
            </w:pPr>
          </w:p>
          <w:p w14:paraId="1A39C277">
            <w:pPr>
              <w:spacing w:line="360" w:lineRule="auto"/>
              <w:ind w:firstLine="480" w:firstLineChars="200"/>
              <w:rPr>
                <w:color w:val="auto"/>
                <w:kern w:val="0"/>
                <w:sz w:val="24"/>
                <w:szCs w:val="20"/>
              </w:rPr>
            </w:pPr>
          </w:p>
        </w:tc>
      </w:tr>
    </w:tbl>
    <w:p w14:paraId="0F1CA1DD">
      <w:pPr>
        <w:rPr>
          <w:rFonts w:eastAsia="黑体"/>
          <w:snapToGrid w:val="0"/>
          <w:color w:val="auto"/>
          <w:kern w:val="0"/>
          <w:sz w:val="30"/>
          <w:szCs w:val="30"/>
        </w:rPr>
        <w:sectPr>
          <w:footerReference r:id="rId5" w:type="default"/>
          <w:pgSz w:w="11906" w:h="16838"/>
          <w:pgMar w:top="1553" w:right="1553" w:bottom="1553" w:left="1553" w:header="851" w:footer="851" w:gutter="0"/>
          <w:pgNumType w:fmt="numberInDash"/>
          <w:cols w:space="720" w:num="1"/>
          <w:docGrid w:linePitch="312"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14:paraId="4FC3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2" w:hRule="atLeast"/>
        </w:trPr>
        <w:tc>
          <w:tcPr>
            <w:tcW w:w="14174" w:type="dxa"/>
          </w:tcPr>
          <w:p w14:paraId="60472E93">
            <w:pPr>
              <w:jc w:val="center"/>
              <w:rPr>
                <w:b/>
                <w:color w:val="auto"/>
                <w:kern w:val="0"/>
                <w:szCs w:val="21"/>
              </w:rPr>
            </w:pPr>
            <w:r>
              <w:rPr>
                <w:b/>
                <w:color w:val="auto"/>
                <w:kern w:val="0"/>
                <w:szCs w:val="21"/>
              </w:rPr>
              <w:t>表</w:t>
            </w:r>
            <w:r>
              <w:rPr>
                <w:rFonts w:hint="eastAsia"/>
                <w:b/>
                <w:color w:val="auto"/>
                <w:kern w:val="0"/>
                <w:szCs w:val="21"/>
              </w:rPr>
              <w:t>4-1</w:t>
            </w:r>
            <w:r>
              <w:rPr>
                <w:rFonts w:hint="eastAsia"/>
                <w:b/>
                <w:color w:val="auto"/>
                <w:kern w:val="0"/>
                <w:szCs w:val="21"/>
                <w:lang w:val="en-US" w:eastAsia="zh-CN"/>
              </w:rPr>
              <w:t>1</w:t>
            </w:r>
            <w:r>
              <w:rPr>
                <w:rFonts w:hint="eastAsia"/>
                <w:b/>
                <w:color w:val="auto"/>
                <w:kern w:val="0"/>
                <w:szCs w:val="21"/>
              </w:rPr>
              <w:t xml:space="preserve">   </w:t>
            </w:r>
            <w:r>
              <w:rPr>
                <w:b/>
                <w:color w:val="auto"/>
                <w:kern w:val="0"/>
                <w:szCs w:val="21"/>
              </w:rPr>
              <w:t>工业企业噪声源强调查清单（室内声源）</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695"/>
              <w:gridCol w:w="1364"/>
              <w:gridCol w:w="701"/>
              <w:gridCol w:w="1699"/>
              <w:gridCol w:w="1398"/>
              <w:gridCol w:w="690"/>
              <w:gridCol w:w="628"/>
              <w:gridCol w:w="616"/>
              <w:gridCol w:w="898"/>
              <w:gridCol w:w="973"/>
              <w:gridCol w:w="700"/>
              <w:gridCol w:w="1062"/>
              <w:gridCol w:w="1065"/>
              <w:gridCol w:w="1115"/>
            </w:tblGrid>
            <w:tr w14:paraId="4B2B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 w:type="pct"/>
                  <w:vMerge w:val="restart"/>
                  <w:vAlign w:val="center"/>
                </w:tcPr>
                <w:p w14:paraId="25D2A9AD">
                  <w:pPr>
                    <w:jc w:val="center"/>
                    <w:rPr>
                      <w:color w:val="auto"/>
                      <w:szCs w:val="21"/>
                    </w:rPr>
                  </w:pPr>
                  <w:r>
                    <w:rPr>
                      <w:color w:val="auto"/>
                      <w:szCs w:val="21"/>
                    </w:rPr>
                    <w:t>序号</w:t>
                  </w:r>
                </w:p>
              </w:tc>
              <w:tc>
                <w:tcPr>
                  <w:tcW w:w="249" w:type="pct"/>
                  <w:vMerge w:val="restart"/>
                  <w:vAlign w:val="center"/>
                </w:tcPr>
                <w:p w14:paraId="1DC41762">
                  <w:pPr>
                    <w:jc w:val="center"/>
                    <w:rPr>
                      <w:color w:val="auto"/>
                      <w:szCs w:val="21"/>
                    </w:rPr>
                  </w:pPr>
                  <w:r>
                    <w:rPr>
                      <w:color w:val="auto"/>
                      <w:szCs w:val="21"/>
                    </w:rPr>
                    <w:t>建筑物名称</w:t>
                  </w:r>
                </w:p>
              </w:tc>
              <w:tc>
                <w:tcPr>
                  <w:tcW w:w="489" w:type="pct"/>
                  <w:vMerge w:val="restart"/>
                  <w:vAlign w:val="center"/>
                </w:tcPr>
                <w:p w14:paraId="06C1D3A9">
                  <w:pPr>
                    <w:jc w:val="center"/>
                    <w:rPr>
                      <w:color w:val="auto"/>
                      <w:szCs w:val="21"/>
                    </w:rPr>
                  </w:pPr>
                  <w:r>
                    <w:rPr>
                      <w:color w:val="auto"/>
                      <w:szCs w:val="21"/>
                    </w:rPr>
                    <w:t>声源名称</w:t>
                  </w:r>
                </w:p>
              </w:tc>
              <w:tc>
                <w:tcPr>
                  <w:tcW w:w="251" w:type="pct"/>
                  <w:vMerge w:val="restart"/>
                  <w:vAlign w:val="center"/>
                </w:tcPr>
                <w:p w14:paraId="54E1B1B1">
                  <w:pPr>
                    <w:jc w:val="center"/>
                    <w:rPr>
                      <w:color w:val="auto"/>
                      <w:szCs w:val="21"/>
                    </w:rPr>
                  </w:pPr>
                  <w:r>
                    <w:rPr>
                      <w:rFonts w:hint="eastAsia"/>
                      <w:color w:val="auto"/>
                      <w:szCs w:val="21"/>
                    </w:rPr>
                    <w:t>数量</w:t>
                  </w:r>
                </w:p>
              </w:tc>
              <w:tc>
                <w:tcPr>
                  <w:tcW w:w="609" w:type="pct"/>
                  <w:vAlign w:val="center"/>
                </w:tcPr>
                <w:p w14:paraId="716AAF16">
                  <w:pPr>
                    <w:jc w:val="center"/>
                    <w:rPr>
                      <w:color w:val="auto"/>
                      <w:szCs w:val="21"/>
                    </w:rPr>
                  </w:pPr>
                  <w:r>
                    <w:rPr>
                      <w:color w:val="auto"/>
                      <w:szCs w:val="21"/>
                    </w:rPr>
                    <w:t>声源源强</w:t>
                  </w:r>
                </w:p>
              </w:tc>
              <w:tc>
                <w:tcPr>
                  <w:tcW w:w="501" w:type="pct"/>
                  <w:vMerge w:val="restart"/>
                  <w:vAlign w:val="center"/>
                </w:tcPr>
                <w:p w14:paraId="24CBCC64">
                  <w:pPr>
                    <w:jc w:val="center"/>
                    <w:rPr>
                      <w:color w:val="auto"/>
                      <w:szCs w:val="21"/>
                    </w:rPr>
                  </w:pPr>
                  <w:r>
                    <w:rPr>
                      <w:color w:val="auto"/>
                      <w:szCs w:val="21"/>
                    </w:rPr>
                    <w:t>声源控制措施</w:t>
                  </w:r>
                </w:p>
              </w:tc>
              <w:tc>
                <w:tcPr>
                  <w:tcW w:w="693" w:type="pct"/>
                  <w:gridSpan w:val="3"/>
                  <w:vAlign w:val="center"/>
                </w:tcPr>
                <w:p w14:paraId="396CD34C">
                  <w:pPr>
                    <w:jc w:val="center"/>
                    <w:rPr>
                      <w:color w:val="auto"/>
                      <w:szCs w:val="21"/>
                    </w:rPr>
                  </w:pPr>
                  <w:r>
                    <w:rPr>
                      <w:color w:val="auto"/>
                      <w:szCs w:val="21"/>
                    </w:rPr>
                    <w:t>空间相对位置/m</w:t>
                  </w:r>
                </w:p>
              </w:tc>
              <w:tc>
                <w:tcPr>
                  <w:tcW w:w="322" w:type="pct"/>
                  <w:vMerge w:val="restart"/>
                  <w:vAlign w:val="center"/>
                </w:tcPr>
                <w:p w14:paraId="1EF2E294">
                  <w:pPr>
                    <w:jc w:val="center"/>
                    <w:rPr>
                      <w:color w:val="auto"/>
                      <w:szCs w:val="21"/>
                    </w:rPr>
                  </w:pPr>
                  <w:r>
                    <w:rPr>
                      <w:color w:val="auto"/>
                      <w:szCs w:val="21"/>
                    </w:rPr>
                    <w:t>距室内边界距离/m</w:t>
                  </w:r>
                </w:p>
              </w:tc>
              <w:tc>
                <w:tcPr>
                  <w:tcW w:w="348" w:type="pct"/>
                  <w:vMerge w:val="restart"/>
                  <w:vAlign w:val="center"/>
                </w:tcPr>
                <w:p w14:paraId="66EB04AE">
                  <w:pPr>
                    <w:widowControl/>
                    <w:jc w:val="center"/>
                    <w:rPr>
                      <w:color w:val="auto"/>
                      <w:szCs w:val="21"/>
                    </w:rPr>
                  </w:pPr>
                  <w:r>
                    <w:rPr>
                      <w:color w:val="auto"/>
                      <w:kern w:val="0"/>
                      <w:szCs w:val="21"/>
                      <w:lang w:bidi="ar"/>
                    </w:rPr>
                    <w:t>室内边界声级/dB（A）</w:t>
                  </w:r>
                </w:p>
              </w:tc>
              <w:tc>
                <w:tcPr>
                  <w:tcW w:w="251" w:type="pct"/>
                  <w:vMerge w:val="restart"/>
                  <w:vAlign w:val="center"/>
                </w:tcPr>
                <w:p w14:paraId="611F7AE6">
                  <w:pPr>
                    <w:jc w:val="center"/>
                    <w:rPr>
                      <w:color w:val="auto"/>
                      <w:szCs w:val="21"/>
                    </w:rPr>
                  </w:pPr>
                  <w:r>
                    <w:rPr>
                      <w:color w:val="auto"/>
                      <w:szCs w:val="21"/>
                    </w:rPr>
                    <w:t>运行时间</w:t>
                  </w:r>
                </w:p>
              </w:tc>
              <w:tc>
                <w:tcPr>
                  <w:tcW w:w="380" w:type="pct"/>
                  <w:vMerge w:val="restart"/>
                  <w:vAlign w:val="center"/>
                </w:tcPr>
                <w:p w14:paraId="0FBAB4C8">
                  <w:pPr>
                    <w:jc w:val="center"/>
                    <w:rPr>
                      <w:color w:val="auto"/>
                      <w:szCs w:val="21"/>
                    </w:rPr>
                  </w:pPr>
                  <w:r>
                    <w:rPr>
                      <w:rFonts w:hint="eastAsia"/>
                      <w:color w:val="auto"/>
                      <w:szCs w:val="21"/>
                    </w:rPr>
                    <w:t>建筑物插入损失/dB（A）</w:t>
                  </w:r>
                </w:p>
              </w:tc>
              <w:tc>
                <w:tcPr>
                  <w:tcW w:w="781" w:type="pct"/>
                  <w:gridSpan w:val="2"/>
                  <w:vAlign w:val="center"/>
                </w:tcPr>
                <w:p w14:paraId="08B60D5D">
                  <w:pPr>
                    <w:jc w:val="center"/>
                    <w:rPr>
                      <w:color w:val="auto"/>
                      <w:szCs w:val="21"/>
                    </w:rPr>
                  </w:pPr>
                  <w:r>
                    <w:rPr>
                      <w:color w:val="auto"/>
                      <w:szCs w:val="21"/>
                    </w:rPr>
                    <w:t>建筑物外噪声</w:t>
                  </w:r>
                </w:p>
              </w:tc>
            </w:tr>
            <w:tr w14:paraId="4255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0" w:type="pct"/>
                  <w:vMerge w:val="continue"/>
                  <w:vAlign w:val="center"/>
                </w:tcPr>
                <w:p w14:paraId="59E1039D">
                  <w:pPr>
                    <w:jc w:val="center"/>
                    <w:rPr>
                      <w:color w:val="auto"/>
                      <w:szCs w:val="21"/>
                    </w:rPr>
                  </w:pPr>
                </w:p>
              </w:tc>
              <w:tc>
                <w:tcPr>
                  <w:tcW w:w="249" w:type="pct"/>
                  <w:vMerge w:val="continue"/>
                  <w:vAlign w:val="center"/>
                </w:tcPr>
                <w:p w14:paraId="285484C3">
                  <w:pPr>
                    <w:jc w:val="center"/>
                    <w:rPr>
                      <w:color w:val="auto"/>
                      <w:szCs w:val="21"/>
                    </w:rPr>
                  </w:pPr>
                </w:p>
              </w:tc>
              <w:tc>
                <w:tcPr>
                  <w:tcW w:w="489" w:type="pct"/>
                  <w:vMerge w:val="continue"/>
                  <w:vAlign w:val="center"/>
                </w:tcPr>
                <w:p w14:paraId="4D7607CD">
                  <w:pPr>
                    <w:jc w:val="center"/>
                    <w:rPr>
                      <w:color w:val="auto"/>
                      <w:szCs w:val="21"/>
                    </w:rPr>
                  </w:pPr>
                </w:p>
              </w:tc>
              <w:tc>
                <w:tcPr>
                  <w:tcW w:w="251" w:type="pct"/>
                  <w:vMerge w:val="continue"/>
                  <w:vAlign w:val="center"/>
                </w:tcPr>
                <w:p w14:paraId="441630F1">
                  <w:pPr>
                    <w:jc w:val="center"/>
                    <w:rPr>
                      <w:color w:val="auto"/>
                      <w:szCs w:val="21"/>
                    </w:rPr>
                  </w:pPr>
                </w:p>
              </w:tc>
              <w:tc>
                <w:tcPr>
                  <w:tcW w:w="609" w:type="pct"/>
                  <w:vAlign w:val="center"/>
                </w:tcPr>
                <w:p w14:paraId="226075DA">
                  <w:pPr>
                    <w:jc w:val="center"/>
                    <w:rPr>
                      <w:color w:val="auto"/>
                      <w:szCs w:val="21"/>
                    </w:rPr>
                  </w:pPr>
                  <w:r>
                    <w:rPr>
                      <w:rFonts w:hint="eastAsia"/>
                      <w:color w:val="auto"/>
                      <w:szCs w:val="21"/>
                    </w:rPr>
                    <w:t>叠加后声压</w:t>
                  </w:r>
                  <w:r>
                    <w:rPr>
                      <w:color w:val="auto"/>
                      <w:szCs w:val="21"/>
                    </w:rPr>
                    <w:t>级/dB（A）</w:t>
                  </w:r>
                </w:p>
              </w:tc>
              <w:tc>
                <w:tcPr>
                  <w:tcW w:w="501" w:type="pct"/>
                  <w:vMerge w:val="continue"/>
                  <w:vAlign w:val="center"/>
                </w:tcPr>
                <w:p w14:paraId="6996000A">
                  <w:pPr>
                    <w:jc w:val="center"/>
                    <w:rPr>
                      <w:color w:val="auto"/>
                      <w:szCs w:val="21"/>
                    </w:rPr>
                  </w:pPr>
                </w:p>
              </w:tc>
              <w:tc>
                <w:tcPr>
                  <w:tcW w:w="247" w:type="pct"/>
                  <w:vAlign w:val="center"/>
                </w:tcPr>
                <w:p w14:paraId="3A8C634A">
                  <w:pPr>
                    <w:jc w:val="center"/>
                    <w:rPr>
                      <w:color w:val="auto"/>
                      <w:szCs w:val="21"/>
                    </w:rPr>
                  </w:pPr>
                  <w:r>
                    <w:rPr>
                      <w:color w:val="auto"/>
                      <w:szCs w:val="21"/>
                    </w:rPr>
                    <w:t>X</w:t>
                  </w:r>
                </w:p>
              </w:tc>
              <w:tc>
                <w:tcPr>
                  <w:tcW w:w="225" w:type="pct"/>
                  <w:vAlign w:val="center"/>
                </w:tcPr>
                <w:p w14:paraId="36C9D7B0">
                  <w:pPr>
                    <w:jc w:val="center"/>
                    <w:rPr>
                      <w:color w:val="auto"/>
                      <w:szCs w:val="21"/>
                    </w:rPr>
                  </w:pPr>
                  <w:r>
                    <w:rPr>
                      <w:color w:val="auto"/>
                      <w:szCs w:val="21"/>
                    </w:rPr>
                    <w:t>Y</w:t>
                  </w:r>
                </w:p>
              </w:tc>
              <w:tc>
                <w:tcPr>
                  <w:tcW w:w="220" w:type="pct"/>
                  <w:vAlign w:val="center"/>
                </w:tcPr>
                <w:p w14:paraId="7864518D">
                  <w:pPr>
                    <w:jc w:val="center"/>
                    <w:rPr>
                      <w:color w:val="auto"/>
                      <w:szCs w:val="21"/>
                    </w:rPr>
                  </w:pPr>
                  <w:r>
                    <w:rPr>
                      <w:color w:val="auto"/>
                      <w:szCs w:val="21"/>
                    </w:rPr>
                    <w:t>Z</w:t>
                  </w:r>
                </w:p>
              </w:tc>
              <w:tc>
                <w:tcPr>
                  <w:tcW w:w="322" w:type="pct"/>
                  <w:vMerge w:val="continue"/>
                  <w:vAlign w:val="center"/>
                </w:tcPr>
                <w:p w14:paraId="3B998D87">
                  <w:pPr>
                    <w:widowControl/>
                    <w:adjustRightInd w:val="0"/>
                    <w:snapToGrid w:val="0"/>
                    <w:jc w:val="center"/>
                    <w:rPr>
                      <w:color w:val="auto"/>
                      <w:kern w:val="0"/>
                      <w:szCs w:val="21"/>
                    </w:rPr>
                  </w:pPr>
                </w:p>
              </w:tc>
              <w:tc>
                <w:tcPr>
                  <w:tcW w:w="348" w:type="pct"/>
                  <w:vMerge w:val="continue"/>
                  <w:vAlign w:val="center"/>
                </w:tcPr>
                <w:p w14:paraId="0CD73EE6">
                  <w:pPr>
                    <w:widowControl/>
                    <w:adjustRightInd w:val="0"/>
                    <w:snapToGrid w:val="0"/>
                    <w:jc w:val="center"/>
                    <w:rPr>
                      <w:color w:val="auto"/>
                      <w:kern w:val="0"/>
                      <w:szCs w:val="21"/>
                    </w:rPr>
                  </w:pPr>
                </w:p>
              </w:tc>
              <w:tc>
                <w:tcPr>
                  <w:tcW w:w="251" w:type="pct"/>
                  <w:vMerge w:val="continue"/>
                  <w:vAlign w:val="center"/>
                </w:tcPr>
                <w:p w14:paraId="3894C2A4">
                  <w:pPr>
                    <w:jc w:val="center"/>
                    <w:rPr>
                      <w:color w:val="auto"/>
                      <w:szCs w:val="21"/>
                    </w:rPr>
                  </w:pPr>
                </w:p>
              </w:tc>
              <w:tc>
                <w:tcPr>
                  <w:tcW w:w="380" w:type="pct"/>
                  <w:vMerge w:val="continue"/>
                  <w:vAlign w:val="center"/>
                </w:tcPr>
                <w:p w14:paraId="3DFBD330">
                  <w:pPr>
                    <w:jc w:val="center"/>
                    <w:rPr>
                      <w:color w:val="auto"/>
                      <w:szCs w:val="21"/>
                    </w:rPr>
                  </w:pPr>
                </w:p>
              </w:tc>
              <w:tc>
                <w:tcPr>
                  <w:tcW w:w="381" w:type="pct"/>
                  <w:vAlign w:val="center"/>
                </w:tcPr>
                <w:p w14:paraId="00E1A877">
                  <w:pPr>
                    <w:widowControl/>
                    <w:jc w:val="center"/>
                    <w:rPr>
                      <w:color w:val="auto"/>
                      <w:szCs w:val="21"/>
                    </w:rPr>
                  </w:pPr>
                  <w:r>
                    <w:rPr>
                      <w:color w:val="auto"/>
                      <w:kern w:val="0"/>
                      <w:szCs w:val="21"/>
                      <w:lang w:bidi="ar"/>
                    </w:rPr>
                    <w:t>声压级</w:t>
                  </w:r>
                </w:p>
                <w:p w14:paraId="6C089067">
                  <w:pPr>
                    <w:widowControl/>
                    <w:jc w:val="center"/>
                    <w:rPr>
                      <w:color w:val="auto"/>
                      <w:szCs w:val="21"/>
                    </w:rPr>
                  </w:pPr>
                  <w:r>
                    <w:rPr>
                      <w:color w:val="auto"/>
                      <w:kern w:val="0"/>
                      <w:szCs w:val="21"/>
                      <w:lang w:bidi="ar"/>
                    </w:rPr>
                    <w:t>/dB（A）</w:t>
                  </w:r>
                </w:p>
              </w:tc>
              <w:tc>
                <w:tcPr>
                  <w:tcW w:w="399" w:type="pct"/>
                  <w:vAlign w:val="center"/>
                </w:tcPr>
                <w:p w14:paraId="1F98C1F2">
                  <w:pPr>
                    <w:jc w:val="center"/>
                    <w:rPr>
                      <w:color w:val="auto"/>
                      <w:szCs w:val="21"/>
                    </w:rPr>
                  </w:pPr>
                  <w:r>
                    <w:rPr>
                      <w:color w:val="auto"/>
                      <w:szCs w:val="21"/>
                    </w:rPr>
                    <w:t>建筑物外距离/m</w:t>
                  </w:r>
                </w:p>
              </w:tc>
            </w:tr>
            <w:tr w14:paraId="01A7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 w:type="pct"/>
                  <w:vMerge w:val="restart"/>
                  <w:vAlign w:val="center"/>
                </w:tcPr>
                <w:p w14:paraId="2C604568">
                  <w:pPr>
                    <w:jc w:val="center"/>
                    <w:rPr>
                      <w:color w:val="auto"/>
                      <w:szCs w:val="21"/>
                    </w:rPr>
                  </w:pPr>
                  <w:r>
                    <w:rPr>
                      <w:color w:val="auto"/>
                      <w:szCs w:val="21"/>
                    </w:rPr>
                    <w:t>1</w:t>
                  </w:r>
                </w:p>
              </w:tc>
              <w:tc>
                <w:tcPr>
                  <w:tcW w:w="249" w:type="pct"/>
                  <w:vMerge w:val="restart"/>
                  <w:vAlign w:val="center"/>
                </w:tcPr>
                <w:p w14:paraId="24F887CF">
                  <w:pPr>
                    <w:contextualSpacing/>
                    <w:jc w:val="center"/>
                    <w:rPr>
                      <w:color w:val="auto"/>
                      <w:kern w:val="0"/>
                      <w:szCs w:val="21"/>
                    </w:rPr>
                  </w:pPr>
                  <w:r>
                    <w:rPr>
                      <w:color w:val="auto"/>
                      <w:kern w:val="0"/>
                      <w:szCs w:val="21"/>
                    </w:rPr>
                    <w:t>生产</w:t>
                  </w:r>
                </w:p>
                <w:p w14:paraId="45C9F368">
                  <w:pPr>
                    <w:jc w:val="center"/>
                    <w:rPr>
                      <w:color w:val="auto"/>
                      <w:szCs w:val="21"/>
                    </w:rPr>
                  </w:pPr>
                  <w:r>
                    <w:rPr>
                      <w:color w:val="auto"/>
                      <w:kern w:val="0"/>
                      <w:szCs w:val="21"/>
                    </w:rPr>
                    <w:t>车间</w:t>
                  </w:r>
                </w:p>
              </w:tc>
              <w:tc>
                <w:tcPr>
                  <w:tcW w:w="489" w:type="pct"/>
                  <w:vAlign w:val="center"/>
                </w:tcPr>
                <w:p w14:paraId="636F1AE0">
                  <w:pPr>
                    <w:jc w:val="center"/>
                    <w:rPr>
                      <w:color w:val="auto"/>
                      <w:kern w:val="0"/>
                      <w:szCs w:val="21"/>
                    </w:rPr>
                  </w:pPr>
                  <w:r>
                    <w:rPr>
                      <w:rFonts w:hint="eastAsia"/>
                      <w:color w:val="FF0000"/>
                      <w:lang w:val="en-US" w:eastAsia="zh-CN"/>
                    </w:rPr>
                    <w:t>卧式循环水泵</w:t>
                  </w:r>
                </w:p>
              </w:tc>
              <w:tc>
                <w:tcPr>
                  <w:tcW w:w="251" w:type="pct"/>
                  <w:vAlign w:val="center"/>
                </w:tcPr>
                <w:p w14:paraId="3E3C0B93">
                  <w:pPr>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2</w:t>
                  </w:r>
                </w:p>
              </w:tc>
              <w:tc>
                <w:tcPr>
                  <w:tcW w:w="609" w:type="pct"/>
                  <w:vAlign w:val="center"/>
                </w:tcPr>
                <w:p w14:paraId="2A9DEE1B">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78</w:t>
                  </w:r>
                </w:p>
              </w:tc>
              <w:tc>
                <w:tcPr>
                  <w:tcW w:w="501" w:type="pct"/>
                  <w:vMerge w:val="restart"/>
                  <w:vAlign w:val="center"/>
                </w:tcPr>
                <w:p w14:paraId="74292C82">
                  <w:pPr>
                    <w:widowControl/>
                    <w:adjustRightInd w:val="0"/>
                    <w:snapToGrid w:val="0"/>
                    <w:jc w:val="center"/>
                    <w:rPr>
                      <w:color w:val="auto"/>
                      <w:szCs w:val="21"/>
                    </w:rPr>
                  </w:pPr>
                  <w:r>
                    <w:rPr>
                      <w:color w:val="auto"/>
                      <w:kern w:val="0"/>
                      <w:szCs w:val="21"/>
                    </w:rPr>
                    <w:t>采用低噪声设备</w:t>
                  </w:r>
                  <w:r>
                    <w:rPr>
                      <w:rFonts w:hint="eastAsia"/>
                      <w:color w:val="auto"/>
                      <w:kern w:val="0"/>
                      <w:szCs w:val="21"/>
                    </w:rPr>
                    <w:t>、</w:t>
                  </w:r>
                  <w:r>
                    <w:rPr>
                      <w:color w:val="auto"/>
                      <w:kern w:val="0"/>
                      <w:szCs w:val="21"/>
                    </w:rPr>
                    <w:t>合理布局</w:t>
                  </w:r>
                  <w:r>
                    <w:rPr>
                      <w:rFonts w:hint="eastAsia"/>
                      <w:color w:val="auto"/>
                      <w:kern w:val="0"/>
                      <w:szCs w:val="21"/>
                    </w:rPr>
                    <w:t>、</w:t>
                  </w:r>
                  <w:r>
                    <w:rPr>
                      <w:color w:val="auto"/>
                      <w:szCs w:val="21"/>
                    </w:rPr>
                    <w:t>基础减振、</w:t>
                  </w:r>
                  <w:r>
                    <w:rPr>
                      <w:rFonts w:hint="eastAsia"/>
                      <w:color w:val="auto"/>
                      <w:kern w:val="0"/>
                      <w:szCs w:val="21"/>
                    </w:rPr>
                    <w:t>厂房隔声、距离衰减等</w:t>
                  </w:r>
                </w:p>
              </w:tc>
              <w:tc>
                <w:tcPr>
                  <w:tcW w:w="247" w:type="pct"/>
                  <w:vAlign w:val="center"/>
                </w:tcPr>
                <w:p w14:paraId="684B41D7">
                  <w:pPr>
                    <w:widowControl/>
                    <w:jc w:val="center"/>
                    <w:textAlignment w:val="center"/>
                    <w:rPr>
                      <w:rFonts w:hint="eastAsia" w:eastAsia="宋体"/>
                      <w:color w:val="auto"/>
                      <w:kern w:val="0"/>
                      <w:szCs w:val="21"/>
                      <w:lang w:val="en-US" w:eastAsia="zh-CN"/>
                    </w:rPr>
                  </w:pPr>
                  <w:r>
                    <w:rPr>
                      <w:rFonts w:hint="eastAsia"/>
                      <w:color w:val="auto"/>
                      <w:kern w:val="0"/>
                      <w:szCs w:val="21"/>
                      <w:lang w:val="en-US" w:eastAsia="zh-CN"/>
                    </w:rPr>
                    <w:t>3</w:t>
                  </w:r>
                </w:p>
              </w:tc>
              <w:tc>
                <w:tcPr>
                  <w:tcW w:w="225" w:type="pct"/>
                  <w:vAlign w:val="center"/>
                </w:tcPr>
                <w:p w14:paraId="18EB0926">
                  <w:pPr>
                    <w:widowControl/>
                    <w:jc w:val="center"/>
                    <w:textAlignment w:val="center"/>
                    <w:rPr>
                      <w:rFonts w:hint="eastAsia" w:eastAsia="宋体"/>
                      <w:color w:val="auto"/>
                      <w:kern w:val="0"/>
                      <w:szCs w:val="21"/>
                      <w:lang w:val="en-US" w:eastAsia="zh-CN"/>
                    </w:rPr>
                  </w:pPr>
                  <w:r>
                    <w:rPr>
                      <w:rFonts w:hint="eastAsia"/>
                      <w:color w:val="auto"/>
                      <w:kern w:val="0"/>
                      <w:szCs w:val="21"/>
                      <w:lang w:val="en-US" w:eastAsia="zh-CN"/>
                    </w:rPr>
                    <w:t>8</w:t>
                  </w:r>
                </w:p>
              </w:tc>
              <w:tc>
                <w:tcPr>
                  <w:tcW w:w="220" w:type="pct"/>
                  <w:vAlign w:val="center"/>
                </w:tcPr>
                <w:p w14:paraId="33571393">
                  <w:pPr>
                    <w:jc w:val="center"/>
                    <w:rPr>
                      <w:rFonts w:hint="eastAsia" w:eastAsia="宋体"/>
                      <w:color w:val="auto"/>
                      <w:kern w:val="0"/>
                      <w:szCs w:val="21"/>
                      <w:lang w:val="en-US" w:eastAsia="zh-CN"/>
                    </w:rPr>
                  </w:pPr>
                  <w:r>
                    <w:rPr>
                      <w:rFonts w:hint="eastAsia"/>
                      <w:color w:val="auto"/>
                      <w:kern w:val="0"/>
                      <w:szCs w:val="21"/>
                      <w:lang w:val="en-US" w:eastAsia="zh-CN"/>
                    </w:rPr>
                    <w:t>1</w:t>
                  </w:r>
                </w:p>
              </w:tc>
              <w:tc>
                <w:tcPr>
                  <w:tcW w:w="322" w:type="pct"/>
                  <w:vAlign w:val="center"/>
                </w:tcPr>
                <w:p w14:paraId="3371AC1A">
                  <w:pPr>
                    <w:jc w:val="center"/>
                    <w:rPr>
                      <w:rFonts w:hint="eastAsia" w:eastAsia="宋体"/>
                      <w:color w:val="auto"/>
                      <w:szCs w:val="21"/>
                      <w:lang w:val="en-US" w:eastAsia="zh-CN"/>
                    </w:rPr>
                  </w:pPr>
                  <w:r>
                    <w:rPr>
                      <w:rFonts w:hint="eastAsia"/>
                      <w:color w:val="auto"/>
                      <w:szCs w:val="21"/>
                      <w:lang w:val="en-US" w:eastAsia="zh-CN"/>
                    </w:rPr>
                    <w:t>1</w:t>
                  </w:r>
                </w:p>
              </w:tc>
              <w:tc>
                <w:tcPr>
                  <w:tcW w:w="348" w:type="pct"/>
                  <w:vAlign w:val="center"/>
                </w:tcPr>
                <w:p w14:paraId="6FC9DD46">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78</w:t>
                  </w:r>
                </w:p>
              </w:tc>
              <w:tc>
                <w:tcPr>
                  <w:tcW w:w="251" w:type="pct"/>
                  <w:vMerge w:val="restart"/>
                  <w:vAlign w:val="center"/>
                </w:tcPr>
                <w:p w14:paraId="5725A1DB">
                  <w:pPr>
                    <w:jc w:val="center"/>
                    <w:rPr>
                      <w:color w:val="auto"/>
                      <w:szCs w:val="21"/>
                    </w:rPr>
                  </w:pPr>
                  <w:r>
                    <w:rPr>
                      <w:rFonts w:hint="eastAsia"/>
                      <w:color w:val="auto"/>
                      <w:kern w:val="0"/>
                      <w:szCs w:val="20"/>
                    </w:rPr>
                    <w:t>白天运行，每天8h</w:t>
                  </w:r>
                </w:p>
              </w:tc>
              <w:tc>
                <w:tcPr>
                  <w:tcW w:w="380" w:type="pct"/>
                  <w:vAlign w:val="center"/>
                </w:tcPr>
                <w:p w14:paraId="0069FB79">
                  <w:pPr>
                    <w:jc w:val="center"/>
                    <w:rPr>
                      <w:rFonts w:hint="default" w:eastAsia="宋体"/>
                      <w:color w:val="auto"/>
                      <w:szCs w:val="21"/>
                      <w:lang w:val="en-US" w:eastAsia="zh-CN"/>
                    </w:rPr>
                  </w:pPr>
                  <w:r>
                    <w:rPr>
                      <w:rFonts w:hint="eastAsia"/>
                      <w:color w:val="auto"/>
                      <w:szCs w:val="21"/>
                      <w:lang w:val="en-US" w:eastAsia="zh-CN"/>
                    </w:rPr>
                    <w:t>25</w:t>
                  </w:r>
                </w:p>
              </w:tc>
              <w:tc>
                <w:tcPr>
                  <w:tcW w:w="381" w:type="pct"/>
                  <w:vAlign w:val="center"/>
                </w:tcPr>
                <w:p w14:paraId="5BAF4052">
                  <w:pPr>
                    <w:jc w:val="center"/>
                    <w:rPr>
                      <w:rFonts w:hint="default" w:eastAsia="宋体"/>
                      <w:color w:val="auto"/>
                      <w:kern w:val="0"/>
                      <w:szCs w:val="21"/>
                      <w:lang w:val="en-US" w:eastAsia="zh-CN"/>
                    </w:rPr>
                  </w:pPr>
                  <w:r>
                    <w:rPr>
                      <w:rFonts w:hint="eastAsia"/>
                      <w:color w:val="auto"/>
                      <w:kern w:val="0"/>
                      <w:szCs w:val="21"/>
                      <w:lang w:val="en-US" w:eastAsia="zh-CN"/>
                    </w:rPr>
                    <w:t>53</w:t>
                  </w:r>
                </w:p>
              </w:tc>
              <w:tc>
                <w:tcPr>
                  <w:tcW w:w="399" w:type="pct"/>
                  <w:vAlign w:val="center"/>
                </w:tcPr>
                <w:p w14:paraId="5594ADE8">
                  <w:pPr>
                    <w:widowControl/>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1</w:t>
                  </w:r>
                </w:p>
              </w:tc>
            </w:tr>
            <w:tr w14:paraId="1B44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 w:type="pct"/>
                  <w:vMerge w:val="continue"/>
                  <w:vAlign w:val="center"/>
                </w:tcPr>
                <w:p w14:paraId="221ECDD9">
                  <w:pPr>
                    <w:jc w:val="center"/>
                    <w:rPr>
                      <w:color w:val="auto"/>
                      <w:szCs w:val="21"/>
                    </w:rPr>
                  </w:pPr>
                </w:p>
              </w:tc>
              <w:tc>
                <w:tcPr>
                  <w:tcW w:w="249" w:type="pct"/>
                  <w:vMerge w:val="continue"/>
                  <w:vAlign w:val="center"/>
                </w:tcPr>
                <w:p w14:paraId="69AF6BFE">
                  <w:pPr>
                    <w:jc w:val="center"/>
                    <w:rPr>
                      <w:color w:val="auto"/>
                      <w:kern w:val="0"/>
                      <w:szCs w:val="21"/>
                    </w:rPr>
                  </w:pPr>
                </w:p>
              </w:tc>
              <w:tc>
                <w:tcPr>
                  <w:tcW w:w="489" w:type="pct"/>
                  <w:vAlign w:val="center"/>
                </w:tcPr>
                <w:p w14:paraId="2575BB24">
                  <w:pPr>
                    <w:jc w:val="center"/>
                    <w:rPr>
                      <w:color w:val="auto"/>
                      <w:kern w:val="0"/>
                      <w:szCs w:val="21"/>
                    </w:rPr>
                  </w:pPr>
                  <w:r>
                    <w:rPr>
                      <w:rFonts w:hint="eastAsia"/>
                      <w:color w:val="FF0000"/>
                      <w:lang w:val="en-US" w:eastAsia="zh-CN"/>
                    </w:rPr>
                    <w:t>高真空泵</w:t>
                  </w:r>
                </w:p>
              </w:tc>
              <w:tc>
                <w:tcPr>
                  <w:tcW w:w="251" w:type="pct"/>
                  <w:vAlign w:val="center"/>
                </w:tcPr>
                <w:p w14:paraId="2678C30B">
                  <w:pPr>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3</w:t>
                  </w:r>
                </w:p>
              </w:tc>
              <w:tc>
                <w:tcPr>
                  <w:tcW w:w="609" w:type="pct"/>
                  <w:vAlign w:val="center"/>
                </w:tcPr>
                <w:p w14:paraId="56FE0BB3">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81</w:t>
                  </w:r>
                </w:p>
              </w:tc>
              <w:tc>
                <w:tcPr>
                  <w:tcW w:w="501" w:type="pct"/>
                  <w:vMerge w:val="continue"/>
                  <w:vAlign w:val="center"/>
                </w:tcPr>
                <w:p w14:paraId="368F1246">
                  <w:pPr>
                    <w:widowControl/>
                    <w:adjustRightInd w:val="0"/>
                    <w:snapToGrid w:val="0"/>
                    <w:jc w:val="center"/>
                    <w:rPr>
                      <w:color w:val="auto"/>
                      <w:kern w:val="0"/>
                      <w:szCs w:val="21"/>
                    </w:rPr>
                  </w:pPr>
                </w:p>
              </w:tc>
              <w:tc>
                <w:tcPr>
                  <w:tcW w:w="247" w:type="pct"/>
                  <w:vAlign w:val="center"/>
                </w:tcPr>
                <w:p w14:paraId="2BF3934B">
                  <w:pPr>
                    <w:widowControl/>
                    <w:jc w:val="center"/>
                    <w:textAlignment w:val="center"/>
                    <w:rPr>
                      <w:rFonts w:hint="eastAsia" w:eastAsia="宋体"/>
                      <w:color w:val="auto"/>
                      <w:kern w:val="0"/>
                      <w:szCs w:val="21"/>
                      <w:lang w:val="en-US" w:eastAsia="zh-CN"/>
                    </w:rPr>
                  </w:pPr>
                  <w:r>
                    <w:rPr>
                      <w:rFonts w:hint="eastAsia"/>
                      <w:color w:val="auto"/>
                      <w:kern w:val="0"/>
                      <w:szCs w:val="21"/>
                      <w:lang w:val="en-US" w:eastAsia="zh-CN"/>
                    </w:rPr>
                    <w:t>3</w:t>
                  </w:r>
                </w:p>
              </w:tc>
              <w:tc>
                <w:tcPr>
                  <w:tcW w:w="225" w:type="pct"/>
                  <w:vAlign w:val="center"/>
                </w:tcPr>
                <w:p w14:paraId="25D18588">
                  <w:pPr>
                    <w:widowControl/>
                    <w:jc w:val="center"/>
                    <w:textAlignment w:val="center"/>
                    <w:rPr>
                      <w:rFonts w:hint="default" w:eastAsia="宋体"/>
                      <w:color w:val="auto"/>
                      <w:kern w:val="0"/>
                      <w:szCs w:val="21"/>
                      <w:lang w:val="en-US" w:eastAsia="zh-CN"/>
                    </w:rPr>
                  </w:pPr>
                  <w:r>
                    <w:rPr>
                      <w:rFonts w:hint="eastAsia"/>
                      <w:color w:val="auto"/>
                      <w:kern w:val="0"/>
                      <w:szCs w:val="21"/>
                      <w:lang w:val="en-US" w:eastAsia="zh-CN"/>
                    </w:rPr>
                    <w:t>10</w:t>
                  </w:r>
                </w:p>
              </w:tc>
              <w:tc>
                <w:tcPr>
                  <w:tcW w:w="220" w:type="pct"/>
                  <w:vAlign w:val="center"/>
                </w:tcPr>
                <w:p w14:paraId="654662CB">
                  <w:pPr>
                    <w:jc w:val="center"/>
                    <w:rPr>
                      <w:rFonts w:hint="eastAsia" w:eastAsia="宋体"/>
                      <w:color w:val="auto"/>
                      <w:kern w:val="0"/>
                      <w:szCs w:val="21"/>
                      <w:lang w:val="en-US" w:eastAsia="zh-CN"/>
                    </w:rPr>
                  </w:pPr>
                  <w:r>
                    <w:rPr>
                      <w:rFonts w:hint="eastAsia"/>
                      <w:color w:val="auto"/>
                      <w:kern w:val="0"/>
                      <w:szCs w:val="21"/>
                      <w:lang w:val="en-US" w:eastAsia="zh-CN"/>
                    </w:rPr>
                    <w:t>1</w:t>
                  </w:r>
                </w:p>
              </w:tc>
              <w:tc>
                <w:tcPr>
                  <w:tcW w:w="322" w:type="pct"/>
                  <w:vAlign w:val="center"/>
                </w:tcPr>
                <w:p w14:paraId="0631E36E">
                  <w:pPr>
                    <w:jc w:val="center"/>
                    <w:rPr>
                      <w:rFonts w:hint="eastAsia" w:eastAsia="宋体"/>
                      <w:color w:val="auto"/>
                      <w:szCs w:val="21"/>
                      <w:lang w:val="en-US" w:eastAsia="zh-CN"/>
                    </w:rPr>
                  </w:pPr>
                  <w:r>
                    <w:rPr>
                      <w:rFonts w:hint="eastAsia"/>
                      <w:color w:val="auto"/>
                      <w:szCs w:val="21"/>
                      <w:lang w:val="en-US" w:eastAsia="zh-CN"/>
                    </w:rPr>
                    <w:t>1</w:t>
                  </w:r>
                </w:p>
              </w:tc>
              <w:tc>
                <w:tcPr>
                  <w:tcW w:w="348" w:type="pct"/>
                  <w:vAlign w:val="center"/>
                </w:tcPr>
                <w:p w14:paraId="25B2C3BF">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81</w:t>
                  </w:r>
                </w:p>
              </w:tc>
              <w:tc>
                <w:tcPr>
                  <w:tcW w:w="251" w:type="pct"/>
                  <w:vMerge w:val="continue"/>
                  <w:vAlign w:val="center"/>
                </w:tcPr>
                <w:p w14:paraId="725DD91B">
                  <w:pPr>
                    <w:jc w:val="center"/>
                    <w:rPr>
                      <w:rFonts w:hint="eastAsia"/>
                      <w:color w:val="auto"/>
                      <w:kern w:val="0"/>
                      <w:szCs w:val="20"/>
                    </w:rPr>
                  </w:pPr>
                </w:p>
              </w:tc>
              <w:tc>
                <w:tcPr>
                  <w:tcW w:w="380" w:type="pct"/>
                  <w:vAlign w:val="center"/>
                </w:tcPr>
                <w:p w14:paraId="4CDDE433">
                  <w:pPr>
                    <w:jc w:val="center"/>
                    <w:rPr>
                      <w:rFonts w:hint="default" w:eastAsia="宋体"/>
                      <w:color w:val="auto"/>
                      <w:szCs w:val="21"/>
                      <w:lang w:val="en-US" w:eastAsia="zh-CN"/>
                    </w:rPr>
                  </w:pPr>
                  <w:r>
                    <w:rPr>
                      <w:rFonts w:hint="eastAsia"/>
                      <w:color w:val="auto"/>
                      <w:szCs w:val="21"/>
                      <w:lang w:val="en-US" w:eastAsia="zh-CN"/>
                    </w:rPr>
                    <w:t>25</w:t>
                  </w:r>
                </w:p>
              </w:tc>
              <w:tc>
                <w:tcPr>
                  <w:tcW w:w="381" w:type="pct"/>
                  <w:vAlign w:val="center"/>
                </w:tcPr>
                <w:p w14:paraId="6DAC8894">
                  <w:pPr>
                    <w:jc w:val="center"/>
                    <w:rPr>
                      <w:rFonts w:hint="default" w:eastAsia="宋体"/>
                      <w:color w:val="auto"/>
                      <w:kern w:val="0"/>
                      <w:szCs w:val="21"/>
                      <w:lang w:val="en-US" w:eastAsia="zh-CN"/>
                    </w:rPr>
                  </w:pPr>
                  <w:r>
                    <w:rPr>
                      <w:rFonts w:hint="eastAsia"/>
                      <w:color w:val="auto"/>
                      <w:kern w:val="0"/>
                      <w:szCs w:val="21"/>
                      <w:lang w:val="en-US" w:eastAsia="zh-CN"/>
                    </w:rPr>
                    <w:t>56</w:t>
                  </w:r>
                </w:p>
              </w:tc>
              <w:tc>
                <w:tcPr>
                  <w:tcW w:w="399" w:type="pct"/>
                  <w:vAlign w:val="center"/>
                </w:tcPr>
                <w:p w14:paraId="47AEB61F">
                  <w:pPr>
                    <w:widowControl/>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1</w:t>
                  </w:r>
                </w:p>
              </w:tc>
            </w:tr>
            <w:tr w14:paraId="2AA4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 w:type="pct"/>
                  <w:vMerge w:val="continue"/>
                  <w:vAlign w:val="center"/>
                </w:tcPr>
                <w:p w14:paraId="591DE268">
                  <w:pPr>
                    <w:jc w:val="center"/>
                    <w:rPr>
                      <w:color w:val="auto"/>
                      <w:szCs w:val="21"/>
                    </w:rPr>
                  </w:pPr>
                </w:p>
              </w:tc>
              <w:tc>
                <w:tcPr>
                  <w:tcW w:w="249" w:type="pct"/>
                  <w:vMerge w:val="continue"/>
                  <w:vAlign w:val="center"/>
                </w:tcPr>
                <w:p w14:paraId="55E40C2C">
                  <w:pPr>
                    <w:jc w:val="center"/>
                    <w:rPr>
                      <w:color w:val="auto"/>
                      <w:szCs w:val="21"/>
                    </w:rPr>
                  </w:pPr>
                </w:p>
              </w:tc>
              <w:tc>
                <w:tcPr>
                  <w:tcW w:w="489" w:type="pct"/>
                  <w:vAlign w:val="center"/>
                </w:tcPr>
                <w:p w14:paraId="28B3C821">
                  <w:pPr>
                    <w:snapToGrid w:val="0"/>
                    <w:jc w:val="center"/>
                    <w:rPr>
                      <w:color w:val="auto"/>
                      <w:kern w:val="0"/>
                      <w:szCs w:val="21"/>
                    </w:rPr>
                  </w:pPr>
                  <w:r>
                    <w:rPr>
                      <w:color w:val="auto"/>
                      <w:kern w:val="0"/>
                      <w:szCs w:val="21"/>
                    </w:rPr>
                    <w:t>鼓风干燥箱</w:t>
                  </w:r>
                </w:p>
              </w:tc>
              <w:tc>
                <w:tcPr>
                  <w:tcW w:w="251" w:type="pct"/>
                  <w:vAlign w:val="center"/>
                </w:tcPr>
                <w:p w14:paraId="14117328">
                  <w:pPr>
                    <w:adjustRightInd w:val="0"/>
                    <w:snapToGrid w:val="0"/>
                    <w:jc w:val="center"/>
                    <w:textAlignment w:val="center"/>
                    <w:rPr>
                      <w:color w:val="auto"/>
                      <w:szCs w:val="21"/>
                    </w:rPr>
                  </w:pPr>
                  <w:r>
                    <w:rPr>
                      <w:rFonts w:hint="eastAsia"/>
                      <w:color w:val="auto"/>
                      <w:szCs w:val="21"/>
                    </w:rPr>
                    <w:t>1</w:t>
                  </w:r>
                </w:p>
              </w:tc>
              <w:tc>
                <w:tcPr>
                  <w:tcW w:w="609" w:type="pct"/>
                  <w:vAlign w:val="center"/>
                </w:tcPr>
                <w:p w14:paraId="7C7B7ED9">
                  <w:pPr>
                    <w:adjustRightInd w:val="0"/>
                    <w:snapToGrid w:val="0"/>
                    <w:jc w:val="center"/>
                    <w:rPr>
                      <w:color w:val="auto"/>
                      <w:kern w:val="0"/>
                      <w:szCs w:val="21"/>
                    </w:rPr>
                  </w:pPr>
                  <w:r>
                    <w:rPr>
                      <w:rFonts w:hint="eastAsia"/>
                      <w:color w:val="auto"/>
                      <w:kern w:val="0"/>
                      <w:szCs w:val="21"/>
                    </w:rPr>
                    <w:t>75</w:t>
                  </w:r>
                </w:p>
              </w:tc>
              <w:tc>
                <w:tcPr>
                  <w:tcW w:w="501" w:type="pct"/>
                  <w:vMerge w:val="continue"/>
                  <w:vAlign w:val="center"/>
                </w:tcPr>
                <w:p w14:paraId="28BE4950">
                  <w:pPr>
                    <w:widowControl/>
                    <w:adjustRightInd w:val="0"/>
                    <w:snapToGrid w:val="0"/>
                    <w:jc w:val="center"/>
                    <w:rPr>
                      <w:color w:val="auto"/>
                      <w:szCs w:val="21"/>
                    </w:rPr>
                  </w:pPr>
                </w:p>
              </w:tc>
              <w:tc>
                <w:tcPr>
                  <w:tcW w:w="247" w:type="pct"/>
                  <w:vAlign w:val="center"/>
                </w:tcPr>
                <w:p w14:paraId="270F4CEB">
                  <w:pPr>
                    <w:widowControl/>
                    <w:jc w:val="center"/>
                    <w:textAlignment w:val="center"/>
                    <w:rPr>
                      <w:color w:val="auto"/>
                      <w:kern w:val="0"/>
                      <w:szCs w:val="21"/>
                    </w:rPr>
                  </w:pPr>
                  <w:r>
                    <w:rPr>
                      <w:rFonts w:hint="eastAsia"/>
                      <w:color w:val="auto"/>
                      <w:kern w:val="0"/>
                      <w:szCs w:val="21"/>
                    </w:rPr>
                    <w:t>1</w:t>
                  </w:r>
                </w:p>
              </w:tc>
              <w:tc>
                <w:tcPr>
                  <w:tcW w:w="225" w:type="pct"/>
                  <w:vAlign w:val="center"/>
                </w:tcPr>
                <w:p w14:paraId="11069875">
                  <w:pPr>
                    <w:widowControl/>
                    <w:jc w:val="center"/>
                    <w:textAlignment w:val="center"/>
                    <w:rPr>
                      <w:color w:val="auto"/>
                      <w:kern w:val="0"/>
                      <w:szCs w:val="21"/>
                    </w:rPr>
                  </w:pPr>
                  <w:r>
                    <w:rPr>
                      <w:rFonts w:hint="eastAsia"/>
                      <w:color w:val="auto"/>
                      <w:kern w:val="0"/>
                      <w:szCs w:val="21"/>
                    </w:rPr>
                    <w:t>5</w:t>
                  </w:r>
                </w:p>
              </w:tc>
              <w:tc>
                <w:tcPr>
                  <w:tcW w:w="220" w:type="pct"/>
                  <w:vAlign w:val="center"/>
                </w:tcPr>
                <w:p w14:paraId="4513861D">
                  <w:pPr>
                    <w:jc w:val="center"/>
                    <w:rPr>
                      <w:color w:val="auto"/>
                      <w:kern w:val="0"/>
                      <w:szCs w:val="21"/>
                    </w:rPr>
                  </w:pPr>
                  <w:r>
                    <w:rPr>
                      <w:rFonts w:hint="eastAsia"/>
                      <w:color w:val="auto"/>
                      <w:kern w:val="0"/>
                      <w:szCs w:val="21"/>
                    </w:rPr>
                    <w:t>1</w:t>
                  </w:r>
                </w:p>
              </w:tc>
              <w:tc>
                <w:tcPr>
                  <w:tcW w:w="322" w:type="pct"/>
                  <w:vAlign w:val="center"/>
                </w:tcPr>
                <w:p w14:paraId="190CD690">
                  <w:pPr>
                    <w:jc w:val="center"/>
                    <w:rPr>
                      <w:color w:val="auto"/>
                      <w:szCs w:val="21"/>
                    </w:rPr>
                  </w:pPr>
                  <w:r>
                    <w:rPr>
                      <w:rFonts w:hint="eastAsia"/>
                      <w:color w:val="auto"/>
                      <w:szCs w:val="21"/>
                    </w:rPr>
                    <w:t>1</w:t>
                  </w:r>
                </w:p>
              </w:tc>
              <w:tc>
                <w:tcPr>
                  <w:tcW w:w="348" w:type="pct"/>
                  <w:vAlign w:val="center"/>
                </w:tcPr>
                <w:p w14:paraId="1C90057E">
                  <w:pPr>
                    <w:adjustRightInd w:val="0"/>
                    <w:snapToGrid w:val="0"/>
                    <w:jc w:val="center"/>
                    <w:rPr>
                      <w:color w:val="auto"/>
                      <w:kern w:val="0"/>
                      <w:szCs w:val="21"/>
                    </w:rPr>
                  </w:pPr>
                  <w:r>
                    <w:rPr>
                      <w:rFonts w:hint="eastAsia"/>
                      <w:color w:val="auto"/>
                      <w:kern w:val="0"/>
                      <w:szCs w:val="21"/>
                    </w:rPr>
                    <w:t>75</w:t>
                  </w:r>
                </w:p>
              </w:tc>
              <w:tc>
                <w:tcPr>
                  <w:tcW w:w="251" w:type="pct"/>
                  <w:vMerge w:val="continue"/>
                  <w:vAlign w:val="center"/>
                </w:tcPr>
                <w:p w14:paraId="5C2F6892">
                  <w:pPr>
                    <w:jc w:val="center"/>
                    <w:rPr>
                      <w:color w:val="auto"/>
                      <w:szCs w:val="21"/>
                    </w:rPr>
                  </w:pPr>
                </w:p>
              </w:tc>
              <w:tc>
                <w:tcPr>
                  <w:tcW w:w="380" w:type="pct"/>
                  <w:vAlign w:val="center"/>
                </w:tcPr>
                <w:p w14:paraId="21CB92EA">
                  <w:pPr>
                    <w:jc w:val="center"/>
                    <w:rPr>
                      <w:color w:val="auto"/>
                      <w:szCs w:val="21"/>
                    </w:rPr>
                  </w:pPr>
                  <w:r>
                    <w:rPr>
                      <w:rFonts w:hint="eastAsia"/>
                      <w:color w:val="auto"/>
                      <w:szCs w:val="21"/>
                      <w:lang w:val="en-US" w:eastAsia="zh-CN"/>
                    </w:rPr>
                    <w:t>25</w:t>
                  </w:r>
                </w:p>
              </w:tc>
              <w:tc>
                <w:tcPr>
                  <w:tcW w:w="381" w:type="pct"/>
                  <w:vAlign w:val="center"/>
                </w:tcPr>
                <w:p w14:paraId="19CFE7BD">
                  <w:pPr>
                    <w:jc w:val="center"/>
                    <w:rPr>
                      <w:rFonts w:hint="default" w:eastAsia="宋体"/>
                      <w:color w:val="auto"/>
                      <w:kern w:val="0"/>
                      <w:szCs w:val="21"/>
                      <w:lang w:val="en-US" w:eastAsia="zh-CN"/>
                    </w:rPr>
                  </w:pPr>
                  <w:r>
                    <w:rPr>
                      <w:rFonts w:hint="eastAsia"/>
                      <w:color w:val="auto"/>
                      <w:kern w:val="0"/>
                      <w:szCs w:val="21"/>
                      <w:lang w:val="en-US" w:eastAsia="zh-CN"/>
                    </w:rPr>
                    <w:t>50</w:t>
                  </w:r>
                </w:p>
              </w:tc>
              <w:tc>
                <w:tcPr>
                  <w:tcW w:w="399" w:type="pct"/>
                  <w:vAlign w:val="center"/>
                </w:tcPr>
                <w:p w14:paraId="57F9F122">
                  <w:pPr>
                    <w:widowControl/>
                    <w:adjustRightInd w:val="0"/>
                    <w:snapToGrid w:val="0"/>
                    <w:jc w:val="center"/>
                    <w:rPr>
                      <w:color w:val="auto"/>
                      <w:kern w:val="0"/>
                      <w:szCs w:val="21"/>
                    </w:rPr>
                  </w:pPr>
                  <w:r>
                    <w:rPr>
                      <w:color w:val="auto"/>
                      <w:kern w:val="0"/>
                      <w:szCs w:val="21"/>
                    </w:rPr>
                    <w:t>1</w:t>
                  </w:r>
                </w:p>
              </w:tc>
            </w:tr>
            <w:tr w14:paraId="41B9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 w:type="pct"/>
                  <w:vMerge w:val="continue"/>
                  <w:vAlign w:val="center"/>
                </w:tcPr>
                <w:p w14:paraId="0836B85C">
                  <w:pPr>
                    <w:jc w:val="center"/>
                    <w:rPr>
                      <w:color w:val="auto"/>
                      <w:szCs w:val="21"/>
                    </w:rPr>
                  </w:pPr>
                </w:p>
              </w:tc>
              <w:tc>
                <w:tcPr>
                  <w:tcW w:w="249" w:type="pct"/>
                  <w:vMerge w:val="continue"/>
                  <w:vAlign w:val="center"/>
                </w:tcPr>
                <w:p w14:paraId="364B4949">
                  <w:pPr>
                    <w:jc w:val="center"/>
                    <w:rPr>
                      <w:color w:val="auto"/>
                      <w:szCs w:val="21"/>
                    </w:rPr>
                  </w:pPr>
                </w:p>
              </w:tc>
              <w:tc>
                <w:tcPr>
                  <w:tcW w:w="489" w:type="pct"/>
                  <w:shd w:val="clear" w:color="auto" w:fill="auto"/>
                  <w:vAlign w:val="center"/>
                </w:tcPr>
                <w:p w14:paraId="01474147">
                  <w:pPr>
                    <w:adjustRightInd w:val="0"/>
                    <w:snapToGrid w:val="0"/>
                    <w:jc w:val="center"/>
                    <w:rPr>
                      <w:color w:val="auto"/>
                      <w:kern w:val="0"/>
                      <w:szCs w:val="21"/>
                    </w:rPr>
                  </w:pPr>
                  <w:r>
                    <w:rPr>
                      <w:color w:val="auto"/>
                      <w:kern w:val="0"/>
                      <w:szCs w:val="21"/>
                    </w:rPr>
                    <w:t>真空油泵</w:t>
                  </w:r>
                </w:p>
              </w:tc>
              <w:tc>
                <w:tcPr>
                  <w:tcW w:w="251" w:type="pct"/>
                  <w:vAlign w:val="center"/>
                </w:tcPr>
                <w:p w14:paraId="259FE669">
                  <w:pPr>
                    <w:adjustRightInd w:val="0"/>
                    <w:snapToGrid w:val="0"/>
                    <w:jc w:val="center"/>
                    <w:textAlignment w:val="center"/>
                    <w:rPr>
                      <w:color w:val="auto"/>
                      <w:szCs w:val="21"/>
                    </w:rPr>
                  </w:pPr>
                  <w:r>
                    <w:rPr>
                      <w:rFonts w:hint="eastAsia"/>
                      <w:color w:val="auto"/>
                      <w:szCs w:val="21"/>
                    </w:rPr>
                    <w:t>1</w:t>
                  </w:r>
                </w:p>
              </w:tc>
              <w:tc>
                <w:tcPr>
                  <w:tcW w:w="609" w:type="pct"/>
                  <w:vAlign w:val="center"/>
                </w:tcPr>
                <w:p w14:paraId="025704AB">
                  <w:pPr>
                    <w:adjustRightInd w:val="0"/>
                    <w:snapToGrid w:val="0"/>
                    <w:jc w:val="center"/>
                    <w:rPr>
                      <w:color w:val="auto"/>
                      <w:kern w:val="0"/>
                      <w:szCs w:val="21"/>
                    </w:rPr>
                  </w:pPr>
                  <w:r>
                    <w:rPr>
                      <w:rFonts w:hint="eastAsia"/>
                      <w:color w:val="auto"/>
                      <w:kern w:val="0"/>
                      <w:szCs w:val="21"/>
                    </w:rPr>
                    <w:t>75</w:t>
                  </w:r>
                </w:p>
              </w:tc>
              <w:tc>
                <w:tcPr>
                  <w:tcW w:w="501" w:type="pct"/>
                  <w:vMerge w:val="continue"/>
                  <w:vAlign w:val="center"/>
                </w:tcPr>
                <w:p w14:paraId="5F5ACDC7">
                  <w:pPr>
                    <w:jc w:val="center"/>
                    <w:rPr>
                      <w:color w:val="auto"/>
                      <w:szCs w:val="21"/>
                    </w:rPr>
                  </w:pPr>
                </w:p>
              </w:tc>
              <w:tc>
                <w:tcPr>
                  <w:tcW w:w="247" w:type="pct"/>
                  <w:vAlign w:val="center"/>
                </w:tcPr>
                <w:p w14:paraId="39952F96">
                  <w:pPr>
                    <w:widowControl/>
                    <w:jc w:val="center"/>
                    <w:textAlignment w:val="center"/>
                    <w:rPr>
                      <w:color w:val="auto"/>
                      <w:kern w:val="0"/>
                      <w:szCs w:val="21"/>
                    </w:rPr>
                  </w:pPr>
                  <w:r>
                    <w:rPr>
                      <w:rFonts w:hint="eastAsia"/>
                      <w:color w:val="auto"/>
                      <w:kern w:val="0"/>
                      <w:szCs w:val="21"/>
                    </w:rPr>
                    <w:t>3</w:t>
                  </w:r>
                </w:p>
              </w:tc>
              <w:tc>
                <w:tcPr>
                  <w:tcW w:w="225" w:type="pct"/>
                  <w:vAlign w:val="center"/>
                </w:tcPr>
                <w:p w14:paraId="2B4F6FF3">
                  <w:pPr>
                    <w:widowControl/>
                    <w:jc w:val="center"/>
                    <w:textAlignment w:val="center"/>
                    <w:rPr>
                      <w:color w:val="auto"/>
                      <w:kern w:val="0"/>
                      <w:szCs w:val="21"/>
                    </w:rPr>
                  </w:pPr>
                  <w:r>
                    <w:rPr>
                      <w:rFonts w:hint="eastAsia"/>
                      <w:color w:val="auto"/>
                      <w:kern w:val="0"/>
                      <w:szCs w:val="21"/>
                    </w:rPr>
                    <w:t>10</w:t>
                  </w:r>
                </w:p>
              </w:tc>
              <w:tc>
                <w:tcPr>
                  <w:tcW w:w="220" w:type="pct"/>
                  <w:vAlign w:val="center"/>
                </w:tcPr>
                <w:p w14:paraId="21868AAE">
                  <w:pPr>
                    <w:jc w:val="center"/>
                    <w:rPr>
                      <w:color w:val="auto"/>
                      <w:kern w:val="0"/>
                      <w:szCs w:val="21"/>
                    </w:rPr>
                  </w:pPr>
                  <w:r>
                    <w:rPr>
                      <w:rFonts w:hint="eastAsia"/>
                      <w:color w:val="auto"/>
                      <w:kern w:val="0"/>
                      <w:szCs w:val="21"/>
                    </w:rPr>
                    <w:t>1</w:t>
                  </w:r>
                </w:p>
              </w:tc>
              <w:tc>
                <w:tcPr>
                  <w:tcW w:w="322" w:type="pct"/>
                  <w:vAlign w:val="center"/>
                </w:tcPr>
                <w:p w14:paraId="4183010A">
                  <w:pPr>
                    <w:jc w:val="center"/>
                    <w:rPr>
                      <w:color w:val="auto"/>
                      <w:szCs w:val="21"/>
                    </w:rPr>
                  </w:pPr>
                  <w:r>
                    <w:rPr>
                      <w:rFonts w:hint="eastAsia"/>
                      <w:color w:val="auto"/>
                      <w:szCs w:val="21"/>
                    </w:rPr>
                    <w:t>1</w:t>
                  </w:r>
                </w:p>
              </w:tc>
              <w:tc>
                <w:tcPr>
                  <w:tcW w:w="348" w:type="pct"/>
                  <w:vAlign w:val="center"/>
                </w:tcPr>
                <w:p w14:paraId="59CBAF94">
                  <w:pPr>
                    <w:adjustRightInd w:val="0"/>
                    <w:snapToGrid w:val="0"/>
                    <w:jc w:val="center"/>
                    <w:rPr>
                      <w:color w:val="auto"/>
                      <w:kern w:val="0"/>
                      <w:szCs w:val="21"/>
                    </w:rPr>
                  </w:pPr>
                  <w:r>
                    <w:rPr>
                      <w:rFonts w:hint="eastAsia"/>
                      <w:color w:val="auto"/>
                      <w:kern w:val="0"/>
                      <w:szCs w:val="21"/>
                    </w:rPr>
                    <w:t>75</w:t>
                  </w:r>
                </w:p>
              </w:tc>
              <w:tc>
                <w:tcPr>
                  <w:tcW w:w="251" w:type="pct"/>
                  <w:vMerge w:val="continue"/>
                  <w:vAlign w:val="center"/>
                </w:tcPr>
                <w:p w14:paraId="761B9D86">
                  <w:pPr>
                    <w:jc w:val="center"/>
                    <w:rPr>
                      <w:color w:val="auto"/>
                      <w:szCs w:val="21"/>
                    </w:rPr>
                  </w:pPr>
                </w:p>
              </w:tc>
              <w:tc>
                <w:tcPr>
                  <w:tcW w:w="380" w:type="pct"/>
                  <w:vAlign w:val="center"/>
                </w:tcPr>
                <w:p w14:paraId="1C7718F0">
                  <w:pPr>
                    <w:jc w:val="center"/>
                    <w:rPr>
                      <w:color w:val="auto"/>
                      <w:szCs w:val="21"/>
                    </w:rPr>
                  </w:pPr>
                  <w:r>
                    <w:rPr>
                      <w:rFonts w:hint="eastAsia"/>
                      <w:color w:val="auto"/>
                      <w:szCs w:val="21"/>
                      <w:lang w:val="en-US" w:eastAsia="zh-CN"/>
                    </w:rPr>
                    <w:t>25</w:t>
                  </w:r>
                </w:p>
              </w:tc>
              <w:tc>
                <w:tcPr>
                  <w:tcW w:w="381" w:type="pct"/>
                  <w:vAlign w:val="center"/>
                </w:tcPr>
                <w:p w14:paraId="20048163">
                  <w:pPr>
                    <w:jc w:val="center"/>
                    <w:rPr>
                      <w:rFonts w:hint="default" w:eastAsia="宋体"/>
                      <w:color w:val="auto"/>
                      <w:kern w:val="0"/>
                      <w:szCs w:val="21"/>
                      <w:lang w:val="en-US" w:eastAsia="zh-CN"/>
                    </w:rPr>
                  </w:pPr>
                  <w:r>
                    <w:rPr>
                      <w:rFonts w:hint="eastAsia"/>
                      <w:color w:val="auto"/>
                      <w:kern w:val="0"/>
                      <w:szCs w:val="21"/>
                      <w:lang w:val="en-US" w:eastAsia="zh-CN"/>
                    </w:rPr>
                    <w:t>50</w:t>
                  </w:r>
                </w:p>
              </w:tc>
              <w:tc>
                <w:tcPr>
                  <w:tcW w:w="399" w:type="pct"/>
                  <w:vAlign w:val="center"/>
                </w:tcPr>
                <w:p w14:paraId="67E47067">
                  <w:pPr>
                    <w:widowControl/>
                    <w:adjustRightInd w:val="0"/>
                    <w:snapToGrid w:val="0"/>
                    <w:jc w:val="center"/>
                    <w:rPr>
                      <w:color w:val="auto"/>
                      <w:kern w:val="0"/>
                      <w:szCs w:val="21"/>
                    </w:rPr>
                  </w:pPr>
                  <w:r>
                    <w:rPr>
                      <w:color w:val="auto"/>
                      <w:kern w:val="0"/>
                      <w:szCs w:val="21"/>
                    </w:rPr>
                    <w:t>1</w:t>
                  </w:r>
                </w:p>
              </w:tc>
            </w:tr>
            <w:tr w14:paraId="3293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 w:type="pct"/>
                  <w:vMerge w:val="continue"/>
                  <w:vAlign w:val="center"/>
                </w:tcPr>
                <w:p w14:paraId="75AE6C0D">
                  <w:pPr>
                    <w:jc w:val="center"/>
                    <w:rPr>
                      <w:color w:val="auto"/>
                      <w:szCs w:val="21"/>
                    </w:rPr>
                  </w:pPr>
                </w:p>
              </w:tc>
              <w:tc>
                <w:tcPr>
                  <w:tcW w:w="249" w:type="pct"/>
                  <w:vMerge w:val="continue"/>
                  <w:vAlign w:val="center"/>
                </w:tcPr>
                <w:p w14:paraId="3F742EC7">
                  <w:pPr>
                    <w:jc w:val="center"/>
                    <w:rPr>
                      <w:color w:val="auto"/>
                      <w:szCs w:val="21"/>
                    </w:rPr>
                  </w:pPr>
                </w:p>
              </w:tc>
              <w:tc>
                <w:tcPr>
                  <w:tcW w:w="489" w:type="pct"/>
                  <w:shd w:val="clear" w:color="auto" w:fill="auto"/>
                  <w:vAlign w:val="center"/>
                </w:tcPr>
                <w:p w14:paraId="67334C1A">
                  <w:pPr>
                    <w:adjustRightInd w:val="0"/>
                    <w:snapToGrid w:val="0"/>
                    <w:jc w:val="center"/>
                    <w:rPr>
                      <w:color w:val="auto"/>
                      <w:spacing w:val="4"/>
                      <w:kern w:val="0"/>
                      <w:szCs w:val="21"/>
                      <w:lang w:bidi="ar"/>
                    </w:rPr>
                  </w:pPr>
                  <w:r>
                    <w:rPr>
                      <w:color w:val="auto"/>
                      <w:spacing w:val="4"/>
                      <w:kern w:val="0"/>
                      <w:szCs w:val="21"/>
                      <w:lang w:bidi="ar"/>
                    </w:rPr>
                    <w:t>-20冷却循环泵</w:t>
                  </w:r>
                </w:p>
              </w:tc>
              <w:tc>
                <w:tcPr>
                  <w:tcW w:w="251" w:type="pct"/>
                  <w:vAlign w:val="center"/>
                </w:tcPr>
                <w:p w14:paraId="35FB6A0C">
                  <w:pPr>
                    <w:adjustRightInd w:val="0"/>
                    <w:snapToGrid w:val="0"/>
                    <w:jc w:val="center"/>
                    <w:textAlignment w:val="center"/>
                    <w:rPr>
                      <w:color w:val="auto"/>
                      <w:szCs w:val="21"/>
                    </w:rPr>
                  </w:pPr>
                  <w:r>
                    <w:rPr>
                      <w:rFonts w:hint="eastAsia"/>
                      <w:color w:val="auto"/>
                      <w:szCs w:val="21"/>
                    </w:rPr>
                    <w:t>3</w:t>
                  </w:r>
                </w:p>
              </w:tc>
              <w:tc>
                <w:tcPr>
                  <w:tcW w:w="609" w:type="pct"/>
                  <w:vAlign w:val="center"/>
                </w:tcPr>
                <w:p w14:paraId="092017B8">
                  <w:pPr>
                    <w:adjustRightInd w:val="0"/>
                    <w:snapToGrid w:val="0"/>
                    <w:jc w:val="center"/>
                    <w:rPr>
                      <w:color w:val="auto"/>
                      <w:kern w:val="0"/>
                      <w:szCs w:val="21"/>
                    </w:rPr>
                  </w:pPr>
                  <w:r>
                    <w:rPr>
                      <w:rFonts w:hint="eastAsia"/>
                      <w:color w:val="auto"/>
                      <w:kern w:val="0"/>
                      <w:szCs w:val="21"/>
                    </w:rPr>
                    <w:t>74</w:t>
                  </w:r>
                </w:p>
              </w:tc>
              <w:tc>
                <w:tcPr>
                  <w:tcW w:w="501" w:type="pct"/>
                  <w:vMerge w:val="continue"/>
                  <w:vAlign w:val="center"/>
                </w:tcPr>
                <w:p w14:paraId="2F3A9AA7">
                  <w:pPr>
                    <w:jc w:val="center"/>
                    <w:rPr>
                      <w:color w:val="auto"/>
                      <w:szCs w:val="21"/>
                    </w:rPr>
                  </w:pPr>
                </w:p>
              </w:tc>
              <w:tc>
                <w:tcPr>
                  <w:tcW w:w="247" w:type="pct"/>
                  <w:vAlign w:val="center"/>
                </w:tcPr>
                <w:p w14:paraId="764BC3F8">
                  <w:pPr>
                    <w:widowControl/>
                    <w:jc w:val="center"/>
                    <w:textAlignment w:val="center"/>
                    <w:rPr>
                      <w:color w:val="auto"/>
                      <w:kern w:val="0"/>
                      <w:szCs w:val="21"/>
                    </w:rPr>
                  </w:pPr>
                  <w:r>
                    <w:rPr>
                      <w:rFonts w:hint="eastAsia"/>
                      <w:color w:val="auto"/>
                      <w:kern w:val="0"/>
                      <w:szCs w:val="21"/>
                    </w:rPr>
                    <w:t>3</w:t>
                  </w:r>
                </w:p>
              </w:tc>
              <w:tc>
                <w:tcPr>
                  <w:tcW w:w="225" w:type="pct"/>
                  <w:vAlign w:val="center"/>
                </w:tcPr>
                <w:p w14:paraId="53A9EFFD">
                  <w:pPr>
                    <w:widowControl/>
                    <w:jc w:val="center"/>
                    <w:textAlignment w:val="center"/>
                    <w:rPr>
                      <w:color w:val="auto"/>
                      <w:kern w:val="0"/>
                      <w:szCs w:val="21"/>
                    </w:rPr>
                  </w:pPr>
                  <w:r>
                    <w:rPr>
                      <w:rFonts w:hint="eastAsia"/>
                      <w:color w:val="auto"/>
                      <w:kern w:val="0"/>
                      <w:szCs w:val="21"/>
                    </w:rPr>
                    <w:t>12</w:t>
                  </w:r>
                </w:p>
              </w:tc>
              <w:tc>
                <w:tcPr>
                  <w:tcW w:w="220" w:type="pct"/>
                  <w:vAlign w:val="center"/>
                </w:tcPr>
                <w:p w14:paraId="39689028">
                  <w:pPr>
                    <w:jc w:val="center"/>
                    <w:rPr>
                      <w:color w:val="auto"/>
                      <w:kern w:val="0"/>
                      <w:szCs w:val="21"/>
                    </w:rPr>
                  </w:pPr>
                  <w:r>
                    <w:rPr>
                      <w:rFonts w:hint="eastAsia"/>
                      <w:color w:val="auto"/>
                      <w:kern w:val="0"/>
                      <w:szCs w:val="21"/>
                    </w:rPr>
                    <w:t>1</w:t>
                  </w:r>
                </w:p>
              </w:tc>
              <w:tc>
                <w:tcPr>
                  <w:tcW w:w="322" w:type="pct"/>
                  <w:vAlign w:val="center"/>
                </w:tcPr>
                <w:p w14:paraId="7B6F20CD">
                  <w:pPr>
                    <w:jc w:val="center"/>
                    <w:rPr>
                      <w:color w:val="auto"/>
                      <w:szCs w:val="21"/>
                    </w:rPr>
                  </w:pPr>
                  <w:r>
                    <w:rPr>
                      <w:rFonts w:hint="eastAsia"/>
                      <w:color w:val="auto"/>
                      <w:szCs w:val="21"/>
                    </w:rPr>
                    <w:t>3</w:t>
                  </w:r>
                </w:p>
              </w:tc>
              <w:tc>
                <w:tcPr>
                  <w:tcW w:w="348" w:type="pct"/>
                  <w:vAlign w:val="center"/>
                </w:tcPr>
                <w:p w14:paraId="714A433E">
                  <w:pPr>
                    <w:adjustRightInd w:val="0"/>
                    <w:snapToGrid w:val="0"/>
                    <w:jc w:val="center"/>
                    <w:rPr>
                      <w:color w:val="auto"/>
                      <w:kern w:val="0"/>
                      <w:szCs w:val="21"/>
                    </w:rPr>
                  </w:pPr>
                  <w:r>
                    <w:rPr>
                      <w:rFonts w:hint="eastAsia"/>
                      <w:color w:val="auto"/>
                      <w:kern w:val="0"/>
                      <w:szCs w:val="21"/>
                    </w:rPr>
                    <w:t>65</w:t>
                  </w:r>
                </w:p>
              </w:tc>
              <w:tc>
                <w:tcPr>
                  <w:tcW w:w="251" w:type="pct"/>
                  <w:vMerge w:val="continue"/>
                  <w:vAlign w:val="center"/>
                </w:tcPr>
                <w:p w14:paraId="49029B95">
                  <w:pPr>
                    <w:jc w:val="center"/>
                    <w:rPr>
                      <w:color w:val="auto"/>
                      <w:szCs w:val="21"/>
                    </w:rPr>
                  </w:pPr>
                </w:p>
              </w:tc>
              <w:tc>
                <w:tcPr>
                  <w:tcW w:w="380" w:type="pct"/>
                  <w:vAlign w:val="center"/>
                </w:tcPr>
                <w:p w14:paraId="041778ED">
                  <w:pPr>
                    <w:jc w:val="center"/>
                    <w:rPr>
                      <w:color w:val="auto"/>
                      <w:szCs w:val="21"/>
                    </w:rPr>
                  </w:pPr>
                  <w:r>
                    <w:rPr>
                      <w:rFonts w:hint="eastAsia"/>
                      <w:color w:val="auto"/>
                      <w:szCs w:val="21"/>
                      <w:lang w:val="en-US" w:eastAsia="zh-CN"/>
                    </w:rPr>
                    <w:t>25</w:t>
                  </w:r>
                </w:p>
              </w:tc>
              <w:tc>
                <w:tcPr>
                  <w:tcW w:w="381" w:type="pct"/>
                  <w:vAlign w:val="center"/>
                </w:tcPr>
                <w:p w14:paraId="1386CEC1">
                  <w:pPr>
                    <w:jc w:val="center"/>
                    <w:rPr>
                      <w:rFonts w:hint="default" w:eastAsia="宋体"/>
                      <w:color w:val="auto"/>
                      <w:kern w:val="0"/>
                      <w:szCs w:val="21"/>
                      <w:lang w:val="en-US" w:eastAsia="zh-CN"/>
                    </w:rPr>
                  </w:pPr>
                  <w:r>
                    <w:rPr>
                      <w:rFonts w:hint="eastAsia"/>
                      <w:color w:val="auto"/>
                      <w:kern w:val="0"/>
                      <w:szCs w:val="21"/>
                      <w:lang w:val="en-US" w:eastAsia="zh-CN"/>
                    </w:rPr>
                    <w:t>40</w:t>
                  </w:r>
                </w:p>
              </w:tc>
              <w:tc>
                <w:tcPr>
                  <w:tcW w:w="399" w:type="pct"/>
                  <w:vAlign w:val="center"/>
                </w:tcPr>
                <w:p w14:paraId="35B66D7F">
                  <w:pPr>
                    <w:widowControl/>
                    <w:adjustRightInd w:val="0"/>
                    <w:snapToGrid w:val="0"/>
                    <w:jc w:val="center"/>
                    <w:rPr>
                      <w:color w:val="auto"/>
                      <w:kern w:val="0"/>
                      <w:szCs w:val="21"/>
                    </w:rPr>
                  </w:pPr>
                  <w:r>
                    <w:rPr>
                      <w:color w:val="auto"/>
                      <w:kern w:val="0"/>
                      <w:szCs w:val="21"/>
                    </w:rPr>
                    <w:t>1</w:t>
                  </w:r>
                </w:p>
              </w:tc>
            </w:tr>
            <w:tr w14:paraId="15A2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 w:type="pct"/>
                  <w:vMerge w:val="continue"/>
                  <w:vAlign w:val="center"/>
                </w:tcPr>
                <w:p w14:paraId="5FDBAF3D">
                  <w:pPr>
                    <w:jc w:val="center"/>
                    <w:rPr>
                      <w:color w:val="auto"/>
                      <w:szCs w:val="21"/>
                    </w:rPr>
                  </w:pPr>
                </w:p>
              </w:tc>
              <w:tc>
                <w:tcPr>
                  <w:tcW w:w="249" w:type="pct"/>
                  <w:vMerge w:val="continue"/>
                  <w:vAlign w:val="center"/>
                </w:tcPr>
                <w:p w14:paraId="09DEA9A7">
                  <w:pPr>
                    <w:jc w:val="center"/>
                    <w:rPr>
                      <w:color w:val="auto"/>
                      <w:szCs w:val="21"/>
                    </w:rPr>
                  </w:pPr>
                </w:p>
              </w:tc>
              <w:tc>
                <w:tcPr>
                  <w:tcW w:w="489" w:type="pct"/>
                  <w:vAlign w:val="center"/>
                </w:tcPr>
                <w:p w14:paraId="3E1F3420">
                  <w:pPr>
                    <w:adjustRightInd w:val="0"/>
                    <w:snapToGrid w:val="0"/>
                    <w:jc w:val="center"/>
                    <w:rPr>
                      <w:rFonts w:ascii="宋体" w:hAnsi="宋体" w:cs="宋体"/>
                      <w:color w:val="auto"/>
                      <w:spacing w:val="4"/>
                      <w:kern w:val="0"/>
                      <w:szCs w:val="21"/>
                      <w:lang w:bidi="ar"/>
                    </w:rPr>
                  </w:pPr>
                  <w:r>
                    <w:rPr>
                      <w:rFonts w:hint="eastAsia" w:ascii="宋体" w:hAnsi="宋体" w:cs="宋体"/>
                      <w:color w:val="auto"/>
                      <w:spacing w:val="4"/>
                      <w:kern w:val="0"/>
                      <w:szCs w:val="21"/>
                      <w:lang w:bidi="ar"/>
                    </w:rPr>
                    <w:t>台式循环真空泵</w:t>
                  </w:r>
                </w:p>
              </w:tc>
              <w:tc>
                <w:tcPr>
                  <w:tcW w:w="251" w:type="pct"/>
                  <w:vAlign w:val="center"/>
                </w:tcPr>
                <w:p w14:paraId="4E1F7BE7">
                  <w:pPr>
                    <w:adjustRightInd w:val="0"/>
                    <w:snapToGrid w:val="0"/>
                    <w:jc w:val="center"/>
                    <w:textAlignment w:val="center"/>
                    <w:rPr>
                      <w:color w:val="auto"/>
                      <w:kern w:val="0"/>
                      <w:szCs w:val="21"/>
                    </w:rPr>
                  </w:pPr>
                  <w:r>
                    <w:rPr>
                      <w:rFonts w:hint="eastAsia"/>
                      <w:color w:val="auto"/>
                      <w:kern w:val="0"/>
                      <w:szCs w:val="21"/>
                    </w:rPr>
                    <w:t>2</w:t>
                  </w:r>
                </w:p>
              </w:tc>
              <w:tc>
                <w:tcPr>
                  <w:tcW w:w="609" w:type="pct"/>
                  <w:vAlign w:val="center"/>
                </w:tcPr>
                <w:p w14:paraId="28E12350">
                  <w:pPr>
                    <w:adjustRightInd w:val="0"/>
                    <w:snapToGrid w:val="0"/>
                    <w:jc w:val="center"/>
                    <w:rPr>
                      <w:color w:val="auto"/>
                      <w:kern w:val="0"/>
                      <w:szCs w:val="21"/>
                    </w:rPr>
                  </w:pPr>
                  <w:r>
                    <w:rPr>
                      <w:rFonts w:hint="eastAsia"/>
                      <w:color w:val="auto"/>
                      <w:kern w:val="0"/>
                      <w:szCs w:val="21"/>
                    </w:rPr>
                    <w:t>73</w:t>
                  </w:r>
                </w:p>
              </w:tc>
              <w:tc>
                <w:tcPr>
                  <w:tcW w:w="501" w:type="pct"/>
                  <w:vMerge w:val="continue"/>
                  <w:vAlign w:val="center"/>
                </w:tcPr>
                <w:p w14:paraId="60147819">
                  <w:pPr>
                    <w:rPr>
                      <w:color w:val="auto"/>
                      <w:szCs w:val="21"/>
                    </w:rPr>
                  </w:pPr>
                </w:p>
              </w:tc>
              <w:tc>
                <w:tcPr>
                  <w:tcW w:w="247" w:type="pct"/>
                  <w:vAlign w:val="center"/>
                </w:tcPr>
                <w:p w14:paraId="0C502E3A">
                  <w:pPr>
                    <w:widowControl/>
                    <w:jc w:val="center"/>
                    <w:textAlignment w:val="center"/>
                    <w:rPr>
                      <w:color w:val="auto"/>
                      <w:kern w:val="0"/>
                      <w:szCs w:val="21"/>
                    </w:rPr>
                  </w:pPr>
                  <w:r>
                    <w:rPr>
                      <w:rFonts w:hint="eastAsia"/>
                      <w:color w:val="auto"/>
                      <w:kern w:val="0"/>
                      <w:szCs w:val="21"/>
                    </w:rPr>
                    <w:t>3</w:t>
                  </w:r>
                </w:p>
              </w:tc>
              <w:tc>
                <w:tcPr>
                  <w:tcW w:w="225" w:type="pct"/>
                  <w:vAlign w:val="center"/>
                </w:tcPr>
                <w:p w14:paraId="7B0A240F">
                  <w:pPr>
                    <w:widowControl/>
                    <w:jc w:val="center"/>
                    <w:textAlignment w:val="center"/>
                    <w:rPr>
                      <w:color w:val="auto"/>
                      <w:kern w:val="0"/>
                      <w:szCs w:val="21"/>
                    </w:rPr>
                  </w:pPr>
                  <w:r>
                    <w:rPr>
                      <w:rFonts w:hint="eastAsia"/>
                      <w:color w:val="auto"/>
                      <w:kern w:val="0"/>
                      <w:szCs w:val="21"/>
                    </w:rPr>
                    <w:t>14</w:t>
                  </w:r>
                </w:p>
              </w:tc>
              <w:tc>
                <w:tcPr>
                  <w:tcW w:w="220" w:type="pct"/>
                  <w:vAlign w:val="center"/>
                </w:tcPr>
                <w:p w14:paraId="4F164E1B">
                  <w:pPr>
                    <w:jc w:val="center"/>
                    <w:rPr>
                      <w:color w:val="auto"/>
                      <w:kern w:val="0"/>
                      <w:szCs w:val="21"/>
                    </w:rPr>
                  </w:pPr>
                  <w:r>
                    <w:rPr>
                      <w:rFonts w:hint="eastAsia"/>
                      <w:color w:val="auto"/>
                      <w:kern w:val="0"/>
                      <w:szCs w:val="21"/>
                    </w:rPr>
                    <w:t>1</w:t>
                  </w:r>
                </w:p>
              </w:tc>
              <w:tc>
                <w:tcPr>
                  <w:tcW w:w="322" w:type="pct"/>
                  <w:vAlign w:val="center"/>
                </w:tcPr>
                <w:p w14:paraId="25BF48FD">
                  <w:pPr>
                    <w:jc w:val="center"/>
                    <w:rPr>
                      <w:color w:val="auto"/>
                      <w:szCs w:val="21"/>
                    </w:rPr>
                  </w:pPr>
                  <w:r>
                    <w:rPr>
                      <w:rFonts w:hint="eastAsia"/>
                      <w:color w:val="auto"/>
                      <w:szCs w:val="21"/>
                    </w:rPr>
                    <w:t>3</w:t>
                  </w:r>
                </w:p>
              </w:tc>
              <w:tc>
                <w:tcPr>
                  <w:tcW w:w="348" w:type="pct"/>
                  <w:vAlign w:val="center"/>
                </w:tcPr>
                <w:p w14:paraId="365FC9F5">
                  <w:pPr>
                    <w:adjustRightInd w:val="0"/>
                    <w:snapToGrid w:val="0"/>
                    <w:jc w:val="center"/>
                    <w:rPr>
                      <w:color w:val="auto"/>
                      <w:kern w:val="0"/>
                      <w:szCs w:val="21"/>
                    </w:rPr>
                  </w:pPr>
                  <w:r>
                    <w:rPr>
                      <w:rFonts w:hint="eastAsia"/>
                      <w:color w:val="auto"/>
                      <w:kern w:val="0"/>
                      <w:szCs w:val="21"/>
                    </w:rPr>
                    <w:t>64</w:t>
                  </w:r>
                </w:p>
              </w:tc>
              <w:tc>
                <w:tcPr>
                  <w:tcW w:w="251" w:type="pct"/>
                  <w:vMerge w:val="continue"/>
                  <w:vAlign w:val="center"/>
                </w:tcPr>
                <w:p w14:paraId="13D390C0">
                  <w:pPr>
                    <w:jc w:val="center"/>
                    <w:rPr>
                      <w:color w:val="auto"/>
                      <w:szCs w:val="21"/>
                    </w:rPr>
                  </w:pPr>
                </w:p>
              </w:tc>
              <w:tc>
                <w:tcPr>
                  <w:tcW w:w="380" w:type="pct"/>
                  <w:vAlign w:val="center"/>
                </w:tcPr>
                <w:p w14:paraId="3664D9F0">
                  <w:pPr>
                    <w:jc w:val="center"/>
                    <w:rPr>
                      <w:color w:val="auto"/>
                      <w:szCs w:val="21"/>
                    </w:rPr>
                  </w:pPr>
                  <w:r>
                    <w:rPr>
                      <w:rFonts w:hint="eastAsia"/>
                      <w:color w:val="auto"/>
                      <w:szCs w:val="21"/>
                      <w:lang w:val="en-US" w:eastAsia="zh-CN"/>
                    </w:rPr>
                    <w:t>25</w:t>
                  </w:r>
                </w:p>
              </w:tc>
              <w:tc>
                <w:tcPr>
                  <w:tcW w:w="381" w:type="pct"/>
                  <w:vAlign w:val="center"/>
                </w:tcPr>
                <w:p w14:paraId="56098AE7">
                  <w:pPr>
                    <w:jc w:val="center"/>
                    <w:rPr>
                      <w:rFonts w:hint="default" w:eastAsia="宋体"/>
                      <w:color w:val="auto"/>
                      <w:kern w:val="0"/>
                      <w:szCs w:val="21"/>
                      <w:lang w:val="en-US" w:eastAsia="zh-CN"/>
                    </w:rPr>
                  </w:pPr>
                  <w:r>
                    <w:rPr>
                      <w:rFonts w:hint="eastAsia"/>
                      <w:color w:val="auto"/>
                      <w:kern w:val="0"/>
                      <w:szCs w:val="21"/>
                      <w:lang w:val="en-US" w:eastAsia="zh-CN"/>
                    </w:rPr>
                    <w:t>39</w:t>
                  </w:r>
                </w:p>
              </w:tc>
              <w:tc>
                <w:tcPr>
                  <w:tcW w:w="399" w:type="pct"/>
                  <w:vAlign w:val="center"/>
                </w:tcPr>
                <w:p w14:paraId="47229B08">
                  <w:pPr>
                    <w:widowControl/>
                    <w:adjustRightInd w:val="0"/>
                    <w:snapToGrid w:val="0"/>
                    <w:jc w:val="center"/>
                    <w:rPr>
                      <w:color w:val="auto"/>
                      <w:kern w:val="0"/>
                      <w:szCs w:val="21"/>
                    </w:rPr>
                  </w:pPr>
                  <w:r>
                    <w:rPr>
                      <w:rFonts w:hint="eastAsia"/>
                      <w:color w:val="auto"/>
                      <w:kern w:val="0"/>
                      <w:szCs w:val="21"/>
                    </w:rPr>
                    <w:t>1</w:t>
                  </w:r>
                </w:p>
              </w:tc>
            </w:tr>
            <w:tr w14:paraId="1F91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 w:type="pct"/>
                  <w:vMerge w:val="continue"/>
                  <w:vAlign w:val="center"/>
                </w:tcPr>
                <w:p w14:paraId="0FEE8857">
                  <w:pPr>
                    <w:jc w:val="center"/>
                    <w:rPr>
                      <w:color w:val="auto"/>
                      <w:szCs w:val="21"/>
                    </w:rPr>
                  </w:pPr>
                </w:p>
              </w:tc>
              <w:tc>
                <w:tcPr>
                  <w:tcW w:w="249" w:type="pct"/>
                  <w:vMerge w:val="continue"/>
                  <w:vAlign w:val="center"/>
                </w:tcPr>
                <w:p w14:paraId="4CF11FD6">
                  <w:pPr>
                    <w:jc w:val="center"/>
                    <w:rPr>
                      <w:color w:val="auto"/>
                      <w:szCs w:val="21"/>
                    </w:rPr>
                  </w:pPr>
                </w:p>
              </w:tc>
              <w:tc>
                <w:tcPr>
                  <w:tcW w:w="489" w:type="pct"/>
                  <w:vAlign w:val="center"/>
                </w:tcPr>
                <w:p w14:paraId="595F315A">
                  <w:pPr>
                    <w:widowControl/>
                    <w:adjustRightInd w:val="0"/>
                    <w:snapToGrid w:val="0"/>
                    <w:jc w:val="center"/>
                    <w:rPr>
                      <w:color w:val="auto"/>
                      <w:szCs w:val="21"/>
                    </w:rPr>
                  </w:pPr>
                  <w:r>
                    <w:rPr>
                      <w:rFonts w:hint="eastAsia"/>
                      <w:color w:val="auto"/>
                      <w:szCs w:val="21"/>
                    </w:rPr>
                    <w:t>磁力搅拌器</w:t>
                  </w:r>
                </w:p>
              </w:tc>
              <w:tc>
                <w:tcPr>
                  <w:tcW w:w="251" w:type="pct"/>
                  <w:vAlign w:val="center"/>
                </w:tcPr>
                <w:p w14:paraId="33F53704">
                  <w:pPr>
                    <w:widowControl/>
                    <w:adjustRightInd w:val="0"/>
                    <w:snapToGrid w:val="0"/>
                    <w:jc w:val="center"/>
                    <w:rPr>
                      <w:color w:val="auto"/>
                      <w:kern w:val="0"/>
                      <w:szCs w:val="21"/>
                    </w:rPr>
                  </w:pPr>
                  <w:r>
                    <w:rPr>
                      <w:rFonts w:hint="eastAsia"/>
                      <w:color w:val="auto"/>
                      <w:kern w:val="0"/>
                      <w:szCs w:val="21"/>
                    </w:rPr>
                    <w:t>5</w:t>
                  </w:r>
                </w:p>
              </w:tc>
              <w:tc>
                <w:tcPr>
                  <w:tcW w:w="609" w:type="pct"/>
                  <w:vAlign w:val="center"/>
                </w:tcPr>
                <w:p w14:paraId="614C6ED1">
                  <w:pPr>
                    <w:adjustRightInd w:val="0"/>
                    <w:snapToGrid w:val="0"/>
                    <w:jc w:val="center"/>
                    <w:rPr>
                      <w:color w:val="auto"/>
                      <w:kern w:val="0"/>
                      <w:szCs w:val="21"/>
                    </w:rPr>
                  </w:pPr>
                  <w:r>
                    <w:rPr>
                      <w:rFonts w:hint="eastAsia"/>
                      <w:color w:val="auto"/>
                      <w:kern w:val="0"/>
                      <w:szCs w:val="21"/>
                    </w:rPr>
                    <w:t>67</w:t>
                  </w:r>
                </w:p>
              </w:tc>
              <w:tc>
                <w:tcPr>
                  <w:tcW w:w="501" w:type="pct"/>
                  <w:vMerge w:val="continue"/>
                  <w:vAlign w:val="center"/>
                </w:tcPr>
                <w:p w14:paraId="4C442403">
                  <w:pPr>
                    <w:jc w:val="center"/>
                    <w:rPr>
                      <w:color w:val="auto"/>
                      <w:szCs w:val="21"/>
                    </w:rPr>
                  </w:pPr>
                </w:p>
              </w:tc>
              <w:tc>
                <w:tcPr>
                  <w:tcW w:w="247" w:type="pct"/>
                  <w:vAlign w:val="center"/>
                </w:tcPr>
                <w:p w14:paraId="6D2669FE">
                  <w:pPr>
                    <w:widowControl/>
                    <w:jc w:val="center"/>
                    <w:textAlignment w:val="center"/>
                    <w:rPr>
                      <w:color w:val="auto"/>
                      <w:kern w:val="0"/>
                      <w:szCs w:val="21"/>
                    </w:rPr>
                  </w:pPr>
                  <w:r>
                    <w:rPr>
                      <w:rFonts w:hint="eastAsia"/>
                      <w:color w:val="auto"/>
                      <w:kern w:val="0"/>
                      <w:szCs w:val="21"/>
                    </w:rPr>
                    <w:t>17</w:t>
                  </w:r>
                </w:p>
              </w:tc>
              <w:tc>
                <w:tcPr>
                  <w:tcW w:w="225" w:type="pct"/>
                  <w:vAlign w:val="center"/>
                </w:tcPr>
                <w:p w14:paraId="75BD2C7B">
                  <w:pPr>
                    <w:widowControl/>
                    <w:jc w:val="center"/>
                    <w:textAlignment w:val="center"/>
                    <w:rPr>
                      <w:color w:val="auto"/>
                      <w:kern w:val="0"/>
                      <w:szCs w:val="21"/>
                    </w:rPr>
                  </w:pPr>
                  <w:r>
                    <w:rPr>
                      <w:rFonts w:hint="eastAsia"/>
                      <w:color w:val="auto"/>
                      <w:kern w:val="0"/>
                      <w:szCs w:val="21"/>
                    </w:rPr>
                    <w:t>2</w:t>
                  </w:r>
                </w:p>
              </w:tc>
              <w:tc>
                <w:tcPr>
                  <w:tcW w:w="220" w:type="pct"/>
                  <w:vAlign w:val="center"/>
                </w:tcPr>
                <w:p w14:paraId="75606A95">
                  <w:pPr>
                    <w:jc w:val="center"/>
                    <w:rPr>
                      <w:color w:val="auto"/>
                      <w:kern w:val="0"/>
                      <w:szCs w:val="21"/>
                    </w:rPr>
                  </w:pPr>
                  <w:r>
                    <w:rPr>
                      <w:rFonts w:hint="eastAsia"/>
                      <w:color w:val="auto"/>
                      <w:kern w:val="0"/>
                      <w:szCs w:val="21"/>
                    </w:rPr>
                    <w:t>1</w:t>
                  </w:r>
                </w:p>
              </w:tc>
              <w:tc>
                <w:tcPr>
                  <w:tcW w:w="322" w:type="pct"/>
                  <w:vAlign w:val="center"/>
                </w:tcPr>
                <w:p w14:paraId="0EE5D8BB">
                  <w:pPr>
                    <w:jc w:val="center"/>
                    <w:rPr>
                      <w:color w:val="auto"/>
                      <w:szCs w:val="21"/>
                    </w:rPr>
                  </w:pPr>
                  <w:r>
                    <w:rPr>
                      <w:rFonts w:hint="eastAsia"/>
                      <w:color w:val="auto"/>
                      <w:szCs w:val="21"/>
                    </w:rPr>
                    <w:t>1</w:t>
                  </w:r>
                </w:p>
              </w:tc>
              <w:tc>
                <w:tcPr>
                  <w:tcW w:w="348" w:type="pct"/>
                  <w:vAlign w:val="center"/>
                </w:tcPr>
                <w:p w14:paraId="22B8487D">
                  <w:pPr>
                    <w:adjustRightInd w:val="0"/>
                    <w:snapToGrid w:val="0"/>
                    <w:jc w:val="center"/>
                    <w:rPr>
                      <w:color w:val="auto"/>
                      <w:kern w:val="0"/>
                      <w:szCs w:val="21"/>
                    </w:rPr>
                  </w:pPr>
                  <w:r>
                    <w:rPr>
                      <w:rFonts w:hint="eastAsia"/>
                      <w:color w:val="auto"/>
                      <w:kern w:val="0"/>
                      <w:szCs w:val="21"/>
                    </w:rPr>
                    <w:t>67</w:t>
                  </w:r>
                </w:p>
              </w:tc>
              <w:tc>
                <w:tcPr>
                  <w:tcW w:w="251" w:type="pct"/>
                  <w:vMerge w:val="continue"/>
                  <w:vAlign w:val="center"/>
                </w:tcPr>
                <w:p w14:paraId="12C1B2FD">
                  <w:pPr>
                    <w:jc w:val="center"/>
                    <w:rPr>
                      <w:color w:val="auto"/>
                      <w:szCs w:val="21"/>
                    </w:rPr>
                  </w:pPr>
                </w:p>
              </w:tc>
              <w:tc>
                <w:tcPr>
                  <w:tcW w:w="380" w:type="pct"/>
                  <w:vAlign w:val="center"/>
                </w:tcPr>
                <w:p w14:paraId="2BFC43A4">
                  <w:pPr>
                    <w:jc w:val="center"/>
                    <w:rPr>
                      <w:color w:val="auto"/>
                      <w:szCs w:val="21"/>
                    </w:rPr>
                  </w:pPr>
                  <w:r>
                    <w:rPr>
                      <w:rFonts w:hint="eastAsia"/>
                      <w:color w:val="auto"/>
                      <w:szCs w:val="21"/>
                      <w:lang w:val="en-US" w:eastAsia="zh-CN"/>
                    </w:rPr>
                    <w:t>25</w:t>
                  </w:r>
                </w:p>
              </w:tc>
              <w:tc>
                <w:tcPr>
                  <w:tcW w:w="381" w:type="pct"/>
                  <w:vAlign w:val="center"/>
                </w:tcPr>
                <w:p w14:paraId="07BBB91B">
                  <w:pPr>
                    <w:jc w:val="center"/>
                    <w:rPr>
                      <w:rFonts w:hint="default" w:eastAsia="宋体"/>
                      <w:color w:val="auto"/>
                      <w:kern w:val="0"/>
                      <w:szCs w:val="21"/>
                      <w:lang w:val="en-US" w:eastAsia="zh-CN"/>
                    </w:rPr>
                  </w:pPr>
                  <w:r>
                    <w:rPr>
                      <w:rFonts w:hint="eastAsia"/>
                      <w:color w:val="auto"/>
                      <w:kern w:val="0"/>
                      <w:szCs w:val="21"/>
                      <w:lang w:val="en-US" w:eastAsia="zh-CN"/>
                    </w:rPr>
                    <w:t>42</w:t>
                  </w:r>
                </w:p>
              </w:tc>
              <w:tc>
                <w:tcPr>
                  <w:tcW w:w="399" w:type="pct"/>
                  <w:vAlign w:val="center"/>
                </w:tcPr>
                <w:p w14:paraId="47B90212">
                  <w:pPr>
                    <w:widowControl/>
                    <w:adjustRightInd w:val="0"/>
                    <w:snapToGrid w:val="0"/>
                    <w:jc w:val="center"/>
                    <w:rPr>
                      <w:color w:val="auto"/>
                      <w:kern w:val="0"/>
                      <w:szCs w:val="21"/>
                    </w:rPr>
                  </w:pPr>
                  <w:r>
                    <w:rPr>
                      <w:rFonts w:hint="eastAsia"/>
                      <w:color w:val="auto"/>
                      <w:kern w:val="0"/>
                      <w:szCs w:val="21"/>
                    </w:rPr>
                    <w:t>1</w:t>
                  </w:r>
                </w:p>
              </w:tc>
            </w:tr>
            <w:tr w14:paraId="04F3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 w:type="pct"/>
                  <w:vMerge w:val="continue"/>
                  <w:vAlign w:val="center"/>
                </w:tcPr>
                <w:p w14:paraId="24795B13">
                  <w:pPr>
                    <w:jc w:val="center"/>
                    <w:rPr>
                      <w:color w:val="auto"/>
                      <w:szCs w:val="21"/>
                    </w:rPr>
                  </w:pPr>
                </w:p>
              </w:tc>
              <w:tc>
                <w:tcPr>
                  <w:tcW w:w="249" w:type="pct"/>
                  <w:vMerge w:val="continue"/>
                  <w:vAlign w:val="center"/>
                </w:tcPr>
                <w:p w14:paraId="5EA7AE55">
                  <w:pPr>
                    <w:jc w:val="center"/>
                    <w:rPr>
                      <w:color w:val="auto"/>
                      <w:szCs w:val="21"/>
                    </w:rPr>
                  </w:pPr>
                </w:p>
              </w:tc>
              <w:tc>
                <w:tcPr>
                  <w:tcW w:w="489" w:type="pct"/>
                  <w:vAlign w:val="center"/>
                </w:tcPr>
                <w:p w14:paraId="61D7E930">
                  <w:pPr>
                    <w:widowControl/>
                    <w:adjustRightInd w:val="0"/>
                    <w:snapToGrid w:val="0"/>
                    <w:jc w:val="center"/>
                    <w:rPr>
                      <w:color w:val="auto"/>
                      <w:szCs w:val="21"/>
                    </w:rPr>
                  </w:pPr>
                  <w:r>
                    <w:rPr>
                      <w:rFonts w:hint="eastAsia"/>
                      <w:color w:val="auto"/>
                      <w:szCs w:val="21"/>
                    </w:rPr>
                    <w:t>机械搅拌器</w:t>
                  </w:r>
                </w:p>
              </w:tc>
              <w:tc>
                <w:tcPr>
                  <w:tcW w:w="251" w:type="pct"/>
                  <w:vAlign w:val="center"/>
                </w:tcPr>
                <w:p w14:paraId="3319CF5F">
                  <w:pPr>
                    <w:widowControl/>
                    <w:adjustRightInd w:val="0"/>
                    <w:snapToGrid w:val="0"/>
                    <w:jc w:val="center"/>
                    <w:rPr>
                      <w:color w:val="auto"/>
                      <w:kern w:val="0"/>
                      <w:szCs w:val="21"/>
                    </w:rPr>
                  </w:pPr>
                  <w:r>
                    <w:rPr>
                      <w:rFonts w:hint="eastAsia"/>
                      <w:color w:val="auto"/>
                      <w:kern w:val="0"/>
                      <w:szCs w:val="21"/>
                    </w:rPr>
                    <w:t>2</w:t>
                  </w:r>
                </w:p>
              </w:tc>
              <w:tc>
                <w:tcPr>
                  <w:tcW w:w="609" w:type="pct"/>
                  <w:vAlign w:val="center"/>
                </w:tcPr>
                <w:p w14:paraId="00354FCC">
                  <w:pPr>
                    <w:adjustRightInd w:val="0"/>
                    <w:snapToGrid w:val="0"/>
                    <w:jc w:val="center"/>
                    <w:rPr>
                      <w:color w:val="auto"/>
                      <w:kern w:val="0"/>
                      <w:szCs w:val="21"/>
                    </w:rPr>
                  </w:pPr>
                  <w:r>
                    <w:rPr>
                      <w:rFonts w:hint="eastAsia"/>
                      <w:color w:val="auto"/>
                      <w:kern w:val="0"/>
                      <w:szCs w:val="21"/>
                    </w:rPr>
                    <w:t>63</w:t>
                  </w:r>
                </w:p>
              </w:tc>
              <w:tc>
                <w:tcPr>
                  <w:tcW w:w="501" w:type="pct"/>
                  <w:vMerge w:val="continue"/>
                  <w:vAlign w:val="center"/>
                </w:tcPr>
                <w:p w14:paraId="1843083F">
                  <w:pPr>
                    <w:jc w:val="center"/>
                    <w:rPr>
                      <w:color w:val="auto"/>
                      <w:szCs w:val="21"/>
                    </w:rPr>
                  </w:pPr>
                </w:p>
              </w:tc>
              <w:tc>
                <w:tcPr>
                  <w:tcW w:w="247" w:type="pct"/>
                  <w:vAlign w:val="center"/>
                </w:tcPr>
                <w:p w14:paraId="5EA02923">
                  <w:pPr>
                    <w:widowControl/>
                    <w:jc w:val="center"/>
                    <w:textAlignment w:val="center"/>
                    <w:rPr>
                      <w:color w:val="auto"/>
                      <w:kern w:val="0"/>
                      <w:szCs w:val="21"/>
                    </w:rPr>
                  </w:pPr>
                  <w:r>
                    <w:rPr>
                      <w:rFonts w:hint="eastAsia"/>
                      <w:color w:val="auto"/>
                      <w:kern w:val="0"/>
                      <w:szCs w:val="21"/>
                    </w:rPr>
                    <w:t>4</w:t>
                  </w:r>
                </w:p>
              </w:tc>
              <w:tc>
                <w:tcPr>
                  <w:tcW w:w="225" w:type="pct"/>
                  <w:vAlign w:val="center"/>
                </w:tcPr>
                <w:p w14:paraId="4156FA2A">
                  <w:pPr>
                    <w:widowControl/>
                    <w:jc w:val="center"/>
                    <w:textAlignment w:val="center"/>
                    <w:rPr>
                      <w:color w:val="auto"/>
                      <w:kern w:val="0"/>
                      <w:szCs w:val="21"/>
                    </w:rPr>
                  </w:pPr>
                  <w:r>
                    <w:rPr>
                      <w:rFonts w:hint="eastAsia"/>
                      <w:color w:val="auto"/>
                      <w:kern w:val="0"/>
                      <w:szCs w:val="21"/>
                    </w:rPr>
                    <w:t>15</w:t>
                  </w:r>
                </w:p>
              </w:tc>
              <w:tc>
                <w:tcPr>
                  <w:tcW w:w="220" w:type="pct"/>
                  <w:vAlign w:val="center"/>
                </w:tcPr>
                <w:p w14:paraId="40C7F021">
                  <w:pPr>
                    <w:jc w:val="center"/>
                    <w:rPr>
                      <w:color w:val="auto"/>
                      <w:kern w:val="0"/>
                      <w:szCs w:val="21"/>
                    </w:rPr>
                  </w:pPr>
                  <w:r>
                    <w:rPr>
                      <w:rFonts w:hint="eastAsia"/>
                      <w:color w:val="auto"/>
                      <w:kern w:val="0"/>
                      <w:szCs w:val="21"/>
                    </w:rPr>
                    <w:t>1</w:t>
                  </w:r>
                </w:p>
              </w:tc>
              <w:tc>
                <w:tcPr>
                  <w:tcW w:w="322" w:type="pct"/>
                  <w:vAlign w:val="center"/>
                </w:tcPr>
                <w:p w14:paraId="5153F7C8">
                  <w:pPr>
                    <w:jc w:val="center"/>
                    <w:rPr>
                      <w:color w:val="auto"/>
                      <w:szCs w:val="21"/>
                    </w:rPr>
                  </w:pPr>
                  <w:r>
                    <w:rPr>
                      <w:rFonts w:hint="eastAsia"/>
                      <w:color w:val="auto"/>
                      <w:szCs w:val="21"/>
                    </w:rPr>
                    <w:t>3</w:t>
                  </w:r>
                </w:p>
              </w:tc>
              <w:tc>
                <w:tcPr>
                  <w:tcW w:w="348" w:type="pct"/>
                  <w:vAlign w:val="center"/>
                </w:tcPr>
                <w:p w14:paraId="1D558CAC">
                  <w:pPr>
                    <w:adjustRightInd w:val="0"/>
                    <w:snapToGrid w:val="0"/>
                    <w:jc w:val="center"/>
                    <w:rPr>
                      <w:color w:val="auto"/>
                      <w:kern w:val="0"/>
                      <w:szCs w:val="21"/>
                    </w:rPr>
                  </w:pPr>
                  <w:r>
                    <w:rPr>
                      <w:rFonts w:hint="eastAsia"/>
                      <w:color w:val="auto"/>
                      <w:kern w:val="0"/>
                      <w:szCs w:val="21"/>
                    </w:rPr>
                    <w:t>54</w:t>
                  </w:r>
                </w:p>
              </w:tc>
              <w:tc>
                <w:tcPr>
                  <w:tcW w:w="251" w:type="pct"/>
                  <w:vMerge w:val="continue"/>
                  <w:vAlign w:val="center"/>
                </w:tcPr>
                <w:p w14:paraId="7602743A">
                  <w:pPr>
                    <w:jc w:val="center"/>
                    <w:rPr>
                      <w:color w:val="auto"/>
                      <w:szCs w:val="21"/>
                    </w:rPr>
                  </w:pPr>
                </w:p>
              </w:tc>
              <w:tc>
                <w:tcPr>
                  <w:tcW w:w="380" w:type="pct"/>
                  <w:vAlign w:val="center"/>
                </w:tcPr>
                <w:p w14:paraId="5731DBCA">
                  <w:pPr>
                    <w:jc w:val="center"/>
                    <w:rPr>
                      <w:color w:val="auto"/>
                      <w:szCs w:val="21"/>
                    </w:rPr>
                  </w:pPr>
                  <w:r>
                    <w:rPr>
                      <w:rFonts w:hint="eastAsia"/>
                      <w:color w:val="auto"/>
                      <w:szCs w:val="21"/>
                      <w:lang w:val="en-US" w:eastAsia="zh-CN"/>
                    </w:rPr>
                    <w:t>25</w:t>
                  </w:r>
                </w:p>
              </w:tc>
              <w:tc>
                <w:tcPr>
                  <w:tcW w:w="381" w:type="pct"/>
                  <w:vAlign w:val="center"/>
                </w:tcPr>
                <w:p w14:paraId="2EC9C500">
                  <w:pPr>
                    <w:jc w:val="center"/>
                    <w:rPr>
                      <w:rFonts w:hint="default" w:eastAsia="宋体"/>
                      <w:color w:val="auto"/>
                      <w:kern w:val="0"/>
                      <w:szCs w:val="21"/>
                      <w:lang w:val="en-US" w:eastAsia="zh-CN"/>
                    </w:rPr>
                  </w:pPr>
                  <w:r>
                    <w:rPr>
                      <w:rFonts w:hint="eastAsia"/>
                      <w:color w:val="auto"/>
                      <w:kern w:val="0"/>
                      <w:szCs w:val="21"/>
                      <w:lang w:val="en-US" w:eastAsia="zh-CN"/>
                    </w:rPr>
                    <w:t>29</w:t>
                  </w:r>
                </w:p>
              </w:tc>
              <w:tc>
                <w:tcPr>
                  <w:tcW w:w="399" w:type="pct"/>
                  <w:vAlign w:val="center"/>
                </w:tcPr>
                <w:p w14:paraId="0D976B11">
                  <w:pPr>
                    <w:widowControl/>
                    <w:adjustRightInd w:val="0"/>
                    <w:snapToGrid w:val="0"/>
                    <w:jc w:val="center"/>
                    <w:rPr>
                      <w:color w:val="auto"/>
                      <w:kern w:val="0"/>
                      <w:szCs w:val="21"/>
                    </w:rPr>
                  </w:pPr>
                  <w:r>
                    <w:rPr>
                      <w:rFonts w:hint="eastAsia"/>
                      <w:color w:val="auto"/>
                      <w:kern w:val="0"/>
                      <w:szCs w:val="21"/>
                    </w:rPr>
                    <w:t>1</w:t>
                  </w:r>
                </w:p>
              </w:tc>
            </w:tr>
          </w:tbl>
          <w:p w14:paraId="7FD4685A">
            <w:pPr>
              <w:rPr>
                <w:b/>
                <w:color w:val="auto"/>
                <w:kern w:val="0"/>
                <w:szCs w:val="21"/>
              </w:rPr>
            </w:pPr>
            <w:r>
              <w:rPr>
                <w:b/>
                <w:color w:val="auto"/>
                <w:kern w:val="0"/>
                <w:szCs w:val="21"/>
              </w:rPr>
              <w:t>备注：以项目所在地</w:t>
            </w:r>
            <w:r>
              <w:rPr>
                <w:rFonts w:hint="eastAsia"/>
                <w:b/>
                <w:color w:val="auto"/>
                <w:kern w:val="0"/>
                <w:szCs w:val="21"/>
              </w:rPr>
              <w:t>西南角</w:t>
            </w:r>
            <w:r>
              <w:rPr>
                <w:b/>
                <w:color w:val="auto"/>
                <w:kern w:val="0"/>
                <w:szCs w:val="21"/>
              </w:rPr>
              <w:t>为（0，0，0），</w:t>
            </w:r>
            <w:r>
              <w:rPr>
                <w:rFonts w:hint="eastAsia"/>
                <w:b/>
                <w:color w:val="auto"/>
                <w:kern w:val="0"/>
                <w:szCs w:val="21"/>
              </w:rPr>
              <w:t>距室内边界距离按最近距离计</w:t>
            </w:r>
            <w:r>
              <w:rPr>
                <w:b/>
                <w:color w:val="auto"/>
                <w:kern w:val="0"/>
                <w:szCs w:val="21"/>
              </w:rPr>
              <w:t>。</w:t>
            </w:r>
          </w:p>
          <w:p w14:paraId="12B43A69">
            <w:pPr>
              <w:jc w:val="center"/>
              <w:rPr>
                <w:b/>
                <w:color w:val="auto"/>
                <w:kern w:val="0"/>
                <w:szCs w:val="21"/>
              </w:rPr>
            </w:pPr>
            <w:r>
              <w:rPr>
                <w:rFonts w:hint="eastAsia"/>
                <w:b/>
                <w:color w:val="auto"/>
                <w:kern w:val="0"/>
                <w:szCs w:val="21"/>
              </w:rPr>
              <w:t>表4-1</w:t>
            </w:r>
            <w:r>
              <w:rPr>
                <w:rFonts w:hint="eastAsia"/>
                <w:b/>
                <w:color w:val="auto"/>
                <w:kern w:val="0"/>
                <w:szCs w:val="21"/>
                <w:lang w:val="en-US" w:eastAsia="zh-CN"/>
              </w:rPr>
              <w:t>2</w:t>
            </w:r>
            <w:r>
              <w:rPr>
                <w:rFonts w:hint="eastAsia"/>
                <w:b/>
                <w:color w:val="auto"/>
                <w:kern w:val="0"/>
                <w:szCs w:val="21"/>
              </w:rPr>
              <w:t xml:space="preserve">   </w:t>
            </w:r>
            <w:r>
              <w:rPr>
                <w:b/>
                <w:color w:val="auto"/>
                <w:kern w:val="0"/>
                <w:szCs w:val="21"/>
              </w:rPr>
              <w:t>工业企业噪声源强调查清单（室</w:t>
            </w:r>
            <w:r>
              <w:rPr>
                <w:rFonts w:hint="eastAsia"/>
                <w:b/>
                <w:color w:val="auto"/>
                <w:kern w:val="0"/>
                <w:szCs w:val="21"/>
              </w:rPr>
              <w:t>外</w:t>
            </w:r>
            <w:r>
              <w:rPr>
                <w:b/>
                <w:color w:val="auto"/>
                <w:kern w:val="0"/>
                <w:szCs w:val="21"/>
              </w:rPr>
              <w:t>声源）</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80"/>
              <w:gridCol w:w="678"/>
              <w:gridCol w:w="1086"/>
              <w:gridCol w:w="1097"/>
              <w:gridCol w:w="1087"/>
              <w:gridCol w:w="2306"/>
              <w:gridCol w:w="3842"/>
              <w:gridCol w:w="2021"/>
            </w:tblGrid>
            <w:tr w14:paraId="000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66" w:type="pct"/>
                  <w:vMerge w:val="restart"/>
                  <w:vAlign w:val="center"/>
                </w:tcPr>
                <w:p w14:paraId="27318F69">
                  <w:pPr>
                    <w:jc w:val="center"/>
                    <w:rPr>
                      <w:color w:val="auto"/>
                    </w:rPr>
                  </w:pPr>
                  <w:r>
                    <w:rPr>
                      <w:rFonts w:hint="eastAsia"/>
                      <w:color w:val="auto"/>
                    </w:rPr>
                    <w:t>序号</w:t>
                  </w:r>
                </w:p>
              </w:tc>
              <w:tc>
                <w:tcPr>
                  <w:tcW w:w="387" w:type="pct"/>
                  <w:vMerge w:val="restart"/>
                  <w:vAlign w:val="center"/>
                </w:tcPr>
                <w:p w14:paraId="33576AA4">
                  <w:pPr>
                    <w:jc w:val="center"/>
                    <w:rPr>
                      <w:color w:val="auto"/>
                    </w:rPr>
                  </w:pPr>
                  <w:r>
                    <w:rPr>
                      <w:rFonts w:hint="eastAsia"/>
                      <w:color w:val="auto"/>
                    </w:rPr>
                    <w:t>声源名称</w:t>
                  </w:r>
                </w:p>
              </w:tc>
              <w:tc>
                <w:tcPr>
                  <w:tcW w:w="243" w:type="pct"/>
                  <w:vMerge w:val="restart"/>
                  <w:vAlign w:val="center"/>
                </w:tcPr>
                <w:p w14:paraId="3BA2D199">
                  <w:pPr>
                    <w:jc w:val="center"/>
                    <w:rPr>
                      <w:color w:val="auto"/>
                    </w:rPr>
                  </w:pPr>
                  <w:r>
                    <w:rPr>
                      <w:rFonts w:hint="eastAsia"/>
                      <w:color w:val="auto"/>
                    </w:rPr>
                    <w:t>数量</w:t>
                  </w:r>
                </w:p>
              </w:tc>
              <w:tc>
                <w:tcPr>
                  <w:tcW w:w="1172" w:type="pct"/>
                  <w:gridSpan w:val="3"/>
                  <w:vAlign w:val="center"/>
                </w:tcPr>
                <w:p w14:paraId="704FA103">
                  <w:pPr>
                    <w:jc w:val="center"/>
                    <w:rPr>
                      <w:color w:val="auto"/>
                    </w:rPr>
                  </w:pPr>
                  <w:r>
                    <w:rPr>
                      <w:rFonts w:hint="eastAsia"/>
                      <w:color w:val="auto"/>
                    </w:rPr>
                    <w:t>空间相对位置（m）</w:t>
                  </w:r>
                </w:p>
              </w:tc>
              <w:tc>
                <w:tcPr>
                  <w:tcW w:w="827" w:type="pct"/>
                  <w:vAlign w:val="center"/>
                </w:tcPr>
                <w:p w14:paraId="39E0E667">
                  <w:pPr>
                    <w:jc w:val="center"/>
                    <w:rPr>
                      <w:color w:val="auto"/>
                    </w:rPr>
                  </w:pPr>
                  <w:r>
                    <w:rPr>
                      <w:color w:val="auto"/>
                    </w:rPr>
                    <w:t>声源源强</w:t>
                  </w:r>
                </w:p>
              </w:tc>
              <w:tc>
                <w:tcPr>
                  <w:tcW w:w="1377" w:type="pct"/>
                  <w:vMerge w:val="restart"/>
                  <w:vAlign w:val="center"/>
                </w:tcPr>
                <w:p w14:paraId="03F3D011">
                  <w:pPr>
                    <w:jc w:val="center"/>
                    <w:rPr>
                      <w:color w:val="auto"/>
                    </w:rPr>
                  </w:pPr>
                  <w:r>
                    <w:rPr>
                      <w:color w:val="auto"/>
                    </w:rPr>
                    <w:t>声源控制措施</w:t>
                  </w:r>
                </w:p>
              </w:tc>
              <w:tc>
                <w:tcPr>
                  <w:tcW w:w="725" w:type="pct"/>
                  <w:vMerge w:val="restart"/>
                  <w:vAlign w:val="center"/>
                </w:tcPr>
                <w:p w14:paraId="3B81DD10">
                  <w:pPr>
                    <w:jc w:val="center"/>
                    <w:rPr>
                      <w:color w:val="auto"/>
                    </w:rPr>
                  </w:pPr>
                  <w:r>
                    <w:rPr>
                      <w:color w:val="auto"/>
                    </w:rPr>
                    <w:t>运行时段</w:t>
                  </w:r>
                </w:p>
              </w:tc>
            </w:tr>
            <w:tr w14:paraId="505F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66" w:type="pct"/>
                  <w:vMerge w:val="continue"/>
                  <w:vAlign w:val="center"/>
                </w:tcPr>
                <w:p w14:paraId="30E3EC6D">
                  <w:pPr>
                    <w:jc w:val="center"/>
                    <w:rPr>
                      <w:color w:val="auto"/>
                    </w:rPr>
                  </w:pPr>
                </w:p>
              </w:tc>
              <w:tc>
                <w:tcPr>
                  <w:tcW w:w="387" w:type="pct"/>
                  <w:vMerge w:val="continue"/>
                  <w:vAlign w:val="center"/>
                </w:tcPr>
                <w:p w14:paraId="32F1D629">
                  <w:pPr>
                    <w:jc w:val="center"/>
                    <w:rPr>
                      <w:color w:val="auto"/>
                    </w:rPr>
                  </w:pPr>
                </w:p>
              </w:tc>
              <w:tc>
                <w:tcPr>
                  <w:tcW w:w="243" w:type="pct"/>
                  <w:vMerge w:val="continue"/>
                  <w:vAlign w:val="center"/>
                </w:tcPr>
                <w:p w14:paraId="02B1ABBB">
                  <w:pPr>
                    <w:jc w:val="center"/>
                    <w:rPr>
                      <w:color w:val="auto"/>
                    </w:rPr>
                  </w:pPr>
                </w:p>
              </w:tc>
              <w:tc>
                <w:tcPr>
                  <w:tcW w:w="389" w:type="pct"/>
                  <w:vAlign w:val="center"/>
                </w:tcPr>
                <w:p w14:paraId="7515C753">
                  <w:pPr>
                    <w:jc w:val="center"/>
                    <w:rPr>
                      <w:color w:val="auto"/>
                    </w:rPr>
                  </w:pPr>
                  <w:r>
                    <w:rPr>
                      <w:color w:val="auto"/>
                      <w:szCs w:val="21"/>
                    </w:rPr>
                    <w:t>X</w:t>
                  </w:r>
                </w:p>
              </w:tc>
              <w:tc>
                <w:tcPr>
                  <w:tcW w:w="393" w:type="pct"/>
                  <w:vAlign w:val="center"/>
                </w:tcPr>
                <w:p w14:paraId="5F8CA34E">
                  <w:pPr>
                    <w:jc w:val="center"/>
                    <w:rPr>
                      <w:color w:val="auto"/>
                    </w:rPr>
                  </w:pPr>
                  <w:r>
                    <w:rPr>
                      <w:color w:val="auto"/>
                      <w:szCs w:val="21"/>
                    </w:rPr>
                    <w:t>Y</w:t>
                  </w:r>
                </w:p>
              </w:tc>
              <w:tc>
                <w:tcPr>
                  <w:tcW w:w="390" w:type="pct"/>
                  <w:vAlign w:val="center"/>
                </w:tcPr>
                <w:p w14:paraId="3161C453">
                  <w:pPr>
                    <w:jc w:val="center"/>
                    <w:rPr>
                      <w:color w:val="auto"/>
                    </w:rPr>
                  </w:pPr>
                  <w:r>
                    <w:rPr>
                      <w:color w:val="auto"/>
                      <w:szCs w:val="21"/>
                    </w:rPr>
                    <w:t>Z</w:t>
                  </w:r>
                </w:p>
              </w:tc>
              <w:tc>
                <w:tcPr>
                  <w:tcW w:w="827" w:type="pct"/>
                  <w:vAlign w:val="center"/>
                </w:tcPr>
                <w:p w14:paraId="0EB56797">
                  <w:pPr>
                    <w:jc w:val="center"/>
                    <w:rPr>
                      <w:color w:val="auto"/>
                    </w:rPr>
                  </w:pPr>
                  <w:r>
                    <w:rPr>
                      <w:rFonts w:hint="eastAsia"/>
                      <w:color w:val="auto"/>
                      <w:szCs w:val="21"/>
                    </w:rPr>
                    <w:t>声压</w:t>
                  </w:r>
                  <w:r>
                    <w:rPr>
                      <w:color w:val="auto"/>
                      <w:szCs w:val="21"/>
                    </w:rPr>
                    <w:t>级/dB（A）</w:t>
                  </w:r>
                </w:p>
              </w:tc>
              <w:tc>
                <w:tcPr>
                  <w:tcW w:w="1377" w:type="pct"/>
                  <w:vMerge w:val="continue"/>
                  <w:vAlign w:val="center"/>
                </w:tcPr>
                <w:p w14:paraId="6053D19D">
                  <w:pPr>
                    <w:jc w:val="center"/>
                    <w:rPr>
                      <w:color w:val="auto"/>
                    </w:rPr>
                  </w:pPr>
                </w:p>
              </w:tc>
              <w:tc>
                <w:tcPr>
                  <w:tcW w:w="725" w:type="pct"/>
                  <w:vMerge w:val="continue"/>
                  <w:vAlign w:val="center"/>
                </w:tcPr>
                <w:p w14:paraId="0A9D5200">
                  <w:pPr>
                    <w:jc w:val="center"/>
                    <w:rPr>
                      <w:color w:val="auto"/>
                    </w:rPr>
                  </w:pPr>
                </w:p>
              </w:tc>
            </w:tr>
            <w:tr w14:paraId="048A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66" w:type="pct"/>
                  <w:vAlign w:val="center"/>
                </w:tcPr>
                <w:p w14:paraId="7915D1BB">
                  <w:pPr>
                    <w:jc w:val="center"/>
                    <w:rPr>
                      <w:color w:val="auto"/>
                    </w:rPr>
                  </w:pPr>
                  <w:r>
                    <w:rPr>
                      <w:rFonts w:hint="eastAsia"/>
                      <w:color w:val="auto"/>
                    </w:rPr>
                    <w:t>1</w:t>
                  </w:r>
                </w:p>
              </w:tc>
              <w:tc>
                <w:tcPr>
                  <w:tcW w:w="387" w:type="pct"/>
                  <w:vAlign w:val="center"/>
                </w:tcPr>
                <w:p w14:paraId="551BFC20">
                  <w:pPr>
                    <w:widowControl/>
                    <w:adjustRightInd w:val="0"/>
                    <w:snapToGrid w:val="0"/>
                    <w:jc w:val="center"/>
                    <w:rPr>
                      <w:color w:val="auto"/>
                    </w:rPr>
                  </w:pPr>
                  <w:r>
                    <w:rPr>
                      <w:rFonts w:hint="eastAsia"/>
                      <w:color w:val="auto"/>
                      <w:szCs w:val="21"/>
                    </w:rPr>
                    <w:t>风机</w:t>
                  </w:r>
                </w:p>
              </w:tc>
              <w:tc>
                <w:tcPr>
                  <w:tcW w:w="243" w:type="pct"/>
                  <w:vAlign w:val="center"/>
                </w:tcPr>
                <w:p w14:paraId="2DA447F2">
                  <w:pPr>
                    <w:widowControl/>
                    <w:adjustRightInd w:val="0"/>
                    <w:snapToGrid w:val="0"/>
                    <w:jc w:val="center"/>
                    <w:rPr>
                      <w:color w:val="auto"/>
                      <w:szCs w:val="21"/>
                    </w:rPr>
                  </w:pPr>
                  <w:r>
                    <w:rPr>
                      <w:rFonts w:hint="eastAsia"/>
                      <w:color w:val="auto"/>
                      <w:szCs w:val="21"/>
                    </w:rPr>
                    <w:t>1</w:t>
                  </w:r>
                </w:p>
              </w:tc>
              <w:tc>
                <w:tcPr>
                  <w:tcW w:w="389" w:type="pct"/>
                  <w:vAlign w:val="center"/>
                </w:tcPr>
                <w:p w14:paraId="1268CD1C">
                  <w:pPr>
                    <w:widowControl/>
                    <w:jc w:val="center"/>
                    <w:textAlignment w:val="center"/>
                    <w:rPr>
                      <w:color w:val="auto"/>
                    </w:rPr>
                  </w:pPr>
                  <w:r>
                    <w:rPr>
                      <w:rFonts w:hint="eastAsia"/>
                      <w:color w:val="auto"/>
                    </w:rPr>
                    <w:t>3</w:t>
                  </w:r>
                </w:p>
              </w:tc>
              <w:tc>
                <w:tcPr>
                  <w:tcW w:w="393" w:type="pct"/>
                  <w:vAlign w:val="center"/>
                </w:tcPr>
                <w:p w14:paraId="59915581">
                  <w:pPr>
                    <w:widowControl/>
                    <w:jc w:val="center"/>
                    <w:textAlignment w:val="center"/>
                    <w:rPr>
                      <w:color w:val="auto"/>
                    </w:rPr>
                  </w:pPr>
                  <w:r>
                    <w:rPr>
                      <w:rFonts w:hint="eastAsia"/>
                      <w:color w:val="auto"/>
                    </w:rPr>
                    <w:t>10</w:t>
                  </w:r>
                </w:p>
              </w:tc>
              <w:tc>
                <w:tcPr>
                  <w:tcW w:w="390" w:type="pct"/>
                  <w:vAlign w:val="center"/>
                </w:tcPr>
                <w:p w14:paraId="378A27C1">
                  <w:pPr>
                    <w:jc w:val="center"/>
                    <w:rPr>
                      <w:color w:val="auto"/>
                    </w:rPr>
                  </w:pPr>
                  <w:r>
                    <w:rPr>
                      <w:rFonts w:hint="eastAsia"/>
                      <w:color w:val="auto"/>
                    </w:rPr>
                    <w:t>10</w:t>
                  </w:r>
                </w:p>
              </w:tc>
              <w:tc>
                <w:tcPr>
                  <w:tcW w:w="827" w:type="pct"/>
                  <w:vAlign w:val="center"/>
                </w:tcPr>
                <w:p w14:paraId="4A23F48C">
                  <w:pPr>
                    <w:jc w:val="center"/>
                    <w:rPr>
                      <w:color w:val="auto"/>
                    </w:rPr>
                  </w:pPr>
                  <w:r>
                    <w:rPr>
                      <w:rFonts w:hint="eastAsia"/>
                      <w:color w:val="auto"/>
                    </w:rPr>
                    <w:t>85</w:t>
                  </w:r>
                </w:p>
              </w:tc>
              <w:tc>
                <w:tcPr>
                  <w:tcW w:w="1377" w:type="pct"/>
                  <w:vAlign w:val="center"/>
                </w:tcPr>
                <w:p w14:paraId="60698C1A">
                  <w:pPr>
                    <w:widowControl/>
                    <w:adjustRightInd w:val="0"/>
                    <w:snapToGrid w:val="0"/>
                    <w:jc w:val="center"/>
                    <w:rPr>
                      <w:color w:val="auto"/>
                    </w:rPr>
                  </w:pPr>
                  <w:r>
                    <w:rPr>
                      <w:color w:val="auto"/>
                      <w:kern w:val="0"/>
                      <w:szCs w:val="21"/>
                    </w:rPr>
                    <w:t>采用低噪声设备</w:t>
                  </w:r>
                  <w:r>
                    <w:rPr>
                      <w:rFonts w:hint="eastAsia"/>
                      <w:color w:val="auto"/>
                      <w:kern w:val="0"/>
                      <w:szCs w:val="21"/>
                    </w:rPr>
                    <w:t>、减振垫、软连接等</w:t>
                  </w:r>
                </w:p>
              </w:tc>
              <w:tc>
                <w:tcPr>
                  <w:tcW w:w="725" w:type="pct"/>
                  <w:vAlign w:val="center"/>
                </w:tcPr>
                <w:p w14:paraId="4C30BB34">
                  <w:pPr>
                    <w:jc w:val="center"/>
                    <w:rPr>
                      <w:color w:val="auto"/>
                    </w:rPr>
                  </w:pPr>
                  <w:r>
                    <w:rPr>
                      <w:rFonts w:hint="eastAsia"/>
                      <w:color w:val="auto"/>
                      <w:kern w:val="0"/>
                      <w:szCs w:val="20"/>
                    </w:rPr>
                    <w:t>白天运行，每天8h</w:t>
                  </w:r>
                </w:p>
              </w:tc>
            </w:tr>
          </w:tbl>
          <w:p w14:paraId="5446939D">
            <w:pPr>
              <w:jc w:val="left"/>
              <w:rPr>
                <w:b/>
                <w:color w:val="auto"/>
                <w:kern w:val="0"/>
                <w:szCs w:val="21"/>
              </w:rPr>
            </w:pPr>
            <w:r>
              <w:rPr>
                <w:b/>
                <w:color w:val="auto"/>
                <w:kern w:val="0"/>
                <w:szCs w:val="21"/>
              </w:rPr>
              <w:t>备注：以项目所在地</w:t>
            </w:r>
            <w:r>
              <w:rPr>
                <w:rFonts w:hint="eastAsia"/>
                <w:b/>
                <w:color w:val="auto"/>
                <w:kern w:val="0"/>
                <w:szCs w:val="21"/>
              </w:rPr>
              <w:t>园区西南角</w:t>
            </w:r>
            <w:r>
              <w:rPr>
                <w:b/>
                <w:color w:val="auto"/>
                <w:kern w:val="0"/>
                <w:szCs w:val="21"/>
              </w:rPr>
              <w:t>为（0</w:t>
            </w:r>
            <w:r>
              <w:rPr>
                <w:rFonts w:hint="eastAsia"/>
                <w:b/>
                <w:color w:val="auto"/>
                <w:kern w:val="0"/>
                <w:szCs w:val="21"/>
              </w:rPr>
              <w:t>，</w:t>
            </w:r>
            <w:r>
              <w:rPr>
                <w:b/>
                <w:color w:val="auto"/>
                <w:kern w:val="0"/>
                <w:szCs w:val="21"/>
              </w:rPr>
              <w:t>0</w:t>
            </w:r>
            <w:r>
              <w:rPr>
                <w:rFonts w:hint="eastAsia"/>
                <w:b/>
                <w:color w:val="auto"/>
                <w:kern w:val="0"/>
                <w:szCs w:val="21"/>
              </w:rPr>
              <w:t>，</w:t>
            </w:r>
            <w:r>
              <w:rPr>
                <w:b/>
                <w:color w:val="auto"/>
                <w:kern w:val="0"/>
                <w:szCs w:val="21"/>
              </w:rPr>
              <w:t>0），</w:t>
            </w:r>
            <w:r>
              <w:rPr>
                <w:rFonts w:hint="eastAsia"/>
                <w:b/>
                <w:color w:val="auto"/>
                <w:kern w:val="0"/>
                <w:szCs w:val="21"/>
              </w:rPr>
              <w:t>距室内边界距离按最近距离计</w:t>
            </w:r>
            <w:r>
              <w:rPr>
                <w:b/>
                <w:color w:val="auto"/>
                <w:kern w:val="0"/>
                <w:szCs w:val="21"/>
              </w:rPr>
              <w:t>。</w:t>
            </w:r>
          </w:p>
          <w:p w14:paraId="3299C268">
            <w:pPr>
              <w:spacing w:line="360" w:lineRule="auto"/>
              <w:jc w:val="left"/>
              <w:rPr>
                <w:color w:val="auto"/>
              </w:rPr>
            </w:pPr>
          </w:p>
        </w:tc>
      </w:tr>
    </w:tbl>
    <w:p w14:paraId="3B7C77DE">
      <w:pPr>
        <w:rPr>
          <w:color w:val="auto"/>
        </w:rPr>
        <w:sectPr>
          <w:pgSz w:w="16838" w:h="11906" w:orient="landscape"/>
          <w:pgMar w:top="1553" w:right="1553" w:bottom="1553" w:left="1553" w:header="851" w:footer="851" w:gutter="0"/>
          <w:pgNumType w:fmt="numberInDash"/>
          <w:cols w:space="720" w:num="1"/>
          <w:docGrid w:linePitch="312" w:charSpace="0"/>
        </w:sectPr>
      </w:pP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8598"/>
      </w:tblGrid>
      <w:tr w14:paraId="79C6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2" w:hRule="atLeast"/>
        </w:trPr>
        <w:tc>
          <w:tcPr>
            <w:tcW w:w="462" w:type="dxa"/>
            <w:vAlign w:val="center"/>
          </w:tcPr>
          <w:p w14:paraId="4432442C">
            <w:pPr>
              <w:spacing w:line="360" w:lineRule="auto"/>
              <w:jc w:val="center"/>
              <w:rPr>
                <w:color w:val="auto"/>
              </w:rPr>
            </w:pPr>
          </w:p>
        </w:tc>
        <w:tc>
          <w:tcPr>
            <w:tcW w:w="8577" w:type="dxa"/>
          </w:tcPr>
          <w:p w14:paraId="576E32A3">
            <w:pPr>
              <w:widowControl/>
              <w:spacing w:line="360" w:lineRule="auto"/>
              <w:ind w:firstLine="480" w:firstLineChars="200"/>
              <w:rPr>
                <w:color w:val="auto"/>
                <w:sz w:val="24"/>
              </w:rPr>
            </w:pPr>
            <w:r>
              <w:rPr>
                <w:color w:val="auto"/>
                <w:sz w:val="24"/>
              </w:rPr>
              <w:t>（2）预测模型</w:t>
            </w:r>
          </w:p>
          <w:p w14:paraId="39996B36">
            <w:pPr>
              <w:spacing w:line="360" w:lineRule="auto"/>
              <w:ind w:firstLine="480"/>
              <w:rPr>
                <w:color w:val="auto"/>
                <w:sz w:val="24"/>
              </w:rPr>
            </w:pPr>
            <w:r>
              <w:rPr>
                <w:color w:val="auto"/>
                <w:sz w:val="24"/>
              </w:rPr>
              <w:t>①噪声预测按照《环境影响评价技术导则·声环境》（HJ2.4-2021）中推荐的模式进行预测。</w:t>
            </w:r>
          </w:p>
          <w:p w14:paraId="4DB2C1D8">
            <w:pPr>
              <w:spacing w:line="360" w:lineRule="auto"/>
              <w:jc w:val="center"/>
              <w:rPr>
                <w:color w:val="auto"/>
                <w:sz w:val="24"/>
              </w:rPr>
            </w:pPr>
            <w:r>
              <w:rPr>
                <w:color w:val="auto"/>
                <w:sz w:val="24"/>
              </w:rPr>
              <w:t>L</w:t>
            </w:r>
            <w:r>
              <w:rPr>
                <w:color w:val="auto"/>
                <w:sz w:val="24"/>
                <w:vertAlign w:val="subscript"/>
              </w:rPr>
              <w:t>p2</w:t>
            </w:r>
            <w:r>
              <w:rPr>
                <w:color w:val="auto"/>
                <w:sz w:val="24"/>
              </w:rPr>
              <w:t>=L</w:t>
            </w:r>
            <w:r>
              <w:rPr>
                <w:color w:val="auto"/>
                <w:sz w:val="24"/>
                <w:vertAlign w:val="subscript"/>
              </w:rPr>
              <w:t>p1</w:t>
            </w:r>
            <w:r>
              <w:rPr>
                <w:color w:val="auto"/>
                <w:sz w:val="24"/>
              </w:rPr>
              <w:t>-（TL+6）</w:t>
            </w:r>
          </w:p>
          <w:p w14:paraId="5DC36365">
            <w:pPr>
              <w:adjustRightInd w:val="0"/>
              <w:snapToGrid w:val="0"/>
              <w:spacing w:line="360" w:lineRule="auto"/>
              <w:ind w:firstLine="480"/>
              <w:rPr>
                <w:color w:val="auto"/>
                <w:sz w:val="24"/>
              </w:rPr>
            </w:pPr>
            <w:r>
              <w:rPr>
                <w:color w:val="auto"/>
                <w:sz w:val="24"/>
              </w:rPr>
              <w:t>式中：L</w:t>
            </w:r>
            <w:r>
              <w:rPr>
                <w:color w:val="auto"/>
                <w:sz w:val="24"/>
                <w:vertAlign w:val="subscript"/>
              </w:rPr>
              <w:t>p1</w:t>
            </w:r>
            <w:r>
              <w:rPr>
                <w:color w:val="auto"/>
                <w:sz w:val="24"/>
              </w:rPr>
              <w:t>—靠近开口处（或窗户）室内某倍频带的声压级或A声级，dB；</w:t>
            </w:r>
          </w:p>
          <w:p w14:paraId="2BC8F10F">
            <w:pPr>
              <w:adjustRightInd w:val="0"/>
              <w:snapToGrid w:val="0"/>
              <w:spacing w:line="360" w:lineRule="auto"/>
              <w:ind w:firstLine="960" w:firstLineChars="400"/>
              <w:rPr>
                <w:color w:val="auto"/>
                <w:sz w:val="24"/>
              </w:rPr>
            </w:pPr>
            <w:r>
              <w:rPr>
                <w:color w:val="auto"/>
                <w:sz w:val="24"/>
              </w:rPr>
              <w:t>L</w:t>
            </w:r>
            <w:r>
              <w:rPr>
                <w:color w:val="auto"/>
                <w:sz w:val="24"/>
                <w:vertAlign w:val="subscript"/>
              </w:rPr>
              <w:t>p2</w:t>
            </w:r>
            <w:r>
              <w:rPr>
                <w:color w:val="auto"/>
                <w:sz w:val="24"/>
              </w:rPr>
              <w:t>—靠近开口处（或窗户）室外某倍频带的声压级或A声级，dB；</w:t>
            </w:r>
          </w:p>
          <w:p w14:paraId="56D49E58">
            <w:pPr>
              <w:adjustRightInd w:val="0"/>
              <w:snapToGrid w:val="0"/>
              <w:spacing w:line="360" w:lineRule="auto"/>
              <w:ind w:firstLine="960" w:firstLineChars="400"/>
              <w:rPr>
                <w:color w:val="auto"/>
                <w:sz w:val="24"/>
              </w:rPr>
            </w:pPr>
            <w:r>
              <w:rPr>
                <w:color w:val="auto"/>
                <w:sz w:val="24"/>
              </w:rPr>
              <w:t>TL—隔墙（或窗户）倍频带或A声级的隔声量，dB。</w:t>
            </w:r>
          </w:p>
          <w:p w14:paraId="35CB8444">
            <w:pPr>
              <w:adjustRightInd w:val="0"/>
              <w:snapToGrid w:val="0"/>
              <w:spacing w:line="360" w:lineRule="auto"/>
              <w:ind w:firstLine="480"/>
              <w:jc w:val="center"/>
              <w:rPr>
                <w:color w:val="auto"/>
                <w:sz w:val="24"/>
              </w:rPr>
            </w:pPr>
            <w:r>
              <w:rPr>
                <w:color w:val="auto"/>
                <w:sz w:val="24"/>
              </w:rPr>
              <w:t>L</w:t>
            </w:r>
            <w:r>
              <w:rPr>
                <w:color w:val="auto"/>
                <w:sz w:val="24"/>
                <w:vertAlign w:val="subscript"/>
              </w:rPr>
              <w:t>p</w:t>
            </w:r>
            <w:r>
              <w:rPr>
                <w:rFonts w:hint="eastAsia"/>
                <w:color w:val="auto"/>
                <w:sz w:val="24"/>
                <w:vertAlign w:val="subscript"/>
              </w:rPr>
              <w:t>（</w:t>
            </w:r>
            <w:r>
              <w:rPr>
                <w:color w:val="auto"/>
                <w:sz w:val="24"/>
                <w:vertAlign w:val="subscript"/>
              </w:rPr>
              <w:t>r</w:t>
            </w:r>
            <w:r>
              <w:rPr>
                <w:rFonts w:hint="eastAsia"/>
                <w:color w:val="auto"/>
                <w:sz w:val="24"/>
                <w:vertAlign w:val="subscript"/>
              </w:rPr>
              <w:t>）</w:t>
            </w:r>
            <w:r>
              <w:rPr>
                <w:color w:val="auto"/>
                <w:sz w:val="24"/>
              </w:rPr>
              <w:t>=L</w:t>
            </w:r>
            <w:r>
              <w:rPr>
                <w:color w:val="auto"/>
                <w:sz w:val="24"/>
                <w:vertAlign w:val="subscript"/>
              </w:rPr>
              <w:t>p</w:t>
            </w:r>
            <w:r>
              <w:rPr>
                <w:rFonts w:hint="eastAsia"/>
                <w:color w:val="auto"/>
                <w:sz w:val="24"/>
                <w:vertAlign w:val="subscript"/>
              </w:rPr>
              <w:t>（</w:t>
            </w:r>
            <w:r>
              <w:rPr>
                <w:color w:val="auto"/>
                <w:sz w:val="24"/>
                <w:vertAlign w:val="subscript"/>
              </w:rPr>
              <w:t>r0</w:t>
            </w:r>
            <w:r>
              <w:rPr>
                <w:rFonts w:hint="eastAsia"/>
                <w:color w:val="auto"/>
                <w:sz w:val="24"/>
                <w:vertAlign w:val="subscript"/>
              </w:rPr>
              <w:t>）</w:t>
            </w:r>
            <w:r>
              <w:rPr>
                <w:color w:val="auto"/>
                <w:sz w:val="24"/>
              </w:rPr>
              <w:t>-20lg（r/r</w:t>
            </w:r>
            <w:r>
              <w:rPr>
                <w:color w:val="auto"/>
                <w:sz w:val="24"/>
                <w:vertAlign w:val="subscript"/>
              </w:rPr>
              <w:t>0</w:t>
            </w:r>
            <w:r>
              <w:rPr>
                <w:color w:val="auto"/>
                <w:sz w:val="24"/>
              </w:rPr>
              <w:t>）</w:t>
            </w:r>
          </w:p>
          <w:p w14:paraId="5B9DE690">
            <w:pPr>
              <w:adjustRightInd w:val="0"/>
              <w:snapToGrid w:val="0"/>
              <w:spacing w:line="360" w:lineRule="auto"/>
              <w:ind w:firstLine="480"/>
              <w:jc w:val="left"/>
              <w:rPr>
                <w:color w:val="auto"/>
                <w:sz w:val="24"/>
              </w:rPr>
            </w:pPr>
            <w:r>
              <w:rPr>
                <w:color w:val="auto"/>
                <w:sz w:val="24"/>
              </w:rPr>
              <w:t>式中：L</w:t>
            </w:r>
            <w:r>
              <w:rPr>
                <w:color w:val="auto"/>
                <w:sz w:val="24"/>
                <w:vertAlign w:val="subscript"/>
              </w:rPr>
              <w:t>p</w:t>
            </w:r>
            <w:r>
              <w:rPr>
                <w:rFonts w:hint="eastAsia"/>
                <w:color w:val="auto"/>
                <w:sz w:val="24"/>
                <w:vertAlign w:val="subscript"/>
              </w:rPr>
              <w:t>（</w:t>
            </w:r>
            <w:r>
              <w:rPr>
                <w:color w:val="auto"/>
                <w:sz w:val="24"/>
                <w:vertAlign w:val="subscript"/>
              </w:rPr>
              <w:t>r</w:t>
            </w:r>
            <w:r>
              <w:rPr>
                <w:rFonts w:hint="eastAsia"/>
                <w:color w:val="auto"/>
                <w:sz w:val="24"/>
                <w:vertAlign w:val="subscript"/>
              </w:rPr>
              <w:t>）</w:t>
            </w:r>
            <w:r>
              <w:rPr>
                <w:color w:val="auto"/>
                <w:sz w:val="24"/>
              </w:rPr>
              <w:t>—预测点处声压级，dB；</w:t>
            </w:r>
          </w:p>
          <w:p w14:paraId="53A3158D">
            <w:pPr>
              <w:adjustRightInd w:val="0"/>
              <w:snapToGrid w:val="0"/>
              <w:spacing w:line="360" w:lineRule="auto"/>
              <w:ind w:firstLine="1024" w:firstLineChars="427"/>
              <w:jc w:val="left"/>
              <w:rPr>
                <w:color w:val="auto"/>
                <w:sz w:val="24"/>
              </w:rPr>
            </w:pPr>
            <w:r>
              <w:rPr>
                <w:color w:val="auto"/>
                <w:sz w:val="24"/>
              </w:rPr>
              <w:t>L</w:t>
            </w:r>
            <w:r>
              <w:rPr>
                <w:color w:val="auto"/>
                <w:sz w:val="24"/>
                <w:vertAlign w:val="subscript"/>
              </w:rPr>
              <w:t>p</w:t>
            </w:r>
            <w:r>
              <w:rPr>
                <w:rFonts w:hint="eastAsia"/>
                <w:color w:val="auto"/>
                <w:sz w:val="24"/>
                <w:vertAlign w:val="subscript"/>
              </w:rPr>
              <w:t>（</w:t>
            </w:r>
            <w:r>
              <w:rPr>
                <w:color w:val="auto"/>
                <w:sz w:val="24"/>
                <w:vertAlign w:val="subscript"/>
              </w:rPr>
              <w:t>r0</w:t>
            </w:r>
            <w:r>
              <w:rPr>
                <w:rFonts w:hint="eastAsia"/>
                <w:color w:val="auto"/>
                <w:sz w:val="24"/>
                <w:vertAlign w:val="subscript"/>
              </w:rPr>
              <w:t>）</w:t>
            </w:r>
            <w:r>
              <w:rPr>
                <w:color w:val="auto"/>
                <w:sz w:val="24"/>
              </w:rPr>
              <w:t>—参考位置r</w:t>
            </w:r>
            <w:r>
              <w:rPr>
                <w:color w:val="auto"/>
                <w:sz w:val="24"/>
                <w:vertAlign w:val="subscript"/>
              </w:rPr>
              <w:t>0</w:t>
            </w:r>
            <w:r>
              <w:rPr>
                <w:color w:val="auto"/>
                <w:sz w:val="24"/>
              </w:rPr>
              <w:t>处的声压级，dB；</w:t>
            </w:r>
          </w:p>
          <w:p w14:paraId="327EAA00">
            <w:pPr>
              <w:adjustRightInd w:val="0"/>
              <w:snapToGrid w:val="0"/>
              <w:spacing w:line="360" w:lineRule="auto"/>
              <w:ind w:firstLine="1024" w:firstLineChars="427"/>
              <w:jc w:val="left"/>
              <w:rPr>
                <w:color w:val="auto"/>
                <w:sz w:val="24"/>
              </w:rPr>
            </w:pPr>
            <w:r>
              <w:rPr>
                <w:color w:val="auto"/>
                <w:sz w:val="24"/>
              </w:rPr>
              <w:t>r—预测点距声源的距离；</w:t>
            </w:r>
          </w:p>
          <w:p w14:paraId="404C8B6E">
            <w:pPr>
              <w:adjustRightInd w:val="0"/>
              <w:snapToGrid w:val="0"/>
              <w:spacing w:line="360" w:lineRule="auto"/>
              <w:ind w:firstLine="1024" w:firstLineChars="427"/>
              <w:jc w:val="left"/>
              <w:rPr>
                <w:bCs/>
                <w:color w:val="auto"/>
                <w:sz w:val="24"/>
              </w:rPr>
            </w:pPr>
            <w:r>
              <w:rPr>
                <w:color w:val="auto"/>
                <w:sz w:val="24"/>
              </w:rPr>
              <w:t>r</w:t>
            </w:r>
            <w:r>
              <w:rPr>
                <w:color w:val="auto"/>
                <w:sz w:val="24"/>
                <w:vertAlign w:val="subscript"/>
              </w:rPr>
              <w:t>0</w:t>
            </w:r>
            <w:r>
              <w:rPr>
                <w:color w:val="auto"/>
                <w:sz w:val="24"/>
              </w:rPr>
              <w:t>—参考位置距声源的距离。</w:t>
            </w:r>
          </w:p>
          <w:p w14:paraId="538DD519">
            <w:pPr>
              <w:adjustRightInd w:val="0"/>
              <w:snapToGrid w:val="0"/>
              <w:spacing w:line="360" w:lineRule="auto"/>
              <w:ind w:firstLine="480"/>
              <w:jc w:val="left"/>
              <w:rPr>
                <w:color w:val="auto"/>
                <w:sz w:val="24"/>
              </w:rPr>
            </w:pPr>
            <w:r>
              <w:rPr>
                <w:color w:val="auto"/>
                <w:sz w:val="24"/>
              </w:rPr>
              <w:t>②噪声贡献值计算公式：</w:t>
            </w:r>
          </w:p>
          <w:p w14:paraId="03350DA2">
            <w:pPr>
              <w:adjustRightInd w:val="0"/>
              <w:snapToGrid w:val="0"/>
              <w:spacing w:line="360" w:lineRule="auto"/>
              <w:jc w:val="center"/>
              <w:rPr>
                <w:color w:val="auto"/>
                <w:sz w:val="24"/>
              </w:rPr>
            </w:pPr>
            <w:r>
              <w:rPr>
                <w:color w:val="auto"/>
                <w:sz w:val="24"/>
              </w:rPr>
              <w:t>L</w:t>
            </w:r>
            <w:r>
              <w:rPr>
                <w:color w:val="auto"/>
                <w:sz w:val="24"/>
                <w:vertAlign w:val="subscript"/>
              </w:rPr>
              <w:t>eqg</w:t>
            </w:r>
            <w:r>
              <w:rPr>
                <w:color w:val="auto"/>
                <w:sz w:val="24"/>
              </w:rPr>
              <w:t>=10lg（</w:t>
            </w:r>
            <w:r>
              <w:rPr>
                <w:color w:val="auto"/>
                <w:position w:val="-28"/>
                <w:sz w:val="24"/>
              </w:rPr>
              <w:object>
                <v:shape id="_x0000_i1025" o:spt="75" type="#_x0000_t75" style="height:33pt;width:33.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color w:val="auto"/>
                <w:sz w:val="24"/>
              </w:rPr>
              <w:t>10</w:t>
            </w:r>
            <w:r>
              <w:rPr>
                <w:color w:val="auto"/>
                <w:sz w:val="24"/>
                <w:vertAlign w:val="superscript"/>
              </w:rPr>
              <w:t>0.1LAi</w:t>
            </w:r>
            <w:r>
              <w:rPr>
                <w:color w:val="auto"/>
                <w:sz w:val="24"/>
              </w:rPr>
              <w:t>）</w:t>
            </w:r>
          </w:p>
          <w:p w14:paraId="2558A265">
            <w:pPr>
              <w:adjustRightInd w:val="0"/>
              <w:snapToGrid w:val="0"/>
              <w:spacing w:line="360" w:lineRule="auto"/>
              <w:ind w:firstLine="480"/>
              <w:rPr>
                <w:color w:val="auto"/>
                <w:sz w:val="24"/>
              </w:rPr>
            </w:pPr>
            <w:r>
              <w:rPr>
                <w:color w:val="auto"/>
                <w:sz w:val="24"/>
              </w:rPr>
              <w:t>式中：L</w:t>
            </w:r>
            <w:r>
              <w:rPr>
                <w:color w:val="auto"/>
                <w:sz w:val="24"/>
                <w:vertAlign w:val="subscript"/>
              </w:rPr>
              <w:t>eqg</w:t>
            </w:r>
            <w:r>
              <w:rPr>
                <w:color w:val="auto"/>
                <w:sz w:val="24"/>
              </w:rPr>
              <w:t>—噪声贡献值，dB；</w:t>
            </w:r>
          </w:p>
          <w:p w14:paraId="545ACC6B">
            <w:pPr>
              <w:adjustRightInd w:val="0"/>
              <w:snapToGrid w:val="0"/>
              <w:spacing w:line="360" w:lineRule="auto"/>
              <w:ind w:firstLine="480"/>
              <w:rPr>
                <w:color w:val="auto"/>
                <w:sz w:val="24"/>
              </w:rPr>
            </w:pPr>
            <w:r>
              <w:rPr>
                <w:color w:val="auto"/>
                <w:sz w:val="24"/>
              </w:rPr>
              <w:t>T——预测计算的时间段，s；</w:t>
            </w:r>
          </w:p>
          <w:p w14:paraId="3A60F98A">
            <w:pPr>
              <w:spacing w:line="360" w:lineRule="auto"/>
              <w:ind w:firstLine="480"/>
              <w:rPr>
                <w:color w:val="auto"/>
                <w:sz w:val="24"/>
              </w:rPr>
            </w:pPr>
            <w:r>
              <w:rPr>
                <w:color w:val="auto"/>
                <w:sz w:val="24"/>
              </w:rPr>
              <w:t>t</w:t>
            </w:r>
            <w:r>
              <w:rPr>
                <w:color w:val="auto"/>
                <w:sz w:val="24"/>
                <w:vertAlign w:val="subscript"/>
              </w:rPr>
              <w:t>i</w:t>
            </w:r>
            <w:r>
              <w:rPr>
                <w:color w:val="auto"/>
                <w:sz w:val="24"/>
              </w:rPr>
              <w:t>—— i 声源在 T 时段内的运行时间，s</w:t>
            </w:r>
            <w:r>
              <w:rPr>
                <w:rFonts w:hint="eastAsia"/>
                <w:color w:val="auto"/>
                <w:sz w:val="24"/>
              </w:rPr>
              <w:t>；</w:t>
            </w:r>
          </w:p>
          <w:p w14:paraId="355206B7">
            <w:pPr>
              <w:adjustRightInd w:val="0"/>
              <w:snapToGrid w:val="0"/>
              <w:spacing w:line="360" w:lineRule="auto"/>
              <w:ind w:firstLine="480"/>
              <w:rPr>
                <w:color w:val="auto"/>
                <w:sz w:val="24"/>
              </w:rPr>
            </w:pPr>
            <w:r>
              <w:rPr>
                <w:color w:val="auto"/>
                <w:sz w:val="24"/>
              </w:rPr>
              <w:t>L</w:t>
            </w:r>
            <w:r>
              <w:rPr>
                <w:color w:val="auto"/>
                <w:sz w:val="24"/>
                <w:vertAlign w:val="subscript"/>
              </w:rPr>
              <w:t>Ai</w:t>
            </w:r>
            <w:r>
              <w:rPr>
                <w:color w:val="auto"/>
                <w:sz w:val="24"/>
              </w:rPr>
              <w:t>—i 声源在预测点产生的等效连续A声级，dB。</w:t>
            </w:r>
          </w:p>
          <w:p w14:paraId="26D85D52">
            <w:pPr>
              <w:adjustRightInd w:val="0"/>
              <w:snapToGrid w:val="0"/>
              <w:spacing w:line="360" w:lineRule="auto"/>
              <w:ind w:firstLine="480"/>
              <w:jc w:val="left"/>
              <w:rPr>
                <w:color w:val="auto"/>
                <w:sz w:val="24"/>
              </w:rPr>
            </w:pPr>
            <w:r>
              <w:rPr>
                <w:color w:val="auto"/>
                <w:sz w:val="24"/>
              </w:rPr>
              <w:t>③噪声预测计算公式：</w:t>
            </w:r>
          </w:p>
          <w:p w14:paraId="5580C72A">
            <w:pPr>
              <w:adjustRightInd w:val="0"/>
              <w:snapToGrid w:val="0"/>
              <w:spacing w:line="360" w:lineRule="auto"/>
              <w:ind w:firstLine="480"/>
              <w:jc w:val="center"/>
              <w:rPr>
                <w:color w:val="auto"/>
                <w:sz w:val="24"/>
              </w:rPr>
            </w:pPr>
            <w:r>
              <w:rPr>
                <w:color w:val="auto"/>
                <w:sz w:val="24"/>
              </w:rPr>
              <w:t>L</w:t>
            </w:r>
            <w:r>
              <w:rPr>
                <w:color w:val="auto"/>
                <w:sz w:val="24"/>
                <w:vertAlign w:val="subscript"/>
              </w:rPr>
              <w:t>ep</w:t>
            </w:r>
            <w:r>
              <w:rPr>
                <w:color w:val="auto"/>
                <w:sz w:val="24"/>
              </w:rPr>
              <w:t>=10lg（10</w:t>
            </w:r>
            <w:r>
              <w:rPr>
                <w:color w:val="auto"/>
                <w:sz w:val="24"/>
                <w:vertAlign w:val="superscript"/>
              </w:rPr>
              <w:t>0.1Leqg</w:t>
            </w:r>
            <w:r>
              <w:rPr>
                <w:color w:val="auto"/>
                <w:sz w:val="24"/>
              </w:rPr>
              <w:t>+10</w:t>
            </w:r>
            <w:r>
              <w:rPr>
                <w:color w:val="auto"/>
                <w:sz w:val="24"/>
                <w:vertAlign w:val="superscript"/>
              </w:rPr>
              <w:t>0.1Leqb</w:t>
            </w:r>
            <w:r>
              <w:rPr>
                <w:color w:val="auto"/>
                <w:sz w:val="24"/>
              </w:rPr>
              <w:t>）</w:t>
            </w:r>
          </w:p>
          <w:p w14:paraId="48656ED3">
            <w:pPr>
              <w:adjustRightInd w:val="0"/>
              <w:snapToGrid w:val="0"/>
              <w:spacing w:line="360" w:lineRule="auto"/>
              <w:ind w:firstLine="480"/>
              <w:rPr>
                <w:color w:val="auto"/>
                <w:sz w:val="24"/>
              </w:rPr>
            </w:pPr>
            <w:r>
              <w:rPr>
                <w:color w:val="auto"/>
                <w:sz w:val="24"/>
              </w:rPr>
              <w:t>式中：L</w:t>
            </w:r>
            <w:r>
              <w:rPr>
                <w:color w:val="auto"/>
                <w:sz w:val="24"/>
                <w:vertAlign w:val="subscript"/>
              </w:rPr>
              <w:t>ep</w:t>
            </w:r>
            <w:r>
              <w:rPr>
                <w:color w:val="auto"/>
                <w:sz w:val="24"/>
              </w:rPr>
              <w:t>—预测点的噪声预测值，dB；</w:t>
            </w:r>
          </w:p>
          <w:p w14:paraId="765962F3">
            <w:pPr>
              <w:adjustRightInd w:val="0"/>
              <w:snapToGrid w:val="0"/>
              <w:spacing w:line="360" w:lineRule="auto"/>
              <w:ind w:firstLine="480"/>
              <w:rPr>
                <w:color w:val="auto"/>
                <w:sz w:val="24"/>
              </w:rPr>
            </w:pPr>
            <w:r>
              <w:rPr>
                <w:color w:val="auto"/>
                <w:sz w:val="24"/>
              </w:rPr>
              <w:t>L</w:t>
            </w:r>
            <w:r>
              <w:rPr>
                <w:color w:val="auto"/>
                <w:sz w:val="24"/>
                <w:vertAlign w:val="subscript"/>
              </w:rPr>
              <w:t>eqg</w:t>
            </w:r>
            <w:r>
              <w:rPr>
                <w:color w:val="auto"/>
                <w:sz w:val="24"/>
              </w:rPr>
              <w:t>——建设项目声源在预测点产生的噪声贡献值，dB；</w:t>
            </w:r>
          </w:p>
          <w:p w14:paraId="5E35FD5C">
            <w:pPr>
              <w:widowControl/>
              <w:spacing w:line="360" w:lineRule="auto"/>
              <w:ind w:firstLine="480" w:firstLineChars="200"/>
              <w:rPr>
                <w:color w:val="auto"/>
                <w:sz w:val="24"/>
              </w:rPr>
            </w:pPr>
            <w:r>
              <w:rPr>
                <w:color w:val="auto"/>
                <w:sz w:val="24"/>
              </w:rPr>
              <w:t>L</w:t>
            </w:r>
            <w:r>
              <w:rPr>
                <w:color w:val="auto"/>
                <w:sz w:val="24"/>
                <w:vertAlign w:val="subscript"/>
              </w:rPr>
              <w:t>eqb</w:t>
            </w:r>
            <w:r>
              <w:rPr>
                <w:color w:val="auto"/>
                <w:sz w:val="24"/>
              </w:rPr>
              <w:t>—预测点的背景噪声值，dB。</w:t>
            </w:r>
          </w:p>
          <w:p w14:paraId="5845A0A4">
            <w:pPr>
              <w:numPr>
                <w:ilvl w:val="0"/>
                <w:numId w:val="7"/>
              </w:numPr>
              <w:spacing w:line="360" w:lineRule="auto"/>
              <w:ind w:firstLine="480" w:firstLineChars="200"/>
              <w:rPr>
                <w:color w:val="auto"/>
                <w:sz w:val="24"/>
              </w:rPr>
            </w:pPr>
            <w:r>
              <w:rPr>
                <w:color w:val="auto"/>
                <w:sz w:val="24"/>
              </w:rPr>
              <w:t>噪声预测结果</w:t>
            </w:r>
          </w:p>
          <w:p w14:paraId="023094D7">
            <w:pPr>
              <w:spacing w:line="360" w:lineRule="auto"/>
              <w:ind w:firstLine="480" w:firstLineChars="200"/>
              <w:rPr>
                <w:b/>
                <w:color w:val="auto"/>
                <w:szCs w:val="21"/>
              </w:rPr>
            </w:pPr>
            <w:r>
              <w:rPr>
                <w:rFonts w:hint="eastAsia"/>
                <w:color w:val="auto"/>
                <w:sz w:val="24"/>
              </w:rPr>
              <w:t>本项目厂界</w:t>
            </w:r>
            <w:r>
              <w:rPr>
                <w:rFonts w:hint="eastAsia"/>
                <w:color w:val="auto"/>
              </w:rPr>
              <w:t>（</w:t>
            </w:r>
            <w:r>
              <w:rPr>
                <w:rFonts w:hint="eastAsia"/>
                <w:color w:val="auto"/>
                <w:sz w:val="24"/>
              </w:rPr>
              <w:t>研发室及库房外1m处</w:t>
            </w:r>
            <w:r>
              <w:rPr>
                <w:rFonts w:hint="eastAsia"/>
                <w:color w:val="auto"/>
              </w:rPr>
              <w:t>）</w:t>
            </w:r>
            <w:r>
              <w:rPr>
                <w:color w:val="auto"/>
                <w:sz w:val="24"/>
              </w:rPr>
              <w:t>噪声影响预测结果见表</w:t>
            </w:r>
            <w:r>
              <w:rPr>
                <w:rFonts w:hint="eastAsia"/>
                <w:color w:val="auto"/>
                <w:sz w:val="24"/>
              </w:rPr>
              <w:t>4-1</w:t>
            </w:r>
            <w:r>
              <w:rPr>
                <w:rFonts w:hint="eastAsia"/>
                <w:color w:val="auto"/>
                <w:sz w:val="24"/>
                <w:lang w:val="en-US" w:eastAsia="zh-CN"/>
              </w:rPr>
              <w:t>3</w:t>
            </w:r>
            <w:r>
              <w:rPr>
                <w:color w:val="auto"/>
                <w:sz w:val="24"/>
              </w:rPr>
              <w:t>。</w:t>
            </w:r>
          </w:p>
          <w:p w14:paraId="1CCAA6BE">
            <w:pPr>
              <w:jc w:val="center"/>
              <w:rPr>
                <w:b/>
                <w:color w:val="auto"/>
                <w:kern w:val="0"/>
                <w:szCs w:val="21"/>
              </w:rPr>
            </w:pPr>
            <w:r>
              <w:rPr>
                <w:b/>
                <w:color w:val="auto"/>
                <w:kern w:val="0"/>
                <w:szCs w:val="21"/>
              </w:rPr>
              <w:t>表</w:t>
            </w:r>
            <w:r>
              <w:rPr>
                <w:rFonts w:hint="eastAsia"/>
                <w:b/>
                <w:color w:val="auto"/>
                <w:kern w:val="0"/>
                <w:szCs w:val="21"/>
              </w:rPr>
              <w:t>4-1</w:t>
            </w:r>
            <w:r>
              <w:rPr>
                <w:rFonts w:hint="eastAsia"/>
                <w:b/>
                <w:color w:val="auto"/>
                <w:kern w:val="0"/>
                <w:szCs w:val="21"/>
                <w:lang w:val="en-US" w:eastAsia="zh-CN"/>
              </w:rPr>
              <w:t>3</w:t>
            </w:r>
            <w:r>
              <w:rPr>
                <w:rFonts w:hint="eastAsia"/>
                <w:b/>
                <w:color w:val="auto"/>
                <w:kern w:val="0"/>
                <w:szCs w:val="21"/>
              </w:rPr>
              <w:t xml:space="preserve">   </w:t>
            </w:r>
            <w:r>
              <w:rPr>
                <w:b/>
                <w:color w:val="auto"/>
                <w:kern w:val="0"/>
                <w:szCs w:val="21"/>
              </w:rPr>
              <w:t>环境噪声影响预测结果表单位：dB（A）</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26"/>
              <w:gridCol w:w="1750"/>
              <w:gridCol w:w="2455"/>
              <w:gridCol w:w="1219"/>
              <w:gridCol w:w="1319"/>
            </w:tblGrid>
            <w:tr w14:paraId="5601F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 w:hRule="atLeast"/>
              </w:trPr>
              <w:tc>
                <w:tcPr>
                  <w:tcW w:w="971" w:type="pct"/>
                  <w:vMerge w:val="restart"/>
                  <w:tcBorders>
                    <w:tl2br w:val="nil"/>
                    <w:tr2bl w:val="nil"/>
                  </w:tcBorders>
                  <w:vAlign w:val="center"/>
                </w:tcPr>
                <w:p w14:paraId="256B8811">
                  <w:pPr>
                    <w:jc w:val="center"/>
                    <w:rPr>
                      <w:color w:val="auto"/>
                      <w:kern w:val="0"/>
                      <w:szCs w:val="21"/>
                    </w:rPr>
                  </w:pPr>
                  <w:r>
                    <w:rPr>
                      <w:rFonts w:hint="eastAsia"/>
                      <w:color w:val="auto"/>
                      <w:kern w:val="0"/>
                      <w:szCs w:val="21"/>
                    </w:rPr>
                    <w:t>预测点位</w:t>
                  </w:r>
                </w:p>
              </w:tc>
              <w:tc>
                <w:tcPr>
                  <w:tcW w:w="1045" w:type="pct"/>
                  <w:vMerge w:val="restart"/>
                  <w:tcBorders>
                    <w:tl2br w:val="nil"/>
                    <w:tr2bl w:val="nil"/>
                  </w:tcBorders>
                  <w:vAlign w:val="center"/>
                </w:tcPr>
                <w:p w14:paraId="294FB1C5">
                  <w:pPr>
                    <w:jc w:val="center"/>
                    <w:rPr>
                      <w:color w:val="auto"/>
                      <w:kern w:val="0"/>
                      <w:szCs w:val="21"/>
                    </w:rPr>
                  </w:pPr>
                  <w:r>
                    <w:rPr>
                      <w:color w:val="auto"/>
                      <w:kern w:val="0"/>
                      <w:szCs w:val="21"/>
                    </w:rPr>
                    <w:t>声源位置</w:t>
                  </w:r>
                </w:p>
              </w:tc>
              <w:tc>
                <w:tcPr>
                  <w:tcW w:w="1466" w:type="pct"/>
                  <w:vMerge w:val="restart"/>
                  <w:tcBorders>
                    <w:tl2br w:val="nil"/>
                    <w:tr2bl w:val="nil"/>
                  </w:tcBorders>
                  <w:vAlign w:val="center"/>
                </w:tcPr>
                <w:p w14:paraId="716391E1">
                  <w:pPr>
                    <w:jc w:val="center"/>
                    <w:rPr>
                      <w:color w:val="auto"/>
                      <w:kern w:val="0"/>
                      <w:szCs w:val="21"/>
                    </w:rPr>
                  </w:pPr>
                  <w:r>
                    <w:rPr>
                      <w:color w:val="auto"/>
                      <w:kern w:val="0"/>
                      <w:szCs w:val="21"/>
                    </w:rPr>
                    <w:t>降噪措施</w:t>
                  </w:r>
                </w:p>
              </w:tc>
              <w:tc>
                <w:tcPr>
                  <w:tcW w:w="728" w:type="pct"/>
                  <w:tcBorders>
                    <w:tl2br w:val="nil"/>
                    <w:tr2bl w:val="nil"/>
                  </w:tcBorders>
                  <w:vAlign w:val="center"/>
                </w:tcPr>
                <w:p w14:paraId="13E0513D">
                  <w:pPr>
                    <w:jc w:val="center"/>
                    <w:rPr>
                      <w:color w:val="auto"/>
                      <w:kern w:val="0"/>
                      <w:szCs w:val="21"/>
                    </w:rPr>
                  </w:pPr>
                  <w:r>
                    <w:rPr>
                      <w:rFonts w:hint="eastAsia"/>
                      <w:color w:val="auto"/>
                      <w:kern w:val="0"/>
                      <w:szCs w:val="21"/>
                    </w:rPr>
                    <w:t>昼间</w:t>
                  </w:r>
                </w:p>
              </w:tc>
              <w:tc>
                <w:tcPr>
                  <w:tcW w:w="788" w:type="pct"/>
                  <w:vMerge w:val="restart"/>
                  <w:tcBorders>
                    <w:tl2br w:val="nil"/>
                    <w:tr2bl w:val="nil"/>
                  </w:tcBorders>
                  <w:vAlign w:val="center"/>
                </w:tcPr>
                <w:p w14:paraId="1F99453D">
                  <w:pPr>
                    <w:jc w:val="center"/>
                    <w:rPr>
                      <w:color w:val="auto"/>
                      <w:kern w:val="0"/>
                      <w:szCs w:val="21"/>
                    </w:rPr>
                  </w:pPr>
                  <w:r>
                    <w:rPr>
                      <w:color w:val="auto"/>
                      <w:kern w:val="0"/>
                      <w:szCs w:val="21"/>
                    </w:rPr>
                    <w:t>标准值</w:t>
                  </w:r>
                </w:p>
              </w:tc>
            </w:tr>
            <w:tr w14:paraId="0623DB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 w:hRule="atLeast"/>
              </w:trPr>
              <w:tc>
                <w:tcPr>
                  <w:tcW w:w="971" w:type="pct"/>
                  <w:vMerge w:val="continue"/>
                  <w:tcBorders>
                    <w:tl2br w:val="nil"/>
                    <w:tr2bl w:val="nil"/>
                  </w:tcBorders>
                  <w:vAlign w:val="center"/>
                </w:tcPr>
                <w:p w14:paraId="23A816FB">
                  <w:pPr>
                    <w:jc w:val="center"/>
                    <w:rPr>
                      <w:color w:val="auto"/>
                    </w:rPr>
                  </w:pPr>
                </w:p>
              </w:tc>
              <w:tc>
                <w:tcPr>
                  <w:tcW w:w="1045" w:type="pct"/>
                  <w:vMerge w:val="continue"/>
                  <w:tcBorders>
                    <w:tl2br w:val="nil"/>
                    <w:tr2bl w:val="nil"/>
                  </w:tcBorders>
                  <w:vAlign w:val="center"/>
                </w:tcPr>
                <w:p w14:paraId="02866C69">
                  <w:pPr>
                    <w:jc w:val="center"/>
                    <w:rPr>
                      <w:color w:val="auto"/>
                    </w:rPr>
                  </w:pPr>
                </w:p>
              </w:tc>
              <w:tc>
                <w:tcPr>
                  <w:tcW w:w="1466" w:type="pct"/>
                  <w:vMerge w:val="continue"/>
                  <w:tcBorders>
                    <w:tl2br w:val="nil"/>
                    <w:tr2bl w:val="nil"/>
                  </w:tcBorders>
                  <w:vAlign w:val="center"/>
                </w:tcPr>
                <w:p w14:paraId="79F9A7B9">
                  <w:pPr>
                    <w:jc w:val="center"/>
                    <w:rPr>
                      <w:color w:val="auto"/>
                    </w:rPr>
                  </w:pPr>
                </w:p>
              </w:tc>
              <w:tc>
                <w:tcPr>
                  <w:tcW w:w="728" w:type="pct"/>
                  <w:tcBorders>
                    <w:tl2br w:val="nil"/>
                    <w:tr2bl w:val="nil"/>
                  </w:tcBorders>
                  <w:shd w:val="clear" w:color="auto" w:fill="auto"/>
                  <w:vAlign w:val="center"/>
                </w:tcPr>
                <w:p w14:paraId="79A44B28">
                  <w:pPr>
                    <w:jc w:val="center"/>
                    <w:rPr>
                      <w:color w:val="auto"/>
                      <w:kern w:val="0"/>
                      <w:szCs w:val="21"/>
                    </w:rPr>
                  </w:pPr>
                  <w:r>
                    <w:rPr>
                      <w:color w:val="auto"/>
                      <w:kern w:val="0"/>
                      <w:szCs w:val="21"/>
                    </w:rPr>
                    <w:t>贡献值</w:t>
                  </w:r>
                </w:p>
              </w:tc>
              <w:tc>
                <w:tcPr>
                  <w:tcW w:w="788" w:type="pct"/>
                  <w:vMerge w:val="continue"/>
                  <w:tcBorders>
                    <w:tl2br w:val="nil"/>
                    <w:tr2bl w:val="nil"/>
                  </w:tcBorders>
                  <w:vAlign w:val="center"/>
                </w:tcPr>
                <w:p w14:paraId="2EE4447A">
                  <w:pPr>
                    <w:jc w:val="center"/>
                    <w:rPr>
                      <w:color w:val="auto"/>
                      <w:kern w:val="0"/>
                      <w:szCs w:val="21"/>
                    </w:rPr>
                  </w:pPr>
                </w:p>
              </w:tc>
            </w:tr>
            <w:tr w14:paraId="7A4DCD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71" w:type="pct"/>
                  <w:tcBorders>
                    <w:tl2br w:val="nil"/>
                    <w:tr2bl w:val="nil"/>
                  </w:tcBorders>
                  <w:vAlign w:val="center"/>
                </w:tcPr>
                <w:p w14:paraId="28A4EB84">
                  <w:pPr>
                    <w:jc w:val="center"/>
                    <w:rPr>
                      <w:color w:val="auto"/>
                      <w:kern w:val="0"/>
                      <w:szCs w:val="21"/>
                    </w:rPr>
                  </w:pPr>
                  <w:r>
                    <w:rPr>
                      <w:color w:val="auto"/>
                      <w:kern w:val="0"/>
                      <w:szCs w:val="21"/>
                    </w:rPr>
                    <w:t>东厂界</w:t>
                  </w:r>
                </w:p>
              </w:tc>
              <w:tc>
                <w:tcPr>
                  <w:tcW w:w="1045" w:type="pct"/>
                  <w:tcBorders>
                    <w:tl2br w:val="nil"/>
                    <w:tr2bl w:val="nil"/>
                  </w:tcBorders>
                  <w:vAlign w:val="center"/>
                </w:tcPr>
                <w:p w14:paraId="59EBEC69">
                  <w:pPr>
                    <w:jc w:val="center"/>
                    <w:rPr>
                      <w:color w:val="auto"/>
                      <w:kern w:val="0"/>
                      <w:szCs w:val="21"/>
                    </w:rPr>
                  </w:pPr>
                  <w:r>
                    <w:rPr>
                      <w:color w:val="auto"/>
                      <w:kern w:val="0"/>
                      <w:szCs w:val="21"/>
                    </w:rPr>
                    <w:t>车间</w:t>
                  </w:r>
                </w:p>
              </w:tc>
              <w:tc>
                <w:tcPr>
                  <w:tcW w:w="1466" w:type="pct"/>
                  <w:vMerge w:val="restart"/>
                  <w:tcBorders>
                    <w:tl2br w:val="nil"/>
                    <w:tr2bl w:val="nil"/>
                  </w:tcBorders>
                  <w:vAlign w:val="center"/>
                </w:tcPr>
                <w:p w14:paraId="4AD96098">
                  <w:pPr>
                    <w:jc w:val="center"/>
                    <w:rPr>
                      <w:color w:val="auto"/>
                      <w:kern w:val="0"/>
                      <w:szCs w:val="21"/>
                    </w:rPr>
                  </w:pPr>
                  <w:r>
                    <w:rPr>
                      <w:color w:val="auto"/>
                      <w:szCs w:val="21"/>
                    </w:rPr>
                    <w:t>选择低噪设备，基础减振，厂房隔声等，</w:t>
                  </w:r>
                  <w:r>
                    <w:rPr>
                      <w:rFonts w:hint="eastAsia"/>
                      <w:color w:val="auto"/>
                      <w:szCs w:val="21"/>
                    </w:rPr>
                    <w:t>风机采用减振垫、软连接等，</w:t>
                  </w:r>
                  <w:r>
                    <w:rPr>
                      <w:color w:val="auto"/>
                      <w:szCs w:val="21"/>
                    </w:rPr>
                    <w:t>距离衰减</w:t>
                  </w:r>
                </w:p>
              </w:tc>
              <w:tc>
                <w:tcPr>
                  <w:tcW w:w="728" w:type="pct"/>
                  <w:tcBorders>
                    <w:tl2br w:val="nil"/>
                    <w:tr2bl w:val="nil"/>
                  </w:tcBorders>
                  <w:vAlign w:val="center"/>
                </w:tcPr>
                <w:p w14:paraId="105B8901">
                  <w:pPr>
                    <w:jc w:val="center"/>
                    <w:rPr>
                      <w:color w:val="auto"/>
                      <w:kern w:val="0"/>
                      <w:szCs w:val="21"/>
                    </w:rPr>
                  </w:pPr>
                  <w:r>
                    <w:rPr>
                      <w:rFonts w:hint="eastAsia"/>
                      <w:color w:val="auto"/>
                      <w:kern w:val="0"/>
                      <w:szCs w:val="21"/>
                    </w:rPr>
                    <w:t>55</w:t>
                  </w:r>
                </w:p>
              </w:tc>
              <w:tc>
                <w:tcPr>
                  <w:tcW w:w="788" w:type="pct"/>
                  <w:vMerge w:val="restart"/>
                  <w:tcBorders>
                    <w:tl2br w:val="nil"/>
                    <w:tr2bl w:val="nil"/>
                  </w:tcBorders>
                  <w:vAlign w:val="center"/>
                </w:tcPr>
                <w:p w14:paraId="22A3A06A">
                  <w:pPr>
                    <w:jc w:val="center"/>
                    <w:rPr>
                      <w:color w:val="auto"/>
                      <w:kern w:val="0"/>
                      <w:szCs w:val="21"/>
                    </w:rPr>
                  </w:pPr>
                  <w:r>
                    <w:rPr>
                      <w:color w:val="auto"/>
                      <w:kern w:val="0"/>
                      <w:szCs w:val="21"/>
                    </w:rPr>
                    <w:t>昼间</w:t>
                  </w:r>
                  <w:r>
                    <w:rPr>
                      <w:rFonts w:hint="eastAsia"/>
                      <w:color w:val="auto"/>
                      <w:kern w:val="0"/>
                      <w:szCs w:val="21"/>
                    </w:rPr>
                    <w:t>60</w:t>
                  </w:r>
                </w:p>
              </w:tc>
            </w:tr>
            <w:tr w14:paraId="3F6B6C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971" w:type="pct"/>
                  <w:tcBorders>
                    <w:tl2br w:val="nil"/>
                    <w:tr2bl w:val="nil"/>
                  </w:tcBorders>
                  <w:vAlign w:val="center"/>
                </w:tcPr>
                <w:p w14:paraId="15C0AE64">
                  <w:pPr>
                    <w:jc w:val="center"/>
                    <w:rPr>
                      <w:color w:val="auto"/>
                      <w:kern w:val="0"/>
                      <w:szCs w:val="21"/>
                    </w:rPr>
                  </w:pPr>
                  <w:r>
                    <w:rPr>
                      <w:color w:val="auto"/>
                      <w:kern w:val="0"/>
                      <w:szCs w:val="21"/>
                    </w:rPr>
                    <w:t>南厂界</w:t>
                  </w:r>
                </w:p>
              </w:tc>
              <w:tc>
                <w:tcPr>
                  <w:tcW w:w="1045" w:type="pct"/>
                  <w:tcBorders>
                    <w:tl2br w:val="nil"/>
                    <w:tr2bl w:val="nil"/>
                  </w:tcBorders>
                  <w:vAlign w:val="center"/>
                </w:tcPr>
                <w:p w14:paraId="1BEEE236">
                  <w:pPr>
                    <w:jc w:val="center"/>
                    <w:rPr>
                      <w:color w:val="auto"/>
                      <w:kern w:val="0"/>
                      <w:szCs w:val="21"/>
                    </w:rPr>
                  </w:pPr>
                  <w:r>
                    <w:rPr>
                      <w:color w:val="auto"/>
                      <w:kern w:val="0"/>
                      <w:szCs w:val="21"/>
                    </w:rPr>
                    <w:t>车间</w:t>
                  </w:r>
                </w:p>
              </w:tc>
              <w:tc>
                <w:tcPr>
                  <w:tcW w:w="1466" w:type="pct"/>
                  <w:vMerge w:val="continue"/>
                  <w:tcBorders>
                    <w:tl2br w:val="nil"/>
                    <w:tr2bl w:val="nil"/>
                  </w:tcBorders>
                  <w:vAlign w:val="center"/>
                </w:tcPr>
                <w:p w14:paraId="3668E7B7">
                  <w:pPr>
                    <w:jc w:val="center"/>
                    <w:rPr>
                      <w:color w:val="auto"/>
                      <w:kern w:val="0"/>
                      <w:szCs w:val="21"/>
                    </w:rPr>
                  </w:pPr>
                </w:p>
              </w:tc>
              <w:tc>
                <w:tcPr>
                  <w:tcW w:w="728" w:type="pct"/>
                  <w:tcBorders>
                    <w:tl2br w:val="nil"/>
                    <w:tr2bl w:val="nil"/>
                  </w:tcBorders>
                  <w:vAlign w:val="center"/>
                </w:tcPr>
                <w:p w14:paraId="718E36DD">
                  <w:pPr>
                    <w:jc w:val="center"/>
                    <w:rPr>
                      <w:color w:val="auto"/>
                      <w:kern w:val="0"/>
                      <w:szCs w:val="21"/>
                    </w:rPr>
                  </w:pPr>
                  <w:r>
                    <w:rPr>
                      <w:rFonts w:hint="eastAsia"/>
                      <w:color w:val="auto"/>
                      <w:kern w:val="0"/>
                      <w:szCs w:val="21"/>
                    </w:rPr>
                    <w:t>54</w:t>
                  </w:r>
                </w:p>
              </w:tc>
              <w:tc>
                <w:tcPr>
                  <w:tcW w:w="788" w:type="pct"/>
                  <w:vMerge w:val="continue"/>
                  <w:tcBorders>
                    <w:tl2br w:val="nil"/>
                    <w:tr2bl w:val="nil"/>
                  </w:tcBorders>
                  <w:vAlign w:val="center"/>
                </w:tcPr>
                <w:p w14:paraId="77DB9EE3">
                  <w:pPr>
                    <w:jc w:val="center"/>
                    <w:rPr>
                      <w:color w:val="auto"/>
                      <w:kern w:val="0"/>
                      <w:szCs w:val="21"/>
                    </w:rPr>
                  </w:pPr>
                </w:p>
              </w:tc>
            </w:tr>
            <w:tr w14:paraId="271E12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71" w:type="pct"/>
                  <w:tcBorders>
                    <w:tl2br w:val="nil"/>
                    <w:tr2bl w:val="nil"/>
                  </w:tcBorders>
                  <w:vAlign w:val="center"/>
                </w:tcPr>
                <w:p w14:paraId="17217149">
                  <w:pPr>
                    <w:jc w:val="center"/>
                    <w:rPr>
                      <w:color w:val="auto"/>
                      <w:kern w:val="0"/>
                      <w:szCs w:val="21"/>
                    </w:rPr>
                  </w:pPr>
                  <w:r>
                    <w:rPr>
                      <w:color w:val="auto"/>
                      <w:kern w:val="0"/>
                      <w:szCs w:val="21"/>
                    </w:rPr>
                    <w:t>西厂界</w:t>
                  </w:r>
                </w:p>
              </w:tc>
              <w:tc>
                <w:tcPr>
                  <w:tcW w:w="1045" w:type="pct"/>
                  <w:tcBorders>
                    <w:tl2br w:val="nil"/>
                    <w:tr2bl w:val="nil"/>
                  </w:tcBorders>
                  <w:vAlign w:val="center"/>
                </w:tcPr>
                <w:p w14:paraId="7903B1D1">
                  <w:pPr>
                    <w:jc w:val="center"/>
                    <w:rPr>
                      <w:color w:val="auto"/>
                      <w:kern w:val="0"/>
                      <w:szCs w:val="21"/>
                    </w:rPr>
                  </w:pPr>
                  <w:r>
                    <w:rPr>
                      <w:color w:val="auto"/>
                      <w:kern w:val="0"/>
                      <w:szCs w:val="21"/>
                    </w:rPr>
                    <w:t>车间</w:t>
                  </w:r>
                </w:p>
              </w:tc>
              <w:tc>
                <w:tcPr>
                  <w:tcW w:w="1466" w:type="pct"/>
                  <w:vMerge w:val="continue"/>
                  <w:tcBorders>
                    <w:tl2br w:val="nil"/>
                    <w:tr2bl w:val="nil"/>
                  </w:tcBorders>
                  <w:vAlign w:val="center"/>
                </w:tcPr>
                <w:p w14:paraId="1DC996E3">
                  <w:pPr>
                    <w:jc w:val="center"/>
                    <w:rPr>
                      <w:color w:val="auto"/>
                      <w:kern w:val="0"/>
                      <w:szCs w:val="21"/>
                    </w:rPr>
                  </w:pPr>
                </w:p>
              </w:tc>
              <w:tc>
                <w:tcPr>
                  <w:tcW w:w="728" w:type="pct"/>
                  <w:tcBorders>
                    <w:tl2br w:val="nil"/>
                    <w:tr2bl w:val="nil"/>
                  </w:tcBorders>
                  <w:vAlign w:val="center"/>
                </w:tcPr>
                <w:p w14:paraId="59AE54F6">
                  <w:pPr>
                    <w:jc w:val="center"/>
                    <w:rPr>
                      <w:color w:val="auto"/>
                      <w:kern w:val="0"/>
                      <w:szCs w:val="21"/>
                    </w:rPr>
                  </w:pPr>
                  <w:r>
                    <w:rPr>
                      <w:rFonts w:hint="eastAsia"/>
                      <w:color w:val="auto"/>
                      <w:kern w:val="0"/>
                      <w:szCs w:val="21"/>
                    </w:rPr>
                    <w:t>54</w:t>
                  </w:r>
                </w:p>
              </w:tc>
              <w:tc>
                <w:tcPr>
                  <w:tcW w:w="788" w:type="pct"/>
                  <w:vMerge w:val="continue"/>
                  <w:tcBorders>
                    <w:tl2br w:val="nil"/>
                    <w:tr2bl w:val="nil"/>
                  </w:tcBorders>
                  <w:vAlign w:val="center"/>
                </w:tcPr>
                <w:p w14:paraId="0FFE3AAF">
                  <w:pPr>
                    <w:jc w:val="center"/>
                    <w:rPr>
                      <w:color w:val="auto"/>
                      <w:kern w:val="0"/>
                      <w:szCs w:val="21"/>
                    </w:rPr>
                  </w:pPr>
                </w:p>
              </w:tc>
            </w:tr>
            <w:tr w14:paraId="2822A9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71" w:type="pct"/>
                  <w:tcBorders>
                    <w:tl2br w:val="nil"/>
                    <w:tr2bl w:val="nil"/>
                  </w:tcBorders>
                  <w:vAlign w:val="center"/>
                </w:tcPr>
                <w:p w14:paraId="47C54541">
                  <w:pPr>
                    <w:jc w:val="center"/>
                    <w:rPr>
                      <w:color w:val="auto"/>
                      <w:kern w:val="0"/>
                      <w:szCs w:val="21"/>
                    </w:rPr>
                  </w:pPr>
                  <w:r>
                    <w:rPr>
                      <w:color w:val="auto"/>
                      <w:kern w:val="0"/>
                      <w:szCs w:val="21"/>
                    </w:rPr>
                    <w:t>北厂界</w:t>
                  </w:r>
                </w:p>
              </w:tc>
              <w:tc>
                <w:tcPr>
                  <w:tcW w:w="1045" w:type="pct"/>
                  <w:tcBorders>
                    <w:tl2br w:val="nil"/>
                    <w:tr2bl w:val="nil"/>
                  </w:tcBorders>
                  <w:vAlign w:val="center"/>
                </w:tcPr>
                <w:p w14:paraId="75FE9A37">
                  <w:pPr>
                    <w:jc w:val="center"/>
                    <w:rPr>
                      <w:color w:val="auto"/>
                      <w:kern w:val="0"/>
                      <w:szCs w:val="21"/>
                    </w:rPr>
                  </w:pPr>
                  <w:r>
                    <w:rPr>
                      <w:color w:val="auto"/>
                      <w:kern w:val="0"/>
                      <w:szCs w:val="21"/>
                    </w:rPr>
                    <w:t>车间</w:t>
                  </w:r>
                </w:p>
              </w:tc>
              <w:tc>
                <w:tcPr>
                  <w:tcW w:w="1466" w:type="pct"/>
                  <w:vMerge w:val="continue"/>
                  <w:tcBorders>
                    <w:tl2br w:val="nil"/>
                    <w:tr2bl w:val="nil"/>
                  </w:tcBorders>
                  <w:vAlign w:val="center"/>
                </w:tcPr>
                <w:p w14:paraId="436F1462">
                  <w:pPr>
                    <w:jc w:val="center"/>
                    <w:rPr>
                      <w:color w:val="auto"/>
                      <w:kern w:val="0"/>
                      <w:szCs w:val="21"/>
                    </w:rPr>
                  </w:pPr>
                </w:p>
              </w:tc>
              <w:tc>
                <w:tcPr>
                  <w:tcW w:w="728" w:type="pct"/>
                  <w:tcBorders>
                    <w:tl2br w:val="nil"/>
                    <w:tr2bl w:val="nil"/>
                  </w:tcBorders>
                  <w:vAlign w:val="center"/>
                </w:tcPr>
                <w:p w14:paraId="176DDCBB">
                  <w:pPr>
                    <w:jc w:val="center"/>
                    <w:rPr>
                      <w:color w:val="auto"/>
                      <w:kern w:val="0"/>
                      <w:szCs w:val="21"/>
                    </w:rPr>
                  </w:pPr>
                  <w:r>
                    <w:rPr>
                      <w:rFonts w:hint="eastAsia"/>
                      <w:color w:val="auto"/>
                      <w:kern w:val="0"/>
                      <w:szCs w:val="21"/>
                    </w:rPr>
                    <w:t>53</w:t>
                  </w:r>
                </w:p>
              </w:tc>
              <w:tc>
                <w:tcPr>
                  <w:tcW w:w="788" w:type="pct"/>
                  <w:vMerge w:val="continue"/>
                  <w:tcBorders>
                    <w:tl2br w:val="nil"/>
                    <w:tr2bl w:val="nil"/>
                  </w:tcBorders>
                  <w:vAlign w:val="center"/>
                </w:tcPr>
                <w:p w14:paraId="6CB99F56">
                  <w:pPr>
                    <w:jc w:val="center"/>
                    <w:rPr>
                      <w:color w:val="auto"/>
                      <w:kern w:val="0"/>
                      <w:szCs w:val="21"/>
                    </w:rPr>
                  </w:pPr>
                </w:p>
              </w:tc>
            </w:tr>
          </w:tbl>
          <w:p w14:paraId="54C5703F">
            <w:pPr>
              <w:spacing w:line="360" w:lineRule="auto"/>
              <w:ind w:firstLine="480" w:firstLineChars="200"/>
              <w:rPr>
                <w:color w:val="auto"/>
                <w:kern w:val="0"/>
                <w:sz w:val="24"/>
                <w:szCs w:val="20"/>
              </w:rPr>
            </w:pPr>
            <w:r>
              <w:rPr>
                <w:color w:val="auto"/>
                <w:kern w:val="0"/>
                <w:sz w:val="24"/>
                <w:szCs w:val="20"/>
              </w:rPr>
              <w:t>项目运营后，</w:t>
            </w:r>
            <w:r>
              <w:rPr>
                <w:rFonts w:hint="eastAsia"/>
                <w:color w:val="auto"/>
                <w:kern w:val="0"/>
                <w:sz w:val="24"/>
                <w:szCs w:val="20"/>
              </w:rPr>
              <w:t>夜间不进行研发工作，</w:t>
            </w:r>
            <w:r>
              <w:rPr>
                <w:color w:val="auto"/>
                <w:kern w:val="0"/>
                <w:sz w:val="24"/>
                <w:szCs w:val="20"/>
              </w:rPr>
              <w:t>选用低噪声设备的同时，加设减振垫等处理措施后，经过厂房隔声、距离衰减后厂界噪声贡献值可以达到《工业企业厂界环境噪声排放标准》（GB12348-2008）中的</w:t>
            </w:r>
            <w:r>
              <w:rPr>
                <w:rFonts w:hint="eastAsia"/>
                <w:color w:val="auto"/>
                <w:kern w:val="0"/>
                <w:sz w:val="24"/>
                <w:szCs w:val="20"/>
                <w:lang w:val="en-US" w:eastAsia="zh-CN"/>
              </w:rPr>
              <w:t>3</w:t>
            </w:r>
            <w:r>
              <w:rPr>
                <w:color w:val="auto"/>
                <w:kern w:val="0"/>
                <w:sz w:val="24"/>
                <w:szCs w:val="20"/>
              </w:rPr>
              <w:t>类标准要求。</w:t>
            </w:r>
          </w:p>
          <w:p w14:paraId="356FFE19">
            <w:pPr>
              <w:spacing w:line="360" w:lineRule="auto"/>
              <w:ind w:firstLine="480" w:firstLineChars="200"/>
              <w:rPr>
                <w:bCs/>
                <w:color w:val="auto"/>
                <w:sz w:val="24"/>
              </w:rPr>
            </w:pPr>
            <w:r>
              <w:rPr>
                <w:bCs/>
                <w:color w:val="auto"/>
                <w:sz w:val="24"/>
              </w:rPr>
              <w:t>（4）</w:t>
            </w:r>
            <w:r>
              <w:rPr>
                <w:rFonts w:hint="eastAsia"/>
                <w:bCs/>
                <w:color w:val="auto"/>
                <w:sz w:val="24"/>
              </w:rPr>
              <w:t>噪声治理措施</w:t>
            </w:r>
          </w:p>
          <w:p w14:paraId="2473DD6D">
            <w:pPr>
              <w:spacing w:line="360" w:lineRule="auto"/>
              <w:ind w:firstLine="480" w:firstLineChars="200"/>
              <w:rPr>
                <w:color w:val="auto"/>
                <w:kern w:val="0"/>
                <w:sz w:val="24"/>
                <w:szCs w:val="20"/>
              </w:rPr>
            </w:pPr>
            <w:r>
              <w:rPr>
                <w:color w:val="auto"/>
                <w:kern w:val="0"/>
                <w:sz w:val="24"/>
                <w:szCs w:val="20"/>
              </w:rPr>
              <w:t>建设单位拟采取以下措施降低噪声影响：</w:t>
            </w:r>
          </w:p>
          <w:p w14:paraId="0C0257FF">
            <w:pPr>
              <w:spacing w:line="360" w:lineRule="auto"/>
              <w:ind w:firstLine="480" w:firstLineChars="200"/>
              <w:rPr>
                <w:color w:val="auto"/>
                <w:sz w:val="24"/>
              </w:rPr>
            </w:pPr>
            <w:r>
              <w:rPr>
                <w:color w:val="auto"/>
                <w:sz w:val="24"/>
              </w:rPr>
              <w:t>①选用低噪声设备：在满足项目生产工艺的前提下，尽可能选择先进、噪声低的生产设备</w:t>
            </w:r>
            <w:r>
              <w:rPr>
                <w:rFonts w:hint="eastAsia"/>
                <w:color w:val="auto"/>
                <w:sz w:val="24"/>
              </w:rPr>
              <w:t>、废气处理设施风机等</w:t>
            </w:r>
            <w:r>
              <w:rPr>
                <w:color w:val="auto"/>
                <w:sz w:val="24"/>
              </w:rPr>
              <w:t>，从源头降低噪声。</w:t>
            </w:r>
          </w:p>
          <w:p w14:paraId="50F68A5B">
            <w:pPr>
              <w:spacing w:line="360" w:lineRule="auto"/>
              <w:ind w:firstLine="480" w:firstLineChars="200"/>
              <w:rPr>
                <w:color w:val="auto"/>
                <w:sz w:val="24"/>
              </w:rPr>
            </w:pPr>
            <w:r>
              <w:rPr>
                <w:color w:val="auto"/>
                <w:sz w:val="24"/>
              </w:rPr>
              <w:t>②设备基础减振：</w:t>
            </w:r>
            <w:r>
              <w:rPr>
                <w:rFonts w:hint="eastAsia"/>
                <w:color w:val="auto"/>
                <w:sz w:val="24"/>
              </w:rPr>
              <w:t>废气处理设施</w:t>
            </w:r>
            <w:r>
              <w:rPr>
                <w:color w:val="auto"/>
                <w:sz w:val="24"/>
              </w:rPr>
              <w:t>在安装时，根据设备的自重及振动特性采用合适的</w:t>
            </w:r>
            <w:r>
              <w:rPr>
                <w:rFonts w:hint="eastAsia"/>
                <w:color w:val="auto"/>
                <w:sz w:val="24"/>
              </w:rPr>
              <w:t>减振装置，管道连接处采用软连接</w:t>
            </w:r>
            <w:r>
              <w:rPr>
                <w:color w:val="auto"/>
                <w:sz w:val="24"/>
              </w:rPr>
              <w:t>，以减轻由于设备自身振动引起的结构传声对周围环境产生的影响。</w:t>
            </w:r>
          </w:p>
          <w:p w14:paraId="1D26B228">
            <w:pPr>
              <w:spacing w:line="360" w:lineRule="auto"/>
              <w:ind w:firstLine="480" w:firstLineChars="200"/>
              <w:rPr>
                <w:color w:val="auto"/>
                <w:sz w:val="24"/>
              </w:rPr>
            </w:pPr>
            <w:r>
              <w:rPr>
                <w:color w:val="auto"/>
                <w:sz w:val="24"/>
              </w:rPr>
              <w:t>③加强设备管理：加强设备的维护，确保设备处于良好的运转状态，杜绝因设备不正常运转时产生的高噪声现象；同时，规范生产过程中设备操作，避免操作设备不当产生的高噪声现象。</w:t>
            </w:r>
          </w:p>
          <w:p w14:paraId="708D6DFD">
            <w:pPr>
              <w:spacing w:line="360" w:lineRule="auto"/>
              <w:ind w:firstLine="480" w:firstLineChars="200"/>
              <w:rPr>
                <w:bCs/>
                <w:color w:val="auto"/>
                <w:sz w:val="24"/>
              </w:rPr>
            </w:pPr>
            <w:r>
              <w:rPr>
                <w:rFonts w:hint="eastAsia"/>
                <w:bCs/>
                <w:color w:val="auto"/>
                <w:sz w:val="24"/>
              </w:rPr>
              <w:t>（5）</w:t>
            </w:r>
            <w:r>
              <w:rPr>
                <w:bCs/>
                <w:color w:val="auto"/>
                <w:sz w:val="24"/>
              </w:rPr>
              <w:t>运营期噪声监测计划</w:t>
            </w:r>
          </w:p>
          <w:p w14:paraId="5A1863B0">
            <w:pPr>
              <w:jc w:val="center"/>
              <w:rPr>
                <w:b/>
                <w:color w:val="FF0000"/>
                <w:sz w:val="21"/>
                <w:szCs w:val="21"/>
              </w:rPr>
            </w:pPr>
            <w:r>
              <w:rPr>
                <w:b/>
                <w:color w:val="FF0000"/>
                <w:sz w:val="21"/>
                <w:szCs w:val="21"/>
              </w:rPr>
              <w:t>表</w:t>
            </w:r>
            <w:r>
              <w:rPr>
                <w:rFonts w:hint="eastAsia"/>
                <w:b/>
                <w:color w:val="FF0000"/>
                <w:sz w:val="21"/>
                <w:szCs w:val="21"/>
              </w:rPr>
              <w:t>4-1</w:t>
            </w:r>
            <w:r>
              <w:rPr>
                <w:rFonts w:hint="eastAsia"/>
                <w:b/>
                <w:color w:val="FF0000"/>
                <w:sz w:val="21"/>
                <w:szCs w:val="21"/>
                <w:lang w:val="en-US" w:eastAsia="zh-CN"/>
              </w:rPr>
              <w:t>4</w:t>
            </w:r>
            <w:r>
              <w:rPr>
                <w:rFonts w:hint="eastAsia"/>
                <w:b/>
                <w:color w:val="FF0000"/>
                <w:sz w:val="21"/>
                <w:szCs w:val="21"/>
              </w:rPr>
              <w:t xml:space="preserve">   </w:t>
            </w:r>
            <w:r>
              <w:rPr>
                <w:b/>
                <w:color w:val="FF0000"/>
                <w:sz w:val="21"/>
                <w:szCs w:val="21"/>
              </w:rPr>
              <w:t>运营期环境监测计划</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autofit"/>
              <w:tblCellMar>
                <w:top w:w="0" w:type="dxa"/>
                <w:left w:w="108" w:type="dxa"/>
                <w:bottom w:w="0" w:type="dxa"/>
                <w:right w:w="108" w:type="dxa"/>
              </w:tblCellMar>
            </w:tblPr>
            <w:tblGrid>
              <w:gridCol w:w="932"/>
              <w:gridCol w:w="816"/>
              <w:gridCol w:w="900"/>
              <w:gridCol w:w="814"/>
              <w:gridCol w:w="851"/>
              <w:gridCol w:w="2382"/>
              <w:gridCol w:w="1677"/>
            </w:tblGrid>
            <w:tr w14:paraId="13BA863C">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510" w:hRule="atLeast"/>
                <w:jc w:val="center"/>
              </w:trPr>
              <w:tc>
                <w:tcPr>
                  <w:tcW w:w="556" w:type="pct"/>
                  <w:vAlign w:val="center"/>
                </w:tcPr>
                <w:p w14:paraId="7302820D">
                  <w:pPr>
                    <w:spacing w:line="240" w:lineRule="auto"/>
                    <w:jc w:val="center"/>
                    <w:rPr>
                      <w:color w:val="FF0000"/>
                      <w:sz w:val="21"/>
                      <w:szCs w:val="21"/>
                    </w:rPr>
                  </w:pPr>
                  <w:r>
                    <w:rPr>
                      <w:color w:val="FF0000"/>
                      <w:sz w:val="21"/>
                      <w:szCs w:val="21"/>
                    </w:rPr>
                    <w:t>污染源名称</w:t>
                  </w:r>
                </w:p>
              </w:tc>
              <w:tc>
                <w:tcPr>
                  <w:tcW w:w="487" w:type="pct"/>
                  <w:vAlign w:val="center"/>
                </w:tcPr>
                <w:p w14:paraId="4DF518AE">
                  <w:pPr>
                    <w:spacing w:line="240" w:lineRule="auto"/>
                    <w:jc w:val="center"/>
                    <w:rPr>
                      <w:color w:val="FF0000"/>
                      <w:sz w:val="21"/>
                      <w:szCs w:val="21"/>
                    </w:rPr>
                  </w:pPr>
                  <w:r>
                    <w:rPr>
                      <w:color w:val="FF0000"/>
                      <w:sz w:val="21"/>
                      <w:szCs w:val="21"/>
                    </w:rPr>
                    <w:t>监测项目</w:t>
                  </w:r>
                </w:p>
              </w:tc>
              <w:tc>
                <w:tcPr>
                  <w:tcW w:w="537" w:type="pct"/>
                  <w:vAlign w:val="center"/>
                </w:tcPr>
                <w:p w14:paraId="6A69EE97">
                  <w:pPr>
                    <w:spacing w:line="240" w:lineRule="auto"/>
                    <w:jc w:val="center"/>
                    <w:rPr>
                      <w:color w:val="FF0000"/>
                      <w:sz w:val="21"/>
                      <w:szCs w:val="21"/>
                    </w:rPr>
                  </w:pPr>
                  <w:r>
                    <w:rPr>
                      <w:color w:val="FF0000"/>
                      <w:sz w:val="21"/>
                      <w:szCs w:val="21"/>
                    </w:rPr>
                    <w:t>监测点位置</w:t>
                  </w:r>
                </w:p>
              </w:tc>
              <w:tc>
                <w:tcPr>
                  <w:tcW w:w="486" w:type="pct"/>
                  <w:vAlign w:val="center"/>
                </w:tcPr>
                <w:p w14:paraId="06981E71">
                  <w:pPr>
                    <w:spacing w:line="240" w:lineRule="auto"/>
                    <w:jc w:val="center"/>
                    <w:rPr>
                      <w:color w:val="FF0000"/>
                      <w:sz w:val="21"/>
                      <w:szCs w:val="21"/>
                    </w:rPr>
                  </w:pPr>
                  <w:r>
                    <w:rPr>
                      <w:color w:val="FF0000"/>
                      <w:sz w:val="21"/>
                      <w:szCs w:val="21"/>
                    </w:rPr>
                    <w:t>监测</w:t>
                  </w:r>
                </w:p>
                <w:p w14:paraId="080ED159">
                  <w:pPr>
                    <w:spacing w:line="240" w:lineRule="auto"/>
                    <w:jc w:val="center"/>
                    <w:rPr>
                      <w:color w:val="FF0000"/>
                      <w:sz w:val="21"/>
                      <w:szCs w:val="21"/>
                    </w:rPr>
                  </w:pPr>
                  <w:r>
                    <w:rPr>
                      <w:color w:val="FF0000"/>
                      <w:sz w:val="21"/>
                      <w:szCs w:val="21"/>
                    </w:rPr>
                    <w:t>点数</w:t>
                  </w:r>
                </w:p>
              </w:tc>
              <w:tc>
                <w:tcPr>
                  <w:tcW w:w="508" w:type="pct"/>
                  <w:vAlign w:val="center"/>
                </w:tcPr>
                <w:p w14:paraId="6B683CC0">
                  <w:pPr>
                    <w:spacing w:line="240" w:lineRule="auto"/>
                    <w:jc w:val="center"/>
                    <w:rPr>
                      <w:color w:val="FF0000"/>
                      <w:sz w:val="21"/>
                      <w:szCs w:val="21"/>
                    </w:rPr>
                  </w:pPr>
                  <w:r>
                    <w:rPr>
                      <w:color w:val="FF0000"/>
                      <w:sz w:val="21"/>
                      <w:szCs w:val="21"/>
                    </w:rPr>
                    <w:t>监测</w:t>
                  </w:r>
                </w:p>
                <w:p w14:paraId="4272D497">
                  <w:pPr>
                    <w:spacing w:line="240" w:lineRule="auto"/>
                    <w:jc w:val="center"/>
                    <w:rPr>
                      <w:color w:val="FF0000"/>
                      <w:sz w:val="21"/>
                      <w:szCs w:val="21"/>
                    </w:rPr>
                  </w:pPr>
                  <w:r>
                    <w:rPr>
                      <w:color w:val="FF0000"/>
                      <w:sz w:val="21"/>
                      <w:szCs w:val="21"/>
                    </w:rPr>
                    <w:t>频率</w:t>
                  </w:r>
                </w:p>
              </w:tc>
              <w:tc>
                <w:tcPr>
                  <w:tcW w:w="1422" w:type="pct"/>
                  <w:vAlign w:val="center"/>
                </w:tcPr>
                <w:p w14:paraId="1E08AA71">
                  <w:pPr>
                    <w:spacing w:line="240" w:lineRule="auto"/>
                    <w:jc w:val="center"/>
                    <w:rPr>
                      <w:color w:val="FF0000"/>
                      <w:sz w:val="21"/>
                      <w:szCs w:val="21"/>
                    </w:rPr>
                  </w:pPr>
                  <w:r>
                    <w:rPr>
                      <w:color w:val="FF0000"/>
                      <w:sz w:val="21"/>
                      <w:szCs w:val="21"/>
                    </w:rPr>
                    <w:t>控制指标</w:t>
                  </w:r>
                </w:p>
              </w:tc>
              <w:tc>
                <w:tcPr>
                  <w:tcW w:w="1001" w:type="pct"/>
                  <w:vAlign w:val="center"/>
                </w:tcPr>
                <w:p w14:paraId="1A81FE81">
                  <w:pPr>
                    <w:spacing w:line="240" w:lineRule="auto"/>
                    <w:jc w:val="center"/>
                    <w:rPr>
                      <w:color w:val="FF0000"/>
                      <w:sz w:val="21"/>
                      <w:szCs w:val="21"/>
                    </w:rPr>
                  </w:pPr>
                  <w:r>
                    <w:rPr>
                      <w:rFonts w:hint="eastAsia" w:cs="Times New Roman"/>
                      <w:color w:val="FF0000"/>
                      <w:sz w:val="21"/>
                      <w:szCs w:val="21"/>
                      <w:lang w:val="en-US" w:eastAsia="zh-CN"/>
                    </w:rPr>
                    <w:t>备注</w:t>
                  </w:r>
                </w:p>
              </w:tc>
            </w:tr>
            <w:tr w14:paraId="2515212F">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510" w:hRule="atLeast"/>
                <w:jc w:val="center"/>
              </w:trPr>
              <w:tc>
                <w:tcPr>
                  <w:tcW w:w="556" w:type="pct"/>
                  <w:vAlign w:val="center"/>
                </w:tcPr>
                <w:p w14:paraId="6A483078">
                  <w:pPr>
                    <w:spacing w:line="240" w:lineRule="auto"/>
                    <w:jc w:val="center"/>
                    <w:rPr>
                      <w:color w:val="FF0000"/>
                      <w:sz w:val="21"/>
                      <w:szCs w:val="21"/>
                    </w:rPr>
                  </w:pPr>
                  <w:r>
                    <w:rPr>
                      <w:color w:val="FF0000"/>
                      <w:sz w:val="21"/>
                      <w:szCs w:val="21"/>
                    </w:rPr>
                    <w:t>生产设备</w:t>
                  </w:r>
                </w:p>
              </w:tc>
              <w:tc>
                <w:tcPr>
                  <w:tcW w:w="487" w:type="pct"/>
                  <w:vAlign w:val="center"/>
                </w:tcPr>
                <w:p w14:paraId="12DFB0B7">
                  <w:pPr>
                    <w:spacing w:line="240" w:lineRule="auto"/>
                    <w:jc w:val="center"/>
                    <w:rPr>
                      <w:color w:val="FF0000"/>
                      <w:sz w:val="21"/>
                      <w:szCs w:val="21"/>
                    </w:rPr>
                  </w:pPr>
                  <w:r>
                    <w:rPr>
                      <w:color w:val="FF0000"/>
                      <w:sz w:val="21"/>
                      <w:szCs w:val="21"/>
                    </w:rPr>
                    <w:t>厂界噪声</w:t>
                  </w:r>
                </w:p>
              </w:tc>
              <w:tc>
                <w:tcPr>
                  <w:tcW w:w="537" w:type="pct"/>
                  <w:vAlign w:val="center"/>
                </w:tcPr>
                <w:p w14:paraId="472A140C">
                  <w:pPr>
                    <w:spacing w:line="240" w:lineRule="auto"/>
                    <w:jc w:val="center"/>
                    <w:rPr>
                      <w:color w:val="FF0000"/>
                      <w:sz w:val="21"/>
                      <w:szCs w:val="21"/>
                    </w:rPr>
                  </w:pPr>
                  <w:r>
                    <w:rPr>
                      <w:color w:val="FF0000"/>
                      <w:sz w:val="21"/>
                      <w:szCs w:val="21"/>
                    </w:rPr>
                    <w:t>厂界四周外1m</w:t>
                  </w:r>
                </w:p>
              </w:tc>
              <w:tc>
                <w:tcPr>
                  <w:tcW w:w="486" w:type="pct"/>
                  <w:vAlign w:val="center"/>
                </w:tcPr>
                <w:p w14:paraId="79899154">
                  <w:pPr>
                    <w:spacing w:line="240" w:lineRule="auto"/>
                    <w:jc w:val="center"/>
                    <w:rPr>
                      <w:color w:val="FF0000"/>
                      <w:sz w:val="21"/>
                      <w:szCs w:val="21"/>
                    </w:rPr>
                  </w:pPr>
                  <w:r>
                    <w:rPr>
                      <w:color w:val="FF0000"/>
                      <w:sz w:val="21"/>
                      <w:szCs w:val="21"/>
                    </w:rPr>
                    <w:t>4个点</w:t>
                  </w:r>
                </w:p>
              </w:tc>
              <w:tc>
                <w:tcPr>
                  <w:tcW w:w="508" w:type="pct"/>
                  <w:vAlign w:val="center"/>
                </w:tcPr>
                <w:p w14:paraId="5F16517E">
                  <w:pPr>
                    <w:spacing w:line="240" w:lineRule="auto"/>
                    <w:jc w:val="center"/>
                    <w:rPr>
                      <w:color w:val="FF0000"/>
                      <w:sz w:val="21"/>
                      <w:szCs w:val="21"/>
                    </w:rPr>
                  </w:pPr>
                  <w:r>
                    <w:rPr>
                      <w:color w:val="FF0000"/>
                      <w:sz w:val="21"/>
                      <w:szCs w:val="21"/>
                    </w:rPr>
                    <w:t>1次/</w:t>
                  </w:r>
                  <w:r>
                    <w:rPr>
                      <w:rFonts w:hint="eastAsia"/>
                      <w:color w:val="FF0000"/>
                      <w:sz w:val="21"/>
                      <w:szCs w:val="21"/>
                    </w:rPr>
                    <w:t>季度</w:t>
                  </w:r>
                </w:p>
              </w:tc>
              <w:tc>
                <w:tcPr>
                  <w:tcW w:w="1422" w:type="pct"/>
                  <w:vAlign w:val="center"/>
                </w:tcPr>
                <w:p w14:paraId="6CA1F71F">
                  <w:pPr>
                    <w:spacing w:line="240" w:lineRule="auto"/>
                    <w:jc w:val="center"/>
                    <w:rPr>
                      <w:color w:val="FF0000"/>
                      <w:sz w:val="21"/>
                      <w:szCs w:val="21"/>
                    </w:rPr>
                  </w:pPr>
                  <w:r>
                    <w:rPr>
                      <w:color w:val="FF0000"/>
                      <w:sz w:val="21"/>
                      <w:szCs w:val="21"/>
                    </w:rPr>
                    <w:t>《工业企业厂界环境噪声排放标准》（GB12348-2008）中</w:t>
                  </w:r>
                  <w:r>
                    <w:rPr>
                      <w:rFonts w:hint="eastAsia"/>
                      <w:color w:val="FF0000"/>
                      <w:sz w:val="21"/>
                      <w:szCs w:val="21"/>
                      <w:lang w:val="en-US" w:eastAsia="zh-CN"/>
                    </w:rPr>
                    <w:t>3</w:t>
                  </w:r>
                  <w:r>
                    <w:rPr>
                      <w:color w:val="FF0000"/>
                      <w:sz w:val="21"/>
                      <w:szCs w:val="21"/>
                    </w:rPr>
                    <w:t>类标准</w:t>
                  </w:r>
                </w:p>
              </w:tc>
              <w:tc>
                <w:tcPr>
                  <w:tcW w:w="1001" w:type="pct"/>
                  <w:vAlign w:val="center"/>
                </w:tcPr>
                <w:p w14:paraId="44B125F8">
                  <w:pPr>
                    <w:wordWrap w:val="0"/>
                    <w:spacing w:line="240" w:lineRule="auto"/>
                    <w:jc w:val="center"/>
                    <w:rPr>
                      <w:color w:val="FF0000"/>
                      <w:sz w:val="21"/>
                      <w:szCs w:val="21"/>
                    </w:rPr>
                  </w:pPr>
                  <w:r>
                    <w:rPr>
                      <w:rFonts w:hint="eastAsia" w:cs="Times New Roman"/>
                      <w:color w:val="FF0000"/>
                      <w:kern w:val="0"/>
                      <w:sz w:val="21"/>
                      <w:szCs w:val="21"/>
                      <w:lang w:val="en-US" w:eastAsia="zh-CN"/>
                    </w:rPr>
                    <w:t>监测点位于园区边界，可纳入园区监测计划中</w:t>
                  </w:r>
                </w:p>
              </w:tc>
            </w:tr>
          </w:tbl>
          <w:p w14:paraId="586C829F">
            <w:pPr>
              <w:spacing w:line="360" w:lineRule="auto"/>
              <w:ind w:firstLine="482"/>
              <w:rPr>
                <w:b/>
                <w:bCs/>
                <w:color w:val="auto"/>
                <w:kern w:val="0"/>
                <w:sz w:val="24"/>
                <w:szCs w:val="20"/>
              </w:rPr>
            </w:pPr>
            <w:r>
              <w:rPr>
                <w:b/>
                <w:bCs/>
                <w:color w:val="auto"/>
                <w:kern w:val="0"/>
                <w:sz w:val="24"/>
                <w:szCs w:val="20"/>
              </w:rPr>
              <w:t>4、固体废弃物</w:t>
            </w:r>
          </w:p>
          <w:p w14:paraId="55DBE175">
            <w:pPr>
              <w:spacing w:line="360" w:lineRule="auto"/>
              <w:ind w:firstLine="480" w:firstLineChars="200"/>
              <w:rPr>
                <w:bCs/>
                <w:color w:val="auto"/>
                <w:kern w:val="0"/>
                <w:sz w:val="24"/>
                <w:szCs w:val="20"/>
              </w:rPr>
            </w:pPr>
            <w:r>
              <w:rPr>
                <w:rFonts w:hint="eastAsia"/>
                <w:bCs/>
                <w:color w:val="auto"/>
                <w:kern w:val="0"/>
                <w:sz w:val="24"/>
                <w:szCs w:val="20"/>
              </w:rPr>
              <w:t>（1）固体废弃物产排情况</w:t>
            </w:r>
          </w:p>
          <w:p w14:paraId="6F651B38">
            <w:pPr>
              <w:spacing w:line="360" w:lineRule="auto"/>
              <w:ind w:firstLine="480" w:firstLineChars="200"/>
              <w:rPr>
                <w:bCs/>
                <w:color w:val="auto"/>
                <w:kern w:val="0"/>
                <w:sz w:val="24"/>
                <w:szCs w:val="20"/>
              </w:rPr>
            </w:pPr>
            <w:r>
              <w:rPr>
                <w:bCs/>
                <w:color w:val="auto"/>
                <w:kern w:val="0"/>
                <w:sz w:val="24"/>
                <w:szCs w:val="20"/>
              </w:rPr>
              <w:t>项目运营过程中产生的固体废物主要为有废试剂瓶</w:t>
            </w:r>
            <w:r>
              <w:rPr>
                <w:rFonts w:hint="eastAsia"/>
                <w:bCs/>
                <w:color w:val="auto"/>
                <w:kern w:val="0"/>
                <w:sz w:val="24"/>
                <w:szCs w:val="20"/>
              </w:rPr>
              <w:t>及玻璃器皿</w:t>
            </w:r>
            <w:r>
              <w:rPr>
                <w:bCs/>
                <w:color w:val="auto"/>
                <w:kern w:val="0"/>
                <w:sz w:val="24"/>
                <w:szCs w:val="20"/>
              </w:rPr>
              <w:t>、</w:t>
            </w:r>
            <w:r>
              <w:rPr>
                <w:rFonts w:hint="eastAsia"/>
                <w:bCs/>
                <w:color w:val="auto"/>
                <w:kern w:val="0"/>
                <w:sz w:val="24"/>
                <w:szCs w:val="20"/>
              </w:rPr>
              <w:t>实验室废液、初洗废水、固态实验废物、废活性炭、废手套及抹布、</w:t>
            </w:r>
            <w:r>
              <w:rPr>
                <w:bCs/>
                <w:color w:val="auto"/>
                <w:kern w:val="0"/>
                <w:sz w:val="24"/>
                <w:szCs w:val="20"/>
              </w:rPr>
              <w:t>废包装材料及生活垃圾。项目固废产生情况见表4-</w:t>
            </w:r>
            <w:r>
              <w:rPr>
                <w:rFonts w:hint="eastAsia"/>
                <w:bCs/>
                <w:color w:val="auto"/>
                <w:kern w:val="0"/>
                <w:sz w:val="24"/>
                <w:szCs w:val="20"/>
              </w:rPr>
              <w:t>10</w:t>
            </w:r>
            <w:r>
              <w:rPr>
                <w:bCs/>
                <w:color w:val="auto"/>
                <w:kern w:val="0"/>
                <w:sz w:val="24"/>
                <w:szCs w:val="20"/>
              </w:rPr>
              <w:t>。</w:t>
            </w:r>
          </w:p>
          <w:p w14:paraId="14D22BC2">
            <w:pPr>
              <w:spacing w:line="360" w:lineRule="auto"/>
              <w:ind w:firstLine="480" w:firstLineChars="200"/>
              <w:rPr>
                <w:bCs/>
                <w:color w:val="auto"/>
                <w:kern w:val="0"/>
                <w:sz w:val="24"/>
                <w:szCs w:val="20"/>
              </w:rPr>
            </w:pPr>
            <w:r>
              <w:rPr>
                <w:rFonts w:hint="eastAsia"/>
                <w:bCs/>
                <w:color w:val="auto"/>
                <w:kern w:val="0"/>
                <w:sz w:val="24"/>
                <w:szCs w:val="20"/>
              </w:rPr>
              <w:t>1）</w:t>
            </w:r>
            <w:r>
              <w:rPr>
                <w:bCs/>
                <w:color w:val="auto"/>
                <w:kern w:val="0"/>
                <w:sz w:val="24"/>
                <w:szCs w:val="20"/>
              </w:rPr>
              <w:t>废试剂瓶</w:t>
            </w:r>
            <w:r>
              <w:rPr>
                <w:rFonts w:hint="eastAsia"/>
                <w:bCs/>
                <w:color w:val="auto"/>
                <w:kern w:val="0"/>
                <w:sz w:val="24"/>
                <w:szCs w:val="20"/>
              </w:rPr>
              <w:t>及玻璃器皿</w:t>
            </w:r>
          </w:p>
          <w:p w14:paraId="5DE5610E">
            <w:pPr>
              <w:spacing w:line="360" w:lineRule="auto"/>
              <w:ind w:firstLine="480" w:firstLineChars="200"/>
              <w:rPr>
                <w:bCs/>
                <w:color w:val="auto"/>
                <w:kern w:val="0"/>
                <w:sz w:val="24"/>
                <w:szCs w:val="20"/>
              </w:rPr>
            </w:pPr>
            <w:r>
              <w:rPr>
                <w:bCs/>
                <w:color w:val="auto"/>
                <w:kern w:val="0"/>
                <w:sz w:val="24"/>
                <w:szCs w:val="20"/>
              </w:rPr>
              <w:t>实验过程产生废试剂瓶</w:t>
            </w:r>
            <w:r>
              <w:rPr>
                <w:rFonts w:hint="eastAsia"/>
                <w:bCs/>
                <w:color w:val="auto"/>
                <w:kern w:val="0"/>
                <w:sz w:val="24"/>
                <w:szCs w:val="20"/>
              </w:rPr>
              <w:t>及玻璃器皿</w:t>
            </w:r>
            <w:r>
              <w:rPr>
                <w:bCs/>
                <w:color w:val="auto"/>
                <w:kern w:val="0"/>
                <w:sz w:val="24"/>
                <w:szCs w:val="20"/>
              </w:rPr>
              <w:t>，</w:t>
            </w:r>
            <w:r>
              <w:rPr>
                <w:rFonts w:hint="eastAsia"/>
                <w:bCs/>
                <w:color w:val="auto"/>
                <w:kern w:val="0"/>
                <w:sz w:val="24"/>
                <w:szCs w:val="20"/>
              </w:rPr>
              <w:t>估算产生量约为0.05t/a，</w:t>
            </w:r>
            <w:r>
              <w:rPr>
                <w:bCs/>
                <w:color w:val="auto"/>
                <w:kern w:val="0"/>
                <w:sz w:val="24"/>
                <w:szCs w:val="20"/>
              </w:rPr>
              <w:t>属于危险废物，</w:t>
            </w:r>
            <w:r>
              <w:rPr>
                <w:rFonts w:hint="eastAsia"/>
                <w:bCs/>
                <w:color w:val="auto"/>
                <w:kern w:val="0"/>
                <w:sz w:val="24"/>
                <w:szCs w:val="20"/>
              </w:rPr>
              <w:t>根据</w:t>
            </w:r>
            <w:r>
              <w:rPr>
                <w:rFonts w:hint="eastAsia"/>
                <w:bCs/>
                <w:color w:val="auto"/>
                <w:kern w:val="0"/>
                <w:sz w:val="24"/>
              </w:rPr>
              <w:t>《国家危险废物名录》（2025年版）</w:t>
            </w:r>
            <w:r>
              <w:rPr>
                <w:rFonts w:hint="eastAsia"/>
                <w:bCs/>
                <w:color w:val="auto"/>
                <w:kern w:val="0"/>
                <w:sz w:val="24"/>
                <w:szCs w:val="20"/>
              </w:rPr>
              <w:t>中规定，危废代码为HW49 900-047-49，专用密闭容器收集于</w:t>
            </w:r>
            <w:r>
              <w:rPr>
                <w:rFonts w:hint="eastAsia"/>
                <w:bCs/>
                <w:color w:val="auto"/>
                <w:kern w:val="0"/>
                <w:sz w:val="24"/>
                <w:szCs w:val="20"/>
                <w:lang w:eastAsia="zh-CN"/>
              </w:rPr>
              <w:t>危废贮存库</w:t>
            </w:r>
            <w:r>
              <w:rPr>
                <w:rFonts w:hint="eastAsia"/>
                <w:bCs/>
                <w:color w:val="auto"/>
                <w:kern w:val="0"/>
                <w:sz w:val="24"/>
                <w:szCs w:val="20"/>
              </w:rPr>
              <w:t>，定期委托有资质单位处置。</w:t>
            </w:r>
          </w:p>
          <w:p w14:paraId="43C93D0A">
            <w:pPr>
              <w:spacing w:line="360" w:lineRule="auto"/>
              <w:ind w:firstLine="480" w:firstLineChars="200"/>
              <w:rPr>
                <w:bCs/>
                <w:color w:val="auto"/>
                <w:kern w:val="0"/>
                <w:sz w:val="24"/>
                <w:szCs w:val="20"/>
              </w:rPr>
            </w:pPr>
            <w:r>
              <w:rPr>
                <w:rFonts w:hint="eastAsia"/>
                <w:bCs/>
                <w:color w:val="auto"/>
                <w:kern w:val="0"/>
                <w:sz w:val="24"/>
                <w:szCs w:val="20"/>
              </w:rPr>
              <w:t>2）实验室废液</w:t>
            </w:r>
          </w:p>
          <w:p w14:paraId="1A377224">
            <w:pPr>
              <w:spacing w:line="360" w:lineRule="auto"/>
              <w:ind w:firstLine="480" w:firstLineChars="200"/>
              <w:rPr>
                <w:bCs/>
                <w:color w:val="auto"/>
                <w:kern w:val="0"/>
                <w:sz w:val="24"/>
                <w:szCs w:val="20"/>
              </w:rPr>
            </w:pPr>
            <w:r>
              <w:rPr>
                <w:rFonts w:hint="eastAsia"/>
                <w:bCs/>
                <w:color w:val="auto"/>
                <w:kern w:val="0"/>
                <w:sz w:val="24"/>
                <w:szCs w:val="20"/>
              </w:rPr>
              <w:t>项目研发过程反应剩余的废碱</w:t>
            </w:r>
            <w:r>
              <w:rPr>
                <w:rFonts w:hint="eastAsia"/>
                <w:bCs/>
                <w:color w:val="auto"/>
                <w:kern w:val="0"/>
                <w:sz w:val="24"/>
                <w:szCs w:val="20"/>
                <w:lang w:eastAsia="zh-CN"/>
              </w:rPr>
              <w:t>、</w:t>
            </w:r>
            <w:r>
              <w:rPr>
                <w:rFonts w:hint="eastAsia"/>
                <w:bCs/>
                <w:color w:val="FF0000"/>
                <w:kern w:val="0"/>
                <w:sz w:val="24"/>
                <w:szCs w:val="20"/>
                <w:lang w:val="en-US" w:eastAsia="zh-CN"/>
              </w:rPr>
              <w:t>实验仪器使用过程产生的废液</w:t>
            </w:r>
            <w:r>
              <w:rPr>
                <w:rFonts w:hint="eastAsia"/>
                <w:bCs/>
                <w:color w:val="auto"/>
                <w:kern w:val="0"/>
                <w:sz w:val="24"/>
                <w:szCs w:val="20"/>
              </w:rPr>
              <w:t>和其他废有机溶剂等，产生量约0.8t/a，属于危险废物，根据</w:t>
            </w:r>
            <w:r>
              <w:rPr>
                <w:rFonts w:hint="eastAsia"/>
                <w:bCs/>
                <w:color w:val="auto"/>
                <w:kern w:val="0"/>
                <w:sz w:val="24"/>
              </w:rPr>
              <w:t>《国家危险废物名录》（2025年版）</w:t>
            </w:r>
            <w:r>
              <w:rPr>
                <w:rFonts w:hint="eastAsia"/>
                <w:bCs/>
                <w:color w:val="auto"/>
                <w:kern w:val="0"/>
                <w:sz w:val="24"/>
                <w:szCs w:val="20"/>
              </w:rPr>
              <w:t>中规定，危废代码为HW49 900-047-49，</w:t>
            </w:r>
            <w:r>
              <w:rPr>
                <w:rFonts w:hint="eastAsia"/>
                <w:bCs/>
                <w:color w:val="auto"/>
                <w:kern w:val="0"/>
                <w:sz w:val="24"/>
                <w:szCs w:val="20"/>
                <w:lang w:val="en-US" w:eastAsia="zh-CN"/>
              </w:rPr>
              <w:t>密闭带盖</w:t>
            </w:r>
            <w:r>
              <w:rPr>
                <w:rFonts w:hint="eastAsia"/>
                <w:bCs/>
                <w:color w:val="auto"/>
                <w:kern w:val="0"/>
                <w:sz w:val="24"/>
                <w:szCs w:val="20"/>
              </w:rPr>
              <w:t>专用容器收集后暂存</w:t>
            </w:r>
            <w:r>
              <w:rPr>
                <w:rFonts w:hint="eastAsia"/>
                <w:bCs/>
                <w:color w:val="auto"/>
                <w:kern w:val="0"/>
                <w:sz w:val="24"/>
                <w:szCs w:val="20"/>
                <w:lang w:eastAsia="zh-CN"/>
              </w:rPr>
              <w:t>危废贮存库</w:t>
            </w:r>
            <w:r>
              <w:rPr>
                <w:rFonts w:hint="eastAsia"/>
                <w:bCs/>
                <w:color w:val="auto"/>
                <w:kern w:val="0"/>
                <w:sz w:val="24"/>
                <w:szCs w:val="20"/>
              </w:rPr>
              <w:t>，定期交由有资质单位处置。</w:t>
            </w:r>
          </w:p>
          <w:p w14:paraId="5C2289D2">
            <w:pPr>
              <w:spacing w:line="360" w:lineRule="auto"/>
              <w:ind w:firstLine="480" w:firstLineChars="200"/>
              <w:rPr>
                <w:bCs/>
                <w:color w:val="auto"/>
                <w:kern w:val="0"/>
                <w:sz w:val="24"/>
                <w:szCs w:val="20"/>
              </w:rPr>
            </w:pPr>
            <w:r>
              <w:rPr>
                <w:rFonts w:hint="eastAsia"/>
                <w:bCs/>
                <w:color w:val="auto"/>
                <w:kern w:val="0"/>
                <w:sz w:val="24"/>
                <w:szCs w:val="20"/>
              </w:rPr>
              <w:t>3）初洗废水</w:t>
            </w:r>
          </w:p>
          <w:p w14:paraId="340E26B7">
            <w:pPr>
              <w:spacing w:line="360" w:lineRule="auto"/>
              <w:ind w:firstLine="480" w:firstLineChars="200"/>
              <w:rPr>
                <w:bCs/>
                <w:color w:val="auto"/>
                <w:kern w:val="0"/>
                <w:sz w:val="24"/>
              </w:rPr>
            </w:pPr>
            <w:r>
              <w:rPr>
                <w:rFonts w:hint="eastAsia"/>
                <w:bCs/>
                <w:color w:val="auto"/>
                <w:kern w:val="0"/>
                <w:sz w:val="24"/>
                <w:szCs w:val="20"/>
              </w:rPr>
              <w:t>根据工程分析，初</w:t>
            </w:r>
            <w:r>
              <w:rPr>
                <w:rFonts w:hint="eastAsia"/>
                <w:bCs/>
                <w:color w:val="auto"/>
                <w:kern w:val="0"/>
                <w:sz w:val="24"/>
              </w:rPr>
              <w:t>洗废水产生量为</w:t>
            </w:r>
            <w:r>
              <w:rPr>
                <w:rFonts w:hint="eastAsia"/>
                <w:bCs/>
                <w:color w:val="auto"/>
                <w:kern w:val="0"/>
                <w:sz w:val="24"/>
                <w:lang w:eastAsia="zh-CN"/>
              </w:rPr>
              <w:t>3.84</w:t>
            </w:r>
            <w:r>
              <w:rPr>
                <w:rFonts w:hint="eastAsia"/>
                <w:bCs/>
                <w:color w:val="auto"/>
                <w:kern w:val="0"/>
                <w:sz w:val="24"/>
              </w:rPr>
              <w:t>t/a，根据《国家危险废物名录》（2025年版）中规定，危废代码为HW49 900-047-49，</w:t>
            </w:r>
            <w:r>
              <w:rPr>
                <w:rFonts w:hint="eastAsia"/>
                <w:bCs/>
                <w:color w:val="auto"/>
                <w:kern w:val="0"/>
                <w:sz w:val="24"/>
                <w:szCs w:val="20"/>
                <w:lang w:val="en-US" w:eastAsia="zh-CN"/>
              </w:rPr>
              <w:t>密闭带盖</w:t>
            </w:r>
            <w:r>
              <w:rPr>
                <w:rFonts w:hint="eastAsia"/>
                <w:bCs/>
                <w:color w:val="auto"/>
                <w:kern w:val="0"/>
                <w:sz w:val="24"/>
              </w:rPr>
              <w:t>专用容器收集后暂存</w:t>
            </w:r>
            <w:r>
              <w:rPr>
                <w:rFonts w:hint="eastAsia"/>
                <w:bCs/>
                <w:color w:val="auto"/>
                <w:kern w:val="0"/>
                <w:sz w:val="24"/>
                <w:lang w:eastAsia="zh-CN"/>
              </w:rPr>
              <w:t>危废贮存库</w:t>
            </w:r>
            <w:r>
              <w:rPr>
                <w:rFonts w:hint="eastAsia"/>
                <w:bCs/>
                <w:color w:val="auto"/>
                <w:kern w:val="0"/>
                <w:sz w:val="24"/>
              </w:rPr>
              <w:t>，定期交由有资质单位处置。</w:t>
            </w:r>
          </w:p>
          <w:p w14:paraId="1DF003C3">
            <w:pPr>
              <w:spacing w:line="360" w:lineRule="auto"/>
              <w:ind w:firstLine="480" w:firstLineChars="200"/>
              <w:rPr>
                <w:bCs/>
                <w:color w:val="auto"/>
                <w:kern w:val="0"/>
                <w:sz w:val="24"/>
              </w:rPr>
            </w:pPr>
            <w:r>
              <w:rPr>
                <w:rFonts w:hint="eastAsia"/>
                <w:bCs/>
                <w:color w:val="auto"/>
                <w:kern w:val="0"/>
                <w:sz w:val="24"/>
              </w:rPr>
              <w:t>4）</w:t>
            </w:r>
            <w:r>
              <w:rPr>
                <w:bCs/>
                <w:color w:val="auto"/>
                <w:kern w:val="0"/>
                <w:sz w:val="24"/>
              </w:rPr>
              <w:t>固态实验废物</w:t>
            </w:r>
          </w:p>
          <w:p w14:paraId="1BCD1C0B">
            <w:pPr>
              <w:spacing w:line="360" w:lineRule="auto"/>
              <w:ind w:firstLine="480" w:firstLineChars="200"/>
              <w:rPr>
                <w:bCs/>
                <w:color w:val="auto"/>
                <w:kern w:val="0"/>
                <w:sz w:val="24"/>
              </w:rPr>
            </w:pPr>
            <w:r>
              <w:rPr>
                <w:bCs/>
                <w:color w:val="auto"/>
                <w:kern w:val="0"/>
                <w:sz w:val="24"/>
              </w:rPr>
              <w:t>固态实验废物</w:t>
            </w:r>
            <w:r>
              <w:rPr>
                <w:rFonts w:hint="eastAsia"/>
                <w:bCs/>
                <w:color w:val="auto"/>
                <w:kern w:val="0"/>
                <w:sz w:val="24"/>
              </w:rPr>
              <w:t>主要为不符合预期效果的废样品，产生量为0.02t/a，属于危险废物，根据《国家危险废物名录》（2025年版）中规定，废物代码HW49 900-047-49，专用密闭容器收集于</w:t>
            </w:r>
            <w:r>
              <w:rPr>
                <w:rFonts w:hint="eastAsia"/>
                <w:bCs/>
                <w:color w:val="auto"/>
                <w:kern w:val="0"/>
                <w:sz w:val="24"/>
                <w:lang w:eastAsia="zh-CN"/>
              </w:rPr>
              <w:t>危废贮存库</w:t>
            </w:r>
            <w:r>
              <w:rPr>
                <w:rFonts w:hint="eastAsia"/>
                <w:bCs/>
                <w:color w:val="auto"/>
                <w:kern w:val="0"/>
                <w:sz w:val="24"/>
              </w:rPr>
              <w:t>，定期委托有资质单位处置。</w:t>
            </w:r>
          </w:p>
          <w:p w14:paraId="26B9A16C">
            <w:pPr>
              <w:spacing w:line="360" w:lineRule="auto"/>
              <w:ind w:firstLine="480" w:firstLineChars="200"/>
              <w:rPr>
                <w:bCs/>
                <w:color w:val="auto"/>
                <w:kern w:val="0"/>
                <w:sz w:val="24"/>
              </w:rPr>
            </w:pPr>
            <w:r>
              <w:rPr>
                <w:rFonts w:hint="eastAsia"/>
                <w:bCs/>
                <w:color w:val="auto"/>
                <w:kern w:val="0"/>
                <w:sz w:val="24"/>
              </w:rPr>
              <w:t>5）</w:t>
            </w:r>
            <w:r>
              <w:rPr>
                <w:bCs/>
                <w:color w:val="auto"/>
                <w:kern w:val="0"/>
                <w:sz w:val="24"/>
              </w:rPr>
              <w:t>废活性炭</w:t>
            </w:r>
          </w:p>
          <w:p w14:paraId="3A727464">
            <w:pPr>
              <w:spacing w:line="360" w:lineRule="auto"/>
              <w:ind w:firstLine="480" w:firstLineChars="200"/>
              <w:rPr>
                <w:bCs/>
                <w:color w:val="auto"/>
                <w:kern w:val="0"/>
                <w:sz w:val="24"/>
              </w:rPr>
            </w:pPr>
            <w:r>
              <w:rPr>
                <w:bCs/>
                <w:color w:val="auto"/>
                <w:kern w:val="0"/>
                <w:sz w:val="24"/>
              </w:rPr>
              <w:t>本项目有机废气均采用</w:t>
            </w:r>
            <w:r>
              <w:rPr>
                <w:rFonts w:hint="eastAsia"/>
                <w:bCs/>
                <w:color w:val="auto"/>
                <w:kern w:val="0"/>
                <w:sz w:val="24"/>
              </w:rPr>
              <w:t>“</w:t>
            </w:r>
            <w:r>
              <w:rPr>
                <w:bCs/>
                <w:color w:val="auto"/>
                <w:kern w:val="0"/>
                <w:sz w:val="24"/>
              </w:rPr>
              <w:t>二级活性炭吸附</w:t>
            </w:r>
            <w:r>
              <w:rPr>
                <w:rFonts w:hint="eastAsia"/>
                <w:bCs/>
                <w:color w:val="auto"/>
                <w:kern w:val="0"/>
                <w:sz w:val="24"/>
              </w:rPr>
              <w:t>”</w:t>
            </w:r>
            <w:r>
              <w:rPr>
                <w:bCs/>
                <w:color w:val="auto"/>
                <w:kern w:val="0"/>
                <w:sz w:val="24"/>
              </w:rPr>
              <w:t>处理工艺，根据</w:t>
            </w:r>
            <w:r>
              <w:rPr>
                <w:rFonts w:hint="eastAsia"/>
                <w:bCs/>
                <w:color w:val="auto"/>
                <w:kern w:val="0"/>
                <w:sz w:val="24"/>
              </w:rPr>
              <w:t>《西安市生态环境局关于</w:t>
            </w:r>
            <w:r>
              <w:rPr>
                <w:bCs/>
                <w:color w:val="auto"/>
                <w:kern w:val="0"/>
                <w:sz w:val="24"/>
              </w:rPr>
              <w:t>加强挥发性有机物活性炭吸附处理设施运行管理工作的通知》（市环发〔2022〕65号</w:t>
            </w:r>
            <w:r>
              <w:rPr>
                <w:rFonts w:hint="eastAsia"/>
                <w:bCs/>
                <w:color w:val="auto"/>
                <w:kern w:val="0"/>
                <w:sz w:val="24"/>
              </w:rPr>
              <w:t>），VOCs初始浓度在100mg/m</w:t>
            </w:r>
            <w:r>
              <w:rPr>
                <w:rFonts w:hint="eastAsia"/>
                <w:bCs/>
                <w:color w:val="auto"/>
                <w:kern w:val="0"/>
                <w:sz w:val="24"/>
                <w:vertAlign w:val="superscript"/>
              </w:rPr>
              <w:t>3</w:t>
            </w:r>
            <w:r>
              <w:rPr>
                <w:rFonts w:hint="eastAsia"/>
                <w:bCs/>
                <w:color w:val="auto"/>
                <w:kern w:val="0"/>
                <w:sz w:val="24"/>
              </w:rPr>
              <w:t>以下的，活性炭填充量不少于0.5吨，</w:t>
            </w:r>
            <w:r>
              <w:rPr>
                <w:rFonts w:hint="eastAsia"/>
                <w:bCs/>
                <w:color w:val="FF0000"/>
                <w:kern w:val="0"/>
                <w:sz w:val="24"/>
              </w:rPr>
              <w:t>更换频次为每</w:t>
            </w:r>
            <w:r>
              <w:rPr>
                <w:rFonts w:hint="eastAsia"/>
                <w:bCs/>
                <w:color w:val="FF0000"/>
                <w:kern w:val="0"/>
                <w:sz w:val="24"/>
                <w:lang w:val="en-US" w:eastAsia="zh-CN"/>
              </w:rPr>
              <w:t>4</w:t>
            </w:r>
            <w:r>
              <w:rPr>
                <w:rFonts w:hint="eastAsia"/>
                <w:bCs/>
                <w:color w:val="FF0000"/>
                <w:kern w:val="0"/>
                <w:sz w:val="24"/>
              </w:rPr>
              <w:t>月一次，则活性炭年用量为</w:t>
            </w:r>
            <w:r>
              <w:rPr>
                <w:rFonts w:hint="eastAsia"/>
                <w:bCs/>
                <w:color w:val="FF0000"/>
                <w:kern w:val="0"/>
                <w:sz w:val="24"/>
                <w:lang w:val="en-US" w:eastAsia="zh-CN"/>
              </w:rPr>
              <w:t>1.5</w:t>
            </w:r>
            <w:r>
              <w:rPr>
                <w:rFonts w:hint="eastAsia"/>
                <w:bCs/>
                <w:color w:val="FF0000"/>
                <w:kern w:val="0"/>
                <w:sz w:val="24"/>
              </w:rPr>
              <w:t>t/a，</w:t>
            </w:r>
            <w:r>
              <w:rPr>
                <w:bCs/>
                <w:color w:val="FF0000"/>
                <w:kern w:val="0"/>
                <w:sz w:val="24"/>
              </w:rPr>
              <w:t>生产线处理有机废气的量为</w:t>
            </w:r>
            <w:r>
              <w:rPr>
                <w:rFonts w:hint="eastAsia"/>
                <w:bCs/>
                <w:color w:val="FF0000"/>
                <w:kern w:val="0"/>
                <w:sz w:val="24"/>
              </w:rPr>
              <w:t>0.216</w:t>
            </w:r>
            <w:r>
              <w:rPr>
                <w:rFonts w:hint="eastAsia"/>
                <w:bCs/>
                <w:color w:val="FF0000"/>
                <w:kern w:val="0"/>
                <w:sz w:val="24"/>
                <w:lang w:val="en-US" w:eastAsia="zh-CN"/>
              </w:rPr>
              <w:t>t</w:t>
            </w:r>
            <w:r>
              <w:rPr>
                <w:bCs/>
                <w:color w:val="FF0000"/>
                <w:kern w:val="0"/>
                <w:sz w:val="24"/>
              </w:rPr>
              <w:t>/a，则本项目废活性炭产生量为</w:t>
            </w:r>
            <w:r>
              <w:rPr>
                <w:rFonts w:hint="eastAsia"/>
                <w:bCs/>
                <w:color w:val="FF0000"/>
                <w:kern w:val="0"/>
                <w:sz w:val="24"/>
                <w:lang w:val="en-US" w:eastAsia="zh-CN"/>
              </w:rPr>
              <w:t>1.7</w:t>
            </w:r>
            <w:r>
              <w:rPr>
                <w:rFonts w:hint="eastAsia"/>
                <w:bCs/>
                <w:color w:val="FF0000"/>
                <w:kern w:val="0"/>
                <w:sz w:val="24"/>
              </w:rPr>
              <w:t>16t</w:t>
            </w:r>
            <w:r>
              <w:rPr>
                <w:bCs/>
                <w:color w:val="FF0000"/>
                <w:kern w:val="0"/>
                <w:sz w:val="24"/>
              </w:rPr>
              <w:t>/a</w:t>
            </w:r>
            <w:r>
              <w:rPr>
                <w:bCs/>
                <w:color w:val="auto"/>
                <w:kern w:val="0"/>
                <w:sz w:val="24"/>
              </w:rPr>
              <w:t>。</w:t>
            </w:r>
            <w:r>
              <w:rPr>
                <w:rFonts w:hint="eastAsia"/>
                <w:color w:val="auto"/>
                <w:sz w:val="24"/>
              </w:rPr>
              <w:t>按</w:t>
            </w:r>
            <w:r>
              <w:rPr>
                <w:bCs/>
                <w:color w:val="auto"/>
                <w:kern w:val="0"/>
                <w:sz w:val="24"/>
              </w:rPr>
              <w:t>根据</w:t>
            </w:r>
            <w:r>
              <w:rPr>
                <w:rFonts w:hint="eastAsia"/>
                <w:bCs/>
                <w:color w:val="auto"/>
                <w:kern w:val="0"/>
                <w:sz w:val="24"/>
              </w:rPr>
              <w:t>《国家危险废物名录》（2025年版）</w:t>
            </w:r>
            <w:r>
              <w:rPr>
                <w:bCs/>
                <w:color w:val="auto"/>
                <w:kern w:val="0"/>
                <w:sz w:val="24"/>
              </w:rPr>
              <w:t>，废活性炭属于HW49</w:t>
            </w:r>
            <w:r>
              <w:rPr>
                <w:color w:val="auto"/>
                <w:kern w:val="0"/>
                <w:sz w:val="24"/>
              </w:rPr>
              <w:t>（</w:t>
            </w:r>
            <w:r>
              <w:rPr>
                <w:bCs/>
                <w:color w:val="auto"/>
                <w:kern w:val="0"/>
                <w:sz w:val="24"/>
              </w:rPr>
              <w:t>烟气、VOCs治理过程（不包括餐饮行业油烟治理过程）产生的废活性炭，化学原料和化学制品脱色（不包括有机合成食品添加剂脱色）、除杂、净化过程产生的废活性炭</w:t>
            </w:r>
            <w:r>
              <w:rPr>
                <w:color w:val="auto"/>
                <w:kern w:val="0"/>
                <w:sz w:val="24"/>
              </w:rPr>
              <w:t>）</w:t>
            </w:r>
            <w:r>
              <w:rPr>
                <w:bCs/>
                <w:color w:val="auto"/>
                <w:kern w:val="0"/>
                <w:sz w:val="24"/>
              </w:rPr>
              <w:t>，危废代码为900-039-49，暂存于</w:t>
            </w:r>
            <w:r>
              <w:rPr>
                <w:rFonts w:hint="eastAsia"/>
                <w:bCs/>
                <w:color w:val="auto"/>
                <w:kern w:val="0"/>
                <w:sz w:val="24"/>
                <w:lang w:eastAsia="zh-CN"/>
              </w:rPr>
              <w:t>危废贮存库</w:t>
            </w:r>
            <w:r>
              <w:rPr>
                <w:bCs/>
                <w:color w:val="auto"/>
                <w:kern w:val="0"/>
                <w:sz w:val="24"/>
              </w:rPr>
              <w:t>，交由有资质单位统一处</w:t>
            </w:r>
            <w:r>
              <w:rPr>
                <w:color w:val="auto"/>
                <w:kern w:val="0"/>
                <w:sz w:val="24"/>
              </w:rPr>
              <w:t>理。环评要求企业有机废气处理时采用的活性炭碘值不低于</w:t>
            </w:r>
            <w:r>
              <w:rPr>
                <w:rFonts w:hint="eastAsia"/>
                <w:color w:val="auto"/>
                <w:kern w:val="0"/>
                <w:sz w:val="24"/>
                <w:lang w:val="en-US" w:eastAsia="zh-CN"/>
              </w:rPr>
              <w:t>规定要求</w:t>
            </w:r>
            <w:r>
              <w:rPr>
                <w:color w:val="auto"/>
                <w:kern w:val="0"/>
                <w:sz w:val="24"/>
              </w:rPr>
              <w:t>，并按设计要求足量添加、及时更换。</w:t>
            </w:r>
          </w:p>
          <w:p w14:paraId="53E7F718">
            <w:pPr>
              <w:spacing w:line="360" w:lineRule="auto"/>
              <w:ind w:firstLine="480" w:firstLineChars="200"/>
              <w:rPr>
                <w:bCs/>
                <w:color w:val="auto"/>
                <w:kern w:val="0"/>
                <w:sz w:val="24"/>
              </w:rPr>
            </w:pPr>
            <w:r>
              <w:rPr>
                <w:rFonts w:hint="eastAsia"/>
                <w:bCs/>
                <w:color w:val="auto"/>
                <w:kern w:val="0"/>
                <w:sz w:val="24"/>
              </w:rPr>
              <w:t>6）</w:t>
            </w:r>
            <w:r>
              <w:rPr>
                <w:bCs/>
                <w:color w:val="auto"/>
                <w:kern w:val="0"/>
                <w:sz w:val="24"/>
              </w:rPr>
              <w:t>废手套抹布</w:t>
            </w:r>
          </w:p>
          <w:p w14:paraId="04FF3A99">
            <w:pPr>
              <w:spacing w:line="360" w:lineRule="auto"/>
              <w:ind w:firstLine="480" w:firstLineChars="200"/>
              <w:rPr>
                <w:bCs/>
                <w:color w:val="auto"/>
                <w:kern w:val="0"/>
                <w:sz w:val="24"/>
                <w:szCs w:val="20"/>
              </w:rPr>
            </w:pPr>
            <w:r>
              <w:rPr>
                <w:bCs/>
                <w:color w:val="auto"/>
                <w:kern w:val="0"/>
                <w:sz w:val="24"/>
              </w:rPr>
              <w:t>实验过程产生废手套抹布</w:t>
            </w:r>
            <w:r>
              <w:rPr>
                <w:rFonts w:hint="eastAsia"/>
                <w:bCs/>
                <w:color w:val="auto"/>
                <w:kern w:val="0"/>
                <w:sz w:val="24"/>
              </w:rPr>
              <w:t>为0.03t/a，</w:t>
            </w:r>
            <w:r>
              <w:rPr>
                <w:bCs/>
                <w:color w:val="auto"/>
                <w:kern w:val="0"/>
                <w:sz w:val="24"/>
              </w:rPr>
              <w:t>属于危险废物，</w:t>
            </w:r>
            <w:r>
              <w:rPr>
                <w:rFonts w:hint="eastAsia"/>
                <w:bCs/>
                <w:color w:val="auto"/>
                <w:kern w:val="0"/>
                <w:sz w:val="24"/>
              </w:rPr>
              <w:t>根据《国家危险废物名录》（2025年版）中规定，危废代码为HW49 900-041-49，专</w:t>
            </w:r>
            <w:r>
              <w:rPr>
                <w:rFonts w:hint="eastAsia"/>
                <w:bCs/>
                <w:color w:val="auto"/>
                <w:kern w:val="0"/>
                <w:sz w:val="24"/>
                <w:szCs w:val="20"/>
              </w:rPr>
              <w:t>用容器收集后暂存</w:t>
            </w:r>
            <w:r>
              <w:rPr>
                <w:rFonts w:hint="eastAsia"/>
                <w:bCs/>
                <w:color w:val="auto"/>
                <w:kern w:val="0"/>
                <w:sz w:val="24"/>
                <w:szCs w:val="20"/>
                <w:lang w:eastAsia="zh-CN"/>
              </w:rPr>
              <w:t>危废贮存库</w:t>
            </w:r>
            <w:r>
              <w:rPr>
                <w:rFonts w:hint="eastAsia"/>
                <w:bCs/>
                <w:color w:val="auto"/>
                <w:kern w:val="0"/>
                <w:sz w:val="24"/>
                <w:szCs w:val="20"/>
              </w:rPr>
              <w:t>，定期交由有资质单位处置。</w:t>
            </w:r>
          </w:p>
          <w:p w14:paraId="4E77C21E">
            <w:pPr>
              <w:spacing w:line="360" w:lineRule="auto"/>
              <w:ind w:firstLine="480" w:firstLineChars="200"/>
              <w:rPr>
                <w:bCs/>
                <w:color w:val="auto"/>
                <w:kern w:val="0"/>
                <w:sz w:val="24"/>
                <w:szCs w:val="20"/>
              </w:rPr>
            </w:pPr>
            <w:r>
              <w:rPr>
                <w:rFonts w:hint="eastAsia"/>
                <w:bCs/>
                <w:color w:val="auto"/>
                <w:kern w:val="0"/>
                <w:sz w:val="24"/>
                <w:szCs w:val="20"/>
              </w:rPr>
              <w:t>7）</w:t>
            </w:r>
            <w:r>
              <w:rPr>
                <w:bCs/>
                <w:color w:val="auto"/>
                <w:kern w:val="0"/>
                <w:sz w:val="24"/>
                <w:szCs w:val="20"/>
              </w:rPr>
              <w:t>废包装材料</w:t>
            </w:r>
          </w:p>
          <w:p w14:paraId="635EDE20">
            <w:pPr>
              <w:spacing w:line="360" w:lineRule="auto"/>
              <w:ind w:firstLine="480" w:firstLineChars="200"/>
              <w:rPr>
                <w:bCs/>
                <w:color w:val="auto"/>
                <w:kern w:val="0"/>
                <w:sz w:val="24"/>
                <w:szCs w:val="20"/>
              </w:rPr>
            </w:pPr>
            <w:r>
              <w:rPr>
                <w:rFonts w:hint="eastAsia"/>
                <w:bCs/>
                <w:color w:val="auto"/>
                <w:kern w:val="0"/>
                <w:sz w:val="24"/>
                <w:szCs w:val="20"/>
              </w:rPr>
              <w:t>本项目原料拆卸原辅料过程中（未沾染原辅料）产生废包装材料主要为纸箱纸盒，产生量约为0.02t/a，属于一般工业固废，产生后随生活垃圾直接由环卫工人回收处置，不在厂区暂存</w:t>
            </w:r>
            <w:r>
              <w:rPr>
                <w:bCs/>
                <w:color w:val="auto"/>
                <w:kern w:val="0"/>
                <w:sz w:val="24"/>
                <w:szCs w:val="20"/>
              </w:rPr>
              <w:t>。根据《固体废物分类与代码</w:t>
            </w:r>
            <w:r>
              <w:rPr>
                <w:rFonts w:hint="eastAsia"/>
                <w:bCs/>
                <w:color w:val="auto"/>
                <w:kern w:val="0"/>
                <w:sz w:val="24"/>
                <w:szCs w:val="20"/>
              </w:rPr>
              <w:t>目录</w:t>
            </w:r>
            <w:r>
              <w:rPr>
                <w:bCs/>
                <w:color w:val="auto"/>
                <w:kern w:val="0"/>
                <w:sz w:val="24"/>
                <w:szCs w:val="20"/>
              </w:rPr>
              <w:t>》（生态环境部公告2024年第4号），属于</w:t>
            </w:r>
            <w:r>
              <w:rPr>
                <w:rFonts w:hint="eastAsia"/>
                <w:bCs/>
                <w:color w:val="auto"/>
                <w:kern w:val="0"/>
                <w:sz w:val="24"/>
                <w:szCs w:val="20"/>
              </w:rPr>
              <w:t>SW17可再生类废物</w:t>
            </w:r>
            <w:r>
              <w:rPr>
                <w:bCs/>
                <w:color w:val="auto"/>
                <w:kern w:val="0"/>
                <w:sz w:val="24"/>
                <w:szCs w:val="20"/>
              </w:rPr>
              <w:t>，代码为</w:t>
            </w:r>
            <w:r>
              <w:rPr>
                <w:rFonts w:hint="eastAsia"/>
                <w:bCs/>
                <w:color w:val="auto"/>
                <w:kern w:val="0"/>
                <w:sz w:val="24"/>
                <w:szCs w:val="20"/>
              </w:rPr>
              <w:t>900-005-S17废纸</w:t>
            </w:r>
            <w:r>
              <w:rPr>
                <w:bCs/>
                <w:color w:val="auto"/>
                <w:kern w:val="0"/>
                <w:sz w:val="24"/>
                <w:szCs w:val="20"/>
              </w:rPr>
              <w:t>。</w:t>
            </w:r>
          </w:p>
          <w:p w14:paraId="497C5AAD">
            <w:pPr>
              <w:spacing w:line="360" w:lineRule="auto"/>
              <w:ind w:firstLine="480" w:firstLineChars="200"/>
              <w:rPr>
                <w:bCs/>
                <w:color w:val="auto"/>
                <w:kern w:val="0"/>
                <w:sz w:val="24"/>
                <w:szCs w:val="20"/>
              </w:rPr>
            </w:pPr>
            <w:r>
              <w:rPr>
                <w:rFonts w:hint="eastAsia"/>
                <w:bCs/>
                <w:color w:val="auto"/>
                <w:kern w:val="0"/>
                <w:sz w:val="24"/>
                <w:szCs w:val="20"/>
              </w:rPr>
              <w:t>8）生活垃圾</w:t>
            </w:r>
          </w:p>
          <w:p w14:paraId="42AF6BA6">
            <w:pPr>
              <w:spacing w:line="360" w:lineRule="auto"/>
              <w:ind w:firstLine="480" w:firstLineChars="200"/>
              <w:rPr>
                <w:bCs/>
                <w:color w:val="auto"/>
                <w:kern w:val="0"/>
                <w:sz w:val="24"/>
                <w:szCs w:val="20"/>
              </w:rPr>
            </w:pPr>
            <w:r>
              <w:rPr>
                <w:rFonts w:hint="eastAsia"/>
                <w:bCs/>
                <w:color w:val="auto"/>
                <w:kern w:val="0"/>
                <w:sz w:val="24"/>
                <w:szCs w:val="20"/>
              </w:rPr>
              <w:t>本项目劳动定员5人，生活垃圾产生量为0.6t/a，废物类别SW65，废物代码900-099-S64，委托环卫部门统一处置。</w:t>
            </w:r>
          </w:p>
          <w:p w14:paraId="5EC1A01C">
            <w:pPr>
              <w:spacing w:line="360" w:lineRule="auto"/>
              <w:ind w:firstLine="480" w:firstLineChars="200"/>
              <w:rPr>
                <w:color w:val="auto"/>
                <w:kern w:val="0"/>
                <w:sz w:val="24"/>
                <w:szCs w:val="20"/>
              </w:rPr>
            </w:pPr>
            <w:r>
              <w:rPr>
                <w:bCs/>
                <w:color w:val="auto"/>
                <w:kern w:val="0"/>
                <w:sz w:val="24"/>
                <w:szCs w:val="20"/>
              </w:rPr>
              <w:t>本项目各类固废产生量及利用处置方式见表</w:t>
            </w:r>
            <w:r>
              <w:rPr>
                <w:rFonts w:hint="eastAsia"/>
                <w:bCs/>
                <w:color w:val="auto"/>
                <w:kern w:val="0"/>
                <w:sz w:val="24"/>
                <w:szCs w:val="20"/>
              </w:rPr>
              <w:t>4-1</w:t>
            </w:r>
            <w:r>
              <w:rPr>
                <w:rFonts w:hint="eastAsia"/>
                <w:bCs/>
                <w:color w:val="auto"/>
                <w:kern w:val="0"/>
                <w:sz w:val="24"/>
                <w:szCs w:val="20"/>
                <w:lang w:val="en-US" w:eastAsia="zh-CN"/>
              </w:rPr>
              <w:t>5</w:t>
            </w:r>
            <w:r>
              <w:rPr>
                <w:bCs/>
                <w:color w:val="auto"/>
                <w:kern w:val="0"/>
                <w:sz w:val="24"/>
                <w:szCs w:val="20"/>
              </w:rPr>
              <w:t>。</w:t>
            </w:r>
          </w:p>
          <w:p w14:paraId="45284616">
            <w:pPr>
              <w:jc w:val="center"/>
              <w:rPr>
                <w:b/>
                <w:bCs/>
                <w:color w:val="auto"/>
                <w:kern w:val="0"/>
                <w:szCs w:val="21"/>
              </w:rPr>
            </w:pPr>
            <w:r>
              <w:rPr>
                <w:b/>
                <w:bCs/>
                <w:color w:val="auto"/>
                <w:kern w:val="0"/>
                <w:szCs w:val="21"/>
              </w:rPr>
              <w:t>表</w:t>
            </w:r>
            <w:r>
              <w:rPr>
                <w:rFonts w:hint="eastAsia"/>
                <w:b/>
                <w:bCs/>
                <w:color w:val="auto"/>
                <w:kern w:val="0"/>
                <w:szCs w:val="21"/>
              </w:rPr>
              <w:t>4-1</w:t>
            </w:r>
            <w:r>
              <w:rPr>
                <w:rFonts w:hint="eastAsia"/>
                <w:b/>
                <w:bCs/>
                <w:color w:val="auto"/>
                <w:kern w:val="0"/>
                <w:szCs w:val="21"/>
                <w:lang w:val="en-US" w:eastAsia="zh-CN"/>
              </w:rPr>
              <w:t>5</w:t>
            </w:r>
            <w:r>
              <w:rPr>
                <w:rFonts w:hint="eastAsia"/>
                <w:b/>
                <w:bCs/>
                <w:color w:val="auto"/>
                <w:kern w:val="0"/>
                <w:szCs w:val="21"/>
              </w:rPr>
              <w:t xml:space="preserve">   </w:t>
            </w:r>
            <w:r>
              <w:rPr>
                <w:b/>
                <w:bCs/>
                <w:color w:val="auto"/>
                <w:kern w:val="0"/>
                <w:szCs w:val="21"/>
              </w:rPr>
              <w:t>固体废物产生量及利用处置方式</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25"/>
              <w:gridCol w:w="659"/>
              <w:gridCol w:w="759"/>
              <w:gridCol w:w="741"/>
              <w:gridCol w:w="709"/>
              <w:gridCol w:w="1381"/>
              <w:gridCol w:w="709"/>
              <w:gridCol w:w="1044"/>
              <w:gridCol w:w="1044"/>
              <w:gridCol w:w="1001"/>
            </w:tblGrid>
            <w:tr w14:paraId="086B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94" w:type="pct"/>
                  <w:vAlign w:val="center"/>
                </w:tcPr>
                <w:p w14:paraId="351593C2">
                  <w:pPr>
                    <w:adjustRightInd w:val="0"/>
                    <w:snapToGrid w:val="0"/>
                    <w:jc w:val="center"/>
                    <w:textAlignment w:val="center"/>
                    <w:rPr>
                      <w:color w:val="auto"/>
                      <w:szCs w:val="21"/>
                    </w:rPr>
                  </w:pPr>
                  <w:r>
                    <w:rPr>
                      <w:color w:val="auto"/>
                      <w:szCs w:val="21"/>
                    </w:rPr>
                    <w:t>序号</w:t>
                  </w:r>
                </w:p>
              </w:tc>
              <w:tc>
                <w:tcPr>
                  <w:tcW w:w="393" w:type="pct"/>
                  <w:vAlign w:val="center"/>
                </w:tcPr>
                <w:p w14:paraId="17D2442F">
                  <w:pPr>
                    <w:adjustRightInd w:val="0"/>
                    <w:snapToGrid w:val="0"/>
                    <w:jc w:val="center"/>
                    <w:textAlignment w:val="center"/>
                    <w:rPr>
                      <w:color w:val="auto"/>
                      <w:szCs w:val="21"/>
                    </w:rPr>
                  </w:pPr>
                  <w:r>
                    <w:rPr>
                      <w:color w:val="auto"/>
                      <w:szCs w:val="21"/>
                    </w:rPr>
                    <w:t>产生环节</w:t>
                  </w:r>
                </w:p>
              </w:tc>
              <w:tc>
                <w:tcPr>
                  <w:tcW w:w="453" w:type="pct"/>
                  <w:vAlign w:val="center"/>
                </w:tcPr>
                <w:p w14:paraId="788E7638">
                  <w:pPr>
                    <w:adjustRightInd w:val="0"/>
                    <w:snapToGrid w:val="0"/>
                    <w:jc w:val="center"/>
                    <w:textAlignment w:val="center"/>
                    <w:rPr>
                      <w:color w:val="auto"/>
                      <w:szCs w:val="21"/>
                    </w:rPr>
                  </w:pPr>
                  <w:r>
                    <w:rPr>
                      <w:color w:val="auto"/>
                      <w:szCs w:val="21"/>
                    </w:rPr>
                    <w:t>名称</w:t>
                  </w:r>
                </w:p>
              </w:tc>
              <w:tc>
                <w:tcPr>
                  <w:tcW w:w="442" w:type="pct"/>
                  <w:vAlign w:val="center"/>
                </w:tcPr>
                <w:p w14:paraId="0C5A3690">
                  <w:pPr>
                    <w:adjustRightInd w:val="0"/>
                    <w:snapToGrid w:val="0"/>
                    <w:jc w:val="center"/>
                    <w:textAlignment w:val="center"/>
                    <w:rPr>
                      <w:color w:val="auto"/>
                      <w:szCs w:val="21"/>
                    </w:rPr>
                  </w:pPr>
                  <w:r>
                    <w:rPr>
                      <w:color w:val="auto"/>
                      <w:szCs w:val="21"/>
                    </w:rPr>
                    <w:t>产生量</w:t>
                  </w:r>
                </w:p>
              </w:tc>
              <w:tc>
                <w:tcPr>
                  <w:tcW w:w="423" w:type="pct"/>
                  <w:vAlign w:val="center"/>
                </w:tcPr>
                <w:p w14:paraId="7BEBDB4C">
                  <w:pPr>
                    <w:adjustRightInd w:val="0"/>
                    <w:snapToGrid w:val="0"/>
                    <w:jc w:val="center"/>
                    <w:textAlignment w:val="center"/>
                    <w:rPr>
                      <w:color w:val="auto"/>
                      <w:szCs w:val="21"/>
                    </w:rPr>
                  </w:pPr>
                  <w:r>
                    <w:rPr>
                      <w:color w:val="auto"/>
                      <w:szCs w:val="21"/>
                    </w:rPr>
                    <w:t>属性</w:t>
                  </w:r>
                </w:p>
              </w:tc>
              <w:tc>
                <w:tcPr>
                  <w:tcW w:w="824" w:type="pct"/>
                  <w:vAlign w:val="center"/>
                </w:tcPr>
                <w:p w14:paraId="2248DA2A">
                  <w:pPr>
                    <w:adjustRightInd w:val="0"/>
                    <w:snapToGrid w:val="0"/>
                    <w:jc w:val="center"/>
                    <w:textAlignment w:val="center"/>
                    <w:rPr>
                      <w:color w:val="auto"/>
                      <w:szCs w:val="21"/>
                    </w:rPr>
                  </w:pPr>
                  <w:r>
                    <w:rPr>
                      <w:color w:val="auto"/>
                      <w:szCs w:val="21"/>
                    </w:rPr>
                    <w:t>废物代码</w:t>
                  </w:r>
                </w:p>
              </w:tc>
              <w:tc>
                <w:tcPr>
                  <w:tcW w:w="423" w:type="pct"/>
                  <w:vAlign w:val="center"/>
                </w:tcPr>
                <w:p w14:paraId="5FE631EE">
                  <w:pPr>
                    <w:widowControl/>
                    <w:adjustRightInd w:val="0"/>
                    <w:snapToGrid w:val="0"/>
                    <w:jc w:val="center"/>
                    <w:rPr>
                      <w:color w:val="auto"/>
                      <w:kern w:val="0"/>
                      <w:szCs w:val="21"/>
                      <w:lang w:bidi="ar"/>
                    </w:rPr>
                  </w:pPr>
                  <w:r>
                    <w:rPr>
                      <w:rFonts w:hint="eastAsia"/>
                      <w:color w:val="auto"/>
                      <w:kern w:val="0"/>
                      <w:szCs w:val="21"/>
                      <w:lang w:bidi="ar"/>
                    </w:rPr>
                    <w:t>物理性状</w:t>
                  </w:r>
                </w:p>
              </w:tc>
              <w:tc>
                <w:tcPr>
                  <w:tcW w:w="623" w:type="pct"/>
                  <w:vAlign w:val="center"/>
                </w:tcPr>
                <w:p w14:paraId="1D166BE7">
                  <w:pPr>
                    <w:widowControl/>
                    <w:adjustRightInd w:val="0"/>
                    <w:snapToGrid w:val="0"/>
                    <w:jc w:val="center"/>
                    <w:rPr>
                      <w:color w:val="auto"/>
                      <w:szCs w:val="21"/>
                    </w:rPr>
                  </w:pPr>
                  <w:r>
                    <w:rPr>
                      <w:rFonts w:hint="eastAsia"/>
                      <w:color w:val="auto"/>
                      <w:kern w:val="0"/>
                      <w:szCs w:val="21"/>
                      <w:lang w:bidi="ar"/>
                    </w:rPr>
                    <w:t>有害</w:t>
                  </w:r>
                  <w:r>
                    <w:rPr>
                      <w:color w:val="auto"/>
                      <w:kern w:val="0"/>
                      <w:szCs w:val="21"/>
                      <w:lang w:bidi="ar"/>
                    </w:rPr>
                    <w:t>成分</w:t>
                  </w:r>
                </w:p>
              </w:tc>
              <w:tc>
                <w:tcPr>
                  <w:tcW w:w="623" w:type="pct"/>
                  <w:vAlign w:val="center"/>
                </w:tcPr>
                <w:p w14:paraId="00363ABD">
                  <w:pPr>
                    <w:widowControl/>
                    <w:adjustRightInd w:val="0"/>
                    <w:snapToGrid w:val="0"/>
                    <w:jc w:val="center"/>
                    <w:rPr>
                      <w:color w:val="auto"/>
                      <w:kern w:val="0"/>
                      <w:szCs w:val="21"/>
                      <w:lang w:bidi="ar"/>
                    </w:rPr>
                  </w:pPr>
                  <w:r>
                    <w:rPr>
                      <w:rFonts w:hint="eastAsia"/>
                      <w:color w:val="auto"/>
                      <w:kern w:val="0"/>
                      <w:szCs w:val="21"/>
                      <w:lang w:bidi="ar"/>
                    </w:rPr>
                    <w:t>危险特性</w:t>
                  </w:r>
                </w:p>
              </w:tc>
              <w:tc>
                <w:tcPr>
                  <w:tcW w:w="597" w:type="pct"/>
                  <w:vAlign w:val="center"/>
                </w:tcPr>
                <w:p w14:paraId="3B781284">
                  <w:pPr>
                    <w:adjustRightInd w:val="0"/>
                    <w:snapToGrid w:val="0"/>
                    <w:jc w:val="center"/>
                    <w:textAlignment w:val="center"/>
                    <w:rPr>
                      <w:color w:val="auto"/>
                      <w:szCs w:val="21"/>
                    </w:rPr>
                  </w:pPr>
                  <w:r>
                    <w:rPr>
                      <w:color w:val="auto"/>
                      <w:szCs w:val="21"/>
                    </w:rPr>
                    <w:t>收集处置情况</w:t>
                  </w:r>
                </w:p>
              </w:tc>
            </w:tr>
            <w:tr w14:paraId="1B1E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94" w:type="pct"/>
                  <w:vAlign w:val="center"/>
                </w:tcPr>
                <w:p w14:paraId="136D5FF2">
                  <w:pPr>
                    <w:adjustRightInd w:val="0"/>
                    <w:snapToGrid w:val="0"/>
                    <w:jc w:val="center"/>
                    <w:rPr>
                      <w:color w:val="auto"/>
                      <w:szCs w:val="21"/>
                    </w:rPr>
                  </w:pPr>
                  <w:r>
                    <w:rPr>
                      <w:color w:val="auto"/>
                      <w:szCs w:val="21"/>
                    </w:rPr>
                    <w:t>1</w:t>
                  </w:r>
                </w:p>
              </w:tc>
              <w:tc>
                <w:tcPr>
                  <w:tcW w:w="393" w:type="pct"/>
                  <w:vMerge w:val="restart"/>
                  <w:vAlign w:val="center"/>
                </w:tcPr>
                <w:p w14:paraId="6606743E">
                  <w:pPr>
                    <w:widowControl/>
                    <w:adjustRightInd w:val="0"/>
                    <w:snapToGrid w:val="0"/>
                    <w:jc w:val="center"/>
                    <w:rPr>
                      <w:color w:val="auto"/>
                      <w:szCs w:val="21"/>
                    </w:rPr>
                  </w:pPr>
                  <w:r>
                    <w:rPr>
                      <w:rFonts w:hint="eastAsia"/>
                      <w:color w:val="auto"/>
                      <w:szCs w:val="21"/>
                    </w:rPr>
                    <w:t>实验、检验</w:t>
                  </w:r>
                </w:p>
              </w:tc>
              <w:tc>
                <w:tcPr>
                  <w:tcW w:w="453" w:type="pct"/>
                  <w:vAlign w:val="center"/>
                </w:tcPr>
                <w:p w14:paraId="20A66A9B">
                  <w:pPr>
                    <w:widowControl/>
                    <w:adjustRightInd w:val="0"/>
                    <w:snapToGrid w:val="0"/>
                    <w:jc w:val="center"/>
                    <w:rPr>
                      <w:color w:val="auto"/>
                      <w:szCs w:val="21"/>
                    </w:rPr>
                  </w:pPr>
                  <w:r>
                    <w:rPr>
                      <w:color w:val="auto"/>
                      <w:szCs w:val="21"/>
                    </w:rPr>
                    <w:t>废试剂瓶</w:t>
                  </w:r>
                  <w:r>
                    <w:rPr>
                      <w:rFonts w:hint="eastAsia"/>
                      <w:color w:val="auto"/>
                      <w:szCs w:val="21"/>
                    </w:rPr>
                    <w:t>、玻璃器皿</w:t>
                  </w:r>
                </w:p>
              </w:tc>
              <w:tc>
                <w:tcPr>
                  <w:tcW w:w="442" w:type="pct"/>
                  <w:vAlign w:val="center"/>
                </w:tcPr>
                <w:p w14:paraId="2B548E5B">
                  <w:pPr>
                    <w:widowControl/>
                    <w:adjustRightInd w:val="0"/>
                    <w:snapToGrid w:val="0"/>
                    <w:jc w:val="center"/>
                    <w:rPr>
                      <w:color w:val="auto"/>
                      <w:szCs w:val="21"/>
                    </w:rPr>
                  </w:pPr>
                  <w:r>
                    <w:rPr>
                      <w:rFonts w:hint="eastAsia"/>
                      <w:color w:val="auto"/>
                      <w:szCs w:val="21"/>
                    </w:rPr>
                    <w:t>0.05t/a</w:t>
                  </w:r>
                </w:p>
              </w:tc>
              <w:tc>
                <w:tcPr>
                  <w:tcW w:w="423" w:type="pct"/>
                  <w:vMerge w:val="restart"/>
                  <w:vAlign w:val="center"/>
                </w:tcPr>
                <w:p w14:paraId="65E60EED">
                  <w:pPr>
                    <w:widowControl/>
                    <w:adjustRightInd w:val="0"/>
                    <w:snapToGrid w:val="0"/>
                    <w:jc w:val="center"/>
                    <w:rPr>
                      <w:color w:val="auto"/>
                      <w:kern w:val="0"/>
                      <w:szCs w:val="21"/>
                      <w:lang w:bidi="ar"/>
                    </w:rPr>
                  </w:pPr>
                  <w:r>
                    <w:rPr>
                      <w:rFonts w:hint="eastAsia"/>
                      <w:color w:val="auto"/>
                      <w:kern w:val="0"/>
                      <w:szCs w:val="21"/>
                      <w:lang w:bidi="ar"/>
                    </w:rPr>
                    <w:t>危险废物</w:t>
                  </w:r>
                </w:p>
              </w:tc>
              <w:tc>
                <w:tcPr>
                  <w:tcW w:w="824" w:type="pct"/>
                  <w:vAlign w:val="center"/>
                </w:tcPr>
                <w:p w14:paraId="45D77A15">
                  <w:pPr>
                    <w:adjustRightInd w:val="0"/>
                    <w:snapToGrid w:val="0"/>
                    <w:jc w:val="center"/>
                    <w:textAlignment w:val="center"/>
                    <w:rPr>
                      <w:color w:val="auto"/>
                      <w:szCs w:val="21"/>
                    </w:rPr>
                  </w:pPr>
                  <w:r>
                    <w:rPr>
                      <w:rFonts w:hint="eastAsia"/>
                      <w:color w:val="auto"/>
                      <w:szCs w:val="21"/>
                    </w:rPr>
                    <w:t>HW49 900-047-49</w:t>
                  </w:r>
                </w:p>
              </w:tc>
              <w:tc>
                <w:tcPr>
                  <w:tcW w:w="423" w:type="pct"/>
                  <w:vAlign w:val="center"/>
                </w:tcPr>
                <w:p w14:paraId="76734540">
                  <w:pPr>
                    <w:widowControl/>
                    <w:adjustRightInd w:val="0"/>
                    <w:snapToGrid w:val="0"/>
                    <w:jc w:val="center"/>
                    <w:rPr>
                      <w:color w:val="auto"/>
                      <w:kern w:val="0"/>
                      <w:szCs w:val="21"/>
                      <w:lang w:bidi="ar"/>
                    </w:rPr>
                  </w:pPr>
                  <w:r>
                    <w:rPr>
                      <w:rFonts w:hint="eastAsia"/>
                      <w:color w:val="auto"/>
                      <w:kern w:val="0"/>
                      <w:szCs w:val="21"/>
                      <w:lang w:bidi="ar"/>
                    </w:rPr>
                    <w:t>固态</w:t>
                  </w:r>
                </w:p>
              </w:tc>
              <w:tc>
                <w:tcPr>
                  <w:tcW w:w="623" w:type="pct"/>
                  <w:vAlign w:val="center"/>
                </w:tcPr>
                <w:p w14:paraId="3F34AF59">
                  <w:pPr>
                    <w:widowControl/>
                    <w:adjustRightInd w:val="0"/>
                    <w:snapToGrid w:val="0"/>
                    <w:jc w:val="center"/>
                    <w:rPr>
                      <w:color w:val="auto"/>
                      <w:kern w:val="0"/>
                      <w:szCs w:val="21"/>
                      <w:lang w:bidi="ar"/>
                    </w:rPr>
                  </w:pPr>
                  <w:r>
                    <w:rPr>
                      <w:rFonts w:hint="eastAsia"/>
                      <w:color w:val="auto"/>
                      <w:kern w:val="0"/>
                      <w:szCs w:val="21"/>
                      <w:lang w:bidi="ar"/>
                    </w:rPr>
                    <w:t>化学试剂</w:t>
                  </w:r>
                </w:p>
              </w:tc>
              <w:tc>
                <w:tcPr>
                  <w:tcW w:w="623" w:type="pct"/>
                  <w:vAlign w:val="center"/>
                </w:tcPr>
                <w:p w14:paraId="6337AFFD">
                  <w:pPr>
                    <w:widowControl/>
                    <w:adjustRightInd w:val="0"/>
                    <w:snapToGrid w:val="0"/>
                    <w:jc w:val="center"/>
                    <w:rPr>
                      <w:color w:val="auto"/>
                      <w:kern w:val="0"/>
                      <w:szCs w:val="21"/>
                      <w:lang w:bidi="ar"/>
                    </w:rPr>
                  </w:pPr>
                  <w:r>
                    <w:rPr>
                      <w:rFonts w:hint="eastAsia"/>
                      <w:color w:val="auto"/>
                      <w:kern w:val="0"/>
                      <w:szCs w:val="21"/>
                      <w:lang w:bidi="ar"/>
                    </w:rPr>
                    <w:t>T/C/I/R</w:t>
                  </w:r>
                </w:p>
              </w:tc>
              <w:tc>
                <w:tcPr>
                  <w:tcW w:w="597" w:type="pct"/>
                  <w:vMerge w:val="restart"/>
                  <w:vAlign w:val="center"/>
                </w:tcPr>
                <w:p w14:paraId="6A6761C3">
                  <w:pPr>
                    <w:widowControl/>
                    <w:adjustRightInd w:val="0"/>
                    <w:snapToGrid w:val="0"/>
                    <w:jc w:val="center"/>
                    <w:rPr>
                      <w:color w:val="auto"/>
                      <w:kern w:val="0"/>
                      <w:szCs w:val="21"/>
                      <w:lang w:bidi="ar"/>
                    </w:rPr>
                  </w:pPr>
                  <w:r>
                    <w:rPr>
                      <w:rFonts w:hint="eastAsia"/>
                      <w:color w:val="auto"/>
                      <w:kern w:val="0"/>
                      <w:szCs w:val="21"/>
                      <w:lang w:bidi="ar"/>
                    </w:rPr>
                    <w:t>暂存</w:t>
                  </w:r>
                  <w:r>
                    <w:rPr>
                      <w:rFonts w:hint="eastAsia"/>
                      <w:color w:val="auto"/>
                      <w:kern w:val="0"/>
                      <w:szCs w:val="21"/>
                      <w:lang w:eastAsia="zh-CN" w:bidi="ar"/>
                    </w:rPr>
                    <w:t>危废贮存库</w:t>
                  </w:r>
                  <w:r>
                    <w:rPr>
                      <w:rFonts w:hint="eastAsia"/>
                      <w:color w:val="auto"/>
                      <w:kern w:val="0"/>
                      <w:szCs w:val="21"/>
                      <w:lang w:bidi="ar"/>
                    </w:rPr>
                    <w:t>交由有资质单位处置</w:t>
                  </w:r>
                </w:p>
              </w:tc>
            </w:tr>
            <w:tr w14:paraId="2611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94" w:type="pct"/>
                  <w:vAlign w:val="center"/>
                </w:tcPr>
                <w:p w14:paraId="77B2378C">
                  <w:pPr>
                    <w:adjustRightInd w:val="0"/>
                    <w:snapToGrid w:val="0"/>
                    <w:jc w:val="center"/>
                    <w:rPr>
                      <w:color w:val="auto"/>
                      <w:szCs w:val="21"/>
                    </w:rPr>
                  </w:pPr>
                  <w:r>
                    <w:rPr>
                      <w:color w:val="auto"/>
                      <w:szCs w:val="21"/>
                    </w:rPr>
                    <w:t>2</w:t>
                  </w:r>
                </w:p>
              </w:tc>
              <w:tc>
                <w:tcPr>
                  <w:tcW w:w="393" w:type="pct"/>
                  <w:vMerge w:val="continue"/>
                  <w:vAlign w:val="center"/>
                </w:tcPr>
                <w:p w14:paraId="0B09FB29">
                  <w:pPr>
                    <w:widowControl/>
                    <w:adjustRightInd w:val="0"/>
                    <w:snapToGrid w:val="0"/>
                    <w:jc w:val="center"/>
                    <w:rPr>
                      <w:color w:val="auto"/>
                      <w:szCs w:val="21"/>
                    </w:rPr>
                  </w:pPr>
                </w:p>
              </w:tc>
              <w:tc>
                <w:tcPr>
                  <w:tcW w:w="453" w:type="pct"/>
                  <w:vAlign w:val="center"/>
                </w:tcPr>
                <w:p w14:paraId="18F50CC5">
                  <w:pPr>
                    <w:widowControl/>
                    <w:adjustRightInd w:val="0"/>
                    <w:snapToGrid w:val="0"/>
                    <w:jc w:val="center"/>
                    <w:rPr>
                      <w:color w:val="auto"/>
                      <w:szCs w:val="21"/>
                    </w:rPr>
                  </w:pPr>
                  <w:r>
                    <w:rPr>
                      <w:rFonts w:hint="eastAsia"/>
                      <w:color w:val="auto"/>
                      <w:szCs w:val="21"/>
                    </w:rPr>
                    <w:t>实验室废液</w:t>
                  </w:r>
                </w:p>
              </w:tc>
              <w:tc>
                <w:tcPr>
                  <w:tcW w:w="442" w:type="pct"/>
                  <w:vAlign w:val="center"/>
                </w:tcPr>
                <w:p w14:paraId="0BF78FE0">
                  <w:pPr>
                    <w:widowControl/>
                    <w:adjustRightInd w:val="0"/>
                    <w:snapToGrid w:val="0"/>
                    <w:jc w:val="center"/>
                    <w:rPr>
                      <w:color w:val="auto"/>
                      <w:szCs w:val="21"/>
                    </w:rPr>
                  </w:pPr>
                  <w:r>
                    <w:rPr>
                      <w:rFonts w:hint="eastAsia"/>
                      <w:color w:val="auto"/>
                      <w:szCs w:val="21"/>
                    </w:rPr>
                    <w:t>0.8t/a</w:t>
                  </w:r>
                </w:p>
              </w:tc>
              <w:tc>
                <w:tcPr>
                  <w:tcW w:w="423" w:type="pct"/>
                  <w:vMerge w:val="continue"/>
                  <w:vAlign w:val="center"/>
                </w:tcPr>
                <w:p w14:paraId="33574198">
                  <w:pPr>
                    <w:widowControl/>
                    <w:adjustRightInd w:val="0"/>
                    <w:snapToGrid w:val="0"/>
                    <w:jc w:val="center"/>
                    <w:rPr>
                      <w:color w:val="auto"/>
                      <w:kern w:val="0"/>
                      <w:szCs w:val="21"/>
                      <w:lang w:bidi="ar"/>
                    </w:rPr>
                  </w:pPr>
                </w:p>
              </w:tc>
              <w:tc>
                <w:tcPr>
                  <w:tcW w:w="824" w:type="pct"/>
                  <w:vAlign w:val="center"/>
                </w:tcPr>
                <w:p w14:paraId="357C270E">
                  <w:pPr>
                    <w:adjustRightInd w:val="0"/>
                    <w:snapToGrid w:val="0"/>
                    <w:jc w:val="center"/>
                    <w:textAlignment w:val="center"/>
                    <w:rPr>
                      <w:color w:val="auto"/>
                      <w:szCs w:val="21"/>
                    </w:rPr>
                  </w:pPr>
                  <w:r>
                    <w:rPr>
                      <w:rFonts w:hint="eastAsia"/>
                      <w:color w:val="auto"/>
                      <w:szCs w:val="21"/>
                    </w:rPr>
                    <w:t>HW49 900-047-49</w:t>
                  </w:r>
                </w:p>
              </w:tc>
              <w:tc>
                <w:tcPr>
                  <w:tcW w:w="423" w:type="pct"/>
                  <w:vAlign w:val="center"/>
                </w:tcPr>
                <w:p w14:paraId="76F31ED2">
                  <w:pPr>
                    <w:widowControl/>
                    <w:adjustRightInd w:val="0"/>
                    <w:snapToGrid w:val="0"/>
                    <w:jc w:val="center"/>
                    <w:rPr>
                      <w:color w:val="auto"/>
                      <w:kern w:val="0"/>
                      <w:szCs w:val="21"/>
                      <w:lang w:bidi="ar"/>
                    </w:rPr>
                  </w:pPr>
                  <w:r>
                    <w:rPr>
                      <w:rFonts w:hint="eastAsia"/>
                      <w:color w:val="auto"/>
                      <w:kern w:val="0"/>
                      <w:szCs w:val="21"/>
                      <w:lang w:bidi="ar"/>
                    </w:rPr>
                    <w:t>液态</w:t>
                  </w:r>
                </w:p>
              </w:tc>
              <w:tc>
                <w:tcPr>
                  <w:tcW w:w="623" w:type="pct"/>
                  <w:vAlign w:val="center"/>
                </w:tcPr>
                <w:p w14:paraId="67F25D37">
                  <w:pPr>
                    <w:widowControl/>
                    <w:adjustRightInd w:val="0"/>
                    <w:snapToGrid w:val="0"/>
                    <w:jc w:val="center"/>
                    <w:rPr>
                      <w:color w:val="auto"/>
                      <w:kern w:val="0"/>
                      <w:szCs w:val="21"/>
                      <w:lang w:bidi="ar"/>
                    </w:rPr>
                  </w:pPr>
                  <w:r>
                    <w:rPr>
                      <w:rFonts w:hint="eastAsia"/>
                      <w:color w:val="auto"/>
                      <w:kern w:val="0"/>
                      <w:szCs w:val="21"/>
                      <w:lang w:bidi="ar"/>
                    </w:rPr>
                    <w:t>化学试剂</w:t>
                  </w:r>
                </w:p>
              </w:tc>
              <w:tc>
                <w:tcPr>
                  <w:tcW w:w="623" w:type="pct"/>
                  <w:vAlign w:val="center"/>
                </w:tcPr>
                <w:p w14:paraId="57EEFBCB">
                  <w:pPr>
                    <w:widowControl/>
                    <w:adjustRightInd w:val="0"/>
                    <w:snapToGrid w:val="0"/>
                    <w:jc w:val="center"/>
                    <w:rPr>
                      <w:color w:val="auto"/>
                      <w:kern w:val="0"/>
                      <w:szCs w:val="21"/>
                      <w:lang w:bidi="ar"/>
                    </w:rPr>
                  </w:pPr>
                  <w:r>
                    <w:rPr>
                      <w:rFonts w:hint="eastAsia"/>
                      <w:color w:val="auto"/>
                      <w:kern w:val="0"/>
                      <w:szCs w:val="21"/>
                      <w:lang w:bidi="ar"/>
                    </w:rPr>
                    <w:t>T/C/I/R</w:t>
                  </w:r>
                </w:p>
              </w:tc>
              <w:tc>
                <w:tcPr>
                  <w:tcW w:w="597" w:type="pct"/>
                  <w:vMerge w:val="continue"/>
                  <w:vAlign w:val="center"/>
                </w:tcPr>
                <w:p w14:paraId="063E7B68">
                  <w:pPr>
                    <w:widowControl/>
                    <w:adjustRightInd w:val="0"/>
                    <w:snapToGrid w:val="0"/>
                    <w:jc w:val="center"/>
                    <w:rPr>
                      <w:color w:val="auto"/>
                      <w:kern w:val="0"/>
                      <w:szCs w:val="21"/>
                      <w:lang w:bidi="ar"/>
                    </w:rPr>
                  </w:pPr>
                </w:p>
              </w:tc>
            </w:tr>
            <w:tr w14:paraId="55DB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94" w:type="pct"/>
                  <w:vAlign w:val="center"/>
                </w:tcPr>
                <w:p w14:paraId="75E278B2">
                  <w:pPr>
                    <w:adjustRightInd w:val="0"/>
                    <w:snapToGrid w:val="0"/>
                    <w:jc w:val="center"/>
                    <w:rPr>
                      <w:color w:val="auto"/>
                      <w:szCs w:val="21"/>
                    </w:rPr>
                  </w:pPr>
                  <w:r>
                    <w:rPr>
                      <w:color w:val="auto"/>
                      <w:szCs w:val="21"/>
                    </w:rPr>
                    <w:t>3</w:t>
                  </w:r>
                </w:p>
              </w:tc>
              <w:tc>
                <w:tcPr>
                  <w:tcW w:w="393" w:type="pct"/>
                  <w:vMerge w:val="continue"/>
                  <w:vAlign w:val="center"/>
                </w:tcPr>
                <w:p w14:paraId="0C3D34FC">
                  <w:pPr>
                    <w:widowControl/>
                    <w:adjustRightInd w:val="0"/>
                    <w:snapToGrid w:val="0"/>
                    <w:jc w:val="center"/>
                    <w:rPr>
                      <w:color w:val="auto"/>
                      <w:szCs w:val="21"/>
                    </w:rPr>
                  </w:pPr>
                </w:p>
              </w:tc>
              <w:tc>
                <w:tcPr>
                  <w:tcW w:w="453" w:type="pct"/>
                  <w:vAlign w:val="center"/>
                </w:tcPr>
                <w:p w14:paraId="232665D0">
                  <w:pPr>
                    <w:adjustRightInd w:val="0"/>
                    <w:snapToGrid w:val="0"/>
                    <w:jc w:val="center"/>
                    <w:rPr>
                      <w:color w:val="auto"/>
                      <w:szCs w:val="21"/>
                    </w:rPr>
                  </w:pPr>
                  <w:r>
                    <w:rPr>
                      <w:rFonts w:hint="eastAsia"/>
                      <w:color w:val="auto"/>
                      <w:szCs w:val="21"/>
                    </w:rPr>
                    <w:t>初洗废水</w:t>
                  </w:r>
                </w:p>
              </w:tc>
              <w:tc>
                <w:tcPr>
                  <w:tcW w:w="442" w:type="pct"/>
                  <w:vAlign w:val="center"/>
                </w:tcPr>
                <w:p w14:paraId="131CB43B">
                  <w:pPr>
                    <w:widowControl/>
                    <w:adjustRightInd w:val="0"/>
                    <w:snapToGrid w:val="0"/>
                    <w:jc w:val="center"/>
                    <w:rPr>
                      <w:color w:val="auto"/>
                      <w:szCs w:val="21"/>
                    </w:rPr>
                  </w:pPr>
                  <w:r>
                    <w:rPr>
                      <w:rFonts w:hint="eastAsia"/>
                      <w:color w:val="auto"/>
                      <w:szCs w:val="21"/>
                      <w:lang w:eastAsia="zh-CN"/>
                    </w:rPr>
                    <w:t>3.84</w:t>
                  </w:r>
                  <w:r>
                    <w:rPr>
                      <w:rFonts w:hint="eastAsia"/>
                      <w:color w:val="auto"/>
                      <w:szCs w:val="21"/>
                    </w:rPr>
                    <w:t>t/a</w:t>
                  </w:r>
                </w:p>
              </w:tc>
              <w:tc>
                <w:tcPr>
                  <w:tcW w:w="423" w:type="pct"/>
                  <w:vMerge w:val="continue"/>
                  <w:vAlign w:val="center"/>
                </w:tcPr>
                <w:p w14:paraId="4F3B02D7">
                  <w:pPr>
                    <w:widowControl/>
                    <w:adjustRightInd w:val="0"/>
                    <w:snapToGrid w:val="0"/>
                    <w:jc w:val="center"/>
                    <w:rPr>
                      <w:color w:val="auto"/>
                      <w:szCs w:val="21"/>
                    </w:rPr>
                  </w:pPr>
                </w:p>
              </w:tc>
              <w:tc>
                <w:tcPr>
                  <w:tcW w:w="824" w:type="pct"/>
                  <w:vAlign w:val="center"/>
                </w:tcPr>
                <w:p w14:paraId="25E8CFEB">
                  <w:pPr>
                    <w:adjustRightInd w:val="0"/>
                    <w:snapToGrid w:val="0"/>
                    <w:jc w:val="center"/>
                    <w:textAlignment w:val="center"/>
                    <w:rPr>
                      <w:color w:val="auto"/>
                      <w:szCs w:val="21"/>
                    </w:rPr>
                  </w:pPr>
                  <w:r>
                    <w:rPr>
                      <w:rFonts w:hint="eastAsia"/>
                      <w:color w:val="auto"/>
                      <w:szCs w:val="21"/>
                    </w:rPr>
                    <w:t>HW49 900-047-49</w:t>
                  </w:r>
                </w:p>
              </w:tc>
              <w:tc>
                <w:tcPr>
                  <w:tcW w:w="423" w:type="pct"/>
                  <w:vAlign w:val="center"/>
                </w:tcPr>
                <w:p w14:paraId="6F7D2DBB">
                  <w:pPr>
                    <w:widowControl/>
                    <w:adjustRightInd w:val="0"/>
                    <w:snapToGrid w:val="0"/>
                    <w:jc w:val="center"/>
                    <w:rPr>
                      <w:color w:val="auto"/>
                      <w:kern w:val="0"/>
                      <w:szCs w:val="21"/>
                      <w:lang w:bidi="ar"/>
                    </w:rPr>
                  </w:pPr>
                  <w:r>
                    <w:rPr>
                      <w:rFonts w:hint="eastAsia"/>
                      <w:color w:val="auto"/>
                      <w:kern w:val="0"/>
                      <w:szCs w:val="21"/>
                      <w:lang w:bidi="ar"/>
                    </w:rPr>
                    <w:t>液态</w:t>
                  </w:r>
                </w:p>
              </w:tc>
              <w:tc>
                <w:tcPr>
                  <w:tcW w:w="623" w:type="pct"/>
                  <w:vAlign w:val="center"/>
                </w:tcPr>
                <w:p w14:paraId="30504417">
                  <w:pPr>
                    <w:widowControl/>
                    <w:adjustRightInd w:val="0"/>
                    <w:snapToGrid w:val="0"/>
                    <w:jc w:val="center"/>
                    <w:rPr>
                      <w:color w:val="auto"/>
                      <w:szCs w:val="21"/>
                    </w:rPr>
                  </w:pPr>
                  <w:r>
                    <w:rPr>
                      <w:rFonts w:hint="eastAsia"/>
                      <w:color w:val="auto"/>
                      <w:kern w:val="0"/>
                      <w:szCs w:val="21"/>
                      <w:lang w:bidi="ar"/>
                    </w:rPr>
                    <w:t>化学试剂</w:t>
                  </w:r>
                </w:p>
              </w:tc>
              <w:tc>
                <w:tcPr>
                  <w:tcW w:w="623" w:type="pct"/>
                  <w:vAlign w:val="center"/>
                </w:tcPr>
                <w:p w14:paraId="1250E23A">
                  <w:pPr>
                    <w:widowControl/>
                    <w:adjustRightInd w:val="0"/>
                    <w:snapToGrid w:val="0"/>
                    <w:jc w:val="center"/>
                    <w:rPr>
                      <w:color w:val="auto"/>
                      <w:kern w:val="0"/>
                      <w:szCs w:val="21"/>
                      <w:lang w:bidi="ar"/>
                    </w:rPr>
                  </w:pPr>
                  <w:r>
                    <w:rPr>
                      <w:rFonts w:hint="eastAsia"/>
                      <w:color w:val="auto"/>
                      <w:kern w:val="0"/>
                      <w:szCs w:val="21"/>
                      <w:lang w:bidi="ar"/>
                    </w:rPr>
                    <w:t>T/C/I/R</w:t>
                  </w:r>
                </w:p>
              </w:tc>
              <w:tc>
                <w:tcPr>
                  <w:tcW w:w="597" w:type="pct"/>
                  <w:vMerge w:val="continue"/>
                  <w:vAlign w:val="center"/>
                </w:tcPr>
                <w:p w14:paraId="44038391">
                  <w:pPr>
                    <w:widowControl/>
                    <w:adjustRightInd w:val="0"/>
                    <w:snapToGrid w:val="0"/>
                    <w:jc w:val="center"/>
                    <w:rPr>
                      <w:color w:val="auto"/>
                      <w:szCs w:val="21"/>
                    </w:rPr>
                  </w:pPr>
                </w:p>
              </w:tc>
            </w:tr>
            <w:tr w14:paraId="2B0A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94" w:type="pct"/>
                  <w:vAlign w:val="center"/>
                </w:tcPr>
                <w:p w14:paraId="53E1FB78">
                  <w:pPr>
                    <w:adjustRightInd w:val="0"/>
                    <w:snapToGrid w:val="0"/>
                    <w:jc w:val="center"/>
                    <w:rPr>
                      <w:color w:val="auto"/>
                      <w:szCs w:val="21"/>
                    </w:rPr>
                  </w:pPr>
                  <w:r>
                    <w:rPr>
                      <w:color w:val="auto"/>
                      <w:szCs w:val="21"/>
                    </w:rPr>
                    <w:t>4</w:t>
                  </w:r>
                </w:p>
              </w:tc>
              <w:tc>
                <w:tcPr>
                  <w:tcW w:w="393" w:type="pct"/>
                  <w:vMerge w:val="continue"/>
                  <w:vAlign w:val="center"/>
                </w:tcPr>
                <w:p w14:paraId="1F7911EC">
                  <w:pPr>
                    <w:widowControl/>
                    <w:adjustRightInd w:val="0"/>
                    <w:snapToGrid w:val="0"/>
                    <w:jc w:val="center"/>
                    <w:rPr>
                      <w:color w:val="auto"/>
                      <w:szCs w:val="21"/>
                    </w:rPr>
                  </w:pPr>
                </w:p>
              </w:tc>
              <w:tc>
                <w:tcPr>
                  <w:tcW w:w="453" w:type="pct"/>
                  <w:vAlign w:val="center"/>
                </w:tcPr>
                <w:p w14:paraId="02B150B9">
                  <w:pPr>
                    <w:widowControl/>
                    <w:adjustRightInd w:val="0"/>
                    <w:snapToGrid w:val="0"/>
                    <w:jc w:val="center"/>
                    <w:rPr>
                      <w:color w:val="auto"/>
                      <w:szCs w:val="21"/>
                    </w:rPr>
                  </w:pPr>
                  <w:r>
                    <w:rPr>
                      <w:rFonts w:hint="eastAsia"/>
                      <w:color w:val="auto"/>
                      <w:szCs w:val="21"/>
                    </w:rPr>
                    <w:t>固态实验废物</w:t>
                  </w:r>
                </w:p>
              </w:tc>
              <w:tc>
                <w:tcPr>
                  <w:tcW w:w="442" w:type="pct"/>
                  <w:vAlign w:val="center"/>
                </w:tcPr>
                <w:p w14:paraId="67726F58">
                  <w:pPr>
                    <w:widowControl/>
                    <w:adjustRightInd w:val="0"/>
                    <w:snapToGrid w:val="0"/>
                    <w:jc w:val="center"/>
                    <w:rPr>
                      <w:color w:val="auto"/>
                      <w:szCs w:val="21"/>
                    </w:rPr>
                  </w:pPr>
                  <w:r>
                    <w:rPr>
                      <w:rFonts w:hint="eastAsia"/>
                      <w:color w:val="auto"/>
                      <w:szCs w:val="21"/>
                    </w:rPr>
                    <w:t>0.02t/a</w:t>
                  </w:r>
                </w:p>
              </w:tc>
              <w:tc>
                <w:tcPr>
                  <w:tcW w:w="423" w:type="pct"/>
                  <w:vMerge w:val="continue"/>
                  <w:vAlign w:val="center"/>
                </w:tcPr>
                <w:p w14:paraId="2C266E45">
                  <w:pPr>
                    <w:widowControl/>
                    <w:adjustRightInd w:val="0"/>
                    <w:snapToGrid w:val="0"/>
                    <w:jc w:val="center"/>
                    <w:rPr>
                      <w:color w:val="auto"/>
                      <w:szCs w:val="21"/>
                    </w:rPr>
                  </w:pPr>
                </w:p>
              </w:tc>
              <w:tc>
                <w:tcPr>
                  <w:tcW w:w="824" w:type="pct"/>
                  <w:vAlign w:val="center"/>
                </w:tcPr>
                <w:p w14:paraId="59611BBD">
                  <w:pPr>
                    <w:adjustRightInd w:val="0"/>
                    <w:snapToGrid w:val="0"/>
                    <w:jc w:val="center"/>
                    <w:textAlignment w:val="center"/>
                    <w:rPr>
                      <w:color w:val="auto"/>
                      <w:szCs w:val="21"/>
                    </w:rPr>
                  </w:pPr>
                  <w:r>
                    <w:rPr>
                      <w:rFonts w:hint="eastAsia"/>
                      <w:color w:val="auto"/>
                      <w:szCs w:val="21"/>
                    </w:rPr>
                    <w:t>HW49 900-047-49</w:t>
                  </w:r>
                </w:p>
              </w:tc>
              <w:tc>
                <w:tcPr>
                  <w:tcW w:w="423" w:type="pct"/>
                  <w:vAlign w:val="center"/>
                </w:tcPr>
                <w:p w14:paraId="7D721738">
                  <w:pPr>
                    <w:widowControl/>
                    <w:adjustRightInd w:val="0"/>
                    <w:snapToGrid w:val="0"/>
                    <w:jc w:val="center"/>
                    <w:rPr>
                      <w:color w:val="auto"/>
                      <w:szCs w:val="21"/>
                    </w:rPr>
                  </w:pPr>
                  <w:r>
                    <w:rPr>
                      <w:rFonts w:hint="eastAsia"/>
                      <w:color w:val="auto"/>
                      <w:kern w:val="0"/>
                      <w:szCs w:val="21"/>
                      <w:lang w:bidi="ar"/>
                    </w:rPr>
                    <w:t>固态</w:t>
                  </w:r>
                </w:p>
              </w:tc>
              <w:tc>
                <w:tcPr>
                  <w:tcW w:w="1044" w:type="dxa"/>
                  <w:vAlign w:val="center"/>
                </w:tcPr>
                <w:p w14:paraId="1CF1BF53">
                  <w:pPr>
                    <w:widowControl/>
                    <w:adjustRightInd w:val="0"/>
                    <w:snapToGrid w:val="0"/>
                    <w:jc w:val="center"/>
                    <w:rPr>
                      <w:color w:val="auto"/>
                      <w:szCs w:val="21"/>
                    </w:rPr>
                  </w:pPr>
                  <w:r>
                    <w:rPr>
                      <w:rFonts w:hint="eastAsia"/>
                      <w:color w:val="auto"/>
                      <w:kern w:val="0"/>
                      <w:szCs w:val="21"/>
                      <w:lang w:bidi="ar"/>
                    </w:rPr>
                    <w:t>化学试剂</w:t>
                  </w:r>
                </w:p>
              </w:tc>
              <w:tc>
                <w:tcPr>
                  <w:tcW w:w="1044" w:type="dxa"/>
                  <w:vAlign w:val="center"/>
                </w:tcPr>
                <w:p w14:paraId="01458FEC">
                  <w:pPr>
                    <w:widowControl/>
                    <w:adjustRightInd w:val="0"/>
                    <w:snapToGrid w:val="0"/>
                    <w:jc w:val="center"/>
                    <w:rPr>
                      <w:color w:val="auto"/>
                      <w:szCs w:val="21"/>
                    </w:rPr>
                  </w:pPr>
                  <w:r>
                    <w:rPr>
                      <w:rFonts w:hint="eastAsia"/>
                      <w:color w:val="auto"/>
                      <w:kern w:val="0"/>
                      <w:szCs w:val="21"/>
                      <w:lang w:bidi="ar"/>
                    </w:rPr>
                    <w:t>T/C/I/R</w:t>
                  </w:r>
                </w:p>
              </w:tc>
              <w:tc>
                <w:tcPr>
                  <w:tcW w:w="597" w:type="pct"/>
                  <w:vMerge w:val="continue"/>
                  <w:vAlign w:val="center"/>
                </w:tcPr>
                <w:p w14:paraId="64AF101F">
                  <w:pPr>
                    <w:widowControl/>
                    <w:adjustRightInd w:val="0"/>
                    <w:snapToGrid w:val="0"/>
                    <w:jc w:val="center"/>
                    <w:rPr>
                      <w:color w:val="auto"/>
                      <w:kern w:val="0"/>
                      <w:szCs w:val="21"/>
                      <w:lang w:bidi="ar"/>
                    </w:rPr>
                  </w:pPr>
                </w:p>
              </w:tc>
            </w:tr>
            <w:tr w14:paraId="26D3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94" w:type="pct"/>
                  <w:vAlign w:val="center"/>
                </w:tcPr>
                <w:p w14:paraId="4960895A">
                  <w:pPr>
                    <w:adjustRightInd w:val="0"/>
                    <w:snapToGrid w:val="0"/>
                    <w:jc w:val="center"/>
                    <w:rPr>
                      <w:color w:val="auto"/>
                      <w:szCs w:val="21"/>
                    </w:rPr>
                  </w:pPr>
                  <w:r>
                    <w:rPr>
                      <w:rFonts w:hint="eastAsia"/>
                      <w:color w:val="auto"/>
                      <w:szCs w:val="21"/>
                    </w:rPr>
                    <w:t>5</w:t>
                  </w:r>
                </w:p>
              </w:tc>
              <w:tc>
                <w:tcPr>
                  <w:tcW w:w="393" w:type="pct"/>
                  <w:vMerge w:val="continue"/>
                  <w:vAlign w:val="center"/>
                </w:tcPr>
                <w:p w14:paraId="17821D1C">
                  <w:pPr>
                    <w:widowControl/>
                    <w:adjustRightInd w:val="0"/>
                    <w:snapToGrid w:val="0"/>
                    <w:jc w:val="center"/>
                    <w:rPr>
                      <w:color w:val="auto"/>
                      <w:szCs w:val="21"/>
                    </w:rPr>
                  </w:pPr>
                </w:p>
              </w:tc>
              <w:tc>
                <w:tcPr>
                  <w:tcW w:w="453" w:type="pct"/>
                  <w:vAlign w:val="center"/>
                </w:tcPr>
                <w:p w14:paraId="75A385B9">
                  <w:pPr>
                    <w:widowControl/>
                    <w:adjustRightInd w:val="0"/>
                    <w:snapToGrid w:val="0"/>
                    <w:jc w:val="center"/>
                    <w:rPr>
                      <w:color w:val="auto"/>
                      <w:szCs w:val="21"/>
                    </w:rPr>
                  </w:pPr>
                  <w:r>
                    <w:rPr>
                      <w:rFonts w:hint="eastAsia"/>
                      <w:color w:val="auto"/>
                      <w:szCs w:val="21"/>
                    </w:rPr>
                    <w:t>废手套抹布</w:t>
                  </w:r>
                </w:p>
              </w:tc>
              <w:tc>
                <w:tcPr>
                  <w:tcW w:w="442" w:type="pct"/>
                  <w:vAlign w:val="center"/>
                </w:tcPr>
                <w:p w14:paraId="1D4E0026">
                  <w:pPr>
                    <w:widowControl/>
                    <w:adjustRightInd w:val="0"/>
                    <w:snapToGrid w:val="0"/>
                    <w:jc w:val="center"/>
                    <w:rPr>
                      <w:color w:val="auto"/>
                      <w:szCs w:val="21"/>
                    </w:rPr>
                  </w:pPr>
                  <w:r>
                    <w:rPr>
                      <w:rFonts w:hint="eastAsia"/>
                      <w:color w:val="auto"/>
                      <w:szCs w:val="21"/>
                    </w:rPr>
                    <w:t>0.03t/a</w:t>
                  </w:r>
                </w:p>
              </w:tc>
              <w:tc>
                <w:tcPr>
                  <w:tcW w:w="423" w:type="pct"/>
                  <w:vMerge w:val="continue"/>
                  <w:vAlign w:val="center"/>
                </w:tcPr>
                <w:p w14:paraId="546861AF">
                  <w:pPr>
                    <w:widowControl/>
                    <w:adjustRightInd w:val="0"/>
                    <w:snapToGrid w:val="0"/>
                    <w:jc w:val="center"/>
                    <w:rPr>
                      <w:color w:val="auto"/>
                      <w:szCs w:val="21"/>
                    </w:rPr>
                  </w:pPr>
                </w:p>
              </w:tc>
              <w:tc>
                <w:tcPr>
                  <w:tcW w:w="824" w:type="pct"/>
                  <w:vAlign w:val="center"/>
                </w:tcPr>
                <w:p w14:paraId="43785309">
                  <w:pPr>
                    <w:adjustRightInd w:val="0"/>
                    <w:snapToGrid w:val="0"/>
                    <w:jc w:val="center"/>
                    <w:textAlignment w:val="center"/>
                    <w:rPr>
                      <w:color w:val="auto"/>
                      <w:szCs w:val="21"/>
                    </w:rPr>
                  </w:pPr>
                  <w:r>
                    <w:rPr>
                      <w:rFonts w:hint="eastAsia"/>
                      <w:color w:val="auto"/>
                      <w:szCs w:val="21"/>
                    </w:rPr>
                    <w:t>HW49 900-041-49</w:t>
                  </w:r>
                </w:p>
              </w:tc>
              <w:tc>
                <w:tcPr>
                  <w:tcW w:w="423" w:type="pct"/>
                  <w:vAlign w:val="center"/>
                </w:tcPr>
                <w:p w14:paraId="7A165FA6">
                  <w:pPr>
                    <w:widowControl/>
                    <w:adjustRightInd w:val="0"/>
                    <w:snapToGrid w:val="0"/>
                    <w:jc w:val="center"/>
                    <w:rPr>
                      <w:color w:val="auto"/>
                      <w:kern w:val="0"/>
                      <w:szCs w:val="21"/>
                      <w:lang w:bidi="ar"/>
                    </w:rPr>
                  </w:pPr>
                  <w:r>
                    <w:rPr>
                      <w:rFonts w:hint="eastAsia"/>
                      <w:color w:val="auto"/>
                      <w:kern w:val="0"/>
                      <w:szCs w:val="21"/>
                      <w:lang w:bidi="ar"/>
                    </w:rPr>
                    <w:t>固态</w:t>
                  </w:r>
                </w:p>
              </w:tc>
              <w:tc>
                <w:tcPr>
                  <w:tcW w:w="623" w:type="pct"/>
                  <w:shd w:val="clear" w:color="auto" w:fill="auto"/>
                  <w:vAlign w:val="center"/>
                </w:tcPr>
                <w:p w14:paraId="47606C46">
                  <w:pPr>
                    <w:widowControl/>
                    <w:adjustRightInd w:val="0"/>
                    <w:snapToGrid w:val="0"/>
                    <w:jc w:val="center"/>
                    <w:rPr>
                      <w:color w:val="auto"/>
                      <w:szCs w:val="21"/>
                    </w:rPr>
                  </w:pPr>
                  <w:r>
                    <w:rPr>
                      <w:rFonts w:hint="eastAsia"/>
                      <w:color w:val="auto"/>
                      <w:kern w:val="0"/>
                      <w:szCs w:val="21"/>
                      <w:lang w:bidi="ar"/>
                    </w:rPr>
                    <w:t>化学试剂</w:t>
                  </w:r>
                </w:p>
              </w:tc>
              <w:tc>
                <w:tcPr>
                  <w:tcW w:w="623" w:type="pct"/>
                  <w:shd w:val="clear" w:color="auto" w:fill="auto"/>
                  <w:vAlign w:val="center"/>
                </w:tcPr>
                <w:p w14:paraId="592694C4">
                  <w:pPr>
                    <w:widowControl/>
                    <w:adjustRightInd w:val="0"/>
                    <w:snapToGrid w:val="0"/>
                    <w:jc w:val="center"/>
                    <w:rPr>
                      <w:color w:val="auto"/>
                      <w:kern w:val="0"/>
                      <w:szCs w:val="21"/>
                      <w:lang w:bidi="ar"/>
                    </w:rPr>
                  </w:pPr>
                  <w:r>
                    <w:rPr>
                      <w:rFonts w:hint="eastAsia"/>
                      <w:color w:val="auto"/>
                      <w:kern w:val="0"/>
                      <w:szCs w:val="21"/>
                      <w:lang w:bidi="ar"/>
                    </w:rPr>
                    <w:t>T/In</w:t>
                  </w:r>
                </w:p>
              </w:tc>
              <w:tc>
                <w:tcPr>
                  <w:tcW w:w="597" w:type="pct"/>
                  <w:vMerge w:val="continue"/>
                  <w:vAlign w:val="center"/>
                </w:tcPr>
                <w:p w14:paraId="38260D27">
                  <w:pPr>
                    <w:widowControl/>
                    <w:adjustRightInd w:val="0"/>
                    <w:snapToGrid w:val="0"/>
                    <w:jc w:val="center"/>
                    <w:rPr>
                      <w:color w:val="auto"/>
                      <w:kern w:val="0"/>
                      <w:szCs w:val="21"/>
                      <w:lang w:bidi="ar"/>
                    </w:rPr>
                  </w:pPr>
                </w:p>
              </w:tc>
            </w:tr>
            <w:tr w14:paraId="6D87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94" w:type="pct"/>
                  <w:vAlign w:val="center"/>
                </w:tcPr>
                <w:p w14:paraId="16D14802">
                  <w:pPr>
                    <w:adjustRightInd w:val="0"/>
                    <w:snapToGrid w:val="0"/>
                    <w:jc w:val="center"/>
                    <w:rPr>
                      <w:color w:val="auto"/>
                      <w:szCs w:val="21"/>
                    </w:rPr>
                  </w:pPr>
                  <w:r>
                    <w:rPr>
                      <w:rFonts w:hint="eastAsia"/>
                      <w:color w:val="auto"/>
                      <w:szCs w:val="21"/>
                    </w:rPr>
                    <w:t>6</w:t>
                  </w:r>
                </w:p>
              </w:tc>
              <w:tc>
                <w:tcPr>
                  <w:tcW w:w="393" w:type="pct"/>
                  <w:vAlign w:val="center"/>
                </w:tcPr>
                <w:p w14:paraId="75C42068">
                  <w:pPr>
                    <w:widowControl/>
                    <w:adjustRightInd w:val="0"/>
                    <w:snapToGrid w:val="0"/>
                    <w:jc w:val="center"/>
                    <w:rPr>
                      <w:color w:val="auto"/>
                      <w:szCs w:val="21"/>
                    </w:rPr>
                  </w:pPr>
                  <w:r>
                    <w:rPr>
                      <w:rFonts w:hint="eastAsia"/>
                      <w:color w:val="auto"/>
                      <w:szCs w:val="21"/>
                    </w:rPr>
                    <w:t>废气处理</w:t>
                  </w:r>
                </w:p>
              </w:tc>
              <w:tc>
                <w:tcPr>
                  <w:tcW w:w="453" w:type="pct"/>
                  <w:vAlign w:val="center"/>
                </w:tcPr>
                <w:p w14:paraId="001C3204">
                  <w:pPr>
                    <w:widowControl/>
                    <w:adjustRightInd w:val="0"/>
                    <w:snapToGrid w:val="0"/>
                    <w:jc w:val="center"/>
                    <w:rPr>
                      <w:color w:val="auto"/>
                      <w:szCs w:val="21"/>
                    </w:rPr>
                  </w:pPr>
                  <w:r>
                    <w:rPr>
                      <w:rFonts w:hint="eastAsia"/>
                      <w:color w:val="auto"/>
                      <w:szCs w:val="21"/>
                    </w:rPr>
                    <w:t>废活性炭</w:t>
                  </w:r>
                </w:p>
              </w:tc>
              <w:tc>
                <w:tcPr>
                  <w:tcW w:w="442" w:type="pct"/>
                  <w:vAlign w:val="center"/>
                </w:tcPr>
                <w:p w14:paraId="54B77D39">
                  <w:pPr>
                    <w:widowControl/>
                    <w:adjustRightInd w:val="0"/>
                    <w:snapToGrid w:val="0"/>
                    <w:jc w:val="center"/>
                    <w:rPr>
                      <w:color w:val="auto"/>
                      <w:szCs w:val="21"/>
                    </w:rPr>
                  </w:pPr>
                  <w:r>
                    <w:rPr>
                      <w:rFonts w:hint="eastAsia"/>
                      <w:color w:val="auto"/>
                      <w:szCs w:val="21"/>
                      <w:lang w:eastAsia="zh-CN"/>
                    </w:rPr>
                    <w:t>1.716</w:t>
                  </w:r>
                  <w:r>
                    <w:rPr>
                      <w:rFonts w:hint="eastAsia"/>
                      <w:color w:val="auto"/>
                      <w:szCs w:val="21"/>
                    </w:rPr>
                    <w:t>t/a</w:t>
                  </w:r>
                </w:p>
              </w:tc>
              <w:tc>
                <w:tcPr>
                  <w:tcW w:w="423" w:type="pct"/>
                  <w:vMerge w:val="continue"/>
                  <w:vAlign w:val="center"/>
                </w:tcPr>
                <w:p w14:paraId="1E4BCF46">
                  <w:pPr>
                    <w:widowControl/>
                    <w:adjustRightInd w:val="0"/>
                    <w:snapToGrid w:val="0"/>
                    <w:jc w:val="center"/>
                    <w:rPr>
                      <w:color w:val="auto"/>
                      <w:kern w:val="0"/>
                      <w:szCs w:val="21"/>
                      <w:lang w:bidi="ar"/>
                    </w:rPr>
                  </w:pPr>
                </w:p>
              </w:tc>
              <w:tc>
                <w:tcPr>
                  <w:tcW w:w="824" w:type="pct"/>
                  <w:vAlign w:val="center"/>
                </w:tcPr>
                <w:p w14:paraId="5D5B70F1">
                  <w:pPr>
                    <w:widowControl/>
                    <w:adjustRightInd w:val="0"/>
                    <w:snapToGrid w:val="0"/>
                    <w:jc w:val="center"/>
                    <w:rPr>
                      <w:color w:val="auto"/>
                      <w:kern w:val="0"/>
                      <w:szCs w:val="21"/>
                      <w:lang w:bidi="ar"/>
                    </w:rPr>
                  </w:pPr>
                  <w:r>
                    <w:rPr>
                      <w:rFonts w:hint="eastAsia"/>
                      <w:color w:val="auto"/>
                      <w:szCs w:val="21"/>
                    </w:rPr>
                    <w:t>HW49 900-039-49</w:t>
                  </w:r>
                </w:p>
              </w:tc>
              <w:tc>
                <w:tcPr>
                  <w:tcW w:w="423" w:type="pct"/>
                  <w:vAlign w:val="center"/>
                </w:tcPr>
                <w:p w14:paraId="1808B674">
                  <w:pPr>
                    <w:widowControl/>
                    <w:adjustRightInd w:val="0"/>
                    <w:snapToGrid w:val="0"/>
                    <w:jc w:val="center"/>
                    <w:rPr>
                      <w:color w:val="auto"/>
                      <w:kern w:val="0"/>
                      <w:szCs w:val="21"/>
                      <w:lang w:bidi="ar"/>
                    </w:rPr>
                  </w:pPr>
                  <w:r>
                    <w:rPr>
                      <w:rFonts w:hint="eastAsia"/>
                      <w:color w:val="auto"/>
                      <w:kern w:val="0"/>
                      <w:szCs w:val="21"/>
                      <w:lang w:bidi="ar"/>
                    </w:rPr>
                    <w:t>固态</w:t>
                  </w:r>
                </w:p>
              </w:tc>
              <w:tc>
                <w:tcPr>
                  <w:tcW w:w="623" w:type="pct"/>
                  <w:vAlign w:val="center"/>
                </w:tcPr>
                <w:p w14:paraId="214C3F02">
                  <w:pPr>
                    <w:widowControl/>
                    <w:adjustRightInd w:val="0"/>
                    <w:snapToGrid w:val="0"/>
                    <w:jc w:val="center"/>
                    <w:rPr>
                      <w:color w:val="auto"/>
                      <w:szCs w:val="21"/>
                    </w:rPr>
                  </w:pPr>
                  <w:r>
                    <w:rPr>
                      <w:rFonts w:hint="eastAsia"/>
                      <w:color w:val="auto"/>
                      <w:szCs w:val="21"/>
                    </w:rPr>
                    <w:t>挥发性有机物</w:t>
                  </w:r>
                </w:p>
              </w:tc>
              <w:tc>
                <w:tcPr>
                  <w:tcW w:w="623" w:type="pct"/>
                  <w:vAlign w:val="center"/>
                </w:tcPr>
                <w:p w14:paraId="0519F26B">
                  <w:pPr>
                    <w:widowControl/>
                    <w:adjustRightInd w:val="0"/>
                    <w:snapToGrid w:val="0"/>
                    <w:jc w:val="center"/>
                    <w:rPr>
                      <w:color w:val="auto"/>
                      <w:kern w:val="0"/>
                      <w:szCs w:val="21"/>
                      <w:lang w:bidi="ar"/>
                    </w:rPr>
                  </w:pPr>
                  <w:r>
                    <w:rPr>
                      <w:rFonts w:hint="eastAsia"/>
                      <w:color w:val="auto"/>
                      <w:kern w:val="0"/>
                      <w:szCs w:val="21"/>
                      <w:lang w:bidi="ar"/>
                    </w:rPr>
                    <w:t>T</w:t>
                  </w:r>
                </w:p>
              </w:tc>
              <w:tc>
                <w:tcPr>
                  <w:tcW w:w="597" w:type="pct"/>
                  <w:vMerge w:val="continue"/>
                  <w:vAlign w:val="center"/>
                </w:tcPr>
                <w:p w14:paraId="4F75994F">
                  <w:pPr>
                    <w:widowControl/>
                    <w:adjustRightInd w:val="0"/>
                    <w:snapToGrid w:val="0"/>
                    <w:jc w:val="center"/>
                    <w:rPr>
                      <w:color w:val="auto"/>
                      <w:kern w:val="0"/>
                      <w:szCs w:val="21"/>
                      <w:lang w:bidi="ar"/>
                    </w:rPr>
                  </w:pPr>
                </w:p>
              </w:tc>
            </w:tr>
            <w:tr w14:paraId="3885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94" w:type="pct"/>
                  <w:vAlign w:val="center"/>
                </w:tcPr>
                <w:p w14:paraId="7A8EE4C6">
                  <w:pPr>
                    <w:adjustRightInd w:val="0"/>
                    <w:snapToGrid w:val="0"/>
                    <w:jc w:val="center"/>
                    <w:rPr>
                      <w:color w:val="auto"/>
                      <w:szCs w:val="21"/>
                    </w:rPr>
                  </w:pPr>
                  <w:r>
                    <w:rPr>
                      <w:rFonts w:hint="eastAsia"/>
                      <w:color w:val="auto"/>
                      <w:szCs w:val="21"/>
                    </w:rPr>
                    <w:t>7</w:t>
                  </w:r>
                </w:p>
              </w:tc>
              <w:tc>
                <w:tcPr>
                  <w:tcW w:w="393" w:type="pct"/>
                  <w:vAlign w:val="center"/>
                </w:tcPr>
                <w:p w14:paraId="56EB8022">
                  <w:pPr>
                    <w:widowControl/>
                    <w:adjustRightInd w:val="0"/>
                    <w:snapToGrid w:val="0"/>
                    <w:jc w:val="center"/>
                    <w:rPr>
                      <w:color w:val="auto"/>
                      <w:kern w:val="0"/>
                      <w:szCs w:val="21"/>
                      <w:lang w:bidi="ar"/>
                    </w:rPr>
                  </w:pPr>
                  <w:r>
                    <w:rPr>
                      <w:rFonts w:hint="eastAsia"/>
                      <w:color w:val="auto"/>
                      <w:szCs w:val="21"/>
                    </w:rPr>
                    <w:t>实验、检验</w:t>
                  </w:r>
                </w:p>
              </w:tc>
              <w:tc>
                <w:tcPr>
                  <w:tcW w:w="453" w:type="pct"/>
                  <w:vAlign w:val="center"/>
                </w:tcPr>
                <w:p w14:paraId="239F6A1A">
                  <w:pPr>
                    <w:adjustRightInd w:val="0"/>
                    <w:snapToGrid w:val="0"/>
                    <w:jc w:val="center"/>
                    <w:rPr>
                      <w:color w:val="auto"/>
                      <w:kern w:val="0"/>
                      <w:szCs w:val="21"/>
                      <w:lang w:bidi="ar"/>
                    </w:rPr>
                  </w:pPr>
                  <w:r>
                    <w:rPr>
                      <w:color w:val="auto"/>
                      <w:szCs w:val="21"/>
                    </w:rPr>
                    <w:t>废包装材料</w:t>
                  </w:r>
                </w:p>
              </w:tc>
              <w:tc>
                <w:tcPr>
                  <w:tcW w:w="442" w:type="pct"/>
                  <w:vAlign w:val="center"/>
                </w:tcPr>
                <w:p w14:paraId="35B62171">
                  <w:pPr>
                    <w:widowControl/>
                    <w:adjustRightInd w:val="0"/>
                    <w:snapToGrid w:val="0"/>
                    <w:jc w:val="center"/>
                    <w:rPr>
                      <w:color w:val="auto"/>
                      <w:szCs w:val="21"/>
                    </w:rPr>
                  </w:pPr>
                  <w:r>
                    <w:rPr>
                      <w:rFonts w:hint="eastAsia"/>
                      <w:color w:val="auto"/>
                      <w:szCs w:val="21"/>
                    </w:rPr>
                    <w:t>0.02t/a</w:t>
                  </w:r>
                </w:p>
              </w:tc>
              <w:tc>
                <w:tcPr>
                  <w:tcW w:w="423" w:type="pct"/>
                  <w:vAlign w:val="center"/>
                </w:tcPr>
                <w:p w14:paraId="272DB628">
                  <w:pPr>
                    <w:widowControl/>
                    <w:adjustRightInd w:val="0"/>
                    <w:snapToGrid w:val="0"/>
                    <w:jc w:val="center"/>
                    <w:rPr>
                      <w:color w:val="auto"/>
                      <w:kern w:val="0"/>
                      <w:szCs w:val="21"/>
                      <w:lang w:bidi="ar"/>
                    </w:rPr>
                  </w:pPr>
                  <w:r>
                    <w:rPr>
                      <w:rFonts w:hint="eastAsia"/>
                      <w:color w:val="auto"/>
                      <w:kern w:val="0"/>
                      <w:szCs w:val="21"/>
                      <w:lang w:bidi="ar"/>
                    </w:rPr>
                    <w:t>一般工业固废</w:t>
                  </w:r>
                </w:p>
              </w:tc>
              <w:tc>
                <w:tcPr>
                  <w:tcW w:w="824" w:type="pct"/>
                  <w:vAlign w:val="center"/>
                </w:tcPr>
                <w:p w14:paraId="1FB1E8A9">
                  <w:pPr>
                    <w:adjustRightInd w:val="0"/>
                    <w:snapToGrid w:val="0"/>
                    <w:jc w:val="center"/>
                    <w:textAlignment w:val="center"/>
                    <w:rPr>
                      <w:color w:val="auto"/>
                      <w:szCs w:val="21"/>
                    </w:rPr>
                  </w:pPr>
                  <w:r>
                    <w:rPr>
                      <w:rFonts w:hint="eastAsia"/>
                      <w:color w:val="auto"/>
                      <w:szCs w:val="21"/>
                    </w:rPr>
                    <w:t>900-005-S17</w:t>
                  </w:r>
                </w:p>
              </w:tc>
              <w:tc>
                <w:tcPr>
                  <w:tcW w:w="423" w:type="pct"/>
                  <w:vAlign w:val="center"/>
                </w:tcPr>
                <w:p w14:paraId="073763DB">
                  <w:pPr>
                    <w:widowControl/>
                    <w:adjustRightInd w:val="0"/>
                    <w:snapToGrid w:val="0"/>
                    <w:jc w:val="center"/>
                    <w:rPr>
                      <w:color w:val="auto"/>
                      <w:kern w:val="0"/>
                      <w:szCs w:val="21"/>
                      <w:lang w:bidi="ar"/>
                    </w:rPr>
                  </w:pPr>
                  <w:r>
                    <w:rPr>
                      <w:rFonts w:hint="eastAsia"/>
                      <w:color w:val="auto"/>
                      <w:kern w:val="0"/>
                      <w:szCs w:val="21"/>
                      <w:lang w:bidi="ar"/>
                    </w:rPr>
                    <w:t>固态</w:t>
                  </w:r>
                </w:p>
              </w:tc>
              <w:tc>
                <w:tcPr>
                  <w:tcW w:w="623" w:type="pct"/>
                  <w:vAlign w:val="center"/>
                </w:tcPr>
                <w:p w14:paraId="72FE6E78">
                  <w:pPr>
                    <w:widowControl/>
                    <w:adjustRightInd w:val="0"/>
                    <w:snapToGrid w:val="0"/>
                    <w:jc w:val="center"/>
                    <w:rPr>
                      <w:color w:val="auto"/>
                      <w:kern w:val="0"/>
                      <w:szCs w:val="21"/>
                      <w:lang w:bidi="ar"/>
                    </w:rPr>
                  </w:pPr>
                  <w:r>
                    <w:rPr>
                      <w:rFonts w:hint="eastAsia"/>
                      <w:color w:val="auto"/>
                      <w:kern w:val="0"/>
                      <w:szCs w:val="21"/>
                      <w:lang w:bidi="ar"/>
                    </w:rPr>
                    <w:t>/</w:t>
                  </w:r>
                </w:p>
              </w:tc>
              <w:tc>
                <w:tcPr>
                  <w:tcW w:w="623" w:type="pct"/>
                  <w:vAlign w:val="center"/>
                </w:tcPr>
                <w:p w14:paraId="25E0EE5A">
                  <w:pPr>
                    <w:widowControl/>
                    <w:adjustRightInd w:val="0"/>
                    <w:snapToGrid w:val="0"/>
                    <w:jc w:val="center"/>
                    <w:rPr>
                      <w:color w:val="auto"/>
                      <w:kern w:val="0"/>
                      <w:szCs w:val="21"/>
                      <w:lang w:bidi="ar"/>
                    </w:rPr>
                  </w:pPr>
                  <w:r>
                    <w:rPr>
                      <w:rFonts w:hint="eastAsia"/>
                      <w:color w:val="auto"/>
                      <w:kern w:val="0"/>
                      <w:szCs w:val="21"/>
                      <w:lang w:bidi="ar"/>
                    </w:rPr>
                    <w:t>/</w:t>
                  </w:r>
                </w:p>
              </w:tc>
              <w:tc>
                <w:tcPr>
                  <w:tcW w:w="597" w:type="pct"/>
                  <w:vAlign w:val="center"/>
                </w:tcPr>
                <w:p w14:paraId="4124B6CE">
                  <w:pPr>
                    <w:widowControl/>
                    <w:adjustRightInd w:val="0"/>
                    <w:snapToGrid w:val="0"/>
                    <w:jc w:val="center"/>
                    <w:rPr>
                      <w:color w:val="auto"/>
                      <w:kern w:val="0"/>
                      <w:szCs w:val="21"/>
                      <w:lang w:bidi="ar"/>
                    </w:rPr>
                  </w:pPr>
                  <w:r>
                    <w:rPr>
                      <w:rFonts w:hint="eastAsia"/>
                      <w:color w:val="auto"/>
                      <w:kern w:val="0"/>
                      <w:szCs w:val="21"/>
                      <w:lang w:bidi="ar"/>
                    </w:rPr>
                    <w:t>一般固废</w:t>
                  </w:r>
                </w:p>
              </w:tc>
            </w:tr>
            <w:tr w14:paraId="3C34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94" w:type="pct"/>
                  <w:vAlign w:val="center"/>
                </w:tcPr>
                <w:p w14:paraId="022D5527">
                  <w:pPr>
                    <w:adjustRightInd w:val="0"/>
                    <w:snapToGrid w:val="0"/>
                    <w:jc w:val="center"/>
                    <w:rPr>
                      <w:color w:val="auto"/>
                      <w:szCs w:val="21"/>
                    </w:rPr>
                  </w:pPr>
                  <w:r>
                    <w:rPr>
                      <w:rFonts w:hint="eastAsia"/>
                      <w:color w:val="auto"/>
                      <w:szCs w:val="21"/>
                    </w:rPr>
                    <w:t>8</w:t>
                  </w:r>
                </w:p>
              </w:tc>
              <w:tc>
                <w:tcPr>
                  <w:tcW w:w="393" w:type="pct"/>
                  <w:vAlign w:val="center"/>
                </w:tcPr>
                <w:p w14:paraId="2028677A">
                  <w:pPr>
                    <w:widowControl/>
                    <w:adjustRightInd w:val="0"/>
                    <w:snapToGrid w:val="0"/>
                    <w:jc w:val="center"/>
                    <w:rPr>
                      <w:color w:val="auto"/>
                      <w:kern w:val="0"/>
                      <w:szCs w:val="21"/>
                      <w:lang w:bidi="ar"/>
                    </w:rPr>
                  </w:pPr>
                  <w:r>
                    <w:rPr>
                      <w:rFonts w:hint="eastAsia"/>
                      <w:color w:val="auto"/>
                      <w:kern w:val="0"/>
                      <w:szCs w:val="21"/>
                      <w:lang w:bidi="ar"/>
                    </w:rPr>
                    <w:t>办公生活</w:t>
                  </w:r>
                </w:p>
              </w:tc>
              <w:tc>
                <w:tcPr>
                  <w:tcW w:w="453" w:type="pct"/>
                  <w:vAlign w:val="center"/>
                </w:tcPr>
                <w:p w14:paraId="4916708A">
                  <w:pPr>
                    <w:adjustRightInd w:val="0"/>
                    <w:snapToGrid w:val="0"/>
                    <w:jc w:val="center"/>
                    <w:rPr>
                      <w:color w:val="auto"/>
                      <w:kern w:val="0"/>
                      <w:szCs w:val="21"/>
                      <w:lang w:bidi="ar"/>
                    </w:rPr>
                  </w:pPr>
                  <w:r>
                    <w:rPr>
                      <w:rFonts w:hint="eastAsia"/>
                      <w:color w:val="auto"/>
                      <w:kern w:val="0"/>
                      <w:szCs w:val="21"/>
                      <w:lang w:bidi="ar"/>
                    </w:rPr>
                    <w:t>生活垃圾</w:t>
                  </w:r>
                </w:p>
              </w:tc>
              <w:tc>
                <w:tcPr>
                  <w:tcW w:w="442" w:type="pct"/>
                  <w:vAlign w:val="center"/>
                </w:tcPr>
                <w:p w14:paraId="7CE837F8">
                  <w:pPr>
                    <w:widowControl/>
                    <w:adjustRightInd w:val="0"/>
                    <w:snapToGrid w:val="0"/>
                    <w:jc w:val="center"/>
                    <w:rPr>
                      <w:color w:val="auto"/>
                      <w:szCs w:val="21"/>
                    </w:rPr>
                  </w:pPr>
                  <w:r>
                    <w:rPr>
                      <w:rFonts w:hint="eastAsia"/>
                      <w:color w:val="auto"/>
                      <w:szCs w:val="21"/>
                    </w:rPr>
                    <w:t>0.6t/a</w:t>
                  </w:r>
                </w:p>
              </w:tc>
              <w:tc>
                <w:tcPr>
                  <w:tcW w:w="423" w:type="pct"/>
                  <w:vAlign w:val="center"/>
                </w:tcPr>
                <w:p w14:paraId="73B81D20">
                  <w:pPr>
                    <w:widowControl/>
                    <w:adjustRightInd w:val="0"/>
                    <w:snapToGrid w:val="0"/>
                    <w:jc w:val="center"/>
                    <w:rPr>
                      <w:color w:val="auto"/>
                      <w:kern w:val="0"/>
                      <w:szCs w:val="21"/>
                      <w:lang w:bidi="ar"/>
                    </w:rPr>
                  </w:pPr>
                  <w:r>
                    <w:rPr>
                      <w:rFonts w:hint="eastAsia"/>
                      <w:color w:val="auto"/>
                      <w:kern w:val="0"/>
                      <w:szCs w:val="21"/>
                      <w:lang w:bidi="ar"/>
                    </w:rPr>
                    <w:t>生活垃圾</w:t>
                  </w:r>
                </w:p>
              </w:tc>
              <w:tc>
                <w:tcPr>
                  <w:tcW w:w="824" w:type="pct"/>
                  <w:vAlign w:val="center"/>
                </w:tcPr>
                <w:p w14:paraId="79425486">
                  <w:pPr>
                    <w:adjustRightInd w:val="0"/>
                    <w:snapToGrid w:val="0"/>
                    <w:jc w:val="center"/>
                    <w:textAlignment w:val="center"/>
                    <w:rPr>
                      <w:color w:val="auto"/>
                      <w:szCs w:val="21"/>
                    </w:rPr>
                  </w:pPr>
                  <w:r>
                    <w:rPr>
                      <w:rFonts w:hint="eastAsia"/>
                      <w:color w:val="auto"/>
                      <w:szCs w:val="21"/>
                    </w:rPr>
                    <w:t>900-099-S64</w:t>
                  </w:r>
                </w:p>
              </w:tc>
              <w:tc>
                <w:tcPr>
                  <w:tcW w:w="423" w:type="pct"/>
                  <w:vAlign w:val="center"/>
                </w:tcPr>
                <w:p w14:paraId="00B19B49">
                  <w:pPr>
                    <w:widowControl/>
                    <w:adjustRightInd w:val="0"/>
                    <w:snapToGrid w:val="0"/>
                    <w:jc w:val="center"/>
                    <w:rPr>
                      <w:color w:val="auto"/>
                      <w:kern w:val="0"/>
                      <w:szCs w:val="21"/>
                      <w:lang w:bidi="ar"/>
                    </w:rPr>
                  </w:pPr>
                  <w:r>
                    <w:rPr>
                      <w:rFonts w:hint="eastAsia"/>
                      <w:color w:val="auto"/>
                      <w:kern w:val="0"/>
                      <w:szCs w:val="21"/>
                      <w:lang w:bidi="ar"/>
                    </w:rPr>
                    <w:t>固态</w:t>
                  </w:r>
                </w:p>
              </w:tc>
              <w:tc>
                <w:tcPr>
                  <w:tcW w:w="623" w:type="pct"/>
                  <w:vAlign w:val="center"/>
                </w:tcPr>
                <w:p w14:paraId="389EE3B6">
                  <w:pPr>
                    <w:widowControl/>
                    <w:adjustRightInd w:val="0"/>
                    <w:snapToGrid w:val="0"/>
                    <w:jc w:val="center"/>
                    <w:rPr>
                      <w:color w:val="auto"/>
                      <w:kern w:val="0"/>
                      <w:szCs w:val="21"/>
                      <w:lang w:bidi="ar"/>
                    </w:rPr>
                  </w:pPr>
                  <w:r>
                    <w:rPr>
                      <w:rFonts w:hint="eastAsia"/>
                      <w:color w:val="auto"/>
                      <w:kern w:val="0"/>
                      <w:szCs w:val="21"/>
                      <w:lang w:bidi="ar"/>
                    </w:rPr>
                    <w:t>/</w:t>
                  </w:r>
                </w:p>
              </w:tc>
              <w:tc>
                <w:tcPr>
                  <w:tcW w:w="623" w:type="pct"/>
                  <w:vAlign w:val="center"/>
                </w:tcPr>
                <w:p w14:paraId="42928CB1">
                  <w:pPr>
                    <w:widowControl/>
                    <w:adjustRightInd w:val="0"/>
                    <w:snapToGrid w:val="0"/>
                    <w:jc w:val="center"/>
                    <w:rPr>
                      <w:color w:val="auto"/>
                      <w:kern w:val="0"/>
                      <w:szCs w:val="21"/>
                      <w:lang w:bidi="ar"/>
                    </w:rPr>
                  </w:pPr>
                  <w:r>
                    <w:rPr>
                      <w:rFonts w:hint="eastAsia"/>
                      <w:color w:val="auto"/>
                      <w:kern w:val="0"/>
                      <w:szCs w:val="21"/>
                      <w:lang w:bidi="ar"/>
                    </w:rPr>
                    <w:t>/</w:t>
                  </w:r>
                </w:p>
              </w:tc>
              <w:tc>
                <w:tcPr>
                  <w:tcW w:w="597" w:type="pct"/>
                  <w:vAlign w:val="center"/>
                </w:tcPr>
                <w:p w14:paraId="0B2C43DC">
                  <w:pPr>
                    <w:widowControl/>
                    <w:adjustRightInd w:val="0"/>
                    <w:snapToGrid w:val="0"/>
                    <w:jc w:val="center"/>
                    <w:rPr>
                      <w:color w:val="auto"/>
                      <w:kern w:val="0"/>
                      <w:szCs w:val="21"/>
                      <w:lang w:bidi="ar"/>
                    </w:rPr>
                  </w:pPr>
                  <w:r>
                    <w:rPr>
                      <w:rFonts w:hint="eastAsia"/>
                      <w:color w:val="auto"/>
                      <w:kern w:val="0"/>
                      <w:szCs w:val="21"/>
                      <w:lang w:bidi="ar"/>
                    </w:rPr>
                    <w:t>委托环卫部门处置</w:t>
                  </w:r>
                </w:p>
              </w:tc>
            </w:tr>
          </w:tbl>
          <w:p w14:paraId="3526F3E1">
            <w:pPr>
              <w:widowControl/>
              <w:adjustRightInd w:val="0"/>
              <w:snapToGrid w:val="0"/>
              <w:spacing w:line="360" w:lineRule="auto"/>
              <w:ind w:firstLine="480" w:firstLineChars="200"/>
              <w:rPr>
                <w:color w:val="auto"/>
                <w:sz w:val="24"/>
              </w:rPr>
            </w:pPr>
            <w:r>
              <w:rPr>
                <w:rFonts w:hint="eastAsia"/>
                <w:color w:val="auto"/>
                <w:kern w:val="0"/>
                <w:sz w:val="24"/>
                <w:szCs w:val="20"/>
              </w:rPr>
              <w:t>（2）</w:t>
            </w:r>
            <w:r>
              <w:rPr>
                <w:rFonts w:hint="eastAsia"/>
                <w:color w:val="auto"/>
                <w:sz w:val="24"/>
                <w:lang w:eastAsia="zh-CN"/>
              </w:rPr>
              <w:t>危废贮存库</w:t>
            </w:r>
            <w:r>
              <w:rPr>
                <w:rFonts w:hint="eastAsia"/>
                <w:color w:val="auto"/>
                <w:sz w:val="24"/>
              </w:rPr>
              <w:t>建设及管理要求</w:t>
            </w:r>
          </w:p>
          <w:p w14:paraId="2CDA8B19">
            <w:pPr>
              <w:autoSpaceDN w:val="0"/>
              <w:spacing w:line="360" w:lineRule="auto"/>
              <w:ind w:firstLine="496" w:firstLineChars="200"/>
              <w:rPr>
                <w:color w:val="auto"/>
                <w:spacing w:val="4"/>
                <w:sz w:val="24"/>
              </w:rPr>
            </w:pPr>
            <w:r>
              <w:rPr>
                <w:rFonts w:hint="eastAsia"/>
                <w:color w:val="auto"/>
                <w:spacing w:val="4"/>
                <w:sz w:val="24"/>
              </w:rPr>
              <w:t>本项目</w:t>
            </w:r>
            <w:r>
              <w:rPr>
                <w:rFonts w:hint="eastAsia"/>
                <w:color w:val="auto"/>
                <w:spacing w:val="4"/>
                <w:sz w:val="24"/>
                <w:lang w:eastAsia="zh-CN"/>
              </w:rPr>
              <w:t>危废贮存库</w:t>
            </w:r>
            <w:r>
              <w:rPr>
                <w:rFonts w:hint="eastAsia"/>
                <w:color w:val="auto"/>
                <w:spacing w:val="4"/>
                <w:sz w:val="24"/>
              </w:rPr>
              <w:t>拟</w:t>
            </w:r>
            <w:r>
              <w:rPr>
                <w:rFonts w:hint="eastAsia"/>
                <w:color w:val="auto"/>
                <w:kern w:val="0"/>
                <w:sz w:val="24"/>
                <w:szCs w:val="20"/>
              </w:rPr>
              <w:t>位于</w:t>
            </w:r>
            <w:r>
              <w:rPr>
                <w:rFonts w:hint="eastAsia"/>
                <w:color w:val="auto"/>
                <w:sz w:val="24"/>
              </w:rPr>
              <w:t>仓库</w:t>
            </w:r>
            <w:r>
              <w:rPr>
                <w:rFonts w:hint="eastAsia"/>
                <w:color w:val="auto"/>
                <w:sz w:val="24"/>
                <w:lang w:val="en-US" w:eastAsia="zh-CN"/>
              </w:rPr>
              <w:t>东北</w:t>
            </w:r>
            <w:r>
              <w:rPr>
                <w:rFonts w:hint="eastAsia"/>
                <w:color w:val="auto"/>
                <w:sz w:val="24"/>
              </w:rPr>
              <w:t>角，建筑面积</w:t>
            </w:r>
            <w:r>
              <w:rPr>
                <w:rFonts w:hint="eastAsia"/>
                <w:color w:val="auto"/>
                <w:kern w:val="0"/>
                <w:sz w:val="24"/>
              </w:rPr>
              <w:t>5</w:t>
            </w:r>
            <w:r>
              <w:rPr>
                <w:color w:val="auto"/>
                <w:kern w:val="0"/>
                <w:sz w:val="24"/>
              </w:rPr>
              <w:t>m</w:t>
            </w:r>
            <w:r>
              <w:rPr>
                <w:color w:val="auto"/>
                <w:kern w:val="0"/>
                <w:sz w:val="24"/>
                <w:vertAlign w:val="superscript"/>
              </w:rPr>
              <w:t>2</w:t>
            </w:r>
            <w:r>
              <w:rPr>
                <w:rFonts w:hint="eastAsia"/>
                <w:color w:val="auto"/>
                <w:kern w:val="0"/>
                <w:sz w:val="24"/>
              </w:rPr>
              <w:t>，地面目前</w:t>
            </w:r>
            <w:r>
              <w:rPr>
                <w:rFonts w:hint="eastAsia"/>
                <w:color w:val="auto"/>
                <w:kern w:val="0"/>
                <w:sz w:val="24"/>
                <w:szCs w:val="22"/>
              </w:rPr>
              <w:t>为水泥硬化地面并铺设瓷砖</w:t>
            </w:r>
            <w:r>
              <w:rPr>
                <w:rFonts w:hint="eastAsia"/>
                <w:color w:val="auto"/>
                <w:kern w:val="0"/>
                <w:sz w:val="24"/>
              </w:rPr>
              <w:t>。</w:t>
            </w:r>
          </w:p>
          <w:p w14:paraId="5716FDB2">
            <w:pPr>
              <w:autoSpaceDN w:val="0"/>
              <w:spacing w:line="360" w:lineRule="auto"/>
              <w:ind w:firstLine="480" w:firstLineChars="200"/>
              <w:rPr>
                <w:color w:val="FF0000"/>
                <w:spacing w:val="4"/>
                <w:sz w:val="24"/>
              </w:rPr>
            </w:pPr>
            <w:r>
              <w:rPr>
                <w:rFonts w:hint="eastAsia"/>
                <w:color w:val="FF0000"/>
                <w:kern w:val="0"/>
                <w:sz w:val="24"/>
                <w:szCs w:val="20"/>
              </w:rPr>
              <w:t>本环评要求</w:t>
            </w:r>
            <w:r>
              <w:rPr>
                <w:rFonts w:hint="eastAsia"/>
                <w:color w:val="FF0000"/>
                <w:kern w:val="0"/>
                <w:sz w:val="24"/>
                <w:szCs w:val="20"/>
                <w:lang w:eastAsia="zh-CN"/>
              </w:rPr>
              <w:t>危废贮存库</w:t>
            </w:r>
            <w:r>
              <w:rPr>
                <w:rFonts w:hint="eastAsia"/>
                <w:color w:val="FF0000"/>
                <w:kern w:val="0"/>
                <w:sz w:val="24"/>
                <w:szCs w:val="20"/>
              </w:rPr>
              <w:t>应按照要求进行建设，</w:t>
            </w:r>
            <w:r>
              <w:rPr>
                <w:color w:val="FF0000"/>
                <w:spacing w:val="4"/>
                <w:sz w:val="24"/>
              </w:rPr>
              <w:t>具体</w:t>
            </w:r>
            <w:r>
              <w:rPr>
                <w:rFonts w:hint="eastAsia"/>
                <w:color w:val="FF0000"/>
                <w:spacing w:val="4"/>
                <w:sz w:val="24"/>
              </w:rPr>
              <w:t>环境管理</w:t>
            </w:r>
            <w:r>
              <w:rPr>
                <w:color w:val="FF0000"/>
                <w:spacing w:val="4"/>
                <w:sz w:val="24"/>
              </w:rPr>
              <w:t>要求如下</w:t>
            </w:r>
            <w:r>
              <w:rPr>
                <w:rFonts w:hint="eastAsia"/>
                <w:color w:val="FF0000"/>
                <w:spacing w:val="4"/>
                <w:sz w:val="24"/>
              </w:rPr>
              <w:t>：</w:t>
            </w:r>
          </w:p>
          <w:p w14:paraId="0C89FC76">
            <w:pPr>
              <w:spacing w:line="360" w:lineRule="auto"/>
              <w:ind w:firstLine="480" w:firstLineChars="200"/>
              <w:rPr>
                <w:color w:val="FF0000"/>
                <w:kern w:val="0"/>
                <w:sz w:val="24"/>
                <w:szCs w:val="20"/>
              </w:rPr>
            </w:pPr>
            <w:r>
              <w:rPr>
                <w:rFonts w:hint="eastAsia"/>
                <w:color w:val="FF0000"/>
                <w:kern w:val="0"/>
                <w:sz w:val="24"/>
                <w:szCs w:val="20"/>
              </w:rPr>
              <w:t>贮存危险废物应根据危险废物的类别、形态、物理化学性质和污染防治要求进行分类贮存，且应避免危险废物与不相容的物质或材料接触。</w:t>
            </w:r>
          </w:p>
          <w:p w14:paraId="76F65A33">
            <w:pPr>
              <w:spacing w:line="360" w:lineRule="auto"/>
              <w:ind w:firstLine="480" w:firstLineChars="200"/>
              <w:rPr>
                <w:color w:val="FF0000"/>
                <w:kern w:val="0"/>
                <w:sz w:val="24"/>
                <w:szCs w:val="20"/>
              </w:rPr>
            </w:pPr>
            <w:r>
              <w:rPr>
                <w:rFonts w:hint="eastAsia"/>
                <w:color w:val="FF0000"/>
                <w:kern w:val="0"/>
                <w:sz w:val="24"/>
                <w:szCs w:val="20"/>
                <w:lang w:val="en-US" w:eastAsia="zh-CN"/>
              </w:rPr>
              <w:t>危废贮存库</w:t>
            </w:r>
            <w:r>
              <w:rPr>
                <w:rFonts w:hint="eastAsia"/>
                <w:color w:val="FF0000"/>
                <w:kern w:val="0"/>
                <w:sz w:val="24"/>
                <w:szCs w:val="20"/>
              </w:rPr>
              <w:t>、</w:t>
            </w:r>
            <w:r>
              <w:rPr>
                <w:rFonts w:hint="eastAsia"/>
                <w:color w:val="FF0000"/>
                <w:kern w:val="0"/>
                <w:sz w:val="24"/>
                <w:szCs w:val="20"/>
                <w:lang w:val="en-US" w:eastAsia="zh-CN"/>
              </w:rPr>
              <w:t>贮存</w:t>
            </w:r>
            <w:r>
              <w:rPr>
                <w:rFonts w:hint="eastAsia"/>
                <w:color w:val="FF0000"/>
                <w:kern w:val="0"/>
                <w:sz w:val="24"/>
                <w:szCs w:val="20"/>
              </w:rPr>
              <w:t>容器和包装物应满足相应的防渗、防漏、防腐和强度等要求</w:t>
            </w:r>
            <w:r>
              <w:rPr>
                <w:rFonts w:hint="eastAsia"/>
                <w:color w:val="FF0000"/>
                <w:kern w:val="0"/>
                <w:sz w:val="24"/>
                <w:szCs w:val="20"/>
                <w:lang w:eastAsia="zh-CN"/>
              </w:rPr>
              <w:t>，</w:t>
            </w:r>
            <w:r>
              <w:rPr>
                <w:rFonts w:hint="eastAsia"/>
                <w:color w:val="FF0000"/>
                <w:kern w:val="0"/>
                <w:sz w:val="24"/>
                <w:szCs w:val="20"/>
              </w:rPr>
              <w:t>应按</w:t>
            </w:r>
            <w:r>
              <w:rPr>
                <w:color w:val="FF0000"/>
                <w:kern w:val="0"/>
                <w:sz w:val="24"/>
                <w:szCs w:val="20"/>
              </w:rPr>
              <w:t>HJ1276</w:t>
            </w:r>
            <w:r>
              <w:rPr>
                <w:rFonts w:hint="eastAsia"/>
                <w:color w:val="FF0000"/>
                <w:kern w:val="0"/>
                <w:sz w:val="24"/>
                <w:szCs w:val="20"/>
              </w:rPr>
              <w:t>要求设置危险废物贮存设施或场所标志、危险废物贮存分区标志和危险废物标签等危险废物识别标志。危险废物贮存除应满足环境保护相关要求外，还应执行国家安全生产、职业健康、交通运输、消防等法律法规和标准的相关要求。</w:t>
            </w:r>
          </w:p>
          <w:p w14:paraId="1EDE19A4">
            <w:pPr>
              <w:spacing w:line="360" w:lineRule="auto"/>
              <w:ind w:firstLine="480" w:firstLineChars="200"/>
              <w:rPr>
                <w:color w:val="FF0000"/>
                <w:kern w:val="0"/>
                <w:sz w:val="24"/>
                <w:szCs w:val="20"/>
              </w:rPr>
            </w:pPr>
            <w:r>
              <w:rPr>
                <w:rFonts w:hint="eastAsia"/>
                <w:color w:val="FF0000"/>
                <w:kern w:val="0"/>
                <w:sz w:val="24"/>
                <w:szCs w:val="20"/>
              </w:rPr>
              <w:t>贮存设施或贮存分区内地面、墙面裙脚、堵截泄漏的围堰、接触危险废物的隔板和墙体等应采用坚固的材料建造，表面无裂缝</w:t>
            </w:r>
            <w:r>
              <w:rPr>
                <w:rFonts w:hint="eastAsia"/>
                <w:color w:val="FF0000"/>
                <w:kern w:val="0"/>
                <w:sz w:val="24"/>
                <w:szCs w:val="20"/>
                <w:lang w:eastAsia="zh-CN"/>
              </w:rPr>
              <w:t>；</w:t>
            </w:r>
            <w:r>
              <w:rPr>
                <w:rFonts w:hint="eastAsia"/>
                <w:color w:val="FF0000"/>
                <w:kern w:val="0"/>
                <w:sz w:val="24"/>
                <w:szCs w:val="20"/>
                <w:lang w:val="en-US" w:eastAsia="zh-CN"/>
              </w:rPr>
              <w:t>同时</w:t>
            </w:r>
            <w:r>
              <w:rPr>
                <w:rFonts w:hint="eastAsia"/>
                <w:color w:val="FF0000"/>
                <w:kern w:val="0"/>
                <w:sz w:val="24"/>
                <w:szCs w:val="20"/>
              </w:rPr>
              <w:t>贮存设施地面与裙脚应采取</w:t>
            </w:r>
            <w:r>
              <w:rPr>
                <w:rFonts w:hint="eastAsia"/>
                <w:color w:val="FF0000"/>
                <w:kern w:val="0"/>
                <w:sz w:val="24"/>
                <w:szCs w:val="20"/>
                <w:lang w:val="en-US" w:eastAsia="zh-CN"/>
              </w:rPr>
              <w:t>环氧树脂进行防渗处理，</w:t>
            </w:r>
            <w:r>
              <w:rPr>
                <w:rFonts w:hint="eastAsia"/>
                <w:color w:val="FF0000"/>
                <w:kern w:val="0"/>
                <w:sz w:val="24"/>
                <w:szCs w:val="20"/>
              </w:rPr>
              <w:t>防渗层为至少</w:t>
            </w:r>
            <w:r>
              <w:rPr>
                <w:color w:val="FF0000"/>
                <w:kern w:val="0"/>
                <w:sz w:val="24"/>
                <w:szCs w:val="20"/>
              </w:rPr>
              <w:t>2mm</w:t>
            </w:r>
            <w:r>
              <w:rPr>
                <w:rFonts w:hint="eastAsia"/>
                <w:color w:val="FF0000"/>
                <w:kern w:val="0"/>
                <w:sz w:val="24"/>
                <w:szCs w:val="20"/>
              </w:rPr>
              <w:t>厚（渗透系数不大于</w:t>
            </w:r>
            <w:r>
              <w:rPr>
                <w:color w:val="FF0000"/>
                <w:kern w:val="0"/>
                <w:sz w:val="24"/>
                <w:szCs w:val="20"/>
              </w:rPr>
              <w:t>10</w:t>
            </w:r>
            <w:r>
              <w:rPr>
                <w:color w:val="FF0000"/>
                <w:kern w:val="0"/>
                <w:sz w:val="24"/>
                <w:szCs w:val="20"/>
                <w:vertAlign w:val="superscript"/>
              </w:rPr>
              <w:t>-10</w:t>
            </w:r>
            <w:r>
              <w:rPr>
                <w:color w:val="FF0000"/>
                <w:kern w:val="0"/>
                <w:sz w:val="24"/>
                <w:szCs w:val="20"/>
              </w:rPr>
              <w:t>cm/s</w:t>
            </w:r>
            <w:r>
              <w:rPr>
                <w:rFonts w:hint="eastAsia"/>
                <w:color w:val="FF0000"/>
                <w:kern w:val="0"/>
                <w:sz w:val="24"/>
                <w:szCs w:val="20"/>
              </w:rPr>
              <w:t>）。</w:t>
            </w:r>
          </w:p>
          <w:p w14:paraId="17903FE2">
            <w:pPr>
              <w:spacing w:line="360" w:lineRule="auto"/>
              <w:ind w:firstLine="480" w:firstLineChars="200"/>
              <w:rPr>
                <w:color w:val="FF0000"/>
                <w:kern w:val="0"/>
                <w:sz w:val="24"/>
                <w:szCs w:val="20"/>
              </w:rPr>
            </w:pPr>
            <w:r>
              <w:rPr>
                <w:rFonts w:hint="eastAsia"/>
                <w:color w:val="FF0000"/>
                <w:kern w:val="0"/>
                <w:sz w:val="24"/>
                <w:szCs w:val="20"/>
              </w:rPr>
              <w:t>贮存设施应采取技术和管理措施防止无关人员进入。</w:t>
            </w:r>
          </w:p>
          <w:p w14:paraId="54AA7496">
            <w:pPr>
              <w:spacing w:line="360" w:lineRule="auto"/>
              <w:ind w:firstLine="480" w:firstLineChars="200"/>
              <w:rPr>
                <w:color w:val="FF0000"/>
                <w:kern w:val="0"/>
                <w:sz w:val="24"/>
                <w:szCs w:val="20"/>
              </w:rPr>
            </w:pPr>
            <w:r>
              <w:rPr>
                <w:rFonts w:hint="eastAsia"/>
                <w:color w:val="FF0000"/>
                <w:kern w:val="0"/>
                <w:sz w:val="24"/>
                <w:szCs w:val="20"/>
              </w:rPr>
              <w:t>应定期检查危险废物的贮存状况，及时清理贮存设施地面，更换破损泄漏的危险废物贮存容器和包装物。</w:t>
            </w:r>
          </w:p>
          <w:p w14:paraId="6670D0F6">
            <w:pPr>
              <w:spacing w:line="360" w:lineRule="auto"/>
              <w:ind w:firstLine="480" w:firstLineChars="200"/>
              <w:rPr>
                <w:color w:val="FF0000"/>
                <w:kern w:val="0"/>
                <w:sz w:val="24"/>
                <w:szCs w:val="20"/>
              </w:rPr>
            </w:pPr>
            <w:r>
              <w:rPr>
                <w:rFonts w:hint="eastAsia"/>
                <w:color w:val="FF0000"/>
                <w:kern w:val="0"/>
                <w:sz w:val="24"/>
                <w:szCs w:val="20"/>
              </w:rPr>
              <w:t>作业设备及车辆等结束作业离开贮存设施时，应对其残留的危险废物进行清理，清理的废物或清洗废水应收集处理。</w:t>
            </w:r>
          </w:p>
          <w:p w14:paraId="171BC8C2">
            <w:pPr>
              <w:spacing w:line="360" w:lineRule="auto"/>
              <w:ind w:firstLine="480" w:firstLineChars="200"/>
              <w:rPr>
                <w:color w:val="FF0000"/>
                <w:kern w:val="0"/>
                <w:sz w:val="24"/>
                <w:szCs w:val="20"/>
              </w:rPr>
            </w:pPr>
            <w:r>
              <w:rPr>
                <w:rFonts w:hint="eastAsia"/>
                <w:color w:val="FF0000"/>
                <w:kern w:val="0"/>
                <w:sz w:val="24"/>
                <w:szCs w:val="20"/>
              </w:rPr>
              <w:t>贮存设施运行期间，应按国家有关标准和规定建立危险废物管理台账并保存。</w:t>
            </w:r>
          </w:p>
          <w:p w14:paraId="0D8C2634">
            <w:pPr>
              <w:spacing w:line="360" w:lineRule="auto"/>
              <w:ind w:firstLine="480" w:firstLineChars="200"/>
              <w:rPr>
                <w:color w:val="FF0000"/>
                <w:kern w:val="0"/>
                <w:sz w:val="24"/>
                <w:szCs w:val="20"/>
              </w:rPr>
            </w:pPr>
            <w:r>
              <w:rPr>
                <w:rFonts w:hint="eastAsia"/>
                <w:color w:val="FF0000"/>
                <w:kern w:val="0"/>
                <w:sz w:val="24"/>
                <w:szCs w:val="20"/>
              </w:rPr>
              <w:t>贮存设施所有者或运营者应建立贮存设施环境管理制度、管理人员岗位职责制度、设施运行操作制度、人员岗位培训制度等。</w:t>
            </w:r>
          </w:p>
          <w:p w14:paraId="3D92C4BE">
            <w:pPr>
              <w:spacing w:line="360" w:lineRule="auto"/>
              <w:ind w:firstLine="480" w:firstLineChars="200"/>
              <w:rPr>
                <w:rFonts w:hint="eastAsia" w:ascii="Times New Roman" w:hAnsi="Times New Roman" w:cs="Times New Roman"/>
                <w:color w:val="FF0000"/>
                <w:kern w:val="0"/>
                <w:sz w:val="24"/>
                <w:szCs w:val="24"/>
                <w:lang w:val="en-US" w:eastAsia="zh-CN"/>
              </w:rPr>
            </w:pPr>
            <w:r>
              <w:rPr>
                <w:rFonts w:hint="eastAsia"/>
                <w:color w:val="FF0000"/>
                <w:kern w:val="0"/>
                <w:sz w:val="24"/>
                <w:szCs w:val="20"/>
              </w:rPr>
              <w:t>贮存设施所有者或运营者应建立贮存设施全部档案，包括设计、施工、验收、运行、监测和环境应急等，应按国家有关档案管理的法律法规进行整理和归档。</w:t>
            </w:r>
          </w:p>
          <w:p w14:paraId="4D6B6EDB">
            <w:pPr>
              <w:adjustRightInd w:val="0"/>
              <w:snapToGrid w:val="0"/>
              <w:spacing w:line="360" w:lineRule="auto"/>
              <w:ind w:firstLine="480" w:firstLineChars="200"/>
              <w:rPr>
                <w:b/>
                <w:color w:val="FF0000"/>
                <w:sz w:val="24"/>
              </w:rPr>
            </w:pPr>
            <w:r>
              <w:rPr>
                <w:rFonts w:hint="eastAsia" w:ascii="Times New Roman" w:hAnsi="Times New Roman" w:cs="Times New Roman"/>
                <w:color w:val="FF0000"/>
                <w:kern w:val="0"/>
                <w:sz w:val="24"/>
                <w:szCs w:val="24"/>
                <w:lang w:val="en-US" w:eastAsia="zh-CN"/>
              </w:rPr>
              <w:t>综上所述，在加强施工过程固体废物管理的前提下，固体废物环境影响可以得到有效控制和治理，环境影响较小。</w:t>
            </w:r>
          </w:p>
          <w:p w14:paraId="530B7158">
            <w:pPr>
              <w:adjustRightInd w:val="0"/>
              <w:snapToGrid w:val="0"/>
              <w:spacing w:line="360" w:lineRule="auto"/>
              <w:ind w:left="442"/>
              <w:rPr>
                <w:b/>
                <w:color w:val="auto"/>
                <w:sz w:val="24"/>
              </w:rPr>
            </w:pPr>
            <w:r>
              <w:rPr>
                <w:b/>
                <w:color w:val="auto"/>
                <w:sz w:val="24"/>
              </w:rPr>
              <w:t>5、环境风险分析</w:t>
            </w:r>
          </w:p>
          <w:p w14:paraId="79081A54">
            <w:pPr>
              <w:spacing w:line="360" w:lineRule="auto"/>
              <w:ind w:firstLine="480" w:firstLineChars="200"/>
              <w:contextualSpacing/>
              <w:rPr>
                <w:color w:val="auto"/>
                <w:kern w:val="32"/>
                <w:sz w:val="24"/>
                <w:szCs w:val="28"/>
              </w:rPr>
            </w:pPr>
            <w:r>
              <w:rPr>
                <w:color w:val="auto"/>
                <w:kern w:val="32"/>
                <w:sz w:val="24"/>
                <w:szCs w:val="28"/>
              </w:rPr>
              <w:t>（1）风险源分布情况及可能影响途径</w:t>
            </w:r>
          </w:p>
          <w:p w14:paraId="46E6EECB">
            <w:pPr>
              <w:spacing w:line="360" w:lineRule="auto"/>
              <w:ind w:firstLine="480" w:firstLineChars="200"/>
              <w:contextualSpacing/>
              <w:rPr>
                <w:color w:val="auto"/>
                <w:kern w:val="32"/>
                <w:sz w:val="24"/>
                <w:szCs w:val="28"/>
              </w:rPr>
            </w:pPr>
            <w:r>
              <w:rPr>
                <w:color w:val="auto"/>
                <w:kern w:val="32"/>
                <w:sz w:val="24"/>
                <w:szCs w:val="28"/>
              </w:rPr>
              <w:t>根据《建设项目环境风险评价技术导则》（HJ169-2018）附录B、GB3000.18、GB30000.28，拟建项目涉及的危险物质主要</w:t>
            </w:r>
            <w:r>
              <w:rPr>
                <w:rFonts w:hint="eastAsia"/>
                <w:color w:val="auto"/>
                <w:kern w:val="32"/>
                <w:sz w:val="24"/>
                <w:szCs w:val="28"/>
              </w:rPr>
              <w:t>包括</w:t>
            </w:r>
            <w:r>
              <w:rPr>
                <w:rFonts w:hint="eastAsia"/>
                <w:bCs/>
                <w:color w:val="auto"/>
                <w:kern w:val="0"/>
                <w:sz w:val="24"/>
                <w:szCs w:val="20"/>
              </w:rPr>
              <w:t>实验室废液、初洗废水、各类试剂等</w:t>
            </w:r>
            <w:r>
              <w:rPr>
                <w:color w:val="auto"/>
                <w:kern w:val="32"/>
                <w:sz w:val="24"/>
                <w:szCs w:val="28"/>
              </w:rPr>
              <w:t>，危险物质的分布情况及可能影响途径见下表。</w:t>
            </w:r>
          </w:p>
          <w:p w14:paraId="2463B957">
            <w:pPr>
              <w:keepNext/>
              <w:keepLines/>
              <w:jc w:val="center"/>
              <w:rPr>
                <w:b/>
                <w:bCs/>
                <w:color w:val="auto"/>
                <w:szCs w:val="21"/>
              </w:rPr>
            </w:pPr>
            <w:r>
              <w:rPr>
                <w:b/>
                <w:bCs/>
                <w:color w:val="auto"/>
                <w:szCs w:val="21"/>
              </w:rPr>
              <w:t>表</w:t>
            </w:r>
            <w:r>
              <w:rPr>
                <w:rFonts w:hint="eastAsia"/>
                <w:b/>
                <w:bCs/>
                <w:color w:val="auto"/>
                <w:szCs w:val="21"/>
              </w:rPr>
              <w:t>4-1</w:t>
            </w:r>
            <w:r>
              <w:rPr>
                <w:rFonts w:hint="eastAsia"/>
                <w:b/>
                <w:bCs/>
                <w:color w:val="auto"/>
                <w:szCs w:val="21"/>
                <w:lang w:val="en-US" w:eastAsia="zh-CN"/>
              </w:rPr>
              <w:t>6</w:t>
            </w:r>
            <w:r>
              <w:rPr>
                <w:rFonts w:hint="eastAsia"/>
                <w:b/>
                <w:bCs/>
                <w:color w:val="auto"/>
                <w:szCs w:val="21"/>
              </w:rPr>
              <w:t xml:space="preserve">   </w:t>
            </w:r>
            <w:r>
              <w:rPr>
                <w:b/>
                <w:bCs/>
                <w:color w:val="auto"/>
                <w:szCs w:val="21"/>
              </w:rPr>
              <w:t>风险源</w:t>
            </w:r>
            <w:r>
              <w:rPr>
                <w:rStyle w:val="27"/>
                <w:rFonts w:hint="default" w:ascii="Times New Roman" w:hAnsi="Times New Roman"/>
                <w:b/>
                <w:color w:val="auto"/>
                <w:sz w:val="21"/>
                <w:szCs w:val="21"/>
              </w:rPr>
              <w:t>分布情况及可能影响途径</w:t>
            </w:r>
            <w:r>
              <w:rPr>
                <w:b/>
                <w:bCs/>
                <w:color w:val="auto"/>
                <w:szCs w:val="21"/>
              </w:rPr>
              <w:t>一览表</w:t>
            </w:r>
          </w:p>
          <w:tbl>
            <w:tblPr>
              <w:tblStyle w:val="18"/>
              <w:tblW w:w="83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7" w:type="dxa"/>
                <w:bottom w:w="0" w:type="dxa"/>
                <w:right w:w="57" w:type="dxa"/>
              </w:tblCellMar>
            </w:tblPr>
            <w:tblGrid>
              <w:gridCol w:w="1282"/>
              <w:gridCol w:w="943"/>
              <w:gridCol w:w="1965"/>
              <w:gridCol w:w="1066"/>
              <w:gridCol w:w="1560"/>
              <w:gridCol w:w="1556"/>
            </w:tblGrid>
            <w:tr w14:paraId="76898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65" w:type="pct"/>
                  <w:vAlign w:val="center"/>
                </w:tcPr>
                <w:p w14:paraId="20C9FF0C">
                  <w:pPr>
                    <w:jc w:val="center"/>
                    <w:rPr>
                      <w:color w:val="auto"/>
                      <w:szCs w:val="21"/>
                      <w:shd w:val="clear" w:color="auto" w:fill="FFFFFF"/>
                    </w:rPr>
                  </w:pPr>
                  <w:r>
                    <w:rPr>
                      <w:color w:val="auto"/>
                      <w:szCs w:val="21"/>
                      <w:shd w:val="clear" w:color="auto" w:fill="FFFFFF"/>
                    </w:rPr>
                    <w:t>危险</w:t>
                  </w:r>
                </w:p>
                <w:p w14:paraId="004A2AEE">
                  <w:pPr>
                    <w:jc w:val="center"/>
                    <w:rPr>
                      <w:color w:val="auto"/>
                      <w:szCs w:val="21"/>
                      <w:shd w:val="clear" w:color="auto" w:fill="FFFFFF"/>
                    </w:rPr>
                  </w:pPr>
                  <w:r>
                    <w:rPr>
                      <w:color w:val="auto"/>
                      <w:szCs w:val="21"/>
                      <w:shd w:val="clear" w:color="auto" w:fill="FFFFFF"/>
                    </w:rPr>
                    <w:t>单元</w:t>
                  </w:r>
                </w:p>
              </w:tc>
              <w:tc>
                <w:tcPr>
                  <w:tcW w:w="563" w:type="pct"/>
                  <w:vAlign w:val="center"/>
                </w:tcPr>
                <w:p w14:paraId="385DAF73">
                  <w:pPr>
                    <w:jc w:val="center"/>
                    <w:rPr>
                      <w:color w:val="auto"/>
                      <w:szCs w:val="21"/>
                      <w:shd w:val="clear" w:color="auto" w:fill="FFFFFF"/>
                    </w:rPr>
                  </w:pPr>
                  <w:r>
                    <w:rPr>
                      <w:color w:val="auto"/>
                      <w:szCs w:val="21"/>
                      <w:shd w:val="clear" w:color="auto" w:fill="FFFFFF"/>
                    </w:rPr>
                    <w:t>主要风险源</w:t>
                  </w:r>
                </w:p>
              </w:tc>
              <w:tc>
                <w:tcPr>
                  <w:tcW w:w="1173" w:type="pct"/>
                  <w:vAlign w:val="center"/>
                </w:tcPr>
                <w:p w14:paraId="7D209116">
                  <w:pPr>
                    <w:jc w:val="center"/>
                    <w:rPr>
                      <w:color w:val="auto"/>
                      <w:szCs w:val="21"/>
                      <w:shd w:val="clear" w:color="auto" w:fill="FFFFFF"/>
                    </w:rPr>
                  </w:pPr>
                  <w:r>
                    <w:rPr>
                      <w:color w:val="auto"/>
                      <w:szCs w:val="21"/>
                      <w:shd w:val="clear" w:color="auto" w:fill="FFFFFF"/>
                    </w:rPr>
                    <w:t>主要危险物质</w:t>
                  </w:r>
                </w:p>
              </w:tc>
              <w:tc>
                <w:tcPr>
                  <w:tcW w:w="636" w:type="pct"/>
                  <w:vAlign w:val="center"/>
                </w:tcPr>
                <w:p w14:paraId="656AFE10">
                  <w:pPr>
                    <w:jc w:val="center"/>
                    <w:rPr>
                      <w:color w:val="auto"/>
                      <w:szCs w:val="21"/>
                      <w:shd w:val="clear" w:color="auto" w:fill="FFFFFF"/>
                    </w:rPr>
                  </w:pPr>
                  <w:r>
                    <w:rPr>
                      <w:color w:val="auto"/>
                      <w:szCs w:val="21"/>
                      <w:shd w:val="clear" w:color="auto" w:fill="FFFFFF"/>
                    </w:rPr>
                    <w:t>环境风险类型</w:t>
                  </w:r>
                </w:p>
              </w:tc>
              <w:tc>
                <w:tcPr>
                  <w:tcW w:w="931" w:type="pct"/>
                  <w:vAlign w:val="center"/>
                </w:tcPr>
                <w:p w14:paraId="54A19C6E">
                  <w:pPr>
                    <w:jc w:val="center"/>
                    <w:rPr>
                      <w:color w:val="auto"/>
                      <w:szCs w:val="21"/>
                      <w:shd w:val="clear" w:color="auto" w:fill="FFFFFF"/>
                    </w:rPr>
                  </w:pPr>
                  <w:r>
                    <w:rPr>
                      <w:color w:val="auto"/>
                      <w:szCs w:val="21"/>
                      <w:shd w:val="clear" w:color="auto" w:fill="FFFFFF"/>
                    </w:rPr>
                    <w:t>触发因素</w:t>
                  </w:r>
                </w:p>
              </w:tc>
              <w:tc>
                <w:tcPr>
                  <w:tcW w:w="929" w:type="pct"/>
                  <w:vAlign w:val="center"/>
                </w:tcPr>
                <w:p w14:paraId="56FB0206">
                  <w:pPr>
                    <w:jc w:val="center"/>
                    <w:rPr>
                      <w:color w:val="auto"/>
                      <w:szCs w:val="21"/>
                      <w:shd w:val="clear" w:color="auto" w:fill="FFFFFF"/>
                    </w:rPr>
                  </w:pPr>
                  <w:r>
                    <w:rPr>
                      <w:color w:val="auto"/>
                      <w:szCs w:val="21"/>
                      <w:shd w:val="clear" w:color="auto" w:fill="FFFFFF"/>
                    </w:rPr>
                    <w:t>可能环境影响途径</w:t>
                  </w:r>
                </w:p>
              </w:tc>
            </w:tr>
            <w:tr w14:paraId="27C78F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65" w:type="pct"/>
                  <w:vAlign w:val="center"/>
                </w:tcPr>
                <w:p w14:paraId="15038D81">
                  <w:pPr>
                    <w:jc w:val="center"/>
                    <w:rPr>
                      <w:rFonts w:hint="eastAsia" w:eastAsia="宋体"/>
                      <w:color w:val="auto"/>
                      <w:kern w:val="0"/>
                      <w:szCs w:val="21"/>
                      <w:lang w:eastAsia="zh-CN"/>
                    </w:rPr>
                  </w:pPr>
                  <w:r>
                    <w:rPr>
                      <w:rFonts w:hint="eastAsia"/>
                      <w:color w:val="auto"/>
                      <w:szCs w:val="21"/>
                      <w:shd w:val="clear" w:color="auto" w:fill="FFFFFF"/>
                      <w:lang w:eastAsia="zh-CN"/>
                    </w:rPr>
                    <w:t>危废贮存库</w:t>
                  </w:r>
                </w:p>
              </w:tc>
              <w:tc>
                <w:tcPr>
                  <w:tcW w:w="563" w:type="pct"/>
                  <w:vAlign w:val="center"/>
                </w:tcPr>
                <w:p w14:paraId="44585D36">
                  <w:pPr>
                    <w:jc w:val="center"/>
                    <w:rPr>
                      <w:rFonts w:hint="eastAsia" w:eastAsia="宋体"/>
                      <w:color w:val="auto"/>
                      <w:szCs w:val="21"/>
                      <w:shd w:val="clear" w:color="auto" w:fill="FFFFFF"/>
                      <w:lang w:eastAsia="zh-CN"/>
                    </w:rPr>
                  </w:pPr>
                  <w:r>
                    <w:rPr>
                      <w:rFonts w:hint="eastAsia"/>
                      <w:color w:val="auto"/>
                      <w:szCs w:val="21"/>
                      <w:shd w:val="clear" w:color="auto" w:fill="FFFFFF"/>
                      <w:lang w:eastAsia="zh-CN"/>
                    </w:rPr>
                    <w:t>危废贮存库</w:t>
                  </w:r>
                </w:p>
              </w:tc>
              <w:tc>
                <w:tcPr>
                  <w:tcW w:w="1173" w:type="pct"/>
                  <w:vAlign w:val="center"/>
                </w:tcPr>
                <w:p w14:paraId="0CFCC82C">
                  <w:pPr>
                    <w:jc w:val="center"/>
                    <w:rPr>
                      <w:color w:val="auto"/>
                      <w:szCs w:val="21"/>
                      <w:shd w:val="clear" w:color="auto" w:fill="FFFFFF"/>
                    </w:rPr>
                  </w:pPr>
                  <w:r>
                    <w:rPr>
                      <w:rFonts w:hint="eastAsia"/>
                      <w:color w:val="auto"/>
                      <w:szCs w:val="21"/>
                      <w:shd w:val="clear" w:color="auto" w:fill="FFFFFF"/>
                    </w:rPr>
                    <w:t>实验废液、初洗废水等</w:t>
                  </w:r>
                </w:p>
              </w:tc>
              <w:tc>
                <w:tcPr>
                  <w:tcW w:w="636" w:type="pct"/>
                  <w:vMerge w:val="restart"/>
                  <w:vAlign w:val="center"/>
                </w:tcPr>
                <w:p w14:paraId="5897F482">
                  <w:pPr>
                    <w:jc w:val="center"/>
                    <w:rPr>
                      <w:color w:val="auto"/>
                      <w:kern w:val="0"/>
                      <w:szCs w:val="21"/>
                    </w:rPr>
                  </w:pPr>
                  <w:r>
                    <w:rPr>
                      <w:color w:val="auto"/>
                      <w:szCs w:val="21"/>
                      <w:shd w:val="clear" w:color="auto" w:fill="FFFFFF"/>
                    </w:rPr>
                    <w:t>泄漏、火灾引发次生/伴生污染物排放</w:t>
                  </w:r>
                </w:p>
              </w:tc>
              <w:tc>
                <w:tcPr>
                  <w:tcW w:w="931" w:type="pct"/>
                  <w:vMerge w:val="restart"/>
                  <w:vAlign w:val="center"/>
                </w:tcPr>
                <w:p w14:paraId="588C05BA">
                  <w:pPr>
                    <w:jc w:val="center"/>
                    <w:rPr>
                      <w:color w:val="auto"/>
                      <w:kern w:val="0"/>
                      <w:szCs w:val="21"/>
                    </w:rPr>
                  </w:pPr>
                  <w:r>
                    <w:rPr>
                      <w:rFonts w:hint="eastAsia"/>
                      <w:color w:val="auto"/>
                      <w:szCs w:val="21"/>
                      <w:shd w:val="clear" w:color="auto" w:fill="FFFFFF"/>
                    </w:rPr>
                    <w:t>存储方式不当，包装破损，</w:t>
                  </w:r>
                  <w:r>
                    <w:rPr>
                      <w:color w:val="auto"/>
                      <w:szCs w:val="21"/>
                      <w:shd w:val="clear" w:color="auto" w:fill="FFFFFF"/>
                    </w:rPr>
                    <w:t>材质缺陷、操作失误等引发泄漏</w:t>
                  </w:r>
                </w:p>
              </w:tc>
              <w:tc>
                <w:tcPr>
                  <w:tcW w:w="929" w:type="pct"/>
                  <w:vMerge w:val="restart"/>
                  <w:vAlign w:val="center"/>
                </w:tcPr>
                <w:p w14:paraId="0EC49CFF">
                  <w:pPr>
                    <w:jc w:val="center"/>
                    <w:rPr>
                      <w:color w:val="auto"/>
                      <w:kern w:val="0"/>
                      <w:szCs w:val="21"/>
                    </w:rPr>
                  </w:pPr>
                  <w:r>
                    <w:rPr>
                      <w:color w:val="auto"/>
                      <w:szCs w:val="21"/>
                      <w:shd w:val="clear" w:color="auto" w:fill="FFFFFF"/>
                    </w:rPr>
                    <w:t>污染物进入环境空气、事故废水进入土壤、地表水、地下水</w:t>
                  </w:r>
                </w:p>
              </w:tc>
            </w:tr>
            <w:tr w14:paraId="7BEE06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65" w:type="pct"/>
                  <w:vAlign w:val="center"/>
                </w:tcPr>
                <w:p w14:paraId="2DE25333">
                  <w:pPr>
                    <w:jc w:val="center"/>
                    <w:rPr>
                      <w:color w:val="auto"/>
                      <w:szCs w:val="21"/>
                      <w:shd w:val="clear" w:color="auto" w:fill="FFFFFF"/>
                    </w:rPr>
                  </w:pPr>
                  <w:r>
                    <w:rPr>
                      <w:rFonts w:hint="eastAsia"/>
                      <w:color w:val="auto"/>
                      <w:szCs w:val="21"/>
                      <w:shd w:val="clear" w:color="auto" w:fill="FFFFFF"/>
                    </w:rPr>
                    <w:t>库房</w:t>
                  </w:r>
                </w:p>
              </w:tc>
              <w:tc>
                <w:tcPr>
                  <w:tcW w:w="563" w:type="pct"/>
                  <w:vAlign w:val="center"/>
                </w:tcPr>
                <w:p w14:paraId="5E9EA9EF">
                  <w:pPr>
                    <w:jc w:val="center"/>
                    <w:rPr>
                      <w:color w:val="auto"/>
                      <w:szCs w:val="21"/>
                      <w:shd w:val="clear" w:color="auto" w:fill="FFFFFF"/>
                    </w:rPr>
                  </w:pPr>
                  <w:r>
                    <w:rPr>
                      <w:rFonts w:hint="eastAsia"/>
                      <w:color w:val="auto"/>
                      <w:szCs w:val="21"/>
                      <w:shd w:val="clear" w:color="auto" w:fill="FFFFFF"/>
                    </w:rPr>
                    <w:t>库房</w:t>
                  </w:r>
                </w:p>
              </w:tc>
              <w:tc>
                <w:tcPr>
                  <w:tcW w:w="1173" w:type="pct"/>
                  <w:vAlign w:val="center"/>
                </w:tcPr>
                <w:p w14:paraId="07EA30EF">
                  <w:pPr>
                    <w:jc w:val="center"/>
                    <w:rPr>
                      <w:color w:val="auto"/>
                      <w:szCs w:val="21"/>
                      <w:shd w:val="clear" w:color="auto" w:fill="FFFFFF"/>
                    </w:rPr>
                  </w:pPr>
                  <w:r>
                    <w:rPr>
                      <w:rFonts w:hint="eastAsia"/>
                      <w:color w:val="auto"/>
                      <w:szCs w:val="21"/>
                      <w:shd w:val="clear" w:color="auto" w:fill="FFFFFF"/>
                    </w:rPr>
                    <w:t>石油醚、乙酸乙酯、甲醇、乙醇等</w:t>
                  </w:r>
                </w:p>
              </w:tc>
              <w:tc>
                <w:tcPr>
                  <w:tcW w:w="636" w:type="pct"/>
                  <w:vMerge w:val="continue"/>
                  <w:vAlign w:val="center"/>
                </w:tcPr>
                <w:p w14:paraId="3E640502">
                  <w:pPr>
                    <w:jc w:val="center"/>
                    <w:rPr>
                      <w:color w:val="auto"/>
                      <w:szCs w:val="21"/>
                      <w:shd w:val="clear" w:color="auto" w:fill="FFFFFF"/>
                    </w:rPr>
                  </w:pPr>
                </w:p>
              </w:tc>
              <w:tc>
                <w:tcPr>
                  <w:tcW w:w="931" w:type="pct"/>
                  <w:vMerge w:val="continue"/>
                  <w:vAlign w:val="center"/>
                </w:tcPr>
                <w:p w14:paraId="1E2102CF">
                  <w:pPr>
                    <w:jc w:val="center"/>
                    <w:rPr>
                      <w:color w:val="auto"/>
                      <w:szCs w:val="21"/>
                      <w:shd w:val="clear" w:color="auto" w:fill="FFFFFF"/>
                    </w:rPr>
                  </w:pPr>
                </w:p>
              </w:tc>
              <w:tc>
                <w:tcPr>
                  <w:tcW w:w="929" w:type="pct"/>
                  <w:vMerge w:val="continue"/>
                  <w:vAlign w:val="center"/>
                </w:tcPr>
                <w:p w14:paraId="737573F2">
                  <w:pPr>
                    <w:jc w:val="center"/>
                    <w:rPr>
                      <w:color w:val="auto"/>
                      <w:szCs w:val="21"/>
                      <w:shd w:val="clear" w:color="auto" w:fill="FFFFFF"/>
                    </w:rPr>
                  </w:pPr>
                </w:p>
              </w:tc>
            </w:tr>
          </w:tbl>
          <w:p w14:paraId="757557EB">
            <w:pPr>
              <w:spacing w:line="360" w:lineRule="auto"/>
              <w:ind w:firstLine="480" w:firstLineChars="200"/>
              <w:rPr>
                <w:color w:val="auto"/>
                <w:sz w:val="24"/>
              </w:rPr>
            </w:pPr>
            <w:r>
              <w:rPr>
                <w:color w:val="auto"/>
                <w:sz w:val="24"/>
              </w:rPr>
              <w:t>A、物质危险性识别</w:t>
            </w:r>
          </w:p>
          <w:p w14:paraId="31BAD45F">
            <w:pPr>
              <w:spacing w:line="360" w:lineRule="auto"/>
              <w:ind w:firstLine="480" w:firstLineChars="200"/>
              <w:rPr>
                <w:color w:val="auto"/>
                <w:sz w:val="24"/>
              </w:rPr>
            </w:pPr>
            <w:r>
              <w:rPr>
                <w:color w:val="auto"/>
                <w:sz w:val="24"/>
              </w:rPr>
              <w:t>结合《建设项目环境风险评价技术导则》</w:t>
            </w:r>
            <w:r>
              <w:rPr>
                <w:rFonts w:hint="eastAsia"/>
                <w:color w:val="auto"/>
                <w:sz w:val="24"/>
              </w:rPr>
              <w:t>（</w:t>
            </w:r>
            <w:r>
              <w:rPr>
                <w:color w:val="auto"/>
                <w:sz w:val="24"/>
              </w:rPr>
              <w:t>HJ169-2018</w:t>
            </w:r>
            <w:r>
              <w:rPr>
                <w:rFonts w:hint="eastAsia"/>
                <w:color w:val="auto"/>
                <w:sz w:val="24"/>
              </w:rPr>
              <w:t>）</w:t>
            </w:r>
            <w:r>
              <w:rPr>
                <w:color w:val="auto"/>
                <w:sz w:val="24"/>
              </w:rPr>
              <w:t>中附录B，在不同厂区的同一种物质，按其在厂界内的最大存在总量计算。当只涉及一种危险物质时，计算该物质的总量与其临界量比值，即为Q；当存在多种危险物质时，则按下式计算物质总量与其临界量比值（Q）：</w:t>
            </w:r>
          </w:p>
          <w:p w14:paraId="6772200B">
            <w:pPr>
              <w:spacing w:line="360" w:lineRule="auto"/>
              <w:jc w:val="center"/>
              <w:rPr>
                <w:color w:val="auto"/>
              </w:rPr>
            </w:pPr>
            <w:r>
              <w:rPr>
                <w:color w:val="auto"/>
              </w:rPr>
              <w:drawing>
                <wp:inline distT="0" distB="0" distL="114300" distR="114300">
                  <wp:extent cx="1988185" cy="537845"/>
                  <wp:effectExtent l="0" t="0" r="12065" b="14605"/>
                  <wp:docPr id="1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1"/>
                          <pic:cNvPicPr>
                            <a:picLocks noChangeAspect="1"/>
                          </pic:cNvPicPr>
                        </pic:nvPicPr>
                        <pic:blipFill>
                          <a:blip r:embed="rId15" cstate="print">
                            <a:lum contrast="6000"/>
                          </a:blip>
                          <a:stretch>
                            <a:fillRect/>
                          </a:stretch>
                        </pic:blipFill>
                        <pic:spPr>
                          <a:xfrm>
                            <a:off x="0" y="0"/>
                            <a:ext cx="1988185" cy="537845"/>
                          </a:xfrm>
                          <a:prstGeom prst="rect">
                            <a:avLst/>
                          </a:prstGeom>
                          <a:noFill/>
                          <a:ln>
                            <a:noFill/>
                          </a:ln>
                        </pic:spPr>
                      </pic:pic>
                    </a:graphicData>
                  </a:graphic>
                </wp:inline>
              </w:drawing>
            </w:r>
          </w:p>
          <w:p w14:paraId="2044368A">
            <w:pPr>
              <w:spacing w:line="360" w:lineRule="auto"/>
              <w:ind w:firstLine="480" w:firstLineChars="200"/>
              <w:rPr>
                <w:color w:val="auto"/>
                <w:sz w:val="24"/>
              </w:rPr>
            </w:pPr>
            <w:r>
              <w:rPr>
                <w:color w:val="auto"/>
                <w:sz w:val="24"/>
              </w:rPr>
              <w:t>式中q</w:t>
            </w:r>
            <w:r>
              <w:rPr>
                <w:color w:val="auto"/>
                <w:sz w:val="24"/>
                <w:vertAlign w:val="subscript"/>
              </w:rPr>
              <w:t>1</w:t>
            </w:r>
            <w:r>
              <w:rPr>
                <w:color w:val="auto"/>
                <w:sz w:val="24"/>
              </w:rPr>
              <w:t>，q</w:t>
            </w:r>
            <w:r>
              <w:rPr>
                <w:color w:val="auto"/>
                <w:sz w:val="24"/>
                <w:vertAlign w:val="subscript"/>
              </w:rPr>
              <w:t>2</w:t>
            </w:r>
            <w:r>
              <w:rPr>
                <w:color w:val="auto"/>
                <w:sz w:val="24"/>
              </w:rPr>
              <w:t>………q</w:t>
            </w:r>
            <w:r>
              <w:rPr>
                <w:color w:val="auto"/>
                <w:sz w:val="24"/>
                <w:vertAlign w:val="subscript"/>
              </w:rPr>
              <w:t>n</w:t>
            </w:r>
            <w:r>
              <w:rPr>
                <w:color w:val="auto"/>
                <w:sz w:val="24"/>
              </w:rPr>
              <w:t>——每种危险物质实际最大储存量，t；</w:t>
            </w:r>
          </w:p>
          <w:p w14:paraId="73ED1F3A">
            <w:pPr>
              <w:spacing w:line="360" w:lineRule="auto"/>
              <w:ind w:firstLine="480" w:firstLineChars="200"/>
              <w:rPr>
                <w:color w:val="auto"/>
                <w:sz w:val="24"/>
              </w:rPr>
            </w:pPr>
            <w:r>
              <w:rPr>
                <w:color w:val="auto"/>
                <w:sz w:val="24"/>
              </w:rPr>
              <w:t>Q</w:t>
            </w:r>
            <w:r>
              <w:rPr>
                <w:color w:val="auto"/>
                <w:sz w:val="24"/>
                <w:vertAlign w:val="subscript"/>
              </w:rPr>
              <w:t>1</w:t>
            </w:r>
            <w:r>
              <w:rPr>
                <w:color w:val="auto"/>
                <w:sz w:val="24"/>
              </w:rPr>
              <w:t>，Q</w:t>
            </w:r>
            <w:r>
              <w:rPr>
                <w:color w:val="auto"/>
                <w:sz w:val="24"/>
                <w:vertAlign w:val="subscript"/>
              </w:rPr>
              <w:t>2</w:t>
            </w:r>
            <w:r>
              <w:rPr>
                <w:color w:val="auto"/>
                <w:sz w:val="24"/>
              </w:rPr>
              <w:t>，……Q</w:t>
            </w:r>
            <w:r>
              <w:rPr>
                <w:color w:val="auto"/>
                <w:sz w:val="24"/>
                <w:vertAlign w:val="subscript"/>
              </w:rPr>
              <w:t>n</w:t>
            </w:r>
            <w:r>
              <w:rPr>
                <w:color w:val="auto"/>
                <w:sz w:val="24"/>
              </w:rPr>
              <w:t>——与各危险化学品相对应的临界量，t。</w:t>
            </w:r>
          </w:p>
          <w:p w14:paraId="6AD3DEC4">
            <w:pPr>
              <w:spacing w:line="360" w:lineRule="auto"/>
              <w:ind w:firstLine="480" w:firstLineChars="200"/>
              <w:rPr>
                <w:color w:val="auto"/>
              </w:rPr>
            </w:pPr>
            <w:r>
              <w:rPr>
                <w:color w:val="auto"/>
                <w:sz w:val="24"/>
              </w:rPr>
              <w:t>其判定结果如下表所示。</w:t>
            </w:r>
          </w:p>
          <w:p w14:paraId="5D15F837">
            <w:pPr>
              <w:widowControl/>
              <w:jc w:val="center"/>
              <w:rPr>
                <w:b/>
                <w:bCs/>
                <w:color w:val="auto"/>
                <w:kern w:val="0"/>
                <w:szCs w:val="21"/>
              </w:rPr>
            </w:pPr>
            <w:r>
              <w:rPr>
                <w:b/>
                <w:bCs/>
                <w:color w:val="auto"/>
                <w:kern w:val="0"/>
                <w:szCs w:val="21"/>
              </w:rPr>
              <w:t>表</w:t>
            </w:r>
            <w:r>
              <w:rPr>
                <w:rFonts w:hint="eastAsia"/>
                <w:b/>
                <w:bCs/>
                <w:color w:val="auto"/>
                <w:kern w:val="0"/>
                <w:szCs w:val="21"/>
              </w:rPr>
              <w:t>4-1</w:t>
            </w:r>
            <w:r>
              <w:rPr>
                <w:rFonts w:hint="eastAsia"/>
                <w:b/>
                <w:bCs/>
                <w:color w:val="auto"/>
                <w:kern w:val="0"/>
                <w:szCs w:val="21"/>
                <w:lang w:val="en-US" w:eastAsia="zh-CN"/>
              </w:rPr>
              <w:t>6</w:t>
            </w:r>
            <w:r>
              <w:rPr>
                <w:rFonts w:hint="eastAsia"/>
                <w:b/>
                <w:bCs/>
                <w:color w:val="auto"/>
                <w:kern w:val="0"/>
                <w:szCs w:val="21"/>
              </w:rPr>
              <w:t xml:space="preserve">   </w:t>
            </w:r>
            <w:r>
              <w:rPr>
                <w:b/>
                <w:bCs/>
                <w:color w:val="auto"/>
                <w:kern w:val="0"/>
                <w:szCs w:val="21"/>
              </w:rPr>
              <w:t>重大危险源辨识结果</w:t>
            </w:r>
          </w:p>
          <w:tbl>
            <w:tblPr>
              <w:tblStyle w:val="18"/>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2072"/>
              <w:gridCol w:w="1364"/>
              <w:gridCol w:w="1357"/>
            </w:tblGrid>
            <w:tr w14:paraId="0BBD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9" w:type="dxa"/>
                  <w:vAlign w:val="center"/>
                </w:tcPr>
                <w:p w14:paraId="2EE04F4A">
                  <w:pPr>
                    <w:widowControl/>
                    <w:jc w:val="center"/>
                    <w:rPr>
                      <w:color w:val="auto"/>
                      <w:kern w:val="0"/>
                      <w:szCs w:val="21"/>
                    </w:rPr>
                  </w:pPr>
                  <w:r>
                    <w:rPr>
                      <w:color w:val="auto"/>
                      <w:kern w:val="0"/>
                      <w:szCs w:val="21"/>
                    </w:rPr>
                    <w:t>名称</w:t>
                  </w:r>
                </w:p>
              </w:tc>
              <w:tc>
                <w:tcPr>
                  <w:tcW w:w="2072" w:type="dxa"/>
                  <w:vAlign w:val="center"/>
                </w:tcPr>
                <w:p w14:paraId="6E4EA6A4">
                  <w:pPr>
                    <w:widowControl/>
                    <w:jc w:val="center"/>
                    <w:rPr>
                      <w:color w:val="auto"/>
                      <w:szCs w:val="21"/>
                    </w:rPr>
                  </w:pPr>
                  <w:r>
                    <w:rPr>
                      <w:color w:val="auto"/>
                      <w:kern w:val="0"/>
                      <w:szCs w:val="21"/>
                    </w:rPr>
                    <w:t>本项目最大储量（t）</w:t>
                  </w:r>
                </w:p>
              </w:tc>
              <w:tc>
                <w:tcPr>
                  <w:tcW w:w="1364" w:type="dxa"/>
                  <w:vAlign w:val="center"/>
                </w:tcPr>
                <w:p w14:paraId="5A5BDCD5">
                  <w:pPr>
                    <w:widowControl/>
                    <w:jc w:val="center"/>
                    <w:rPr>
                      <w:color w:val="auto"/>
                      <w:szCs w:val="21"/>
                    </w:rPr>
                  </w:pPr>
                  <w:r>
                    <w:rPr>
                      <w:color w:val="auto"/>
                      <w:kern w:val="0"/>
                      <w:szCs w:val="21"/>
                    </w:rPr>
                    <w:t>临界量（t）</w:t>
                  </w:r>
                </w:p>
              </w:tc>
              <w:tc>
                <w:tcPr>
                  <w:tcW w:w="1357" w:type="dxa"/>
                  <w:vAlign w:val="center"/>
                </w:tcPr>
                <w:p w14:paraId="1133CFF1">
                  <w:pPr>
                    <w:widowControl/>
                    <w:jc w:val="center"/>
                    <w:rPr>
                      <w:color w:val="auto"/>
                      <w:szCs w:val="21"/>
                    </w:rPr>
                  </w:pPr>
                  <w:r>
                    <w:rPr>
                      <w:color w:val="auto"/>
                      <w:kern w:val="0"/>
                      <w:szCs w:val="21"/>
                    </w:rPr>
                    <w:t>Q值</w:t>
                  </w:r>
                </w:p>
              </w:tc>
            </w:tr>
            <w:tr w14:paraId="07BD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3579" w:type="dxa"/>
                  <w:vAlign w:val="center"/>
                </w:tcPr>
                <w:p w14:paraId="6ECEA103">
                  <w:pPr>
                    <w:widowControl/>
                    <w:jc w:val="center"/>
                    <w:rPr>
                      <w:color w:val="auto"/>
                      <w:kern w:val="0"/>
                      <w:szCs w:val="21"/>
                    </w:rPr>
                  </w:pPr>
                  <w:r>
                    <w:rPr>
                      <w:rFonts w:hint="eastAsia"/>
                      <w:color w:val="auto"/>
                      <w:kern w:val="0"/>
                      <w:szCs w:val="21"/>
                    </w:rPr>
                    <w:t>石油醚</w:t>
                  </w:r>
                </w:p>
              </w:tc>
              <w:tc>
                <w:tcPr>
                  <w:tcW w:w="2072" w:type="dxa"/>
                  <w:vAlign w:val="center"/>
                </w:tcPr>
                <w:p w14:paraId="0803E4D5">
                  <w:pPr>
                    <w:widowControl/>
                    <w:jc w:val="center"/>
                    <w:rPr>
                      <w:color w:val="auto"/>
                      <w:kern w:val="0"/>
                      <w:szCs w:val="21"/>
                    </w:rPr>
                  </w:pPr>
                  <w:r>
                    <w:rPr>
                      <w:rFonts w:hint="eastAsia"/>
                      <w:color w:val="auto"/>
                      <w:kern w:val="0"/>
                      <w:szCs w:val="21"/>
                    </w:rPr>
                    <w:t>0.05</w:t>
                  </w:r>
                </w:p>
              </w:tc>
              <w:tc>
                <w:tcPr>
                  <w:tcW w:w="1364" w:type="dxa"/>
                  <w:vAlign w:val="center"/>
                </w:tcPr>
                <w:p w14:paraId="186E72DB">
                  <w:pPr>
                    <w:widowControl/>
                    <w:jc w:val="center"/>
                    <w:rPr>
                      <w:color w:val="auto"/>
                      <w:kern w:val="0"/>
                      <w:szCs w:val="21"/>
                    </w:rPr>
                  </w:pPr>
                  <w:r>
                    <w:rPr>
                      <w:rFonts w:hint="eastAsia"/>
                      <w:color w:val="auto"/>
                      <w:kern w:val="0"/>
                      <w:szCs w:val="21"/>
                    </w:rPr>
                    <w:t>10</w:t>
                  </w:r>
                </w:p>
              </w:tc>
              <w:tc>
                <w:tcPr>
                  <w:tcW w:w="1357" w:type="dxa"/>
                  <w:vAlign w:val="center"/>
                </w:tcPr>
                <w:p w14:paraId="60390D3B">
                  <w:pPr>
                    <w:widowControl/>
                    <w:jc w:val="center"/>
                    <w:textAlignment w:val="center"/>
                    <w:rPr>
                      <w:color w:val="auto"/>
                      <w:kern w:val="0"/>
                      <w:szCs w:val="21"/>
                    </w:rPr>
                  </w:pPr>
                  <w:r>
                    <w:rPr>
                      <w:color w:val="auto"/>
                      <w:kern w:val="0"/>
                      <w:szCs w:val="21"/>
                      <w:lang w:bidi="ar"/>
                    </w:rPr>
                    <w:t>0.005</w:t>
                  </w:r>
                </w:p>
              </w:tc>
            </w:tr>
            <w:tr w14:paraId="70F1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3579" w:type="dxa"/>
                  <w:vAlign w:val="center"/>
                </w:tcPr>
                <w:p w14:paraId="089191E2">
                  <w:pPr>
                    <w:widowControl/>
                    <w:jc w:val="center"/>
                    <w:rPr>
                      <w:color w:val="auto"/>
                      <w:kern w:val="0"/>
                      <w:szCs w:val="21"/>
                    </w:rPr>
                  </w:pPr>
                  <w:r>
                    <w:rPr>
                      <w:rFonts w:hint="eastAsia"/>
                      <w:color w:val="auto"/>
                      <w:kern w:val="0"/>
                      <w:szCs w:val="21"/>
                    </w:rPr>
                    <w:t>乙酸乙酯</w:t>
                  </w:r>
                </w:p>
              </w:tc>
              <w:tc>
                <w:tcPr>
                  <w:tcW w:w="2072" w:type="dxa"/>
                  <w:vAlign w:val="center"/>
                </w:tcPr>
                <w:p w14:paraId="5396307D">
                  <w:pPr>
                    <w:widowControl/>
                    <w:jc w:val="center"/>
                    <w:rPr>
                      <w:color w:val="auto"/>
                      <w:kern w:val="0"/>
                      <w:szCs w:val="21"/>
                    </w:rPr>
                  </w:pPr>
                  <w:r>
                    <w:rPr>
                      <w:rFonts w:hint="eastAsia"/>
                      <w:color w:val="auto"/>
                      <w:kern w:val="0"/>
                      <w:szCs w:val="21"/>
                    </w:rPr>
                    <w:t>0.05</w:t>
                  </w:r>
                </w:p>
              </w:tc>
              <w:tc>
                <w:tcPr>
                  <w:tcW w:w="1364" w:type="dxa"/>
                  <w:vAlign w:val="center"/>
                </w:tcPr>
                <w:p w14:paraId="43CF1DC0">
                  <w:pPr>
                    <w:widowControl/>
                    <w:jc w:val="center"/>
                    <w:rPr>
                      <w:color w:val="auto"/>
                      <w:kern w:val="0"/>
                      <w:szCs w:val="21"/>
                    </w:rPr>
                  </w:pPr>
                  <w:r>
                    <w:rPr>
                      <w:rFonts w:hint="eastAsia"/>
                      <w:color w:val="auto"/>
                      <w:kern w:val="0"/>
                      <w:szCs w:val="21"/>
                    </w:rPr>
                    <w:t>10</w:t>
                  </w:r>
                </w:p>
              </w:tc>
              <w:tc>
                <w:tcPr>
                  <w:tcW w:w="1357" w:type="dxa"/>
                  <w:vAlign w:val="center"/>
                </w:tcPr>
                <w:p w14:paraId="7BB52FA1">
                  <w:pPr>
                    <w:widowControl/>
                    <w:jc w:val="center"/>
                    <w:textAlignment w:val="center"/>
                    <w:rPr>
                      <w:color w:val="auto"/>
                      <w:kern w:val="0"/>
                      <w:szCs w:val="21"/>
                    </w:rPr>
                  </w:pPr>
                  <w:r>
                    <w:rPr>
                      <w:color w:val="auto"/>
                      <w:kern w:val="0"/>
                      <w:szCs w:val="21"/>
                      <w:lang w:bidi="ar"/>
                    </w:rPr>
                    <w:t>0.005</w:t>
                  </w:r>
                </w:p>
              </w:tc>
            </w:tr>
            <w:tr w14:paraId="1310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3579" w:type="dxa"/>
                  <w:vAlign w:val="center"/>
                </w:tcPr>
                <w:p w14:paraId="44B36DA3">
                  <w:pPr>
                    <w:widowControl/>
                    <w:jc w:val="center"/>
                    <w:rPr>
                      <w:color w:val="auto"/>
                      <w:kern w:val="0"/>
                      <w:szCs w:val="21"/>
                    </w:rPr>
                  </w:pPr>
                  <w:r>
                    <w:rPr>
                      <w:rFonts w:hint="eastAsia"/>
                      <w:color w:val="auto"/>
                      <w:kern w:val="0"/>
                      <w:szCs w:val="21"/>
                    </w:rPr>
                    <w:t>甲醇</w:t>
                  </w:r>
                </w:p>
              </w:tc>
              <w:tc>
                <w:tcPr>
                  <w:tcW w:w="2072" w:type="dxa"/>
                  <w:vAlign w:val="center"/>
                </w:tcPr>
                <w:p w14:paraId="677BFBF5">
                  <w:pPr>
                    <w:widowControl/>
                    <w:jc w:val="center"/>
                    <w:rPr>
                      <w:color w:val="auto"/>
                      <w:kern w:val="0"/>
                      <w:szCs w:val="21"/>
                    </w:rPr>
                  </w:pPr>
                  <w:r>
                    <w:rPr>
                      <w:rFonts w:hint="eastAsia"/>
                      <w:color w:val="auto"/>
                      <w:kern w:val="0"/>
                      <w:szCs w:val="21"/>
                    </w:rPr>
                    <w:t>0.05</w:t>
                  </w:r>
                </w:p>
              </w:tc>
              <w:tc>
                <w:tcPr>
                  <w:tcW w:w="1364" w:type="dxa"/>
                  <w:vAlign w:val="center"/>
                </w:tcPr>
                <w:p w14:paraId="4B48A56C">
                  <w:pPr>
                    <w:widowControl/>
                    <w:jc w:val="center"/>
                    <w:rPr>
                      <w:color w:val="auto"/>
                      <w:kern w:val="0"/>
                      <w:szCs w:val="21"/>
                    </w:rPr>
                  </w:pPr>
                  <w:r>
                    <w:rPr>
                      <w:rFonts w:hint="eastAsia"/>
                      <w:color w:val="auto"/>
                      <w:kern w:val="0"/>
                      <w:szCs w:val="21"/>
                    </w:rPr>
                    <w:t>10</w:t>
                  </w:r>
                </w:p>
              </w:tc>
              <w:tc>
                <w:tcPr>
                  <w:tcW w:w="1357" w:type="dxa"/>
                  <w:vAlign w:val="center"/>
                </w:tcPr>
                <w:p w14:paraId="00B46469">
                  <w:pPr>
                    <w:widowControl/>
                    <w:jc w:val="center"/>
                    <w:textAlignment w:val="center"/>
                    <w:rPr>
                      <w:color w:val="auto"/>
                      <w:kern w:val="0"/>
                      <w:szCs w:val="21"/>
                      <w:lang w:bidi="ar"/>
                    </w:rPr>
                  </w:pPr>
                  <w:r>
                    <w:rPr>
                      <w:color w:val="auto"/>
                      <w:kern w:val="0"/>
                      <w:szCs w:val="21"/>
                      <w:lang w:bidi="ar"/>
                    </w:rPr>
                    <w:t>0.005</w:t>
                  </w:r>
                </w:p>
              </w:tc>
            </w:tr>
            <w:tr w14:paraId="7F22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9" w:type="dxa"/>
                  <w:vAlign w:val="center"/>
                </w:tcPr>
                <w:p w14:paraId="6F8CC827">
                  <w:pPr>
                    <w:pStyle w:val="42"/>
                    <w:jc w:val="center"/>
                    <w:rPr>
                      <w:rFonts w:eastAsia="宋体"/>
                      <w:color w:val="auto"/>
                      <w:kern w:val="0"/>
                      <w:szCs w:val="21"/>
                      <w:lang w:eastAsia="zh-CN"/>
                    </w:rPr>
                  </w:pPr>
                  <w:r>
                    <w:rPr>
                      <w:rFonts w:ascii="Times New Roman" w:hAnsi="Times New Roman" w:eastAsia="Times New Roman" w:cs="Times New Roman"/>
                      <w:color w:val="auto"/>
                      <w:sz w:val="21"/>
                      <w:szCs w:val="21"/>
                      <w:lang w:eastAsia="zh-CN"/>
                    </w:rPr>
                    <w:t>N,N-</w:t>
                  </w:r>
                  <w:r>
                    <w:rPr>
                      <w:rFonts w:ascii="Times New Roman" w:hAnsi="Times New Roman" w:cs="Times New Roman"/>
                      <w:color w:val="auto"/>
                      <w:sz w:val="21"/>
                      <w:szCs w:val="21"/>
                      <w:lang w:eastAsia="zh-CN"/>
                    </w:rPr>
                    <w:t>二甲基甲酰胺</w:t>
                  </w:r>
                </w:p>
              </w:tc>
              <w:tc>
                <w:tcPr>
                  <w:tcW w:w="2072" w:type="dxa"/>
                  <w:vAlign w:val="center"/>
                </w:tcPr>
                <w:p w14:paraId="06E771B0">
                  <w:pPr>
                    <w:widowControl/>
                    <w:jc w:val="center"/>
                    <w:rPr>
                      <w:color w:val="auto"/>
                      <w:kern w:val="0"/>
                      <w:szCs w:val="21"/>
                    </w:rPr>
                  </w:pPr>
                  <w:r>
                    <w:rPr>
                      <w:rFonts w:hint="eastAsia"/>
                      <w:color w:val="auto"/>
                      <w:kern w:val="0"/>
                      <w:szCs w:val="21"/>
                    </w:rPr>
                    <w:t>0.05</w:t>
                  </w:r>
                </w:p>
              </w:tc>
              <w:tc>
                <w:tcPr>
                  <w:tcW w:w="1364" w:type="dxa"/>
                  <w:vAlign w:val="center"/>
                </w:tcPr>
                <w:p w14:paraId="7801279A">
                  <w:pPr>
                    <w:widowControl/>
                    <w:jc w:val="center"/>
                    <w:rPr>
                      <w:color w:val="auto"/>
                      <w:kern w:val="0"/>
                      <w:szCs w:val="21"/>
                    </w:rPr>
                  </w:pPr>
                  <w:r>
                    <w:rPr>
                      <w:rFonts w:hint="eastAsia"/>
                      <w:color w:val="auto"/>
                      <w:kern w:val="0"/>
                      <w:szCs w:val="21"/>
                    </w:rPr>
                    <w:t>5</w:t>
                  </w:r>
                </w:p>
              </w:tc>
              <w:tc>
                <w:tcPr>
                  <w:tcW w:w="1357" w:type="dxa"/>
                  <w:vAlign w:val="center"/>
                </w:tcPr>
                <w:p w14:paraId="5F5947C3">
                  <w:pPr>
                    <w:widowControl/>
                    <w:jc w:val="center"/>
                    <w:textAlignment w:val="center"/>
                    <w:rPr>
                      <w:color w:val="auto"/>
                      <w:kern w:val="0"/>
                      <w:szCs w:val="21"/>
                    </w:rPr>
                  </w:pPr>
                  <w:r>
                    <w:rPr>
                      <w:color w:val="auto"/>
                      <w:kern w:val="0"/>
                      <w:szCs w:val="21"/>
                      <w:lang w:bidi="ar"/>
                    </w:rPr>
                    <w:t>0.01</w:t>
                  </w:r>
                </w:p>
              </w:tc>
            </w:tr>
            <w:tr w14:paraId="6594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9" w:type="dxa"/>
                  <w:shd w:val="clear" w:color="auto" w:fill="auto"/>
                  <w:vAlign w:val="center"/>
                </w:tcPr>
                <w:p w14:paraId="7B8780E0">
                  <w:pPr>
                    <w:pStyle w:val="42"/>
                    <w:jc w:val="center"/>
                    <w:rPr>
                      <w:rFonts w:eastAsia="宋体"/>
                      <w:color w:val="auto"/>
                      <w:kern w:val="0"/>
                      <w:szCs w:val="21"/>
                      <w:lang w:eastAsia="zh-CN"/>
                    </w:rPr>
                  </w:pPr>
                  <w:r>
                    <w:rPr>
                      <w:rFonts w:ascii="Times New Roman" w:hAnsi="Times New Roman" w:cs="Times New Roman"/>
                      <w:color w:val="auto"/>
                      <w:sz w:val="21"/>
                      <w:szCs w:val="21"/>
                      <w:lang w:eastAsia="zh-CN"/>
                    </w:rPr>
                    <w:t>乙醇</w:t>
                  </w:r>
                </w:p>
              </w:tc>
              <w:tc>
                <w:tcPr>
                  <w:tcW w:w="2072" w:type="dxa"/>
                  <w:shd w:val="clear" w:color="auto" w:fill="auto"/>
                  <w:vAlign w:val="center"/>
                </w:tcPr>
                <w:p w14:paraId="18680298">
                  <w:pPr>
                    <w:widowControl/>
                    <w:jc w:val="center"/>
                    <w:textAlignment w:val="center"/>
                    <w:rPr>
                      <w:color w:val="auto"/>
                      <w:kern w:val="0"/>
                      <w:szCs w:val="21"/>
                    </w:rPr>
                  </w:pPr>
                  <w:r>
                    <w:rPr>
                      <w:rFonts w:hint="eastAsia"/>
                      <w:color w:val="auto"/>
                      <w:kern w:val="0"/>
                      <w:szCs w:val="21"/>
                    </w:rPr>
                    <w:t>0.05</w:t>
                  </w:r>
                </w:p>
              </w:tc>
              <w:tc>
                <w:tcPr>
                  <w:tcW w:w="1364" w:type="dxa"/>
                  <w:shd w:val="clear" w:color="auto" w:fill="auto"/>
                  <w:vAlign w:val="center"/>
                </w:tcPr>
                <w:p w14:paraId="69384660">
                  <w:pPr>
                    <w:widowControl/>
                    <w:jc w:val="center"/>
                    <w:textAlignment w:val="center"/>
                    <w:rPr>
                      <w:color w:val="auto"/>
                      <w:kern w:val="0"/>
                      <w:szCs w:val="21"/>
                    </w:rPr>
                  </w:pPr>
                  <w:r>
                    <w:rPr>
                      <w:rFonts w:hint="eastAsia"/>
                      <w:color w:val="auto"/>
                      <w:kern w:val="0"/>
                      <w:szCs w:val="21"/>
                    </w:rPr>
                    <w:t>500</w:t>
                  </w:r>
                </w:p>
              </w:tc>
              <w:tc>
                <w:tcPr>
                  <w:tcW w:w="1357" w:type="dxa"/>
                  <w:vAlign w:val="center"/>
                </w:tcPr>
                <w:p w14:paraId="2EF0C3D1">
                  <w:pPr>
                    <w:widowControl/>
                    <w:jc w:val="center"/>
                    <w:textAlignment w:val="center"/>
                    <w:rPr>
                      <w:color w:val="auto"/>
                      <w:kern w:val="0"/>
                      <w:szCs w:val="21"/>
                    </w:rPr>
                  </w:pPr>
                  <w:r>
                    <w:rPr>
                      <w:color w:val="auto"/>
                      <w:kern w:val="0"/>
                      <w:szCs w:val="21"/>
                      <w:lang w:bidi="ar"/>
                    </w:rPr>
                    <w:t>0.0001</w:t>
                  </w:r>
                </w:p>
              </w:tc>
            </w:tr>
            <w:tr w14:paraId="6142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9" w:type="dxa"/>
                  <w:vAlign w:val="center"/>
                </w:tcPr>
                <w:p w14:paraId="1E8142EF">
                  <w:pPr>
                    <w:pStyle w:val="42"/>
                    <w:jc w:val="center"/>
                    <w:rPr>
                      <w:rFonts w:eastAsia="宋体"/>
                      <w:color w:val="auto"/>
                      <w:kern w:val="0"/>
                      <w:sz w:val="21"/>
                      <w:szCs w:val="21"/>
                      <w:lang w:eastAsia="zh-CN"/>
                    </w:rPr>
                  </w:pPr>
                  <w:r>
                    <w:rPr>
                      <w:rFonts w:hint="eastAsia" w:eastAsia="宋体"/>
                      <w:color w:val="auto"/>
                      <w:kern w:val="0"/>
                      <w:sz w:val="21"/>
                      <w:szCs w:val="21"/>
                      <w:lang w:eastAsia="zh-CN"/>
                    </w:rPr>
                    <w:t>氢气</w:t>
                  </w:r>
                </w:p>
              </w:tc>
              <w:tc>
                <w:tcPr>
                  <w:tcW w:w="2072" w:type="dxa"/>
                  <w:vAlign w:val="center"/>
                </w:tcPr>
                <w:p w14:paraId="5FF17D19">
                  <w:pPr>
                    <w:widowControl/>
                    <w:jc w:val="center"/>
                    <w:textAlignment w:val="center"/>
                    <w:rPr>
                      <w:color w:val="auto"/>
                      <w:kern w:val="0"/>
                      <w:szCs w:val="21"/>
                    </w:rPr>
                  </w:pPr>
                  <w:r>
                    <w:rPr>
                      <w:rFonts w:hint="eastAsia"/>
                      <w:color w:val="auto"/>
                      <w:kern w:val="0"/>
                      <w:szCs w:val="21"/>
                    </w:rPr>
                    <w:t>0.0000009</w:t>
                  </w:r>
                </w:p>
              </w:tc>
              <w:tc>
                <w:tcPr>
                  <w:tcW w:w="1364" w:type="dxa"/>
                  <w:vAlign w:val="center"/>
                </w:tcPr>
                <w:p w14:paraId="4E5923B7">
                  <w:pPr>
                    <w:widowControl/>
                    <w:jc w:val="center"/>
                    <w:textAlignment w:val="center"/>
                    <w:rPr>
                      <w:color w:val="auto"/>
                      <w:kern w:val="0"/>
                      <w:szCs w:val="21"/>
                    </w:rPr>
                  </w:pPr>
                  <w:r>
                    <w:rPr>
                      <w:rFonts w:hint="eastAsia"/>
                      <w:color w:val="auto"/>
                      <w:kern w:val="0"/>
                      <w:szCs w:val="21"/>
                    </w:rPr>
                    <w:t>10</w:t>
                  </w:r>
                </w:p>
              </w:tc>
              <w:tc>
                <w:tcPr>
                  <w:tcW w:w="1357" w:type="dxa"/>
                  <w:vAlign w:val="center"/>
                </w:tcPr>
                <w:p w14:paraId="4CBBF214">
                  <w:pPr>
                    <w:widowControl/>
                    <w:jc w:val="center"/>
                    <w:textAlignment w:val="center"/>
                    <w:rPr>
                      <w:color w:val="auto"/>
                      <w:kern w:val="0"/>
                      <w:szCs w:val="21"/>
                    </w:rPr>
                  </w:pPr>
                  <w:r>
                    <w:rPr>
                      <w:color w:val="auto"/>
                      <w:kern w:val="0"/>
                      <w:szCs w:val="21"/>
                      <w:lang w:bidi="ar"/>
                    </w:rPr>
                    <w:t>0.00000009</w:t>
                  </w:r>
                </w:p>
              </w:tc>
            </w:tr>
            <w:tr w14:paraId="6371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79" w:type="dxa"/>
                  <w:vAlign w:val="center"/>
                </w:tcPr>
                <w:p w14:paraId="71565A2B">
                  <w:pPr>
                    <w:pStyle w:val="42"/>
                    <w:jc w:val="center"/>
                    <w:rPr>
                      <w:rFonts w:eastAsia="宋体"/>
                      <w:color w:val="auto"/>
                      <w:kern w:val="0"/>
                      <w:sz w:val="21"/>
                      <w:szCs w:val="21"/>
                      <w:lang w:eastAsia="zh-CN"/>
                    </w:rPr>
                  </w:pPr>
                  <w:r>
                    <w:rPr>
                      <w:rFonts w:hint="eastAsia" w:eastAsia="宋体"/>
                      <w:color w:val="auto"/>
                      <w:kern w:val="0"/>
                      <w:sz w:val="21"/>
                      <w:szCs w:val="21"/>
                      <w:lang w:eastAsia="zh-CN"/>
                    </w:rPr>
                    <w:t>氨水</w:t>
                  </w:r>
                </w:p>
              </w:tc>
              <w:tc>
                <w:tcPr>
                  <w:tcW w:w="2072" w:type="dxa"/>
                  <w:vAlign w:val="center"/>
                </w:tcPr>
                <w:p w14:paraId="48062856">
                  <w:pPr>
                    <w:widowControl/>
                    <w:jc w:val="center"/>
                    <w:textAlignment w:val="center"/>
                    <w:rPr>
                      <w:color w:val="auto"/>
                      <w:kern w:val="0"/>
                      <w:szCs w:val="21"/>
                    </w:rPr>
                  </w:pPr>
                  <w:r>
                    <w:rPr>
                      <w:rFonts w:hint="eastAsia"/>
                      <w:color w:val="auto"/>
                      <w:kern w:val="0"/>
                      <w:szCs w:val="21"/>
                    </w:rPr>
                    <w:t>0.01</w:t>
                  </w:r>
                </w:p>
              </w:tc>
              <w:tc>
                <w:tcPr>
                  <w:tcW w:w="1364" w:type="dxa"/>
                  <w:vAlign w:val="center"/>
                </w:tcPr>
                <w:p w14:paraId="1ADD2992">
                  <w:pPr>
                    <w:widowControl/>
                    <w:jc w:val="center"/>
                    <w:textAlignment w:val="center"/>
                    <w:rPr>
                      <w:color w:val="auto"/>
                      <w:kern w:val="0"/>
                      <w:szCs w:val="21"/>
                    </w:rPr>
                  </w:pPr>
                  <w:r>
                    <w:rPr>
                      <w:rFonts w:hint="eastAsia"/>
                      <w:color w:val="auto"/>
                      <w:kern w:val="0"/>
                      <w:szCs w:val="21"/>
                    </w:rPr>
                    <w:t>10</w:t>
                  </w:r>
                </w:p>
              </w:tc>
              <w:tc>
                <w:tcPr>
                  <w:tcW w:w="1357" w:type="dxa"/>
                  <w:vAlign w:val="center"/>
                </w:tcPr>
                <w:p w14:paraId="31DF069A">
                  <w:pPr>
                    <w:widowControl/>
                    <w:jc w:val="center"/>
                    <w:textAlignment w:val="center"/>
                    <w:rPr>
                      <w:color w:val="auto"/>
                      <w:kern w:val="0"/>
                      <w:szCs w:val="21"/>
                      <w:lang w:bidi="ar"/>
                    </w:rPr>
                  </w:pPr>
                  <w:r>
                    <w:rPr>
                      <w:color w:val="auto"/>
                      <w:kern w:val="0"/>
                      <w:szCs w:val="21"/>
                      <w:lang w:bidi="ar"/>
                    </w:rPr>
                    <w:t>0.001</w:t>
                  </w:r>
                </w:p>
              </w:tc>
            </w:tr>
            <w:tr w14:paraId="437E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3579" w:type="dxa"/>
                  <w:vAlign w:val="center"/>
                </w:tcPr>
                <w:p w14:paraId="654E86D8">
                  <w:pPr>
                    <w:widowControl/>
                    <w:jc w:val="center"/>
                    <w:rPr>
                      <w:color w:val="auto"/>
                      <w:kern w:val="0"/>
                      <w:szCs w:val="21"/>
                    </w:rPr>
                  </w:pPr>
                  <w:r>
                    <w:rPr>
                      <w:rFonts w:hint="eastAsia"/>
                      <w:color w:val="auto"/>
                      <w:kern w:val="0"/>
                      <w:szCs w:val="21"/>
                    </w:rPr>
                    <w:t>废试剂瓶及玻璃器皿、实验室废液、初洗废水、固态实验废物、废活性炭、废手套及抹布等危险废物</w:t>
                  </w:r>
                </w:p>
              </w:tc>
              <w:tc>
                <w:tcPr>
                  <w:tcW w:w="2072" w:type="dxa"/>
                  <w:vAlign w:val="center"/>
                </w:tcPr>
                <w:p w14:paraId="1D028D7C">
                  <w:pPr>
                    <w:widowControl/>
                    <w:jc w:val="center"/>
                    <w:rPr>
                      <w:color w:val="auto"/>
                      <w:kern w:val="0"/>
                      <w:szCs w:val="21"/>
                    </w:rPr>
                  </w:pPr>
                  <w:r>
                    <w:rPr>
                      <w:rFonts w:hint="eastAsia"/>
                      <w:color w:val="auto"/>
                      <w:kern w:val="0"/>
                      <w:szCs w:val="21"/>
                    </w:rPr>
                    <w:t>2.998</w:t>
                  </w:r>
                </w:p>
              </w:tc>
              <w:tc>
                <w:tcPr>
                  <w:tcW w:w="1364" w:type="dxa"/>
                  <w:vAlign w:val="center"/>
                </w:tcPr>
                <w:p w14:paraId="7C458AF3">
                  <w:pPr>
                    <w:widowControl/>
                    <w:jc w:val="center"/>
                    <w:rPr>
                      <w:color w:val="auto"/>
                      <w:kern w:val="0"/>
                      <w:szCs w:val="21"/>
                    </w:rPr>
                  </w:pPr>
                  <w:r>
                    <w:rPr>
                      <w:rFonts w:hint="eastAsia"/>
                      <w:color w:val="auto"/>
                      <w:kern w:val="0"/>
                      <w:szCs w:val="21"/>
                    </w:rPr>
                    <w:t>50</w:t>
                  </w:r>
                </w:p>
              </w:tc>
              <w:tc>
                <w:tcPr>
                  <w:tcW w:w="1357" w:type="dxa"/>
                  <w:vAlign w:val="center"/>
                </w:tcPr>
                <w:p w14:paraId="0877E4AF">
                  <w:pPr>
                    <w:widowControl/>
                    <w:jc w:val="center"/>
                    <w:textAlignment w:val="center"/>
                    <w:rPr>
                      <w:color w:val="auto"/>
                      <w:kern w:val="0"/>
                      <w:szCs w:val="21"/>
                      <w:lang w:bidi="ar"/>
                    </w:rPr>
                  </w:pPr>
                  <w:r>
                    <w:rPr>
                      <w:rFonts w:hint="eastAsia"/>
                      <w:color w:val="auto"/>
                      <w:kern w:val="0"/>
                      <w:szCs w:val="21"/>
                      <w:lang w:bidi="ar"/>
                    </w:rPr>
                    <w:t>0.05996</w:t>
                  </w:r>
                </w:p>
              </w:tc>
            </w:tr>
            <w:tr w14:paraId="5220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3579" w:type="dxa"/>
                  <w:vAlign w:val="center"/>
                </w:tcPr>
                <w:p w14:paraId="403AE457">
                  <w:pPr>
                    <w:widowControl/>
                    <w:jc w:val="center"/>
                    <w:rPr>
                      <w:color w:val="auto"/>
                      <w:kern w:val="0"/>
                      <w:szCs w:val="21"/>
                    </w:rPr>
                  </w:pPr>
                  <w:r>
                    <w:rPr>
                      <w:rFonts w:hint="eastAsia"/>
                      <w:color w:val="auto"/>
                      <w:kern w:val="0"/>
                      <w:szCs w:val="21"/>
                    </w:rPr>
                    <w:t>总计</w:t>
                  </w:r>
                </w:p>
              </w:tc>
              <w:tc>
                <w:tcPr>
                  <w:tcW w:w="2072" w:type="dxa"/>
                  <w:vAlign w:val="center"/>
                </w:tcPr>
                <w:p w14:paraId="2E56B067">
                  <w:pPr>
                    <w:widowControl/>
                    <w:jc w:val="center"/>
                    <w:rPr>
                      <w:color w:val="auto"/>
                      <w:kern w:val="0"/>
                      <w:szCs w:val="21"/>
                    </w:rPr>
                  </w:pPr>
                  <w:r>
                    <w:rPr>
                      <w:rFonts w:hint="eastAsia"/>
                      <w:color w:val="auto"/>
                      <w:kern w:val="0"/>
                      <w:szCs w:val="21"/>
                    </w:rPr>
                    <w:t>/</w:t>
                  </w:r>
                </w:p>
              </w:tc>
              <w:tc>
                <w:tcPr>
                  <w:tcW w:w="1364" w:type="dxa"/>
                  <w:vAlign w:val="center"/>
                </w:tcPr>
                <w:p w14:paraId="4EBA2E3E">
                  <w:pPr>
                    <w:widowControl/>
                    <w:jc w:val="center"/>
                    <w:rPr>
                      <w:color w:val="auto"/>
                      <w:kern w:val="0"/>
                      <w:szCs w:val="21"/>
                    </w:rPr>
                  </w:pPr>
                  <w:r>
                    <w:rPr>
                      <w:rFonts w:hint="eastAsia"/>
                      <w:color w:val="auto"/>
                      <w:kern w:val="0"/>
                      <w:szCs w:val="21"/>
                    </w:rPr>
                    <w:t>/</w:t>
                  </w:r>
                </w:p>
              </w:tc>
              <w:tc>
                <w:tcPr>
                  <w:tcW w:w="1357" w:type="dxa"/>
                  <w:vAlign w:val="center"/>
                </w:tcPr>
                <w:p w14:paraId="578CDDA8">
                  <w:pPr>
                    <w:widowControl/>
                    <w:jc w:val="center"/>
                    <w:textAlignment w:val="center"/>
                    <w:rPr>
                      <w:color w:val="auto"/>
                      <w:kern w:val="0"/>
                      <w:szCs w:val="21"/>
                    </w:rPr>
                  </w:pPr>
                  <w:r>
                    <w:rPr>
                      <w:color w:val="auto"/>
                      <w:kern w:val="0"/>
                      <w:szCs w:val="21"/>
                      <w:lang w:bidi="ar"/>
                    </w:rPr>
                    <w:t>0.</w:t>
                  </w:r>
                  <w:r>
                    <w:rPr>
                      <w:rFonts w:hint="eastAsia"/>
                      <w:color w:val="auto"/>
                      <w:kern w:val="0"/>
                      <w:szCs w:val="21"/>
                      <w:lang w:bidi="ar"/>
                    </w:rPr>
                    <w:t>08606009</w:t>
                  </w:r>
                </w:p>
              </w:tc>
            </w:tr>
          </w:tbl>
          <w:p w14:paraId="411FDC15">
            <w:pPr>
              <w:spacing w:line="360" w:lineRule="auto"/>
              <w:ind w:firstLine="480" w:firstLineChars="200"/>
              <w:rPr>
                <w:color w:val="auto"/>
                <w:sz w:val="24"/>
              </w:rPr>
            </w:pPr>
            <w:r>
              <w:rPr>
                <w:color w:val="auto"/>
                <w:sz w:val="24"/>
              </w:rPr>
              <w:t>根据《建设项目环境风险评价技术导则》（HJ169-2018），通过公式计算：Q=0.0</w:t>
            </w:r>
            <w:r>
              <w:rPr>
                <w:rFonts w:hint="eastAsia"/>
                <w:color w:val="auto"/>
                <w:sz w:val="24"/>
              </w:rPr>
              <w:t>8606009</w:t>
            </w:r>
            <w:r>
              <w:rPr>
                <w:color w:val="auto"/>
                <w:sz w:val="24"/>
              </w:rPr>
              <w:t>＜1，不属于重大危险源。</w:t>
            </w:r>
          </w:p>
          <w:p w14:paraId="7E4AF056">
            <w:pPr>
              <w:spacing w:line="360" w:lineRule="auto"/>
              <w:ind w:firstLine="480" w:firstLineChars="200"/>
              <w:rPr>
                <w:color w:val="auto"/>
                <w:kern w:val="32"/>
                <w:sz w:val="24"/>
                <w:szCs w:val="28"/>
              </w:rPr>
            </w:pPr>
            <w:r>
              <w:rPr>
                <w:color w:val="auto"/>
                <w:kern w:val="32"/>
                <w:sz w:val="24"/>
                <w:szCs w:val="28"/>
              </w:rPr>
              <w:t>（2）环境风险防范措施</w:t>
            </w:r>
          </w:p>
          <w:p w14:paraId="1BF303DD">
            <w:pPr>
              <w:autoSpaceDE w:val="0"/>
              <w:autoSpaceDN w:val="0"/>
              <w:spacing w:line="360" w:lineRule="auto"/>
              <w:ind w:firstLine="480" w:firstLineChars="200"/>
              <w:jc w:val="left"/>
              <w:rPr>
                <w:color w:val="auto"/>
                <w:kern w:val="0"/>
                <w:sz w:val="24"/>
              </w:rPr>
            </w:pPr>
            <w:r>
              <w:rPr>
                <w:color w:val="auto"/>
                <w:kern w:val="0"/>
                <w:sz w:val="24"/>
              </w:rPr>
              <w:t>项目生产过程中的最大危害事故是</w:t>
            </w:r>
            <w:r>
              <w:rPr>
                <w:rFonts w:hint="eastAsia"/>
                <w:color w:val="auto"/>
                <w:kern w:val="0"/>
                <w:sz w:val="24"/>
              </w:rPr>
              <w:t>风险物质的</w:t>
            </w:r>
            <w:r>
              <w:rPr>
                <w:color w:val="auto"/>
                <w:kern w:val="0"/>
                <w:sz w:val="24"/>
              </w:rPr>
              <w:t>溢出和泄露危险事故，可能性均较小</w:t>
            </w:r>
            <w:r>
              <w:rPr>
                <w:rFonts w:hint="eastAsia"/>
                <w:color w:val="auto"/>
                <w:kern w:val="0"/>
                <w:sz w:val="24"/>
              </w:rPr>
              <w:t>，</w:t>
            </w:r>
            <w:r>
              <w:rPr>
                <w:color w:val="auto"/>
                <w:kern w:val="0"/>
                <w:sz w:val="24"/>
              </w:rPr>
              <w:t>在加强管理的情况下，环境风险也是较低的，属于可接受范围。</w:t>
            </w:r>
          </w:p>
          <w:p w14:paraId="54E7E90F">
            <w:pPr>
              <w:autoSpaceDE w:val="0"/>
              <w:autoSpaceDN w:val="0"/>
              <w:spacing w:line="360" w:lineRule="auto"/>
              <w:ind w:firstLine="480" w:firstLineChars="200"/>
              <w:rPr>
                <w:color w:val="auto"/>
                <w:kern w:val="0"/>
                <w:sz w:val="24"/>
              </w:rPr>
            </w:pPr>
            <w:r>
              <w:rPr>
                <w:rFonts w:hint="eastAsia" w:ascii="宋体" w:hAnsi="宋体" w:cs="宋体"/>
                <w:color w:val="auto"/>
                <w:kern w:val="0"/>
                <w:sz w:val="24"/>
              </w:rPr>
              <w:t>①建设单位已</w:t>
            </w:r>
            <w:r>
              <w:rPr>
                <w:color w:val="auto"/>
                <w:kern w:val="0"/>
                <w:sz w:val="24"/>
              </w:rPr>
              <w:t>制订并严格遵守操作规程、作业指导书</w:t>
            </w:r>
            <w:r>
              <w:rPr>
                <w:rFonts w:hint="eastAsia"/>
                <w:color w:val="auto"/>
                <w:kern w:val="0"/>
                <w:sz w:val="24"/>
              </w:rPr>
              <w:t>，本项目建成后纳入全厂管理</w:t>
            </w:r>
            <w:r>
              <w:rPr>
                <w:color w:val="auto"/>
                <w:kern w:val="0"/>
                <w:sz w:val="24"/>
              </w:rPr>
              <w:t>。在操作运行方面要求</w:t>
            </w:r>
            <w:r>
              <w:rPr>
                <w:rFonts w:hint="eastAsia"/>
                <w:color w:val="auto"/>
                <w:kern w:val="0"/>
                <w:sz w:val="24"/>
              </w:rPr>
              <w:t>新增</w:t>
            </w:r>
            <w:r>
              <w:rPr>
                <w:color w:val="auto"/>
                <w:kern w:val="0"/>
                <w:sz w:val="24"/>
              </w:rPr>
              <w:t>工作人员必须进行岗前专业培训，严格执行安全生产操作规程</w:t>
            </w:r>
            <w:r>
              <w:rPr>
                <w:rFonts w:hint="eastAsia"/>
                <w:color w:val="auto"/>
                <w:kern w:val="0"/>
                <w:sz w:val="24"/>
              </w:rPr>
              <w:t>。同时继续</w:t>
            </w:r>
            <w:r>
              <w:rPr>
                <w:color w:val="auto"/>
                <w:sz w:val="24"/>
              </w:rPr>
              <w:t>加强日常管理，定期检查、维修、保养设备及构件确保各种工艺、电气设备的正常运行。</w:t>
            </w:r>
          </w:p>
          <w:p w14:paraId="5FE4D1FE">
            <w:pPr>
              <w:autoSpaceDE w:val="0"/>
              <w:autoSpaceDN w:val="0"/>
              <w:spacing w:line="360" w:lineRule="auto"/>
              <w:ind w:firstLine="480" w:firstLineChars="200"/>
              <w:rPr>
                <w:color w:val="auto"/>
                <w:kern w:val="0"/>
                <w:sz w:val="24"/>
              </w:rPr>
            </w:pPr>
            <w:r>
              <w:rPr>
                <w:rFonts w:hint="eastAsia" w:ascii="宋体" w:hAnsi="宋体" w:cs="宋体"/>
                <w:color w:val="auto"/>
                <w:kern w:val="0"/>
                <w:sz w:val="24"/>
              </w:rPr>
              <w:t>②</w:t>
            </w:r>
            <w:r>
              <w:rPr>
                <w:color w:val="auto"/>
                <w:kern w:val="0"/>
                <w:sz w:val="24"/>
              </w:rPr>
              <w:t>消防通道和建筑物耐火等级</w:t>
            </w:r>
            <w:r>
              <w:rPr>
                <w:rFonts w:hint="eastAsia"/>
                <w:color w:val="auto"/>
                <w:kern w:val="0"/>
                <w:sz w:val="24"/>
              </w:rPr>
              <w:t>已</w:t>
            </w:r>
            <w:r>
              <w:rPr>
                <w:color w:val="auto"/>
                <w:kern w:val="0"/>
                <w:sz w:val="24"/>
              </w:rPr>
              <w:t>按照《建筑灭火器配置设计规范》（GBJ140-90）之规定，进行分区防火，</w:t>
            </w:r>
            <w:r>
              <w:rPr>
                <w:rFonts w:hint="eastAsia"/>
                <w:color w:val="auto"/>
                <w:kern w:val="0"/>
                <w:sz w:val="24"/>
              </w:rPr>
              <w:t>并</w:t>
            </w:r>
            <w:r>
              <w:rPr>
                <w:color w:val="auto"/>
                <w:kern w:val="0"/>
                <w:sz w:val="24"/>
              </w:rPr>
              <w:t>配备</w:t>
            </w:r>
            <w:r>
              <w:rPr>
                <w:rFonts w:hint="eastAsia"/>
                <w:color w:val="auto"/>
                <w:kern w:val="0"/>
                <w:sz w:val="24"/>
              </w:rPr>
              <w:t>了</w:t>
            </w:r>
            <w:r>
              <w:rPr>
                <w:color w:val="auto"/>
                <w:kern w:val="0"/>
                <w:sz w:val="24"/>
              </w:rPr>
              <w:t>一定数量消防设施，严禁区内有明火出现。</w:t>
            </w:r>
          </w:p>
          <w:p w14:paraId="6858EC8A">
            <w:pPr>
              <w:autoSpaceDE w:val="0"/>
              <w:autoSpaceDN w:val="0"/>
              <w:spacing w:line="360" w:lineRule="auto"/>
              <w:ind w:firstLine="480" w:firstLineChars="200"/>
              <w:rPr>
                <w:color w:val="auto"/>
                <w:kern w:val="0"/>
                <w:sz w:val="24"/>
              </w:rPr>
            </w:pPr>
            <w:r>
              <w:rPr>
                <w:rFonts w:hint="eastAsia" w:ascii="宋体" w:hAnsi="宋体" w:cs="宋体"/>
                <w:color w:val="auto"/>
                <w:kern w:val="0"/>
                <w:sz w:val="24"/>
              </w:rPr>
              <w:t>③</w:t>
            </w:r>
            <w:r>
              <w:rPr>
                <w:color w:val="auto"/>
                <w:kern w:val="0"/>
                <w:sz w:val="24"/>
              </w:rPr>
              <w:t>加强对公司</w:t>
            </w:r>
            <w:r>
              <w:rPr>
                <w:rFonts w:hint="eastAsia"/>
                <w:color w:val="auto"/>
                <w:kern w:val="0"/>
                <w:sz w:val="24"/>
              </w:rPr>
              <w:t>新增</w:t>
            </w:r>
            <w:r>
              <w:rPr>
                <w:color w:val="auto"/>
                <w:kern w:val="0"/>
                <w:sz w:val="24"/>
              </w:rPr>
              <w:t>职工的教育培训，实行上岗证制度，增强职工风险意识，提高事故自救能力，制定和强化各种安全管理、生产的规程，减少人为风险事故的发生。</w:t>
            </w:r>
          </w:p>
          <w:p w14:paraId="36776039">
            <w:pPr>
              <w:autoSpaceDE w:val="0"/>
              <w:autoSpaceDN w:val="0"/>
              <w:spacing w:line="360" w:lineRule="auto"/>
              <w:ind w:firstLine="480" w:firstLineChars="200"/>
              <w:rPr>
                <w:color w:val="auto"/>
                <w:kern w:val="21"/>
                <w:sz w:val="24"/>
              </w:rPr>
            </w:pPr>
            <w:r>
              <w:rPr>
                <w:rFonts w:hint="eastAsia" w:ascii="宋体" w:hAnsi="宋体" w:cs="宋体"/>
                <w:color w:val="auto"/>
                <w:kern w:val="0"/>
                <w:sz w:val="24"/>
              </w:rPr>
              <w:t>④</w:t>
            </w:r>
            <w:r>
              <w:rPr>
                <w:color w:val="auto"/>
                <w:kern w:val="21"/>
                <w:sz w:val="24"/>
              </w:rPr>
              <w:t>加强</w:t>
            </w:r>
            <w:r>
              <w:rPr>
                <w:rFonts w:hint="eastAsia"/>
                <w:color w:val="auto"/>
                <w:kern w:val="21"/>
                <w:sz w:val="24"/>
                <w:lang w:eastAsia="zh-CN"/>
              </w:rPr>
              <w:t>危废贮存库</w:t>
            </w:r>
            <w:r>
              <w:rPr>
                <w:color w:val="auto"/>
                <w:kern w:val="21"/>
                <w:sz w:val="24"/>
              </w:rPr>
              <w:t>防渗设施的检查，一旦发生泄露事故，应立即将危险物质转移到其他容器中，检修完毕后方能投入生产。</w:t>
            </w:r>
          </w:p>
          <w:p w14:paraId="1CB32860">
            <w:pPr>
              <w:autoSpaceDE w:val="0"/>
              <w:autoSpaceDN w:val="0"/>
              <w:spacing w:line="360" w:lineRule="auto"/>
              <w:ind w:firstLine="480" w:firstLineChars="200"/>
              <w:rPr>
                <w:color w:val="auto"/>
                <w:kern w:val="0"/>
                <w:sz w:val="24"/>
              </w:rPr>
            </w:pPr>
            <w:r>
              <w:rPr>
                <w:rFonts w:hint="eastAsia" w:ascii="宋体" w:hAnsi="宋体" w:cs="宋体"/>
                <w:color w:val="auto"/>
                <w:kern w:val="0"/>
                <w:sz w:val="24"/>
              </w:rPr>
              <w:t>⑤</w:t>
            </w:r>
            <w:r>
              <w:rPr>
                <w:color w:val="auto"/>
                <w:kern w:val="21"/>
                <w:sz w:val="24"/>
              </w:rPr>
              <w:t>储存容器一旦因本身质量、外界因素或人为因素发生大量泄漏后，泄漏的原料将向低处流动。有效的围堵可将泄漏的原料限制在一定的安全范围内，防止火灾事故的发生，同时也有利于溢出物料的收集。因此建议建设单位在危险物品贮存区设置</w:t>
            </w:r>
            <w:r>
              <w:rPr>
                <w:rFonts w:hint="eastAsia"/>
                <w:color w:val="auto"/>
                <w:kern w:val="21"/>
                <w:sz w:val="24"/>
              </w:rPr>
              <w:t>托盘</w:t>
            </w:r>
            <w:r>
              <w:rPr>
                <w:color w:val="auto"/>
                <w:kern w:val="21"/>
                <w:sz w:val="24"/>
              </w:rPr>
              <w:t>，可有效防治事故状态下危险废物的外泄。</w:t>
            </w:r>
          </w:p>
          <w:p w14:paraId="2020B129">
            <w:pPr>
              <w:autoSpaceDE w:val="0"/>
              <w:autoSpaceDN w:val="0"/>
              <w:spacing w:line="360" w:lineRule="auto"/>
              <w:ind w:firstLine="480" w:firstLineChars="200"/>
              <w:rPr>
                <w:color w:val="auto"/>
                <w:sz w:val="24"/>
              </w:rPr>
            </w:pPr>
            <w:r>
              <w:rPr>
                <w:rFonts w:hint="eastAsia" w:ascii="宋体" w:hAnsi="宋体" w:cs="宋体"/>
                <w:color w:val="auto"/>
                <w:kern w:val="0"/>
                <w:sz w:val="24"/>
              </w:rPr>
              <w:t>⑥</w:t>
            </w:r>
            <w:r>
              <w:rPr>
                <w:color w:val="auto"/>
                <w:sz w:val="24"/>
              </w:rPr>
              <w:t>危险废物分类存放于专用容器中，并放于</w:t>
            </w:r>
            <w:r>
              <w:rPr>
                <w:rFonts w:hint="eastAsia"/>
                <w:color w:val="auto"/>
                <w:sz w:val="24"/>
                <w:lang w:eastAsia="zh-CN"/>
              </w:rPr>
              <w:t>危废贮存库</w:t>
            </w:r>
            <w:r>
              <w:rPr>
                <w:color w:val="auto"/>
                <w:sz w:val="24"/>
                <w:szCs w:val="22"/>
              </w:rPr>
              <w:t>内，</w:t>
            </w:r>
            <w:r>
              <w:rPr>
                <w:color w:val="auto"/>
                <w:sz w:val="24"/>
              </w:rPr>
              <w:t>定期交由</w:t>
            </w:r>
            <w:r>
              <w:rPr>
                <w:rFonts w:hint="eastAsia"/>
                <w:color w:val="auto"/>
                <w:kern w:val="0"/>
                <w:sz w:val="24"/>
                <w:szCs w:val="22"/>
              </w:rPr>
              <w:t>有资质单位</w:t>
            </w:r>
            <w:r>
              <w:rPr>
                <w:color w:val="auto"/>
                <w:sz w:val="24"/>
              </w:rPr>
              <w:t>回收处置</w:t>
            </w:r>
            <w:r>
              <w:rPr>
                <w:rFonts w:hint="eastAsia"/>
                <w:color w:val="auto"/>
                <w:sz w:val="24"/>
              </w:rPr>
              <w:t>，</w:t>
            </w:r>
            <w:r>
              <w:rPr>
                <w:rFonts w:hint="eastAsia"/>
                <w:color w:val="auto"/>
                <w:sz w:val="24"/>
                <w:szCs w:val="22"/>
                <w:lang w:eastAsia="zh-CN"/>
              </w:rPr>
              <w:t>危废贮存库</w:t>
            </w:r>
            <w:r>
              <w:rPr>
                <w:color w:val="auto"/>
                <w:sz w:val="24"/>
                <w:szCs w:val="22"/>
              </w:rPr>
              <w:t>地面</w:t>
            </w:r>
            <w:r>
              <w:rPr>
                <w:rFonts w:hint="eastAsia"/>
                <w:color w:val="auto"/>
                <w:sz w:val="24"/>
                <w:szCs w:val="22"/>
              </w:rPr>
              <w:t>已按照</w:t>
            </w:r>
            <w:r>
              <w:rPr>
                <w:color w:val="auto"/>
                <w:sz w:val="24"/>
              </w:rPr>
              <w:t>《危险废物贮存污染控制标准》（</w:t>
            </w:r>
            <w:r>
              <w:rPr>
                <w:rFonts w:hint="eastAsia"/>
                <w:color w:val="auto"/>
                <w:sz w:val="24"/>
              </w:rPr>
              <w:t>GB</w:t>
            </w:r>
            <w:r>
              <w:rPr>
                <w:color w:val="auto"/>
                <w:sz w:val="24"/>
              </w:rPr>
              <w:t>18597-2023）</w:t>
            </w:r>
            <w:r>
              <w:rPr>
                <w:rFonts w:hint="eastAsia"/>
                <w:color w:val="auto"/>
                <w:sz w:val="24"/>
                <w:szCs w:val="22"/>
              </w:rPr>
              <w:t>要求</w:t>
            </w:r>
            <w:r>
              <w:rPr>
                <w:color w:val="auto"/>
                <w:sz w:val="24"/>
                <w:szCs w:val="22"/>
              </w:rPr>
              <w:t>进行</w:t>
            </w:r>
            <w:r>
              <w:rPr>
                <w:rFonts w:hint="eastAsia"/>
                <w:color w:val="auto"/>
                <w:sz w:val="24"/>
                <w:szCs w:val="22"/>
              </w:rPr>
              <w:t>了</w:t>
            </w:r>
            <w:r>
              <w:rPr>
                <w:color w:val="auto"/>
                <w:sz w:val="24"/>
                <w:szCs w:val="22"/>
              </w:rPr>
              <w:t>防渗处理，</w:t>
            </w:r>
            <w:r>
              <w:rPr>
                <w:rFonts w:hint="eastAsia"/>
                <w:color w:val="auto"/>
                <w:sz w:val="24"/>
              </w:rPr>
              <w:t>后期</w:t>
            </w:r>
            <w:r>
              <w:rPr>
                <w:color w:val="auto"/>
                <w:sz w:val="24"/>
              </w:rPr>
              <w:t>企业需严格</w:t>
            </w:r>
            <w:r>
              <w:rPr>
                <w:rFonts w:hint="eastAsia"/>
                <w:color w:val="auto"/>
                <w:sz w:val="24"/>
              </w:rPr>
              <w:t>按照</w:t>
            </w:r>
            <w:r>
              <w:rPr>
                <w:color w:val="auto"/>
                <w:sz w:val="24"/>
              </w:rPr>
              <w:t>《危险废物转移管理办法》（生态环境部 公安部 交通运输部 部令 第23号）相关要求对其进行转移，危险废物必须填写转移联单。</w:t>
            </w:r>
          </w:p>
          <w:p w14:paraId="213933E9">
            <w:pPr>
              <w:spacing w:line="360" w:lineRule="auto"/>
              <w:ind w:firstLine="480" w:firstLineChars="200"/>
              <w:rPr>
                <w:color w:val="auto"/>
                <w:kern w:val="0"/>
                <w:sz w:val="24"/>
              </w:rPr>
            </w:pPr>
            <w:r>
              <w:rPr>
                <w:rFonts w:hint="eastAsia" w:ascii="宋体" w:hAnsi="宋体" w:cs="宋体"/>
                <w:color w:val="auto"/>
                <w:kern w:val="0"/>
                <w:sz w:val="24"/>
              </w:rPr>
              <w:t>⑦</w:t>
            </w:r>
            <w:r>
              <w:rPr>
                <w:color w:val="auto"/>
                <w:kern w:val="0"/>
                <w:sz w:val="24"/>
              </w:rPr>
              <w:t>安全标志对策措施：在醒目与安全有关的地方</w:t>
            </w:r>
            <w:r>
              <w:rPr>
                <w:rFonts w:hint="eastAsia" w:ascii="宋体" w:hAnsi="宋体" w:cs="宋体"/>
                <w:color w:val="auto"/>
                <w:kern w:val="0"/>
                <w:sz w:val="24"/>
              </w:rPr>
              <w:t>设立了“禁止烟火”、“禁止吸烟”、“当心火灾”、“火警电话”等安</w:t>
            </w:r>
            <w:r>
              <w:rPr>
                <w:color w:val="auto"/>
                <w:kern w:val="0"/>
                <w:sz w:val="24"/>
              </w:rPr>
              <w:t>全标志。</w:t>
            </w:r>
          </w:p>
          <w:p w14:paraId="2A892619">
            <w:pPr>
              <w:spacing w:line="360" w:lineRule="auto"/>
              <w:ind w:firstLine="482" w:firstLineChars="200"/>
              <w:rPr>
                <w:b/>
                <w:color w:val="auto"/>
                <w:sz w:val="24"/>
              </w:rPr>
            </w:pPr>
            <w:r>
              <w:rPr>
                <w:b/>
                <w:color w:val="auto"/>
                <w:sz w:val="24"/>
              </w:rPr>
              <w:t>6、地下水</w:t>
            </w:r>
            <w:r>
              <w:rPr>
                <w:rFonts w:hint="eastAsia"/>
                <w:b/>
                <w:color w:val="auto"/>
                <w:sz w:val="24"/>
              </w:rPr>
              <w:t>、土壤</w:t>
            </w:r>
          </w:p>
          <w:p w14:paraId="6A874640">
            <w:pPr>
              <w:spacing w:line="360" w:lineRule="auto"/>
              <w:ind w:firstLine="480" w:firstLineChars="200"/>
              <w:rPr>
                <w:color w:val="auto"/>
                <w:sz w:val="24"/>
                <w:szCs w:val="32"/>
              </w:rPr>
            </w:pPr>
            <w:r>
              <w:rPr>
                <w:rFonts w:hint="eastAsia"/>
                <w:color w:val="auto"/>
                <w:kern w:val="0"/>
                <w:sz w:val="24"/>
                <w:szCs w:val="21"/>
              </w:rPr>
              <w:t>为防止项目建设对地下水及土壤环境的影响，厂区采取分区防渗措施。</w:t>
            </w:r>
            <w:r>
              <w:rPr>
                <w:rFonts w:hint="eastAsia"/>
                <w:color w:val="auto"/>
                <w:sz w:val="24"/>
                <w:szCs w:val="32"/>
              </w:rPr>
              <w:t>项目</w:t>
            </w:r>
            <w:r>
              <w:rPr>
                <w:rFonts w:hint="eastAsia" w:cs="宋体"/>
                <w:color w:val="auto"/>
                <w:kern w:val="0"/>
                <w:sz w:val="24"/>
              </w:rPr>
              <w:t>废水</w:t>
            </w:r>
            <w:r>
              <w:rPr>
                <w:rFonts w:hint="eastAsia"/>
                <w:color w:val="auto"/>
                <w:kern w:val="0"/>
                <w:sz w:val="24"/>
              </w:rPr>
              <w:t>依托西安生漆涂料研究所</w:t>
            </w:r>
            <w:r>
              <w:rPr>
                <w:rFonts w:hint="eastAsia"/>
                <w:bCs/>
                <w:color w:val="auto"/>
                <w:sz w:val="24"/>
              </w:rPr>
              <w:t>化粪池及地埋式一体化污水处理设施处理后经市政管网排入沣西新城渭河污水处理厂处理</w:t>
            </w:r>
            <w:r>
              <w:rPr>
                <w:rFonts w:hint="eastAsia"/>
                <w:color w:val="auto"/>
                <w:sz w:val="24"/>
                <w:szCs w:val="32"/>
              </w:rPr>
              <w:t>，排污管道及污水处理设施周围均已进行防渗处理，研发室及库房位于</w:t>
            </w:r>
            <w:r>
              <w:rPr>
                <w:rFonts w:hint="eastAsia"/>
                <w:color w:val="auto"/>
                <w:sz w:val="24"/>
                <w:szCs w:val="32"/>
                <w:lang w:val="en-US" w:eastAsia="zh-CN"/>
              </w:rPr>
              <w:t>三层</w:t>
            </w:r>
            <w:r>
              <w:rPr>
                <w:rFonts w:hint="eastAsia"/>
                <w:color w:val="auto"/>
                <w:sz w:val="24"/>
                <w:szCs w:val="32"/>
              </w:rPr>
              <w:t>，地面为</w:t>
            </w:r>
            <w:r>
              <w:rPr>
                <w:rFonts w:hint="eastAsia"/>
                <w:color w:val="auto"/>
                <w:kern w:val="0"/>
                <w:sz w:val="24"/>
                <w:szCs w:val="22"/>
              </w:rPr>
              <w:t>水泥硬化地面并铺设瓷砖，可及时发现泄漏，不会污染地下水及土壤。</w:t>
            </w:r>
          </w:p>
          <w:p w14:paraId="629EF5CA">
            <w:pPr>
              <w:spacing w:line="360" w:lineRule="auto"/>
              <w:ind w:firstLine="480" w:firstLineChars="200"/>
              <w:rPr>
                <w:color w:val="auto"/>
                <w:sz w:val="24"/>
                <w:szCs w:val="32"/>
              </w:rPr>
            </w:pPr>
            <w:r>
              <w:rPr>
                <w:rFonts w:hint="eastAsia"/>
                <w:color w:val="auto"/>
                <w:kern w:val="0"/>
                <w:sz w:val="24"/>
                <w:szCs w:val="21"/>
              </w:rPr>
              <w:t>综上所述，本项目不存在地下水和土壤污染途径，不会对厂区地下水、土壤环境造成影响。</w:t>
            </w:r>
          </w:p>
          <w:p w14:paraId="07483FD8">
            <w:pPr>
              <w:spacing w:line="360" w:lineRule="auto"/>
              <w:ind w:firstLine="420" w:firstLineChars="200"/>
              <w:rPr>
                <w:color w:val="auto"/>
              </w:rPr>
            </w:pPr>
          </w:p>
        </w:tc>
      </w:tr>
    </w:tbl>
    <w:p w14:paraId="6AABA605">
      <w:pPr>
        <w:pStyle w:val="9"/>
        <w:ind w:firstLine="480"/>
        <w:rPr>
          <w:color w:val="auto"/>
        </w:rPr>
        <w:sectPr>
          <w:pgSz w:w="11906" w:h="16838"/>
          <w:pgMar w:top="1553" w:right="1553" w:bottom="1553" w:left="1553" w:header="851" w:footer="851" w:gutter="0"/>
          <w:pgNumType w:fmt="numberInDash"/>
          <w:cols w:space="720" w:num="1"/>
          <w:docGrid w:linePitch="312" w:charSpace="0"/>
        </w:sectPr>
      </w:pPr>
    </w:p>
    <w:p w14:paraId="7E899A5A">
      <w:pPr>
        <w:rPr>
          <w:color w:val="auto"/>
        </w:rPr>
      </w:pPr>
    </w:p>
    <w:p w14:paraId="7FF371D1">
      <w:pPr>
        <w:widowControl/>
        <w:spacing w:before="100" w:beforeAutospacing="1" w:after="100" w:afterAutospacing="1"/>
        <w:jc w:val="center"/>
        <w:outlineLvl w:val="0"/>
        <w:rPr>
          <w:rFonts w:eastAsia="黑体"/>
          <w:snapToGrid w:val="0"/>
          <w:color w:val="auto"/>
          <w:kern w:val="0"/>
          <w:sz w:val="30"/>
          <w:szCs w:val="30"/>
        </w:rPr>
      </w:pPr>
      <w:r>
        <w:rPr>
          <w:rFonts w:eastAsia="黑体"/>
          <w:snapToGrid w:val="0"/>
          <w:color w:val="auto"/>
          <w:kern w:val="0"/>
          <w:sz w:val="30"/>
          <w:szCs w:val="30"/>
        </w:rPr>
        <w:t>五、</w:t>
      </w:r>
      <w:bookmarkStart w:id="8" w:name="_Hlk54167917"/>
      <w:r>
        <w:rPr>
          <w:rFonts w:eastAsia="黑体"/>
          <w:snapToGrid w:val="0"/>
          <w:color w:val="auto"/>
          <w:kern w:val="0"/>
          <w:sz w:val="30"/>
          <w:szCs w:val="30"/>
        </w:rPr>
        <w:t>环境保护措施监督检查清单</w:t>
      </w:r>
      <w:bookmarkEnd w:id="8"/>
    </w:p>
    <w:tbl>
      <w:tblPr>
        <w:tblStyle w:val="18"/>
        <w:tblW w:w="90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079"/>
        <w:gridCol w:w="429"/>
        <w:gridCol w:w="850"/>
        <w:gridCol w:w="1646"/>
        <w:gridCol w:w="2305"/>
        <w:gridCol w:w="2740"/>
      </w:tblGrid>
      <w:tr w14:paraId="6F145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079" w:type="dxa"/>
            <w:tcBorders>
              <w:tl2br w:val="single" w:color="auto" w:sz="4" w:space="0"/>
            </w:tcBorders>
          </w:tcPr>
          <w:p w14:paraId="39625A55">
            <w:pPr>
              <w:jc w:val="right"/>
              <w:rPr>
                <w:color w:val="auto"/>
                <w:sz w:val="24"/>
              </w:rPr>
            </w:pPr>
            <w:r>
              <w:rPr>
                <w:color w:val="auto"/>
                <w:sz w:val="24"/>
              </w:rPr>
              <w:t>内容</w:t>
            </w:r>
          </w:p>
          <w:p w14:paraId="0D304F04">
            <w:pPr>
              <w:rPr>
                <w:color w:val="auto"/>
                <w:sz w:val="24"/>
              </w:rPr>
            </w:pPr>
            <w:r>
              <w:rPr>
                <w:color w:val="auto"/>
                <w:sz w:val="24"/>
              </w:rPr>
              <w:t>要素</w:t>
            </w:r>
          </w:p>
        </w:tc>
        <w:tc>
          <w:tcPr>
            <w:tcW w:w="1279" w:type="dxa"/>
            <w:gridSpan w:val="2"/>
            <w:vAlign w:val="center"/>
          </w:tcPr>
          <w:p w14:paraId="115401A8">
            <w:pPr>
              <w:jc w:val="center"/>
              <w:rPr>
                <w:color w:val="auto"/>
                <w:sz w:val="24"/>
              </w:rPr>
            </w:pPr>
            <w:r>
              <w:rPr>
                <w:color w:val="auto"/>
                <w:sz w:val="24"/>
              </w:rPr>
              <w:t>排放口</w:t>
            </w:r>
            <w:r>
              <w:rPr>
                <w:rFonts w:hint="eastAsia"/>
                <w:color w:val="auto"/>
                <w:sz w:val="24"/>
              </w:rPr>
              <w:t>（</w:t>
            </w:r>
            <w:r>
              <w:rPr>
                <w:color w:val="auto"/>
                <w:sz w:val="24"/>
              </w:rPr>
              <w:t>编号、名称</w:t>
            </w:r>
            <w:r>
              <w:rPr>
                <w:rFonts w:hint="eastAsia"/>
                <w:color w:val="auto"/>
                <w:sz w:val="24"/>
              </w:rPr>
              <w:t>）</w:t>
            </w:r>
            <w:r>
              <w:rPr>
                <w:color w:val="auto"/>
                <w:sz w:val="24"/>
              </w:rPr>
              <w:t>/污染源</w:t>
            </w:r>
          </w:p>
        </w:tc>
        <w:tc>
          <w:tcPr>
            <w:tcW w:w="1646" w:type="dxa"/>
            <w:vAlign w:val="center"/>
          </w:tcPr>
          <w:p w14:paraId="5ED03C28">
            <w:pPr>
              <w:jc w:val="center"/>
              <w:rPr>
                <w:color w:val="auto"/>
                <w:sz w:val="24"/>
              </w:rPr>
            </w:pPr>
            <w:r>
              <w:rPr>
                <w:color w:val="auto"/>
                <w:sz w:val="24"/>
              </w:rPr>
              <w:t>污染物项目</w:t>
            </w:r>
          </w:p>
        </w:tc>
        <w:tc>
          <w:tcPr>
            <w:tcW w:w="2305" w:type="dxa"/>
            <w:vAlign w:val="center"/>
          </w:tcPr>
          <w:p w14:paraId="75A0B839">
            <w:pPr>
              <w:jc w:val="center"/>
              <w:rPr>
                <w:color w:val="auto"/>
                <w:sz w:val="24"/>
              </w:rPr>
            </w:pPr>
            <w:r>
              <w:rPr>
                <w:color w:val="auto"/>
                <w:sz w:val="24"/>
              </w:rPr>
              <w:t>环境保护措施</w:t>
            </w:r>
          </w:p>
        </w:tc>
        <w:tc>
          <w:tcPr>
            <w:tcW w:w="2740" w:type="dxa"/>
            <w:vAlign w:val="center"/>
          </w:tcPr>
          <w:p w14:paraId="31C85FEA">
            <w:pPr>
              <w:jc w:val="center"/>
              <w:rPr>
                <w:color w:val="auto"/>
                <w:sz w:val="24"/>
              </w:rPr>
            </w:pPr>
            <w:r>
              <w:rPr>
                <w:color w:val="auto"/>
                <w:sz w:val="24"/>
              </w:rPr>
              <w:t>执行标准</w:t>
            </w:r>
          </w:p>
        </w:tc>
      </w:tr>
      <w:tr w14:paraId="7E7FB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1" w:hRule="atLeast"/>
          <w:jc w:val="center"/>
        </w:trPr>
        <w:tc>
          <w:tcPr>
            <w:tcW w:w="1079" w:type="dxa"/>
            <w:vMerge w:val="restart"/>
            <w:vAlign w:val="center"/>
          </w:tcPr>
          <w:p w14:paraId="7B098F0E">
            <w:pPr>
              <w:jc w:val="center"/>
              <w:rPr>
                <w:color w:val="auto"/>
                <w:sz w:val="24"/>
              </w:rPr>
            </w:pPr>
            <w:r>
              <w:rPr>
                <w:color w:val="auto"/>
                <w:sz w:val="24"/>
              </w:rPr>
              <w:t>大气环境</w:t>
            </w:r>
          </w:p>
        </w:tc>
        <w:tc>
          <w:tcPr>
            <w:tcW w:w="429" w:type="dxa"/>
            <w:vMerge w:val="restart"/>
            <w:vAlign w:val="center"/>
          </w:tcPr>
          <w:p w14:paraId="38C21415">
            <w:pPr>
              <w:adjustRightInd w:val="0"/>
              <w:snapToGrid w:val="0"/>
              <w:jc w:val="center"/>
              <w:rPr>
                <w:rFonts w:eastAsiaTheme="minorEastAsia"/>
                <w:color w:val="auto"/>
                <w:sz w:val="24"/>
              </w:rPr>
            </w:pPr>
            <w:r>
              <w:rPr>
                <w:rFonts w:hint="eastAsia" w:eastAsiaTheme="minorEastAsia"/>
                <w:color w:val="auto"/>
                <w:sz w:val="24"/>
              </w:rPr>
              <w:t>研发废气</w:t>
            </w:r>
          </w:p>
        </w:tc>
        <w:tc>
          <w:tcPr>
            <w:tcW w:w="850" w:type="dxa"/>
            <w:vAlign w:val="center"/>
          </w:tcPr>
          <w:p w14:paraId="0889372F">
            <w:pPr>
              <w:adjustRightInd w:val="0"/>
              <w:snapToGrid w:val="0"/>
              <w:jc w:val="center"/>
              <w:rPr>
                <w:rFonts w:eastAsiaTheme="minorEastAsia"/>
                <w:color w:val="auto"/>
                <w:sz w:val="24"/>
              </w:rPr>
            </w:pPr>
            <w:r>
              <w:rPr>
                <w:rFonts w:hint="eastAsia" w:eastAsiaTheme="minorEastAsia"/>
                <w:color w:val="auto"/>
                <w:sz w:val="24"/>
              </w:rPr>
              <w:t>DA001</w:t>
            </w:r>
          </w:p>
        </w:tc>
        <w:tc>
          <w:tcPr>
            <w:tcW w:w="1646" w:type="dxa"/>
            <w:vMerge w:val="restart"/>
            <w:vAlign w:val="center"/>
          </w:tcPr>
          <w:p w14:paraId="1316B97A">
            <w:pPr>
              <w:adjustRightInd w:val="0"/>
              <w:snapToGrid w:val="0"/>
              <w:jc w:val="center"/>
              <w:rPr>
                <w:rFonts w:hint="default" w:eastAsia="宋体"/>
                <w:color w:val="auto"/>
                <w:sz w:val="24"/>
                <w:lang w:val="en-US" w:eastAsia="zh-CN"/>
              </w:rPr>
            </w:pPr>
            <w:r>
              <w:rPr>
                <w:rFonts w:hint="eastAsia"/>
                <w:color w:val="auto"/>
                <w:sz w:val="24"/>
              </w:rPr>
              <w:t>非甲烷总烃</w:t>
            </w:r>
          </w:p>
        </w:tc>
        <w:tc>
          <w:tcPr>
            <w:tcW w:w="2305" w:type="dxa"/>
            <w:vAlign w:val="center"/>
          </w:tcPr>
          <w:p w14:paraId="69D64806">
            <w:pPr>
              <w:adjustRightInd w:val="0"/>
              <w:snapToGrid w:val="0"/>
              <w:jc w:val="center"/>
              <w:rPr>
                <w:color w:val="auto"/>
                <w:sz w:val="24"/>
              </w:rPr>
            </w:pPr>
            <w:r>
              <w:rPr>
                <w:rFonts w:hint="eastAsia"/>
                <w:color w:val="auto"/>
                <w:sz w:val="24"/>
              </w:rPr>
              <w:t>通风橱+二级活性炭吸附+23m排气筒</w:t>
            </w:r>
          </w:p>
        </w:tc>
        <w:tc>
          <w:tcPr>
            <w:tcW w:w="2740" w:type="dxa"/>
            <w:vAlign w:val="center"/>
          </w:tcPr>
          <w:p w14:paraId="5C95EBB0">
            <w:pPr>
              <w:jc w:val="center"/>
              <w:rPr>
                <w:color w:val="auto"/>
                <w:sz w:val="24"/>
              </w:rPr>
            </w:pPr>
            <w:r>
              <w:rPr>
                <w:rFonts w:hint="eastAsia"/>
                <w:color w:val="auto"/>
                <w:sz w:val="24"/>
              </w:rPr>
              <w:t>执行《制药工业大气污染物排放标准》（GB37823-2019）标准</w:t>
            </w:r>
          </w:p>
        </w:tc>
      </w:tr>
      <w:tr w14:paraId="23676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1" w:hRule="atLeast"/>
          <w:jc w:val="center"/>
        </w:trPr>
        <w:tc>
          <w:tcPr>
            <w:tcW w:w="1079" w:type="dxa"/>
            <w:vMerge w:val="continue"/>
            <w:vAlign w:val="center"/>
          </w:tcPr>
          <w:p w14:paraId="0408AE72">
            <w:pPr>
              <w:jc w:val="center"/>
              <w:rPr>
                <w:color w:val="auto"/>
                <w:sz w:val="24"/>
              </w:rPr>
            </w:pPr>
          </w:p>
        </w:tc>
        <w:tc>
          <w:tcPr>
            <w:tcW w:w="429" w:type="dxa"/>
            <w:vMerge w:val="continue"/>
            <w:vAlign w:val="center"/>
          </w:tcPr>
          <w:p w14:paraId="5C1905C8">
            <w:pPr>
              <w:adjustRightInd w:val="0"/>
              <w:snapToGrid w:val="0"/>
              <w:jc w:val="center"/>
              <w:rPr>
                <w:rFonts w:eastAsiaTheme="minorEastAsia"/>
                <w:color w:val="auto"/>
                <w:sz w:val="24"/>
              </w:rPr>
            </w:pPr>
          </w:p>
        </w:tc>
        <w:tc>
          <w:tcPr>
            <w:tcW w:w="850" w:type="dxa"/>
            <w:vAlign w:val="center"/>
          </w:tcPr>
          <w:p w14:paraId="46FFB69A">
            <w:pPr>
              <w:adjustRightInd w:val="0"/>
              <w:snapToGrid w:val="0"/>
              <w:jc w:val="center"/>
              <w:rPr>
                <w:rFonts w:eastAsiaTheme="minorEastAsia"/>
                <w:color w:val="auto"/>
                <w:sz w:val="24"/>
              </w:rPr>
            </w:pPr>
            <w:r>
              <w:rPr>
                <w:rFonts w:hint="eastAsia" w:eastAsiaTheme="minorEastAsia"/>
                <w:color w:val="auto"/>
                <w:sz w:val="24"/>
              </w:rPr>
              <w:t>无组织</w:t>
            </w:r>
          </w:p>
        </w:tc>
        <w:tc>
          <w:tcPr>
            <w:tcW w:w="1646" w:type="dxa"/>
            <w:vMerge w:val="continue"/>
            <w:vAlign w:val="center"/>
          </w:tcPr>
          <w:p w14:paraId="5B0D0FD4">
            <w:pPr>
              <w:adjustRightInd w:val="0"/>
              <w:snapToGrid w:val="0"/>
              <w:jc w:val="center"/>
              <w:rPr>
                <w:color w:val="auto"/>
                <w:sz w:val="24"/>
              </w:rPr>
            </w:pPr>
          </w:p>
        </w:tc>
        <w:tc>
          <w:tcPr>
            <w:tcW w:w="2305" w:type="dxa"/>
            <w:vAlign w:val="center"/>
          </w:tcPr>
          <w:p w14:paraId="1F2528B6">
            <w:pPr>
              <w:adjustRightInd w:val="0"/>
              <w:snapToGrid w:val="0"/>
              <w:jc w:val="center"/>
              <w:rPr>
                <w:color w:val="auto"/>
                <w:sz w:val="24"/>
              </w:rPr>
            </w:pPr>
            <w:r>
              <w:rPr>
                <w:rFonts w:hint="eastAsia"/>
                <w:color w:val="auto"/>
                <w:sz w:val="24"/>
              </w:rPr>
              <w:t>/</w:t>
            </w:r>
          </w:p>
        </w:tc>
        <w:tc>
          <w:tcPr>
            <w:tcW w:w="2740" w:type="dxa"/>
            <w:vAlign w:val="center"/>
          </w:tcPr>
          <w:p w14:paraId="6F9788C9">
            <w:pPr>
              <w:jc w:val="center"/>
              <w:rPr>
                <w:color w:val="auto"/>
                <w:sz w:val="24"/>
              </w:rPr>
            </w:pPr>
            <w:r>
              <w:rPr>
                <w:rFonts w:hint="eastAsia"/>
                <w:color w:val="auto"/>
                <w:sz w:val="24"/>
              </w:rPr>
              <w:t>《大气污染物综合排放标准》（GB16297-1996）表2中无组织相关标准</w:t>
            </w:r>
          </w:p>
        </w:tc>
      </w:tr>
      <w:tr w14:paraId="1D091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1079" w:type="dxa"/>
            <w:vAlign w:val="center"/>
          </w:tcPr>
          <w:p w14:paraId="51463ADF">
            <w:pPr>
              <w:jc w:val="center"/>
              <w:rPr>
                <w:color w:val="auto"/>
                <w:sz w:val="24"/>
              </w:rPr>
            </w:pPr>
            <w:r>
              <w:rPr>
                <w:color w:val="auto"/>
                <w:sz w:val="24"/>
              </w:rPr>
              <w:t>地表水环境</w:t>
            </w:r>
          </w:p>
        </w:tc>
        <w:tc>
          <w:tcPr>
            <w:tcW w:w="1279" w:type="dxa"/>
            <w:gridSpan w:val="2"/>
            <w:vAlign w:val="center"/>
          </w:tcPr>
          <w:p w14:paraId="0E4D56C7">
            <w:pPr>
              <w:jc w:val="center"/>
              <w:rPr>
                <w:color w:val="auto"/>
                <w:sz w:val="24"/>
              </w:rPr>
            </w:pPr>
            <w:r>
              <w:rPr>
                <w:rFonts w:hint="eastAsia"/>
                <w:color w:val="auto"/>
                <w:sz w:val="24"/>
              </w:rPr>
              <w:t>综合</w:t>
            </w:r>
            <w:r>
              <w:rPr>
                <w:color w:val="auto"/>
                <w:sz w:val="24"/>
              </w:rPr>
              <w:t>污水</w:t>
            </w:r>
          </w:p>
        </w:tc>
        <w:tc>
          <w:tcPr>
            <w:tcW w:w="1646" w:type="dxa"/>
            <w:vAlign w:val="center"/>
          </w:tcPr>
          <w:p w14:paraId="4806DAFF">
            <w:pPr>
              <w:jc w:val="center"/>
              <w:rPr>
                <w:rFonts w:hint="eastAsia" w:eastAsia="宋体"/>
                <w:color w:val="auto"/>
                <w:sz w:val="24"/>
                <w:lang w:eastAsia="zh-CN"/>
              </w:rPr>
            </w:pPr>
            <w:r>
              <w:rPr>
                <w:rFonts w:hint="eastAsia"/>
                <w:color w:val="auto"/>
                <w:sz w:val="24"/>
              </w:rPr>
              <w:t>pH、</w:t>
            </w:r>
            <w:r>
              <w:rPr>
                <w:color w:val="auto"/>
                <w:sz w:val="24"/>
              </w:rPr>
              <w:t>COD、BOD</w:t>
            </w:r>
            <w:r>
              <w:rPr>
                <w:color w:val="auto"/>
                <w:sz w:val="24"/>
                <w:vertAlign w:val="subscript"/>
              </w:rPr>
              <w:t>5</w:t>
            </w:r>
            <w:r>
              <w:rPr>
                <w:rFonts w:hint="eastAsia"/>
                <w:color w:val="auto"/>
                <w:sz w:val="24"/>
              </w:rPr>
              <w:t>、</w:t>
            </w:r>
            <w:r>
              <w:rPr>
                <w:color w:val="auto"/>
                <w:sz w:val="24"/>
              </w:rPr>
              <w:t>NH</w:t>
            </w:r>
            <w:r>
              <w:rPr>
                <w:color w:val="auto"/>
                <w:sz w:val="24"/>
                <w:vertAlign w:val="subscript"/>
              </w:rPr>
              <w:t>3</w:t>
            </w:r>
            <w:r>
              <w:rPr>
                <w:color w:val="auto"/>
                <w:sz w:val="24"/>
              </w:rPr>
              <w:t>-N、SS</w:t>
            </w:r>
            <w:r>
              <w:rPr>
                <w:rFonts w:hint="eastAsia"/>
                <w:color w:val="auto"/>
                <w:sz w:val="24"/>
                <w:lang w:eastAsia="zh-CN"/>
              </w:rPr>
              <w:t>、</w:t>
            </w:r>
            <w:r>
              <w:rPr>
                <w:rFonts w:hint="eastAsia"/>
                <w:color w:val="auto"/>
                <w:sz w:val="24"/>
                <w:lang w:val="en-US" w:eastAsia="zh-CN"/>
              </w:rPr>
              <w:t>TP等</w:t>
            </w:r>
          </w:p>
        </w:tc>
        <w:tc>
          <w:tcPr>
            <w:tcW w:w="2305" w:type="dxa"/>
            <w:vAlign w:val="center"/>
          </w:tcPr>
          <w:p w14:paraId="4A0C4626">
            <w:pPr>
              <w:jc w:val="center"/>
              <w:rPr>
                <w:color w:val="auto"/>
                <w:sz w:val="24"/>
              </w:rPr>
            </w:pPr>
            <w:r>
              <w:rPr>
                <w:rFonts w:hint="eastAsia"/>
                <w:color w:val="auto"/>
                <w:kern w:val="0"/>
                <w:sz w:val="24"/>
              </w:rPr>
              <w:t>依托西安生漆涂料研究所</w:t>
            </w:r>
            <w:r>
              <w:rPr>
                <w:rFonts w:hint="eastAsia"/>
                <w:bCs/>
                <w:color w:val="auto"/>
                <w:sz w:val="24"/>
              </w:rPr>
              <w:t>化粪池及地埋式一体化污水处理设施处理后经市政管网排入沣西新城渭河污水处理厂处理</w:t>
            </w:r>
          </w:p>
        </w:tc>
        <w:tc>
          <w:tcPr>
            <w:tcW w:w="2740" w:type="dxa"/>
            <w:vAlign w:val="center"/>
          </w:tcPr>
          <w:p w14:paraId="53EBEDA7">
            <w:pPr>
              <w:jc w:val="center"/>
              <w:rPr>
                <w:color w:val="auto"/>
                <w:sz w:val="24"/>
              </w:rPr>
            </w:pPr>
            <w:r>
              <w:rPr>
                <w:rFonts w:hint="eastAsia"/>
                <w:color w:val="auto"/>
                <w:sz w:val="24"/>
              </w:rPr>
              <w:t>符合</w:t>
            </w:r>
            <w:r>
              <w:rPr>
                <w:color w:val="auto"/>
                <w:sz w:val="24"/>
              </w:rPr>
              <w:t>《污水综合排放标准》（GB8978-1996）三级标准及《污水排入城镇下水道水质标准》（GB/T31962-2015）</w:t>
            </w:r>
            <w:r>
              <w:rPr>
                <w:rFonts w:hint="eastAsia"/>
                <w:color w:val="auto"/>
                <w:sz w:val="24"/>
              </w:rPr>
              <w:t>B类标准要求</w:t>
            </w:r>
          </w:p>
        </w:tc>
      </w:tr>
      <w:tr w14:paraId="4C21A8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13" w:hRule="atLeast"/>
          <w:jc w:val="center"/>
        </w:trPr>
        <w:tc>
          <w:tcPr>
            <w:tcW w:w="1079" w:type="dxa"/>
            <w:vAlign w:val="center"/>
          </w:tcPr>
          <w:p w14:paraId="008331EC">
            <w:pPr>
              <w:jc w:val="center"/>
              <w:rPr>
                <w:color w:val="auto"/>
                <w:sz w:val="24"/>
              </w:rPr>
            </w:pPr>
            <w:r>
              <w:rPr>
                <w:color w:val="auto"/>
                <w:sz w:val="24"/>
              </w:rPr>
              <w:t>声环境</w:t>
            </w:r>
          </w:p>
        </w:tc>
        <w:tc>
          <w:tcPr>
            <w:tcW w:w="1279" w:type="dxa"/>
            <w:gridSpan w:val="2"/>
            <w:vAlign w:val="center"/>
          </w:tcPr>
          <w:p w14:paraId="441EE361">
            <w:pPr>
              <w:adjustRightInd w:val="0"/>
              <w:snapToGrid w:val="0"/>
              <w:jc w:val="center"/>
              <w:rPr>
                <w:color w:val="auto"/>
                <w:sz w:val="24"/>
              </w:rPr>
            </w:pPr>
            <w:r>
              <w:rPr>
                <w:color w:val="auto"/>
                <w:sz w:val="24"/>
              </w:rPr>
              <w:t>生产设备</w:t>
            </w:r>
          </w:p>
        </w:tc>
        <w:tc>
          <w:tcPr>
            <w:tcW w:w="1646" w:type="dxa"/>
            <w:vAlign w:val="center"/>
          </w:tcPr>
          <w:p w14:paraId="7005E65D">
            <w:pPr>
              <w:adjustRightInd w:val="0"/>
              <w:snapToGrid w:val="0"/>
              <w:jc w:val="center"/>
              <w:rPr>
                <w:color w:val="auto"/>
                <w:sz w:val="24"/>
              </w:rPr>
            </w:pPr>
            <w:r>
              <w:rPr>
                <w:color w:val="auto"/>
                <w:sz w:val="24"/>
              </w:rPr>
              <w:t>噪声</w:t>
            </w:r>
          </w:p>
        </w:tc>
        <w:tc>
          <w:tcPr>
            <w:tcW w:w="2305" w:type="dxa"/>
            <w:vAlign w:val="center"/>
          </w:tcPr>
          <w:p w14:paraId="2D637932">
            <w:pPr>
              <w:jc w:val="center"/>
              <w:rPr>
                <w:color w:val="auto"/>
                <w:sz w:val="24"/>
              </w:rPr>
            </w:pPr>
            <w:r>
              <w:rPr>
                <w:color w:val="auto"/>
                <w:sz w:val="24"/>
              </w:rPr>
              <w:t>选择低噪</w:t>
            </w:r>
            <w:r>
              <w:rPr>
                <w:rFonts w:hint="eastAsia"/>
                <w:color w:val="auto"/>
                <w:sz w:val="24"/>
              </w:rPr>
              <w:t>声</w:t>
            </w:r>
            <w:r>
              <w:rPr>
                <w:color w:val="auto"/>
                <w:sz w:val="24"/>
              </w:rPr>
              <w:t>设备，基础减振，厂房隔声等，</w:t>
            </w:r>
            <w:r>
              <w:rPr>
                <w:rFonts w:hint="eastAsia"/>
                <w:color w:val="auto"/>
                <w:sz w:val="24"/>
              </w:rPr>
              <w:t>风机采用减振垫、软连接等，</w:t>
            </w:r>
            <w:r>
              <w:rPr>
                <w:color w:val="auto"/>
                <w:sz w:val="24"/>
              </w:rPr>
              <w:t>距离衰减</w:t>
            </w:r>
          </w:p>
        </w:tc>
        <w:tc>
          <w:tcPr>
            <w:tcW w:w="2740" w:type="dxa"/>
            <w:vAlign w:val="center"/>
          </w:tcPr>
          <w:p w14:paraId="5C2D2CEF">
            <w:pPr>
              <w:jc w:val="center"/>
              <w:rPr>
                <w:color w:val="auto"/>
                <w:sz w:val="24"/>
              </w:rPr>
            </w:pPr>
            <w:r>
              <w:rPr>
                <w:color w:val="auto"/>
                <w:sz w:val="24"/>
              </w:rPr>
              <w:t>《工业企业厂界环境噪声排放标准》（GB12348-2008）</w:t>
            </w:r>
            <w:r>
              <w:rPr>
                <w:rFonts w:hint="eastAsia"/>
                <w:color w:val="auto"/>
                <w:sz w:val="24"/>
                <w:lang w:val="en-US" w:eastAsia="zh-CN"/>
              </w:rPr>
              <w:t>3</w:t>
            </w:r>
            <w:r>
              <w:rPr>
                <w:rFonts w:hint="eastAsia"/>
                <w:color w:val="auto"/>
                <w:sz w:val="24"/>
              </w:rPr>
              <w:t>类标准</w:t>
            </w:r>
          </w:p>
        </w:tc>
      </w:tr>
      <w:tr w14:paraId="0FB5B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079" w:type="dxa"/>
            <w:vMerge w:val="restart"/>
            <w:vAlign w:val="center"/>
          </w:tcPr>
          <w:p w14:paraId="4245B675">
            <w:pPr>
              <w:jc w:val="center"/>
              <w:rPr>
                <w:color w:val="auto"/>
                <w:sz w:val="24"/>
              </w:rPr>
            </w:pPr>
            <w:r>
              <w:rPr>
                <w:color w:val="auto"/>
                <w:sz w:val="24"/>
              </w:rPr>
              <w:t>固体废物</w:t>
            </w:r>
          </w:p>
        </w:tc>
        <w:tc>
          <w:tcPr>
            <w:tcW w:w="1279" w:type="dxa"/>
            <w:gridSpan w:val="2"/>
            <w:vAlign w:val="center"/>
          </w:tcPr>
          <w:p w14:paraId="07756DD7">
            <w:pPr>
              <w:jc w:val="center"/>
              <w:rPr>
                <w:color w:val="auto"/>
                <w:sz w:val="24"/>
              </w:rPr>
            </w:pPr>
            <w:r>
              <w:rPr>
                <w:rFonts w:hint="eastAsia"/>
                <w:color w:val="auto"/>
                <w:sz w:val="24"/>
              </w:rPr>
              <w:t>研发室</w:t>
            </w:r>
          </w:p>
        </w:tc>
        <w:tc>
          <w:tcPr>
            <w:tcW w:w="1646" w:type="dxa"/>
            <w:vAlign w:val="center"/>
          </w:tcPr>
          <w:p w14:paraId="3F038196">
            <w:pPr>
              <w:jc w:val="center"/>
              <w:rPr>
                <w:color w:val="auto"/>
                <w:sz w:val="24"/>
              </w:rPr>
            </w:pPr>
            <w:r>
              <w:rPr>
                <w:rFonts w:hint="eastAsia"/>
                <w:color w:val="auto"/>
                <w:sz w:val="24"/>
              </w:rPr>
              <w:t>废包装材料</w:t>
            </w:r>
          </w:p>
        </w:tc>
        <w:tc>
          <w:tcPr>
            <w:tcW w:w="2305" w:type="dxa"/>
            <w:vAlign w:val="center"/>
          </w:tcPr>
          <w:p w14:paraId="048F1EFA">
            <w:pPr>
              <w:jc w:val="center"/>
              <w:rPr>
                <w:color w:val="auto"/>
                <w:sz w:val="24"/>
              </w:rPr>
            </w:pPr>
            <w:r>
              <w:rPr>
                <w:color w:val="auto"/>
                <w:kern w:val="0"/>
                <w:sz w:val="24"/>
              </w:rPr>
              <w:t>外售处理</w:t>
            </w:r>
          </w:p>
        </w:tc>
        <w:tc>
          <w:tcPr>
            <w:tcW w:w="2740" w:type="dxa"/>
            <w:vAlign w:val="center"/>
          </w:tcPr>
          <w:p w14:paraId="01A41B3D">
            <w:pPr>
              <w:jc w:val="center"/>
              <w:rPr>
                <w:color w:val="auto"/>
                <w:sz w:val="24"/>
              </w:rPr>
            </w:pPr>
            <w:r>
              <w:rPr>
                <w:rFonts w:hint="eastAsia"/>
                <w:color w:val="auto"/>
                <w:sz w:val="24"/>
              </w:rPr>
              <w:t>符合</w:t>
            </w:r>
            <w:r>
              <w:rPr>
                <w:color w:val="auto"/>
              </w:rPr>
              <w:fldChar w:fldCharType="begin"/>
            </w:r>
            <w:r>
              <w:rPr>
                <w:color w:val="auto"/>
              </w:rPr>
              <w:instrText xml:space="preserve"> HYPERLINK "http://www.mee.gov.cn/ywgz/fgbz/bz/bzwb/gthw/gtfwwrkzbz/202012/t20201218_813927.shtml" </w:instrText>
            </w:r>
            <w:r>
              <w:rPr>
                <w:color w:val="auto"/>
              </w:rPr>
              <w:fldChar w:fldCharType="separate"/>
            </w:r>
            <w:r>
              <w:rPr>
                <w:color w:val="auto"/>
                <w:sz w:val="24"/>
              </w:rPr>
              <w:t>《一般工业固体废物贮存和填埋污染控制标准》（GB18599-2020）</w:t>
            </w:r>
            <w:r>
              <w:rPr>
                <w:color w:val="auto"/>
                <w:sz w:val="24"/>
              </w:rPr>
              <w:fldChar w:fldCharType="end"/>
            </w:r>
            <w:r>
              <w:rPr>
                <w:rFonts w:hint="eastAsia"/>
                <w:color w:val="auto"/>
                <w:sz w:val="24"/>
              </w:rPr>
              <w:t>中有关规定</w:t>
            </w:r>
          </w:p>
        </w:tc>
      </w:tr>
      <w:tr w14:paraId="76289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1079" w:type="dxa"/>
            <w:vMerge w:val="continue"/>
            <w:vAlign w:val="center"/>
          </w:tcPr>
          <w:p w14:paraId="4889D895">
            <w:pPr>
              <w:jc w:val="center"/>
              <w:rPr>
                <w:color w:val="auto"/>
                <w:sz w:val="24"/>
              </w:rPr>
            </w:pPr>
          </w:p>
        </w:tc>
        <w:tc>
          <w:tcPr>
            <w:tcW w:w="1279" w:type="dxa"/>
            <w:gridSpan w:val="2"/>
            <w:vAlign w:val="center"/>
          </w:tcPr>
          <w:p w14:paraId="6B46B630">
            <w:pPr>
              <w:jc w:val="center"/>
              <w:rPr>
                <w:color w:val="auto"/>
                <w:sz w:val="24"/>
              </w:rPr>
            </w:pPr>
            <w:r>
              <w:rPr>
                <w:color w:val="auto"/>
                <w:sz w:val="24"/>
              </w:rPr>
              <w:t>办公生活区</w:t>
            </w:r>
          </w:p>
        </w:tc>
        <w:tc>
          <w:tcPr>
            <w:tcW w:w="1646" w:type="dxa"/>
            <w:vAlign w:val="center"/>
          </w:tcPr>
          <w:p w14:paraId="12C840BB">
            <w:pPr>
              <w:jc w:val="center"/>
              <w:rPr>
                <w:color w:val="auto"/>
                <w:sz w:val="24"/>
              </w:rPr>
            </w:pPr>
            <w:r>
              <w:rPr>
                <w:color w:val="auto"/>
                <w:sz w:val="24"/>
              </w:rPr>
              <w:t>生活垃圾</w:t>
            </w:r>
          </w:p>
        </w:tc>
        <w:tc>
          <w:tcPr>
            <w:tcW w:w="2305" w:type="dxa"/>
            <w:vAlign w:val="center"/>
          </w:tcPr>
          <w:p w14:paraId="276811FD">
            <w:pPr>
              <w:jc w:val="center"/>
              <w:rPr>
                <w:color w:val="auto"/>
                <w:kern w:val="0"/>
                <w:sz w:val="24"/>
              </w:rPr>
            </w:pPr>
            <w:r>
              <w:rPr>
                <w:color w:val="auto"/>
                <w:kern w:val="0"/>
                <w:sz w:val="24"/>
              </w:rPr>
              <w:t>环卫部门统一清运处理</w:t>
            </w:r>
          </w:p>
        </w:tc>
        <w:tc>
          <w:tcPr>
            <w:tcW w:w="2740" w:type="dxa"/>
            <w:vAlign w:val="center"/>
          </w:tcPr>
          <w:p w14:paraId="5E86D865">
            <w:pPr>
              <w:jc w:val="center"/>
              <w:rPr>
                <w:color w:val="auto"/>
                <w:sz w:val="24"/>
              </w:rPr>
            </w:pPr>
            <w:r>
              <w:rPr>
                <w:rFonts w:hint="eastAsia"/>
                <w:color w:val="auto"/>
                <w:sz w:val="24"/>
              </w:rPr>
              <w:t>/</w:t>
            </w:r>
          </w:p>
        </w:tc>
      </w:tr>
      <w:tr w14:paraId="1466A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1079" w:type="dxa"/>
            <w:vMerge w:val="continue"/>
            <w:vAlign w:val="center"/>
          </w:tcPr>
          <w:p w14:paraId="0D60E529">
            <w:pPr>
              <w:jc w:val="center"/>
              <w:rPr>
                <w:color w:val="auto"/>
              </w:rPr>
            </w:pPr>
          </w:p>
        </w:tc>
        <w:tc>
          <w:tcPr>
            <w:tcW w:w="1279" w:type="dxa"/>
            <w:gridSpan w:val="2"/>
            <w:vAlign w:val="center"/>
          </w:tcPr>
          <w:p w14:paraId="59441D73">
            <w:pPr>
              <w:ind w:left="451" w:hanging="451" w:hangingChars="188"/>
              <w:jc w:val="center"/>
              <w:rPr>
                <w:color w:val="auto"/>
                <w:sz w:val="24"/>
              </w:rPr>
            </w:pPr>
            <w:r>
              <w:rPr>
                <w:rFonts w:hint="eastAsia"/>
                <w:color w:val="auto"/>
                <w:sz w:val="24"/>
              </w:rPr>
              <w:t>研发室</w:t>
            </w:r>
          </w:p>
        </w:tc>
        <w:tc>
          <w:tcPr>
            <w:tcW w:w="1646" w:type="dxa"/>
            <w:vAlign w:val="center"/>
          </w:tcPr>
          <w:p w14:paraId="252AB087">
            <w:pPr>
              <w:jc w:val="center"/>
              <w:rPr>
                <w:color w:val="auto"/>
                <w:sz w:val="24"/>
              </w:rPr>
            </w:pPr>
            <w:r>
              <w:rPr>
                <w:color w:val="auto"/>
                <w:sz w:val="24"/>
              </w:rPr>
              <w:t>废试剂瓶</w:t>
            </w:r>
            <w:r>
              <w:rPr>
                <w:rFonts w:hint="eastAsia"/>
                <w:color w:val="auto"/>
                <w:sz w:val="24"/>
              </w:rPr>
              <w:t>及</w:t>
            </w:r>
            <w:r>
              <w:rPr>
                <w:color w:val="auto"/>
                <w:sz w:val="24"/>
              </w:rPr>
              <w:t>玻璃器皿、实验室废液、</w:t>
            </w:r>
            <w:r>
              <w:rPr>
                <w:rFonts w:hint="eastAsia"/>
                <w:color w:val="auto"/>
                <w:sz w:val="24"/>
              </w:rPr>
              <w:t>初洗废水、</w:t>
            </w:r>
            <w:r>
              <w:rPr>
                <w:color w:val="auto"/>
                <w:sz w:val="24"/>
              </w:rPr>
              <w:t>废活性炭、固态实验废物</w:t>
            </w:r>
          </w:p>
        </w:tc>
        <w:tc>
          <w:tcPr>
            <w:tcW w:w="2305" w:type="dxa"/>
            <w:vAlign w:val="center"/>
          </w:tcPr>
          <w:p w14:paraId="71C2E629">
            <w:pPr>
              <w:jc w:val="center"/>
              <w:rPr>
                <w:color w:val="auto"/>
                <w:sz w:val="24"/>
              </w:rPr>
            </w:pPr>
            <w:r>
              <w:rPr>
                <w:color w:val="auto"/>
                <w:sz w:val="24"/>
              </w:rPr>
              <w:t>收集于</w:t>
            </w:r>
            <w:r>
              <w:rPr>
                <w:rFonts w:hint="eastAsia"/>
                <w:color w:val="auto"/>
                <w:sz w:val="24"/>
                <w:lang w:eastAsia="zh-CN"/>
              </w:rPr>
              <w:t>危废贮存库</w:t>
            </w:r>
            <w:r>
              <w:rPr>
                <w:color w:val="auto"/>
                <w:kern w:val="0"/>
                <w:sz w:val="24"/>
              </w:rPr>
              <w:t>，</w:t>
            </w:r>
            <w:r>
              <w:rPr>
                <w:color w:val="auto"/>
                <w:sz w:val="24"/>
              </w:rPr>
              <w:t>交由有资质单位处置</w:t>
            </w:r>
          </w:p>
        </w:tc>
        <w:tc>
          <w:tcPr>
            <w:tcW w:w="2740" w:type="dxa"/>
            <w:vAlign w:val="center"/>
          </w:tcPr>
          <w:p w14:paraId="5D0498CC">
            <w:pPr>
              <w:jc w:val="center"/>
              <w:rPr>
                <w:color w:val="auto"/>
                <w:sz w:val="24"/>
              </w:rPr>
            </w:pPr>
            <w:r>
              <w:rPr>
                <w:color w:val="auto"/>
                <w:sz w:val="24"/>
              </w:rPr>
              <w:t>符合《危险废物贮存污染控制标准》（HJ18597-2023）</w:t>
            </w:r>
            <w:r>
              <w:rPr>
                <w:rFonts w:hint="eastAsia"/>
                <w:color w:val="auto"/>
                <w:sz w:val="24"/>
                <w:lang w:val="en-US" w:eastAsia="zh-CN"/>
              </w:rPr>
              <w:t>及</w:t>
            </w:r>
            <w:r>
              <w:rPr>
                <w:rFonts w:hint="eastAsia"/>
                <w:color w:val="FF0000"/>
                <w:kern w:val="0"/>
                <w:sz w:val="24"/>
                <w:szCs w:val="21"/>
                <w:lang w:val="en-US" w:eastAsia="zh-CN"/>
              </w:rPr>
              <w:t>《实验室危险废物污染控制技术规范》（DB61/T1716-2023）</w:t>
            </w:r>
            <w:r>
              <w:rPr>
                <w:color w:val="auto"/>
                <w:sz w:val="24"/>
              </w:rPr>
              <w:t>中有关规定</w:t>
            </w:r>
          </w:p>
        </w:tc>
      </w:tr>
      <w:tr w14:paraId="26524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079" w:type="dxa"/>
            <w:vAlign w:val="center"/>
          </w:tcPr>
          <w:p w14:paraId="40DA70E1">
            <w:pPr>
              <w:jc w:val="center"/>
              <w:rPr>
                <w:color w:val="auto"/>
                <w:sz w:val="24"/>
              </w:rPr>
            </w:pPr>
            <w:r>
              <w:rPr>
                <w:color w:val="auto"/>
                <w:sz w:val="24"/>
              </w:rPr>
              <w:t>土壤及地下水污染防治措施</w:t>
            </w:r>
          </w:p>
        </w:tc>
        <w:tc>
          <w:tcPr>
            <w:tcW w:w="7970" w:type="dxa"/>
            <w:gridSpan w:val="5"/>
            <w:vAlign w:val="center"/>
          </w:tcPr>
          <w:p w14:paraId="17294BEC">
            <w:pPr>
              <w:rPr>
                <w:color w:val="auto"/>
                <w:sz w:val="24"/>
              </w:rPr>
            </w:pPr>
            <w:r>
              <w:rPr>
                <w:rFonts w:hint="eastAsia"/>
                <w:color w:val="auto"/>
                <w:sz w:val="24"/>
              </w:rPr>
              <w:t>废水依托西安生漆涂料研究所化粪池及地埋式一体化污水处理设施处理后经市政管网排入沣西新城渭河污水处理厂处理，排污管道及污水处理设施周围均已进行防渗处理，研发室及库房位于3楼，地面为水泥硬化地面并铺设瓷砖。</w:t>
            </w:r>
          </w:p>
        </w:tc>
      </w:tr>
      <w:tr w14:paraId="11997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079" w:type="dxa"/>
            <w:vAlign w:val="center"/>
          </w:tcPr>
          <w:p w14:paraId="3E0462FD">
            <w:pPr>
              <w:jc w:val="center"/>
              <w:rPr>
                <w:color w:val="auto"/>
                <w:sz w:val="24"/>
              </w:rPr>
            </w:pPr>
            <w:r>
              <w:rPr>
                <w:color w:val="auto"/>
                <w:sz w:val="24"/>
              </w:rPr>
              <w:t>生态保护措施</w:t>
            </w:r>
          </w:p>
        </w:tc>
        <w:tc>
          <w:tcPr>
            <w:tcW w:w="7970" w:type="dxa"/>
            <w:gridSpan w:val="5"/>
            <w:vAlign w:val="center"/>
          </w:tcPr>
          <w:p w14:paraId="49565F79">
            <w:pPr>
              <w:rPr>
                <w:color w:val="auto"/>
                <w:sz w:val="24"/>
              </w:rPr>
            </w:pPr>
            <w:r>
              <w:rPr>
                <w:color w:val="auto"/>
                <w:kern w:val="0"/>
                <w:sz w:val="24"/>
              </w:rPr>
              <w:t>本项目位于已建好的厂房内，只进行简单的设备安装及调试，对周围生态环境基本无影响。</w:t>
            </w:r>
          </w:p>
        </w:tc>
      </w:tr>
      <w:tr w14:paraId="70027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079" w:type="dxa"/>
            <w:vAlign w:val="center"/>
          </w:tcPr>
          <w:p w14:paraId="486E6C1C">
            <w:pPr>
              <w:jc w:val="center"/>
              <w:rPr>
                <w:color w:val="auto"/>
                <w:spacing w:val="-8"/>
                <w:sz w:val="24"/>
              </w:rPr>
            </w:pPr>
            <w:r>
              <w:rPr>
                <w:color w:val="auto"/>
                <w:spacing w:val="-8"/>
                <w:sz w:val="24"/>
              </w:rPr>
              <w:t>环境风险防范措施</w:t>
            </w:r>
          </w:p>
        </w:tc>
        <w:tc>
          <w:tcPr>
            <w:tcW w:w="7970" w:type="dxa"/>
            <w:gridSpan w:val="5"/>
            <w:vAlign w:val="center"/>
          </w:tcPr>
          <w:p w14:paraId="4F364503">
            <w:pPr>
              <w:rPr>
                <w:color w:val="auto"/>
                <w:sz w:val="24"/>
              </w:rPr>
            </w:pPr>
            <w:r>
              <w:rPr>
                <w:color w:val="auto"/>
                <w:sz w:val="24"/>
              </w:rPr>
              <w:t>根据《危险化学品重大危险源辨识》（GB18218-2018）及《危险废物管理名录》（2021年版）表1中对物质危险性的规定，本项目涉及的风险物质主要是</w:t>
            </w:r>
            <w:r>
              <w:rPr>
                <w:rFonts w:hint="eastAsia"/>
                <w:color w:val="auto"/>
                <w:sz w:val="24"/>
              </w:rPr>
              <w:t>乙酸乙酯、石油醚、乙醇、甲醇、危险废物等</w:t>
            </w:r>
            <w:r>
              <w:rPr>
                <w:color w:val="auto"/>
                <w:sz w:val="24"/>
              </w:rPr>
              <w:t>。环境风险主要为泄露或后续引发的火灾等危险事故。针对本项目存在的各类事故风险，在严格落实环境风险防范措施，加强生产管理的情况下，上述风险事故隐患可降至可接受水平。</w:t>
            </w:r>
          </w:p>
        </w:tc>
      </w:tr>
      <w:tr w14:paraId="3E88D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2" w:hRule="atLeast"/>
          <w:jc w:val="center"/>
        </w:trPr>
        <w:tc>
          <w:tcPr>
            <w:tcW w:w="1079" w:type="dxa"/>
            <w:vAlign w:val="center"/>
          </w:tcPr>
          <w:p w14:paraId="28D9C29B">
            <w:pPr>
              <w:jc w:val="center"/>
              <w:rPr>
                <w:color w:val="auto"/>
                <w:spacing w:val="-8"/>
                <w:sz w:val="24"/>
              </w:rPr>
            </w:pPr>
            <w:r>
              <w:rPr>
                <w:color w:val="auto"/>
                <w:spacing w:val="-8"/>
                <w:sz w:val="24"/>
              </w:rPr>
              <w:t>其他环境</w:t>
            </w:r>
          </w:p>
          <w:p w14:paraId="450B739F">
            <w:pPr>
              <w:jc w:val="center"/>
              <w:rPr>
                <w:color w:val="auto"/>
                <w:spacing w:val="-8"/>
                <w:sz w:val="24"/>
              </w:rPr>
            </w:pPr>
            <w:r>
              <w:rPr>
                <w:color w:val="auto"/>
                <w:spacing w:val="-8"/>
                <w:sz w:val="24"/>
              </w:rPr>
              <w:t>管理要求</w:t>
            </w:r>
          </w:p>
        </w:tc>
        <w:tc>
          <w:tcPr>
            <w:tcW w:w="7970" w:type="dxa"/>
            <w:gridSpan w:val="5"/>
            <w:vAlign w:val="center"/>
          </w:tcPr>
          <w:p w14:paraId="635F8742">
            <w:pPr>
              <w:spacing w:line="360" w:lineRule="auto"/>
              <w:ind w:firstLine="480" w:firstLineChars="200"/>
              <w:rPr>
                <w:color w:val="auto"/>
                <w:sz w:val="24"/>
              </w:rPr>
            </w:pPr>
            <w:r>
              <w:rPr>
                <w:color w:val="auto"/>
                <w:sz w:val="24"/>
              </w:rPr>
              <w:t>建设单位应成立专门的环境管理机构，并制定一系列的环境管理制度具体落实企业内部生产运行过程中的各项国家及地方环境管理要求。建设单位环境保护管理机构的主要职责主要包括以下几个方面：</w:t>
            </w:r>
          </w:p>
          <w:p w14:paraId="62D4C96A">
            <w:pPr>
              <w:numPr>
                <w:ilvl w:val="0"/>
                <w:numId w:val="8"/>
              </w:numPr>
              <w:spacing w:line="360" w:lineRule="auto"/>
              <w:ind w:firstLine="480" w:firstLineChars="200"/>
              <w:rPr>
                <w:color w:val="auto"/>
                <w:sz w:val="24"/>
              </w:rPr>
            </w:pPr>
            <w:r>
              <w:rPr>
                <w:rFonts w:hint="eastAsia"/>
                <w:color w:val="auto"/>
                <w:sz w:val="24"/>
              </w:rPr>
              <w:t>建设项目三同时制度</w:t>
            </w:r>
          </w:p>
          <w:p w14:paraId="183FCA91">
            <w:pPr>
              <w:spacing w:line="360" w:lineRule="auto"/>
              <w:ind w:firstLine="480" w:firstLineChars="200"/>
              <w:rPr>
                <w:color w:val="auto"/>
                <w:sz w:val="24"/>
              </w:rPr>
            </w:pPr>
            <w:r>
              <w:rPr>
                <w:rFonts w:hint="eastAsia"/>
                <w:color w:val="auto"/>
                <w:sz w:val="24"/>
              </w:rPr>
              <w:t>根据《建设项目环境保护管理条例》及其修改决定（国务院令第682号），建设项目竣工后，建设单位应进行竣工验收，验收后本项目方可正式投产运行。</w:t>
            </w:r>
          </w:p>
          <w:p w14:paraId="624AD518">
            <w:pPr>
              <w:spacing w:line="360" w:lineRule="auto"/>
              <w:ind w:firstLine="480" w:firstLineChars="200"/>
              <w:rPr>
                <w:color w:val="auto"/>
                <w:sz w:val="24"/>
              </w:rPr>
            </w:pPr>
            <w:r>
              <w:rPr>
                <w:rFonts w:hint="eastAsia"/>
                <w:color w:val="auto"/>
                <w:sz w:val="24"/>
              </w:rPr>
              <w:t>（2）环境管理制度</w:t>
            </w:r>
          </w:p>
          <w:p w14:paraId="6BDDF14D">
            <w:pPr>
              <w:spacing w:line="360" w:lineRule="auto"/>
              <w:ind w:firstLine="480" w:firstLineChars="200"/>
              <w:rPr>
                <w:color w:val="auto"/>
                <w:sz w:val="24"/>
              </w:rPr>
            </w:pPr>
            <w:r>
              <w:rPr>
                <w:rFonts w:hint="eastAsia"/>
                <w:color w:val="auto"/>
                <w:sz w:val="24"/>
              </w:rPr>
              <w:t>根据国家、地方政府对企业环境管理的基本要求，</w:t>
            </w:r>
            <w:r>
              <w:rPr>
                <w:color w:val="auto"/>
                <w:sz w:val="24"/>
              </w:rPr>
              <w:t>组织制定环保管理制度、年度实施计划和长远规划，并监督贯彻执行，具体环境保护管理制度应包括以下几个方面的工作内容：</w:t>
            </w:r>
          </w:p>
          <w:p w14:paraId="3C7F1347">
            <w:pPr>
              <w:spacing w:line="360" w:lineRule="auto"/>
              <w:ind w:firstLine="480" w:firstLineChars="200"/>
              <w:rPr>
                <w:color w:val="auto"/>
                <w:sz w:val="24"/>
              </w:rPr>
            </w:pPr>
            <w:r>
              <w:rPr>
                <w:color w:val="auto"/>
                <w:sz w:val="24"/>
              </w:rPr>
              <w:t>①</w:t>
            </w:r>
            <w:r>
              <w:rPr>
                <w:rFonts w:hint="eastAsia"/>
                <w:color w:val="auto"/>
                <w:sz w:val="24"/>
              </w:rPr>
              <w:t>废气处理措施、</w:t>
            </w:r>
            <w:r>
              <w:rPr>
                <w:color w:val="auto"/>
                <w:sz w:val="24"/>
              </w:rPr>
              <w:t>固体废物收集处理处置设施、噪声防治设施及措施等的运行、维修、定期保养等工作制度；</w:t>
            </w:r>
          </w:p>
          <w:p w14:paraId="721371D1">
            <w:pPr>
              <w:spacing w:line="360" w:lineRule="auto"/>
              <w:ind w:firstLine="480" w:firstLineChars="200"/>
              <w:rPr>
                <w:color w:val="auto"/>
                <w:sz w:val="24"/>
              </w:rPr>
            </w:pPr>
            <w:r>
              <w:rPr>
                <w:color w:val="auto"/>
                <w:sz w:val="24"/>
              </w:rPr>
              <w:t>②环保台账管理制度，主要包括废气等监测数据台账。</w:t>
            </w:r>
          </w:p>
          <w:p w14:paraId="6F0255C2">
            <w:pPr>
              <w:spacing w:line="360" w:lineRule="auto"/>
              <w:ind w:firstLine="480" w:firstLineChars="200"/>
              <w:rPr>
                <w:color w:val="auto"/>
                <w:sz w:val="24"/>
              </w:rPr>
            </w:pPr>
            <w:r>
              <w:rPr>
                <w:rFonts w:hint="eastAsia"/>
                <w:color w:val="auto"/>
                <w:sz w:val="24"/>
              </w:rPr>
              <w:t>（3）排污许可证制度</w:t>
            </w:r>
          </w:p>
          <w:p w14:paraId="47A0F6FA">
            <w:pPr>
              <w:spacing w:line="360" w:lineRule="auto"/>
              <w:ind w:firstLine="480" w:firstLineChars="200"/>
              <w:rPr>
                <w:color w:val="auto"/>
                <w:sz w:val="24"/>
              </w:rPr>
            </w:pPr>
            <w:r>
              <w:rPr>
                <w:rFonts w:hint="eastAsia"/>
                <w:color w:val="auto"/>
                <w:sz w:val="24"/>
              </w:rPr>
              <w:t>建设单位在本项目排污前，根据《固定污染源排污许可分类管理名录（2019年版）》要求判定是否需办理排污许可手续，若需办理由建设单位或委托第三方机构及时办理排污许可手续，未取得排污许可手续前本项目不得排污。</w:t>
            </w:r>
          </w:p>
          <w:p w14:paraId="052FA645">
            <w:pPr>
              <w:spacing w:line="360" w:lineRule="auto"/>
              <w:ind w:firstLine="480" w:firstLineChars="200"/>
              <w:rPr>
                <w:color w:val="auto"/>
                <w:sz w:val="24"/>
              </w:rPr>
            </w:pPr>
            <w:r>
              <w:rPr>
                <w:rFonts w:hint="eastAsia"/>
                <w:color w:val="auto"/>
                <w:sz w:val="24"/>
              </w:rPr>
              <w:t>（4）环境风险防范制度</w:t>
            </w:r>
          </w:p>
          <w:p w14:paraId="100A698E">
            <w:pPr>
              <w:spacing w:line="360" w:lineRule="auto"/>
              <w:ind w:firstLine="480" w:firstLineChars="200"/>
              <w:rPr>
                <w:color w:val="auto"/>
                <w:sz w:val="24"/>
              </w:rPr>
            </w:pPr>
            <w:r>
              <w:rPr>
                <w:rFonts w:hint="eastAsia"/>
                <w:color w:val="auto"/>
                <w:sz w:val="24"/>
              </w:rPr>
              <w:t>建设单位建立健全突发环境事件应急制度，配置必要的应急救援设备，并加强人员培训、演练。</w:t>
            </w:r>
          </w:p>
          <w:p w14:paraId="7A8020CF">
            <w:pPr>
              <w:spacing w:line="360" w:lineRule="auto"/>
              <w:ind w:firstLine="480" w:firstLineChars="200"/>
              <w:rPr>
                <w:color w:val="auto"/>
                <w:sz w:val="24"/>
              </w:rPr>
            </w:pPr>
            <w:r>
              <w:rPr>
                <w:rFonts w:hint="eastAsia"/>
                <w:color w:val="auto"/>
                <w:sz w:val="24"/>
              </w:rPr>
              <w:t>（5）排污口</w:t>
            </w:r>
            <w:r>
              <w:rPr>
                <w:rFonts w:hint="eastAsia"/>
                <w:color w:val="auto"/>
                <w:sz w:val="24"/>
                <w:lang w:val="en-US" w:eastAsia="zh-CN"/>
              </w:rPr>
              <w:t>设置</w:t>
            </w:r>
            <w:r>
              <w:rPr>
                <w:rFonts w:hint="eastAsia"/>
                <w:color w:val="auto"/>
                <w:sz w:val="24"/>
              </w:rPr>
              <w:t>规范要求</w:t>
            </w:r>
          </w:p>
          <w:p w14:paraId="20779631">
            <w:pPr>
              <w:spacing w:line="360" w:lineRule="auto"/>
              <w:ind w:firstLine="480" w:firstLineChars="200"/>
              <w:rPr>
                <w:color w:val="auto"/>
                <w:sz w:val="24"/>
              </w:rPr>
            </w:pPr>
            <w:r>
              <w:rPr>
                <w:rFonts w:hint="eastAsia"/>
                <w:color w:val="auto"/>
                <w:sz w:val="24"/>
              </w:rPr>
              <w:t>企业应规范环保图形标志，固体废物堆放场所必须有防火、防腐蚀、防流失等措施，并按《环境保护图形标志-固体废物贮存（处置）场》（GB15562.2-1995）相关要求设置标志牌。</w:t>
            </w:r>
          </w:p>
          <w:p w14:paraId="26C9AC58">
            <w:pPr>
              <w:spacing w:line="360" w:lineRule="auto"/>
              <w:ind w:firstLine="480" w:firstLineChars="200"/>
              <w:rPr>
                <w:color w:val="auto"/>
                <w:sz w:val="24"/>
              </w:rPr>
            </w:pPr>
            <w:r>
              <w:rPr>
                <w:rFonts w:hint="eastAsia"/>
                <w:color w:val="auto"/>
                <w:sz w:val="24"/>
              </w:rPr>
              <w:t>（6）竣工验收制度</w:t>
            </w:r>
          </w:p>
          <w:p w14:paraId="21E57DF1">
            <w:pPr>
              <w:spacing w:line="360" w:lineRule="auto"/>
              <w:ind w:firstLine="480" w:firstLineChars="200"/>
              <w:rPr>
                <w:color w:val="auto"/>
                <w:sz w:val="24"/>
              </w:rPr>
            </w:pPr>
            <w:r>
              <w:rPr>
                <w:rFonts w:hint="eastAsia"/>
                <w:color w:val="auto"/>
                <w:sz w:val="24"/>
              </w:rPr>
              <w:t>根据《建设项目竣工环境保护验收暂行办法》（国环规环评[2017]4号），建设单位自行组织验收。验收合格后，方可投入生产或者使用。</w:t>
            </w:r>
          </w:p>
          <w:p w14:paraId="7C1D5572">
            <w:pPr>
              <w:spacing w:line="360" w:lineRule="auto"/>
              <w:ind w:firstLine="480" w:firstLineChars="200"/>
              <w:rPr>
                <w:color w:val="auto"/>
                <w:sz w:val="24"/>
              </w:rPr>
            </w:pPr>
            <w:r>
              <w:rPr>
                <w:rFonts w:hint="eastAsia"/>
                <w:color w:val="auto"/>
                <w:sz w:val="24"/>
              </w:rPr>
              <w:t>（7）例行监测制度</w:t>
            </w:r>
          </w:p>
          <w:p w14:paraId="0C6400E3">
            <w:pPr>
              <w:spacing w:line="360" w:lineRule="auto"/>
              <w:ind w:firstLine="480" w:firstLineChars="200"/>
              <w:rPr>
                <w:color w:val="auto"/>
                <w:sz w:val="24"/>
              </w:rPr>
            </w:pPr>
            <w:r>
              <w:rPr>
                <w:rFonts w:hint="eastAsia"/>
                <w:color w:val="auto"/>
                <w:sz w:val="24"/>
              </w:rPr>
              <w:t>根据表4-7的本项目监测计划，委托有资质的</w:t>
            </w:r>
            <w:r>
              <w:rPr>
                <w:color w:val="auto"/>
                <w:sz w:val="24"/>
              </w:rPr>
              <w:t>检（监）测机构开展</w:t>
            </w:r>
            <w:r>
              <w:rPr>
                <w:rFonts w:hint="eastAsia"/>
                <w:color w:val="auto"/>
                <w:sz w:val="24"/>
              </w:rPr>
              <w:t>企业</w:t>
            </w:r>
            <w:r>
              <w:rPr>
                <w:color w:val="auto"/>
                <w:sz w:val="24"/>
              </w:rPr>
              <w:t>自行监测，对检（监）测机构的资质进行确认。</w:t>
            </w:r>
          </w:p>
          <w:p w14:paraId="7382AB5A">
            <w:pPr>
              <w:spacing w:line="360" w:lineRule="auto"/>
              <w:ind w:firstLine="480" w:firstLineChars="200"/>
              <w:rPr>
                <w:color w:val="auto"/>
                <w:sz w:val="24"/>
              </w:rPr>
            </w:pPr>
            <w:r>
              <w:rPr>
                <w:rFonts w:hint="eastAsia"/>
                <w:color w:val="auto"/>
                <w:sz w:val="24"/>
              </w:rPr>
              <w:t>（8）信息公开制度</w:t>
            </w:r>
          </w:p>
          <w:p w14:paraId="76F47FF2">
            <w:pPr>
              <w:spacing w:line="360" w:lineRule="auto"/>
              <w:ind w:firstLine="480" w:firstLineChars="200"/>
              <w:rPr>
                <w:color w:val="auto"/>
                <w:sz w:val="24"/>
              </w:rPr>
            </w:pPr>
            <w:r>
              <w:rPr>
                <w:color w:val="auto"/>
                <w:sz w:val="24"/>
              </w:rPr>
              <w:t>根据《建设项目环境保护事中事后监督管理办法（试行）》要求，建设单位应当主动向社会公开建设项目环境影响评价文件、污染防治设施建设运行情况、污染物排放情况及应对情况等环境信息。</w:t>
            </w:r>
          </w:p>
          <w:p w14:paraId="1CDD689E">
            <w:pPr>
              <w:pStyle w:val="3"/>
              <w:spacing w:line="360" w:lineRule="auto"/>
              <w:rPr>
                <w:color w:val="auto"/>
                <w:sz w:val="24"/>
              </w:rPr>
            </w:pPr>
          </w:p>
          <w:p w14:paraId="7503390E">
            <w:pPr>
              <w:spacing w:line="360" w:lineRule="auto"/>
              <w:rPr>
                <w:color w:val="auto"/>
                <w:sz w:val="24"/>
              </w:rPr>
            </w:pPr>
          </w:p>
          <w:p w14:paraId="17B0CF1E">
            <w:pPr>
              <w:pStyle w:val="3"/>
              <w:spacing w:line="360" w:lineRule="auto"/>
              <w:rPr>
                <w:color w:val="auto"/>
                <w:sz w:val="24"/>
              </w:rPr>
            </w:pPr>
          </w:p>
          <w:p w14:paraId="75065D47">
            <w:pPr>
              <w:spacing w:line="360" w:lineRule="auto"/>
              <w:rPr>
                <w:color w:val="auto"/>
                <w:sz w:val="24"/>
              </w:rPr>
            </w:pPr>
          </w:p>
          <w:p w14:paraId="10357384">
            <w:pPr>
              <w:pStyle w:val="3"/>
              <w:spacing w:line="360" w:lineRule="auto"/>
              <w:rPr>
                <w:color w:val="auto"/>
                <w:sz w:val="24"/>
              </w:rPr>
            </w:pPr>
          </w:p>
          <w:p w14:paraId="6D9D5934">
            <w:pPr>
              <w:spacing w:line="360" w:lineRule="auto"/>
              <w:rPr>
                <w:color w:val="auto"/>
                <w:sz w:val="24"/>
              </w:rPr>
            </w:pPr>
          </w:p>
          <w:p w14:paraId="48742051">
            <w:pPr>
              <w:pStyle w:val="3"/>
              <w:spacing w:line="360" w:lineRule="auto"/>
              <w:rPr>
                <w:color w:val="auto"/>
                <w:sz w:val="24"/>
              </w:rPr>
            </w:pPr>
          </w:p>
          <w:p w14:paraId="2A08AA27">
            <w:pPr>
              <w:spacing w:line="360" w:lineRule="auto"/>
              <w:rPr>
                <w:color w:val="auto"/>
                <w:sz w:val="24"/>
              </w:rPr>
            </w:pPr>
          </w:p>
          <w:p w14:paraId="29747522">
            <w:pPr>
              <w:pStyle w:val="3"/>
              <w:spacing w:line="360" w:lineRule="auto"/>
              <w:rPr>
                <w:color w:val="auto"/>
                <w:sz w:val="24"/>
              </w:rPr>
            </w:pPr>
          </w:p>
          <w:p w14:paraId="73BE6075">
            <w:pPr>
              <w:spacing w:line="360" w:lineRule="auto"/>
              <w:rPr>
                <w:color w:val="auto"/>
                <w:sz w:val="24"/>
              </w:rPr>
            </w:pPr>
          </w:p>
          <w:p w14:paraId="698750CD">
            <w:pPr>
              <w:pStyle w:val="3"/>
              <w:spacing w:line="360" w:lineRule="auto"/>
              <w:rPr>
                <w:color w:val="auto"/>
                <w:sz w:val="24"/>
              </w:rPr>
            </w:pPr>
          </w:p>
          <w:p w14:paraId="0733C2AF">
            <w:pPr>
              <w:spacing w:line="360" w:lineRule="auto"/>
              <w:rPr>
                <w:color w:val="auto"/>
                <w:sz w:val="24"/>
              </w:rPr>
            </w:pPr>
          </w:p>
          <w:p w14:paraId="42E61B83">
            <w:pPr>
              <w:spacing w:line="360" w:lineRule="auto"/>
              <w:rPr>
                <w:color w:val="auto"/>
                <w:sz w:val="24"/>
              </w:rPr>
            </w:pPr>
          </w:p>
          <w:p w14:paraId="6A62E912">
            <w:pPr>
              <w:spacing w:line="360" w:lineRule="auto"/>
              <w:rPr>
                <w:color w:val="auto"/>
                <w:sz w:val="24"/>
              </w:rPr>
            </w:pPr>
          </w:p>
          <w:p w14:paraId="35442214">
            <w:pPr>
              <w:spacing w:line="360" w:lineRule="auto"/>
              <w:rPr>
                <w:color w:val="auto"/>
                <w:sz w:val="24"/>
              </w:rPr>
            </w:pPr>
          </w:p>
          <w:p w14:paraId="7944BDFB">
            <w:pPr>
              <w:spacing w:line="360" w:lineRule="auto"/>
              <w:rPr>
                <w:color w:val="auto"/>
                <w:sz w:val="24"/>
              </w:rPr>
            </w:pPr>
          </w:p>
          <w:p w14:paraId="0B0553E7">
            <w:pPr>
              <w:spacing w:line="360" w:lineRule="auto"/>
              <w:rPr>
                <w:color w:val="auto"/>
                <w:sz w:val="24"/>
              </w:rPr>
            </w:pPr>
          </w:p>
          <w:p w14:paraId="67C070DD">
            <w:pPr>
              <w:pStyle w:val="3"/>
              <w:spacing w:line="360" w:lineRule="auto"/>
              <w:rPr>
                <w:color w:val="auto"/>
              </w:rPr>
            </w:pPr>
          </w:p>
          <w:p w14:paraId="5CB6BE74">
            <w:pPr>
              <w:pStyle w:val="3"/>
              <w:spacing w:line="360" w:lineRule="auto"/>
              <w:rPr>
                <w:color w:val="auto"/>
                <w:sz w:val="24"/>
              </w:rPr>
            </w:pPr>
          </w:p>
          <w:p w14:paraId="69B53EC1">
            <w:pPr>
              <w:spacing w:line="360" w:lineRule="auto"/>
              <w:rPr>
                <w:color w:val="auto"/>
                <w:sz w:val="24"/>
              </w:rPr>
            </w:pPr>
          </w:p>
          <w:p w14:paraId="585B3839">
            <w:pPr>
              <w:pStyle w:val="3"/>
              <w:rPr>
                <w:color w:val="auto"/>
              </w:rPr>
            </w:pPr>
          </w:p>
        </w:tc>
      </w:tr>
    </w:tbl>
    <w:p w14:paraId="22A42B45">
      <w:pPr>
        <w:widowControl/>
        <w:spacing w:before="100" w:beforeAutospacing="1" w:after="100" w:afterAutospacing="1"/>
        <w:jc w:val="center"/>
        <w:outlineLvl w:val="0"/>
        <w:rPr>
          <w:rFonts w:eastAsia="黑体"/>
          <w:snapToGrid w:val="0"/>
          <w:color w:val="auto"/>
          <w:kern w:val="0"/>
          <w:sz w:val="30"/>
          <w:szCs w:val="30"/>
        </w:rPr>
      </w:pPr>
      <w:r>
        <w:rPr>
          <w:snapToGrid w:val="0"/>
          <w:color w:val="auto"/>
          <w:kern w:val="0"/>
          <w:sz w:val="24"/>
          <w:szCs w:val="20"/>
        </w:rPr>
        <w:br w:type="page"/>
      </w:r>
      <w:r>
        <w:rPr>
          <w:rFonts w:eastAsia="黑体"/>
          <w:snapToGrid w:val="0"/>
          <w:color w:val="auto"/>
          <w:kern w:val="0"/>
          <w:sz w:val="30"/>
          <w:szCs w:val="30"/>
        </w:rPr>
        <w:t>六、结论</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9390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36" w:hRule="atLeast"/>
          <w:jc w:val="center"/>
        </w:trPr>
        <w:tc>
          <w:tcPr>
            <w:tcW w:w="8865" w:type="dxa"/>
            <w:vAlign w:val="center"/>
          </w:tcPr>
          <w:p w14:paraId="0F1CB888">
            <w:pPr>
              <w:autoSpaceDE w:val="0"/>
              <w:autoSpaceDN w:val="0"/>
              <w:adjustRightInd w:val="0"/>
              <w:spacing w:line="360" w:lineRule="auto"/>
              <w:ind w:firstLine="472" w:firstLineChars="196"/>
              <w:rPr>
                <w:b/>
                <w:color w:val="auto"/>
                <w:kern w:val="0"/>
                <w:sz w:val="24"/>
                <w:szCs w:val="20"/>
              </w:rPr>
            </w:pPr>
            <w:r>
              <w:rPr>
                <w:b/>
                <w:color w:val="auto"/>
                <w:kern w:val="0"/>
                <w:sz w:val="24"/>
                <w:szCs w:val="20"/>
              </w:rPr>
              <w:t>从环境保护角度，该建设项目环境影响可行。</w:t>
            </w:r>
          </w:p>
          <w:p w14:paraId="5BDFF14D">
            <w:pPr>
              <w:autoSpaceDE w:val="0"/>
              <w:autoSpaceDN w:val="0"/>
              <w:adjustRightInd w:val="0"/>
              <w:spacing w:line="360" w:lineRule="auto"/>
              <w:ind w:firstLine="470" w:firstLineChars="196"/>
              <w:rPr>
                <w:color w:val="auto"/>
                <w:sz w:val="24"/>
              </w:rPr>
            </w:pPr>
          </w:p>
        </w:tc>
      </w:tr>
    </w:tbl>
    <w:p w14:paraId="25DDE27D">
      <w:pPr>
        <w:rPr>
          <w:color w:val="auto"/>
        </w:rPr>
        <w:sectPr>
          <w:pgSz w:w="11906" w:h="16838"/>
          <w:pgMar w:top="1553" w:right="1553" w:bottom="1553" w:left="1553" w:header="851" w:footer="851" w:gutter="0"/>
          <w:pgNumType w:fmt="numberInDash"/>
          <w:cols w:space="720" w:num="1"/>
          <w:docGrid w:linePitch="312" w:charSpace="0"/>
        </w:sectPr>
      </w:pPr>
    </w:p>
    <w:p w14:paraId="2B79E7FB">
      <w:pPr>
        <w:widowControl/>
        <w:adjustRightInd w:val="0"/>
        <w:snapToGrid w:val="0"/>
        <w:jc w:val="left"/>
        <w:outlineLvl w:val="0"/>
        <w:rPr>
          <w:rFonts w:eastAsia="黑体"/>
          <w:snapToGrid w:val="0"/>
          <w:color w:val="auto"/>
          <w:kern w:val="0"/>
          <w:sz w:val="32"/>
          <w:szCs w:val="32"/>
        </w:rPr>
      </w:pPr>
      <w:r>
        <w:rPr>
          <w:rFonts w:eastAsia="黑体"/>
          <w:snapToGrid w:val="0"/>
          <w:color w:val="auto"/>
          <w:kern w:val="0"/>
          <w:sz w:val="32"/>
          <w:szCs w:val="32"/>
        </w:rPr>
        <w:t>附表</w:t>
      </w:r>
    </w:p>
    <w:p w14:paraId="7EC543F9">
      <w:pPr>
        <w:adjustRightInd w:val="0"/>
        <w:snapToGrid w:val="0"/>
        <w:jc w:val="center"/>
        <w:outlineLvl w:val="0"/>
        <w:rPr>
          <w:rFonts w:eastAsia="方正小标宋_GBK"/>
          <w:snapToGrid w:val="0"/>
          <w:color w:val="auto"/>
          <w:kern w:val="0"/>
          <w:sz w:val="36"/>
          <w:szCs w:val="36"/>
        </w:rPr>
      </w:pPr>
      <w:r>
        <w:rPr>
          <w:rFonts w:eastAsia="方正小标宋_GBK"/>
          <w:snapToGrid w:val="0"/>
          <w:color w:val="auto"/>
          <w:kern w:val="0"/>
          <w:sz w:val="36"/>
          <w:szCs w:val="36"/>
        </w:rPr>
        <w:t>建设项目污染物排放量汇总表</w:t>
      </w:r>
    </w:p>
    <w:tbl>
      <w:tblPr>
        <w:tblStyle w:val="18"/>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711"/>
        <w:gridCol w:w="1275"/>
        <w:gridCol w:w="1166"/>
        <w:gridCol w:w="1667"/>
        <w:gridCol w:w="1617"/>
        <w:gridCol w:w="1475"/>
        <w:gridCol w:w="1841"/>
        <w:gridCol w:w="926"/>
      </w:tblGrid>
      <w:tr w14:paraId="28193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10" w:type="dxa"/>
            <w:tcBorders>
              <w:tl2br w:val="single" w:color="auto" w:sz="4" w:space="0"/>
            </w:tcBorders>
            <w:tcMar>
              <w:left w:w="28" w:type="dxa"/>
              <w:right w:w="28" w:type="dxa"/>
            </w:tcMar>
            <w:vAlign w:val="center"/>
          </w:tcPr>
          <w:p w14:paraId="70CDA5B5">
            <w:pPr>
              <w:adjustRightInd w:val="0"/>
              <w:snapToGrid w:val="0"/>
              <w:jc w:val="right"/>
              <w:rPr>
                <w:rFonts w:eastAsia="黑体"/>
                <w:snapToGrid w:val="0"/>
                <w:color w:val="auto"/>
                <w:spacing w:val="-6"/>
                <w:kern w:val="21"/>
                <w:szCs w:val="21"/>
              </w:rPr>
            </w:pPr>
            <w:r>
              <w:rPr>
                <w:rFonts w:eastAsia="黑体"/>
                <w:snapToGrid w:val="0"/>
                <w:color w:val="auto"/>
                <w:spacing w:val="-6"/>
                <w:kern w:val="21"/>
                <w:szCs w:val="21"/>
              </w:rPr>
              <w:t>项目</w:t>
            </w:r>
          </w:p>
          <w:p w14:paraId="1C5B1382">
            <w:pPr>
              <w:adjustRightInd w:val="0"/>
              <w:snapToGrid w:val="0"/>
              <w:jc w:val="left"/>
              <w:rPr>
                <w:rFonts w:eastAsia="黑体"/>
                <w:snapToGrid w:val="0"/>
                <w:color w:val="auto"/>
                <w:spacing w:val="-6"/>
                <w:kern w:val="21"/>
                <w:szCs w:val="21"/>
              </w:rPr>
            </w:pPr>
            <w:r>
              <w:rPr>
                <w:rFonts w:eastAsia="黑体"/>
                <w:snapToGrid w:val="0"/>
                <w:color w:val="auto"/>
                <w:spacing w:val="-6"/>
                <w:kern w:val="21"/>
                <w:szCs w:val="21"/>
              </w:rPr>
              <w:t>分类</w:t>
            </w:r>
          </w:p>
        </w:tc>
        <w:tc>
          <w:tcPr>
            <w:tcW w:w="2711" w:type="dxa"/>
            <w:tcMar>
              <w:left w:w="28" w:type="dxa"/>
              <w:right w:w="28" w:type="dxa"/>
            </w:tcMar>
            <w:vAlign w:val="center"/>
          </w:tcPr>
          <w:p w14:paraId="6D08145A">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污染物名称</w:t>
            </w:r>
          </w:p>
        </w:tc>
        <w:tc>
          <w:tcPr>
            <w:tcW w:w="1275" w:type="dxa"/>
            <w:tcMar>
              <w:left w:w="28" w:type="dxa"/>
              <w:right w:w="28" w:type="dxa"/>
            </w:tcMar>
            <w:vAlign w:val="center"/>
          </w:tcPr>
          <w:p w14:paraId="6A01AE63">
            <w:pPr>
              <w:adjustRightInd w:val="0"/>
              <w:snapToGrid w:val="0"/>
              <w:jc w:val="center"/>
              <w:rPr>
                <w:rFonts w:eastAsia="黑体"/>
                <w:snapToGrid w:val="0"/>
                <w:color w:val="auto"/>
                <w:kern w:val="21"/>
                <w:szCs w:val="21"/>
              </w:rPr>
            </w:pPr>
            <w:r>
              <w:rPr>
                <w:rFonts w:eastAsia="黑体"/>
                <w:snapToGrid w:val="0"/>
                <w:color w:val="auto"/>
                <w:kern w:val="21"/>
                <w:szCs w:val="21"/>
              </w:rPr>
              <w:t>现有工程排放量（固体废物产生量）</w:t>
            </w:r>
            <w:r>
              <w:rPr>
                <w:rFonts w:eastAsia="黑体"/>
                <w:snapToGrid w:val="0"/>
                <w:color w:val="auto"/>
                <w:kern w:val="21"/>
                <w:szCs w:val="21"/>
              </w:rPr>
              <w:fldChar w:fldCharType="begin"/>
            </w:r>
            <w:r>
              <w:rPr>
                <w:rFonts w:eastAsia="黑体"/>
                <w:snapToGrid w:val="0"/>
                <w:color w:val="auto"/>
                <w:kern w:val="21"/>
                <w:szCs w:val="21"/>
              </w:rPr>
              <w:instrText xml:space="preserve"> = 1 \* GB3 \* MERGEFORMAT </w:instrText>
            </w:r>
            <w:r>
              <w:rPr>
                <w:rFonts w:eastAsia="黑体"/>
                <w:snapToGrid w:val="0"/>
                <w:color w:val="auto"/>
                <w:kern w:val="21"/>
                <w:szCs w:val="21"/>
              </w:rPr>
              <w:fldChar w:fldCharType="separate"/>
            </w:r>
            <w:r>
              <w:rPr>
                <w:rFonts w:eastAsia="黑体"/>
                <w:color w:val="auto"/>
                <w:szCs w:val="21"/>
              </w:rPr>
              <w:t>①</w:t>
            </w:r>
            <w:r>
              <w:rPr>
                <w:rFonts w:eastAsia="黑体"/>
                <w:snapToGrid w:val="0"/>
                <w:color w:val="auto"/>
                <w:kern w:val="21"/>
                <w:szCs w:val="21"/>
              </w:rPr>
              <w:fldChar w:fldCharType="end"/>
            </w:r>
          </w:p>
        </w:tc>
        <w:tc>
          <w:tcPr>
            <w:tcW w:w="1166" w:type="dxa"/>
            <w:tcMar>
              <w:left w:w="28" w:type="dxa"/>
              <w:right w:w="28" w:type="dxa"/>
            </w:tcMar>
            <w:vAlign w:val="center"/>
          </w:tcPr>
          <w:p w14:paraId="5D8C092B">
            <w:pPr>
              <w:adjustRightInd w:val="0"/>
              <w:snapToGrid w:val="0"/>
              <w:jc w:val="center"/>
              <w:rPr>
                <w:rFonts w:eastAsia="黑体"/>
                <w:snapToGrid w:val="0"/>
                <w:color w:val="auto"/>
                <w:kern w:val="21"/>
                <w:szCs w:val="21"/>
              </w:rPr>
            </w:pPr>
            <w:r>
              <w:rPr>
                <w:rFonts w:eastAsia="黑体"/>
                <w:snapToGrid w:val="0"/>
                <w:color w:val="auto"/>
                <w:kern w:val="21"/>
                <w:szCs w:val="21"/>
              </w:rPr>
              <w:t>现有工程</w:t>
            </w:r>
          </w:p>
          <w:p w14:paraId="6048A477">
            <w:pPr>
              <w:adjustRightInd w:val="0"/>
              <w:snapToGrid w:val="0"/>
              <w:jc w:val="center"/>
              <w:rPr>
                <w:rFonts w:eastAsia="黑体"/>
                <w:snapToGrid w:val="0"/>
                <w:color w:val="auto"/>
                <w:kern w:val="21"/>
                <w:szCs w:val="21"/>
              </w:rPr>
            </w:pPr>
            <w:r>
              <w:rPr>
                <w:rFonts w:eastAsia="黑体"/>
                <w:snapToGrid w:val="0"/>
                <w:color w:val="auto"/>
                <w:kern w:val="21"/>
                <w:szCs w:val="21"/>
              </w:rPr>
              <w:t>许可排放量</w:t>
            </w:r>
            <w:r>
              <w:rPr>
                <w:rFonts w:eastAsia="黑体"/>
                <w:snapToGrid w:val="0"/>
                <w:color w:val="auto"/>
                <w:kern w:val="21"/>
                <w:szCs w:val="21"/>
              </w:rPr>
              <w:fldChar w:fldCharType="begin"/>
            </w:r>
            <w:r>
              <w:rPr>
                <w:rFonts w:eastAsia="黑体"/>
                <w:snapToGrid w:val="0"/>
                <w:color w:val="auto"/>
                <w:kern w:val="21"/>
                <w:szCs w:val="21"/>
              </w:rPr>
              <w:instrText xml:space="preserve"> = 2 \* GB3 \* MERGEFORMAT </w:instrText>
            </w:r>
            <w:r>
              <w:rPr>
                <w:rFonts w:eastAsia="黑体"/>
                <w:snapToGrid w:val="0"/>
                <w:color w:val="auto"/>
                <w:kern w:val="21"/>
                <w:szCs w:val="21"/>
              </w:rPr>
              <w:fldChar w:fldCharType="separate"/>
            </w:r>
            <w:r>
              <w:rPr>
                <w:rFonts w:eastAsia="黑体"/>
                <w:snapToGrid w:val="0"/>
                <w:color w:val="auto"/>
                <w:kern w:val="21"/>
                <w:szCs w:val="21"/>
              </w:rPr>
              <w:t>②</w:t>
            </w:r>
            <w:r>
              <w:rPr>
                <w:rFonts w:eastAsia="黑体"/>
                <w:snapToGrid w:val="0"/>
                <w:color w:val="auto"/>
                <w:kern w:val="21"/>
                <w:szCs w:val="21"/>
              </w:rPr>
              <w:fldChar w:fldCharType="end"/>
            </w:r>
          </w:p>
        </w:tc>
        <w:tc>
          <w:tcPr>
            <w:tcW w:w="1667" w:type="dxa"/>
            <w:tcMar>
              <w:left w:w="28" w:type="dxa"/>
              <w:right w:w="28" w:type="dxa"/>
            </w:tcMar>
            <w:vAlign w:val="center"/>
          </w:tcPr>
          <w:p w14:paraId="5DDA4E02">
            <w:pPr>
              <w:adjustRightInd w:val="0"/>
              <w:snapToGrid w:val="0"/>
              <w:jc w:val="center"/>
              <w:rPr>
                <w:rFonts w:eastAsia="黑体"/>
                <w:snapToGrid w:val="0"/>
                <w:color w:val="auto"/>
                <w:kern w:val="21"/>
                <w:szCs w:val="21"/>
              </w:rPr>
            </w:pPr>
            <w:r>
              <w:rPr>
                <w:rFonts w:eastAsia="黑体"/>
                <w:snapToGrid w:val="0"/>
                <w:color w:val="auto"/>
                <w:kern w:val="21"/>
                <w:szCs w:val="21"/>
              </w:rPr>
              <w:t>在建工程排放量（固体废物产生量）</w:t>
            </w:r>
            <w:r>
              <w:rPr>
                <w:rFonts w:eastAsia="黑体"/>
                <w:snapToGrid w:val="0"/>
                <w:color w:val="auto"/>
                <w:kern w:val="21"/>
                <w:szCs w:val="21"/>
              </w:rPr>
              <w:fldChar w:fldCharType="begin"/>
            </w:r>
            <w:r>
              <w:rPr>
                <w:rFonts w:eastAsia="黑体"/>
                <w:snapToGrid w:val="0"/>
                <w:color w:val="auto"/>
                <w:kern w:val="21"/>
                <w:szCs w:val="21"/>
              </w:rPr>
              <w:instrText xml:space="preserve"> = 3 \* GB3 \* MERGEFORMAT </w:instrText>
            </w:r>
            <w:r>
              <w:rPr>
                <w:rFonts w:eastAsia="黑体"/>
                <w:snapToGrid w:val="0"/>
                <w:color w:val="auto"/>
                <w:kern w:val="21"/>
                <w:szCs w:val="21"/>
              </w:rPr>
              <w:fldChar w:fldCharType="separate"/>
            </w:r>
            <w:r>
              <w:rPr>
                <w:rFonts w:eastAsia="黑体"/>
                <w:color w:val="auto"/>
                <w:szCs w:val="21"/>
              </w:rPr>
              <w:t>③</w:t>
            </w:r>
            <w:r>
              <w:rPr>
                <w:rFonts w:eastAsia="黑体"/>
                <w:snapToGrid w:val="0"/>
                <w:color w:val="auto"/>
                <w:kern w:val="21"/>
                <w:szCs w:val="21"/>
              </w:rPr>
              <w:fldChar w:fldCharType="end"/>
            </w:r>
          </w:p>
        </w:tc>
        <w:tc>
          <w:tcPr>
            <w:tcW w:w="1617" w:type="dxa"/>
            <w:tcMar>
              <w:left w:w="28" w:type="dxa"/>
              <w:right w:w="28" w:type="dxa"/>
            </w:tcMar>
            <w:vAlign w:val="center"/>
          </w:tcPr>
          <w:p w14:paraId="1AEF8855">
            <w:pPr>
              <w:adjustRightInd w:val="0"/>
              <w:snapToGrid w:val="0"/>
              <w:jc w:val="center"/>
              <w:rPr>
                <w:rFonts w:eastAsia="黑体"/>
                <w:snapToGrid w:val="0"/>
                <w:color w:val="auto"/>
                <w:kern w:val="21"/>
                <w:szCs w:val="21"/>
              </w:rPr>
            </w:pPr>
            <w:r>
              <w:rPr>
                <w:rFonts w:eastAsia="黑体"/>
                <w:snapToGrid w:val="0"/>
                <w:color w:val="auto"/>
                <w:kern w:val="21"/>
                <w:szCs w:val="21"/>
              </w:rPr>
              <w:t>本项目排放量（固体废物产生量）</w:t>
            </w:r>
            <w:r>
              <w:rPr>
                <w:rFonts w:eastAsia="黑体"/>
                <w:snapToGrid w:val="0"/>
                <w:color w:val="auto"/>
                <w:kern w:val="21"/>
                <w:szCs w:val="21"/>
              </w:rPr>
              <w:fldChar w:fldCharType="begin"/>
            </w:r>
            <w:r>
              <w:rPr>
                <w:rFonts w:eastAsia="黑体"/>
                <w:snapToGrid w:val="0"/>
                <w:color w:val="auto"/>
                <w:kern w:val="21"/>
                <w:szCs w:val="21"/>
              </w:rPr>
              <w:instrText xml:space="preserve"> = 4 \* GB3 \* MERGEFORMAT </w:instrText>
            </w:r>
            <w:r>
              <w:rPr>
                <w:rFonts w:eastAsia="黑体"/>
                <w:snapToGrid w:val="0"/>
                <w:color w:val="auto"/>
                <w:kern w:val="21"/>
                <w:szCs w:val="21"/>
              </w:rPr>
              <w:fldChar w:fldCharType="separate"/>
            </w:r>
            <w:r>
              <w:rPr>
                <w:rFonts w:eastAsia="黑体"/>
                <w:color w:val="auto"/>
                <w:szCs w:val="21"/>
              </w:rPr>
              <w:t>④</w:t>
            </w:r>
            <w:r>
              <w:rPr>
                <w:rFonts w:eastAsia="黑体"/>
                <w:snapToGrid w:val="0"/>
                <w:color w:val="auto"/>
                <w:kern w:val="21"/>
                <w:szCs w:val="21"/>
              </w:rPr>
              <w:fldChar w:fldCharType="end"/>
            </w:r>
          </w:p>
        </w:tc>
        <w:tc>
          <w:tcPr>
            <w:tcW w:w="1475" w:type="dxa"/>
            <w:tcMar>
              <w:left w:w="28" w:type="dxa"/>
              <w:right w:w="28" w:type="dxa"/>
            </w:tcMar>
            <w:vAlign w:val="center"/>
          </w:tcPr>
          <w:p w14:paraId="724DE40A">
            <w:pPr>
              <w:adjustRightInd w:val="0"/>
              <w:snapToGrid w:val="0"/>
              <w:jc w:val="center"/>
              <w:rPr>
                <w:rFonts w:eastAsia="黑体"/>
                <w:snapToGrid w:val="0"/>
                <w:color w:val="auto"/>
                <w:kern w:val="21"/>
                <w:szCs w:val="21"/>
              </w:rPr>
            </w:pPr>
            <w:r>
              <w:rPr>
                <w:rFonts w:eastAsia="黑体"/>
                <w:snapToGrid w:val="0"/>
                <w:color w:val="auto"/>
                <w:kern w:val="21"/>
                <w:szCs w:val="21"/>
              </w:rPr>
              <w:t>以新带老削减量（新建项目不填）</w:t>
            </w:r>
            <w:r>
              <w:rPr>
                <w:rFonts w:eastAsia="黑体"/>
                <w:snapToGrid w:val="0"/>
                <w:color w:val="auto"/>
                <w:kern w:val="21"/>
                <w:szCs w:val="21"/>
              </w:rPr>
              <w:fldChar w:fldCharType="begin"/>
            </w:r>
            <w:r>
              <w:rPr>
                <w:rFonts w:eastAsia="黑体"/>
                <w:snapToGrid w:val="0"/>
                <w:color w:val="auto"/>
                <w:kern w:val="21"/>
                <w:szCs w:val="21"/>
              </w:rPr>
              <w:instrText xml:space="preserve"> = 5 \* GB3 \* MERGEFORMAT </w:instrText>
            </w:r>
            <w:r>
              <w:rPr>
                <w:rFonts w:eastAsia="黑体"/>
                <w:snapToGrid w:val="0"/>
                <w:color w:val="auto"/>
                <w:kern w:val="21"/>
                <w:szCs w:val="21"/>
              </w:rPr>
              <w:fldChar w:fldCharType="separate"/>
            </w:r>
            <w:r>
              <w:rPr>
                <w:rFonts w:eastAsia="黑体"/>
                <w:color w:val="auto"/>
                <w:szCs w:val="21"/>
              </w:rPr>
              <w:t>⑤</w:t>
            </w:r>
            <w:r>
              <w:rPr>
                <w:rFonts w:eastAsia="黑体"/>
                <w:snapToGrid w:val="0"/>
                <w:color w:val="auto"/>
                <w:kern w:val="21"/>
                <w:szCs w:val="21"/>
              </w:rPr>
              <w:fldChar w:fldCharType="end"/>
            </w:r>
          </w:p>
        </w:tc>
        <w:tc>
          <w:tcPr>
            <w:tcW w:w="1841" w:type="dxa"/>
            <w:tcMar>
              <w:left w:w="28" w:type="dxa"/>
              <w:right w:w="28" w:type="dxa"/>
            </w:tcMar>
            <w:vAlign w:val="center"/>
          </w:tcPr>
          <w:p w14:paraId="3132588F">
            <w:pPr>
              <w:adjustRightInd w:val="0"/>
              <w:snapToGrid w:val="0"/>
              <w:jc w:val="center"/>
              <w:rPr>
                <w:rFonts w:eastAsia="黑体"/>
                <w:snapToGrid w:val="0"/>
                <w:color w:val="auto"/>
                <w:kern w:val="21"/>
                <w:szCs w:val="21"/>
              </w:rPr>
            </w:pPr>
            <w:r>
              <w:rPr>
                <w:rFonts w:eastAsia="黑体"/>
                <w:snapToGrid w:val="0"/>
                <w:color w:val="auto"/>
                <w:kern w:val="21"/>
                <w:szCs w:val="21"/>
              </w:rPr>
              <w:t>本项目建成后</w:t>
            </w:r>
          </w:p>
          <w:p w14:paraId="737C226A">
            <w:pPr>
              <w:adjustRightInd w:val="0"/>
              <w:snapToGrid w:val="0"/>
              <w:jc w:val="center"/>
              <w:rPr>
                <w:rFonts w:eastAsia="黑体"/>
                <w:snapToGrid w:val="0"/>
                <w:color w:val="auto"/>
                <w:kern w:val="21"/>
                <w:szCs w:val="21"/>
              </w:rPr>
            </w:pPr>
            <w:r>
              <w:rPr>
                <w:rFonts w:eastAsia="黑体"/>
                <w:snapToGrid w:val="0"/>
                <w:color w:val="auto"/>
                <w:kern w:val="21"/>
                <w:szCs w:val="21"/>
              </w:rPr>
              <w:t>全厂排放量（固体废物产生量）</w:t>
            </w:r>
            <w:r>
              <w:rPr>
                <w:rFonts w:eastAsia="黑体"/>
                <w:snapToGrid w:val="0"/>
                <w:color w:val="auto"/>
                <w:kern w:val="21"/>
                <w:szCs w:val="21"/>
              </w:rPr>
              <w:fldChar w:fldCharType="begin"/>
            </w:r>
            <w:r>
              <w:rPr>
                <w:rFonts w:eastAsia="黑体"/>
                <w:snapToGrid w:val="0"/>
                <w:color w:val="auto"/>
                <w:kern w:val="21"/>
                <w:szCs w:val="21"/>
              </w:rPr>
              <w:instrText xml:space="preserve"> = 6 \* GB3 \* MERGEFORMAT </w:instrText>
            </w:r>
            <w:r>
              <w:rPr>
                <w:rFonts w:eastAsia="黑体"/>
                <w:snapToGrid w:val="0"/>
                <w:color w:val="auto"/>
                <w:kern w:val="21"/>
                <w:szCs w:val="21"/>
              </w:rPr>
              <w:fldChar w:fldCharType="separate"/>
            </w:r>
            <w:r>
              <w:rPr>
                <w:rFonts w:eastAsia="黑体"/>
                <w:color w:val="auto"/>
                <w:szCs w:val="21"/>
              </w:rPr>
              <w:t>⑥</w:t>
            </w:r>
            <w:r>
              <w:rPr>
                <w:rFonts w:eastAsia="黑体"/>
                <w:snapToGrid w:val="0"/>
                <w:color w:val="auto"/>
                <w:kern w:val="21"/>
                <w:szCs w:val="21"/>
              </w:rPr>
              <w:fldChar w:fldCharType="end"/>
            </w:r>
          </w:p>
        </w:tc>
        <w:tc>
          <w:tcPr>
            <w:tcW w:w="926" w:type="dxa"/>
            <w:tcMar>
              <w:left w:w="28" w:type="dxa"/>
              <w:right w:w="28" w:type="dxa"/>
            </w:tcMar>
            <w:vAlign w:val="center"/>
          </w:tcPr>
          <w:p w14:paraId="7C412CBF">
            <w:pPr>
              <w:adjustRightInd w:val="0"/>
              <w:snapToGrid w:val="0"/>
              <w:jc w:val="center"/>
              <w:rPr>
                <w:rFonts w:eastAsia="黑体"/>
                <w:snapToGrid w:val="0"/>
                <w:color w:val="auto"/>
                <w:kern w:val="21"/>
                <w:szCs w:val="21"/>
              </w:rPr>
            </w:pPr>
            <w:r>
              <w:rPr>
                <w:rFonts w:eastAsia="黑体"/>
                <w:snapToGrid w:val="0"/>
                <w:color w:val="auto"/>
                <w:kern w:val="21"/>
                <w:szCs w:val="21"/>
              </w:rPr>
              <w:t>变化量</w:t>
            </w:r>
          </w:p>
          <w:p w14:paraId="6B5E9F7C">
            <w:pPr>
              <w:adjustRightInd w:val="0"/>
              <w:snapToGrid w:val="0"/>
              <w:jc w:val="center"/>
              <w:rPr>
                <w:rFonts w:eastAsia="黑体"/>
                <w:snapToGrid w:val="0"/>
                <w:color w:val="auto"/>
                <w:kern w:val="21"/>
                <w:szCs w:val="21"/>
              </w:rPr>
            </w:pPr>
            <w:r>
              <w:rPr>
                <w:rFonts w:eastAsia="黑体"/>
                <w:snapToGrid w:val="0"/>
                <w:color w:val="auto"/>
                <w:kern w:val="21"/>
                <w:szCs w:val="21"/>
              </w:rPr>
              <w:fldChar w:fldCharType="begin"/>
            </w:r>
            <w:r>
              <w:rPr>
                <w:rFonts w:eastAsia="黑体"/>
                <w:snapToGrid w:val="0"/>
                <w:color w:val="auto"/>
                <w:kern w:val="21"/>
                <w:szCs w:val="21"/>
              </w:rPr>
              <w:instrText xml:space="preserve"> = 7 \* GB3 \* MERGEFORMAT </w:instrText>
            </w:r>
            <w:r>
              <w:rPr>
                <w:rFonts w:eastAsia="黑体"/>
                <w:snapToGrid w:val="0"/>
                <w:color w:val="auto"/>
                <w:kern w:val="21"/>
                <w:szCs w:val="21"/>
              </w:rPr>
              <w:fldChar w:fldCharType="separate"/>
            </w:r>
            <w:r>
              <w:rPr>
                <w:rFonts w:eastAsia="黑体"/>
                <w:color w:val="auto"/>
                <w:szCs w:val="21"/>
              </w:rPr>
              <w:t>⑦</w:t>
            </w:r>
            <w:r>
              <w:rPr>
                <w:rFonts w:eastAsia="黑体"/>
                <w:snapToGrid w:val="0"/>
                <w:color w:val="auto"/>
                <w:kern w:val="21"/>
                <w:szCs w:val="21"/>
              </w:rPr>
              <w:fldChar w:fldCharType="end"/>
            </w:r>
          </w:p>
        </w:tc>
      </w:tr>
      <w:tr w14:paraId="372DD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110" w:type="dxa"/>
            <w:vAlign w:val="center"/>
          </w:tcPr>
          <w:p w14:paraId="6AF493B1">
            <w:pPr>
              <w:adjustRightInd w:val="0"/>
              <w:snapToGrid w:val="0"/>
              <w:jc w:val="center"/>
              <w:rPr>
                <w:snapToGrid w:val="0"/>
                <w:color w:val="auto"/>
                <w:kern w:val="21"/>
                <w:szCs w:val="21"/>
              </w:rPr>
            </w:pPr>
            <w:r>
              <w:rPr>
                <w:snapToGrid w:val="0"/>
                <w:color w:val="auto"/>
                <w:kern w:val="21"/>
                <w:szCs w:val="21"/>
              </w:rPr>
              <w:t>废气</w:t>
            </w:r>
          </w:p>
        </w:tc>
        <w:tc>
          <w:tcPr>
            <w:tcW w:w="2711" w:type="dxa"/>
            <w:vAlign w:val="center"/>
          </w:tcPr>
          <w:p w14:paraId="43D2D1DB">
            <w:pPr>
              <w:adjustRightInd w:val="0"/>
              <w:snapToGrid w:val="0"/>
              <w:jc w:val="center"/>
              <w:rPr>
                <w:snapToGrid w:val="0"/>
                <w:color w:val="auto"/>
                <w:kern w:val="21"/>
                <w:szCs w:val="21"/>
              </w:rPr>
            </w:pPr>
            <w:r>
              <w:rPr>
                <w:snapToGrid w:val="0"/>
                <w:color w:val="auto"/>
                <w:kern w:val="21"/>
                <w:szCs w:val="21"/>
              </w:rPr>
              <w:t>非甲烷总烃</w:t>
            </w:r>
            <w:r>
              <w:rPr>
                <w:color w:val="auto"/>
                <w:kern w:val="0"/>
                <w:szCs w:val="21"/>
              </w:rPr>
              <w:t>（</w:t>
            </w:r>
            <w:r>
              <w:rPr>
                <w:rFonts w:hint="eastAsia"/>
                <w:color w:val="auto"/>
                <w:kern w:val="0"/>
                <w:szCs w:val="21"/>
              </w:rPr>
              <w:t>kg</w:t>
            </w:r>
            <w:r>
              <w:rPr>
                <w:color w:val="auto"/>
                <w:kern w:val="0"/>
                <w:szCs w:val="21"/>
              </w:rPr>
              <w:t>/a）</w:t>
            </w:r>
          </w:p>
        </w:tc>
        <w:tc>
          <w:tcPr>
            <w:tcW w:w="1275" w:type="dxa"/>
            <w:vAlign w:val="center"/>
          </w:tcPr>
          <w:p w14:paraId="09C98F69">
            <w:pPr>
              <w:adjustRightInd w:val="0"/>
              <w:snapToGrid w:val="0"/>
              <w:jc w:val="center"/>
              <w:rPr>
                <w:snapToGrid w:val="0"/>
                <w:color w:val="auto"/>
                <w:kern w:val="21"/>
                <w:szCs w:val="21"/>
              </w:rPr>
            </w:pPr>
            <w:r>
              <w:rPr>
                <w:snapToGrid w:val="0"/>
                <w:color w:val="auto"/>
                <w:kern w:val="21"/>
                <w:szCs w:val="21"/>
              </w:rPr>
              <w:t>/</w:t>
            </w:r>
          </w:p>
        </w:tc>
        <w:tc>
          <w:tcPr>
            <w:tcW w:w="1166" w:type="dxa"/>
            <w:vAlign w:val="center"/>
          </w:tcPr>
          <w:p w14:paraId="148F6240">
            <w:pPr>
              <w:adjustRightInd w:val="0"/>
              <w:snapToGrid w:val="0"/>
              <w:jc w:val="center"/>
              <w:rPr>
                <w:snapToGrid w:val="0"/>
                <w:color w:val="auto"/>
                <w:kern w:val="21"/>
                <w:szCs w:val="21"/>
              </w:rPr>
            </w:pPr>
            <w:r>
              <w:rPr>
                <w:snapToGrid w:val="0"/>
                <w:color w:val="auto"/>
                <w:kern w:val="21"/>
                <w:szCs w:val="21"/>
              </w:rPr>
              <w:t>/</w:t>
            </w:r>
          </w:p>
        </w:tc>
        <w:tc>
          <w:tcPr>
            <w:tcW w:w="1667" w:type="dxa"/>
            <w:vAlign w:val="center"/>
          </w:tcPr>
          <w:p w14:paraId="5BB8E014">
            <w:pPr>
              <w:adjustRightInd w:val="0"/>
              <w:snapToGrid w:val="0"/>
              <w:jc w:val="center"/>
              <w:rPr>
                <w:snapToGrid w:val="0"/>
                <w:color w:val="auto"/>
                <w:kern w:val="21"/>
                <w:szCs w:val="21"/>
              </w:rPr>
            </w:pPr>
            <w:r>
              <w:rPr>
                <w:snapToGrid w:val="0"/>
                <w:color w:val="auto"/>
                <w:kern w:val="21"/>
                <w:szCs w:val="21"/>
              </w:rPr>
              <w:t>/</w:t>
            </w:r>
          </w:p>
        </w:tc>
        <w:tc>
          <w:tcPr>
            <w:tcW w:w="1617" w:type="dxa"/>
            <w:vAlign w:val="center"/>
          </w:tcPr>
          <w:p w14:paraId="5E794D42">
            <w:pPr>
              <w:adjustRightInd w:val="0"/>
              <w:snapToGrid w:val="0"/>
              <w:jc w:val="center"/>
              <w:rPr>
                <w:rFonts w:hint="default" w:eastAsia="宋体"/>
                <w:snapToGrid w:val="0"/>
                <w:color w:val="auto"/>
                <w:kern w:val="21"/>
                <w:szCs w:val="21"/>
                <w:lang w:val="en-US" w:eastAsia="zh-CN"/>
              </w:rPr>
            </w:pPr>
            <w:r>
              <w:rPr>
                <w:rFonts w:hint="eastAsia"/>
                <w:snapToGrid w:val="0"/>
                <w:color w:val="auto"/>
                <w:kern w:val="21"/>
                <w:szCs w:val="21"/>
              </w:rPr>
              <w:t>0.03</w:t>
            </w:r>
            <w:r>
              <w:rPr>
                <w:rFonts w:hint="eastAsia"/>
                <w:snapToGrid w:val="0"/>
                <w:color w:val="auto"/>
                <w:kern w:val="21"/>
                <w:szCs w:val="21"/>
                <w:lang w:val="en-US" w:eastAsia="zh-CN"/>
              </w:rPr>
              <w:t>89</w:t>
            </w:r>
          </w:p>
        </w:tc>
        <w:tc>
          <w:tcPr>
            <w:tcW w:w="1475" w:type="dxa"/>
            <w:vAlign w:val="center"/>
          </w:tcPr>
          <w:p w14:paraId="6E95CFB0">
            <w:pPr>
              <w:adjustRightInd w:val="0"/>
              <w:snapToGrid w:val="0"/>
              <w:jc w:val="center"/>
              <w:rPr>
                <w:snapToGrid w:val="0"/>
                <w:color w:val="auto"/>
                <w:kern w:val="21"/>
                <w:szCs w:val="21"/>
              </w:rPr>
            </w:pPr>
            <w:r>
              <w:rPr>
                <w:snapToGrid w:val="0"/>
                <w:color w:val="auto"/>
                <w:kern w:val="21"/>
                <w:szCs w:val="21"/>
              </w:rPr>
              <w:t>/</w:t>
            </w:r>
          </w:p>
        </w:tc>
        <w:tc>
          <w:tcPr>
            <w:tcW w:w="1841" w:type="dxa"/>
            <w:vAlign w:val="center"/>
          </w:tcPr>
          <w:p w14:paraId="044D96AA">
            <w:pPr>
              <w:adjustRightInd w:val="0"/>
              <w:snapToGrid w:val="0"/>
              <w:jc w:val="center"/>
              <w:rPr>
                <w:rFonts w:hint="default" w:eastAsia="宋体"/>
                <w:snapToGrid w:val="0"/>
                <w:color w:val="auto"/>
                <w:kern w:val="21"/>
                <w:szCs w:val="21"/>
                <w:lang w:val="en-US" w:eastAsia="zh-CN"/>
              </w:rPr>
            </w:pPr>
            <w:r>
              <w:rPr>
                <w:rFonts w:hint="eastAsia"/>
                <w:snapToGrid w:val="0"/>
                <w:color w:val="auto"/>
                <w:kern w:val="21"/>
                <w:szCs w:val="21"/>
              </w:rPr>
              <w:t>0.03</w:t>
            </w:r>
            <w:r>
              <w:rPr>
                <w:rFonts w:hint="eastAsia"/>
                <w:snapToGrid w:val="0"/>
                <w:color w:val="auto"/>
                <w:kern w:val="21"/>
                <w:szCs w:val="21"/>
                <w:lang w:val="en-US" w:eastAsia="zh-CN"/>
              </w:rPr>
              <w:t>89</w:t>
            </w:r>
          </w:p>
        </w:tc>
        <w:tc>
          <w:tcPr>
            <w:tcW w:w="926" w:type="dxa"/>
            <w:vAlign w:val="center"/>
          </w:tcPr>
          <w:p w14:paraId="2F99B7D3">
            <w:pPr>
              <w:adjustRightInd w:val="0"/>
              <w:snapToGrid w:val="0"/>
              <w:jc w:val="center"/>
              <w:rPr>
                <w:color w:val="auto"/>
                <w:szCs w:val="21"/>
              </w:rPr>
            </w:pPr>
            <w:r>
              <w:rPr>
                <w:snapToGrid w:val="0"/>
                <w:color w:val="auto"/>
                <w:kern w:val="21"/>
                <w:szCs w:val="21"/>
              </w:rPr>
              <w:t>/</w:t>
            </w:r>
          </w:p>
        </w:tc>
      </w:tr>
      <w:tr w14:paraId="11E66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10" w:type="dxa"/>
            <w:vMerge w:val="restart"/>
            <w:vAlign w:val="center"/>
          </w:tcPr>
          <w:p w14:paraId="74E0C89D">
            <w:pPr>
              <w:adjustRightInd w:val="0"/>
              <w:snapToGrid w:val="0"/>
              <w:jc w:val="center"/>
              <w:rPr>
                <w:snapToGrid w:val="0"/>
                <w:color w:val="auto"/>
                <w:kern w:val="21"/>
                <w:szCs w:val="21"/>
              </w:rPr>
            </w:pPr>
            <w:r>
              <w:rPr>
                <w:snapToGrid w:val="0"/>
                <w:color w:val="auto"/>
                <w:kern w:val="21"/>
                <w:szCs w:val="21"/>
              </w:rPr>
              <w:t>废水</w:t>
            </w:r>
          </w:p>
        </w:tc>
        <w:tc>
          <w:tcPr>
            <w:tcW w:w="2711" w:type="dxa"/>
            <w:vAlign w:val="center"/>
          </w:tcPr>
          <w:p w14:paraId="6E7D15D6">
            <w:pPr>
              <w:adjustRightInd w:val="0"/>
              <w:snapToGrid w:val="0"/>
              <w:jc w:val="center"/>
              <w:rPr>
                <w:snapToGrid w:val="0"/>
                <w:color w:val="auto"/>
                <w:kern w:val="21"/>
                <w:szCs w:val="21"/>
              </w:rPr>
            </w:pPr>
            <w:r>
              <w:rPr>
                <w:color w:val="auto"/>
                <w:kern w:val="0"/>
                <w:szCs w:val="21"/>
              </w:rPr>
              <w:t>综合污水（t/a）</w:t>
            </w:r>
          </w:p>
        </w:tc>
        <w:tc>
          <w:tcPr>
            <w:tcW w:w="1275" w:type="dxa"/>
            <w:vAlign w:val="center"/>
          </w:tcPr>
          <w:p w14:paraId="4FBB94AC">
            <w:pPr>
              <w:adjustRightInd w:val="0"/>
              <w:snapToGrid w:val="0"/>
              <w:jc w:val="center"/>
              <w:rPr>
                <w:snapToGrid w:val="0"/>
                <w:color w:val="auto"/>
                <w:kern w:val="21"/>
                <w:szCs w:val="21"/>
              </w:rPr>
            </w:pPr>
            <w:r>
              <w:rPr>
                <w:snapToGrid w:val="0"/>
                <w:color w:val="auto"/>
                <w:kern w:val="21"/>
                <w:szCs w:val="21"/>
              </w:rPr>
              <w:t>/</w:t>
            </w:r>
          </w:p>
        </w:tc>
        <w:tc>
          <w:tcPr>
            <w:tcW w:w="1166" w:type="dxa"/>
            <w:vAlign w:val="center"/>
          </w:tcPr>
          <w:p w14:paraId="6A4373E8">
            <w:pPr>
              <w:adjustRightInd w:val="0"/>
              <w:snapToGrid w:val="0"/>
              <w:jc w:val="center"/>
              <w:rPr>
                <w:snapToGrid w:val="0"/>
                <w:color w:val="auto"/>
                <w:kern w:val="21"/>
                <w:szCs w:val="21"/>
              </w:rPr>
            </w:pPr>
            <w:r>
              <w:rPr>
                <w:snapToGrid w:val="0"/>
                <w:color w:val="auto"/>
                <w:kern w:val="21"/>
                <w:szCs w:val="21"/>
              </w:rPr>
              <w:t>/</w:t>
            </w:r>
          </w:p>
        </w:tc>
        <w:tc>
          <w:tcPr>
            <w:tcW w:w="1667" w:type="dxa"/>
            <w:vAlign w:val="center"/>
          </w:tcPr>
          <w:p w14:paraId="38C27AED">
            <w:pPr>
              <w:adjustRightInd w:val="0"/>
              <w:snapToGrid w:val="0"/>
              <w:jc w:val="center"/>
              <w:rPr>
                <w:snapToGrid w:val="0"/>
                <w:color w:val="auto"/>
                <w:kern w:val="21"/>
                <w:szCs w:val="21"/>
              </w:rPr>
            </w:pPr>
            <w:r>
              <w:rPr>
                <w:snapToGrid w:val="0"/>
                <w:color w:val="auto"/>
                <w:kern w:val="21"/>
                <w:szCs w:val="21"/>
              </w:rPr>
              <w:t>/</w:t>
            </w:r>
          </w:p>
        </w:tc>
        <w:tc>
          <w:tcPr>
            <w:tcW w:w="1617" w:type="dxa"/>
            <w:vAlign w:val="center"/>
          </w:tcPr>
          <w:p w14:paraId="17F2A24D">
            <w:pPr>
              <w:adjustRightInd w:val="0"/>
              <w:snapToGrid w:val="0"/>
              <w:jc w:val="center"/>
              <w:rPr>
                <w:snapToGrid w:val="0"/>
                <w:color w:val="auto"/>
                <w:kern w:val="21"/>
                <w:szCs w:val="21"/>
              </w:rPr>
            </w:pPr>
            <w:r>
              <w:rPr>
                <w:snapToGrid w:val="0"/>
                <w:color w:val="auto"/>
                <w:kern w:val="21"/>
                <w:szCs w:val="21"/>
              </w:rPr>
              <w:t>65.92</w:t>
            </w:r>
          </w:p>
        </w:tc>
        <w:tc>
          <w:tcPr>
            <w:tcW w:w="1475" w:type="dxa"/>
            <w:vAlign w:val="center"/>
          </w:tcPr>
          <w:p w14:paraId="52493365">
            <w:pPr>
              <w:adjustRightInd w:val="0"/>
              <w:snapToGrid w:val="0"/>
              <w:jc w:val="center"/>
              <w:rPr>
                <w:snapToGrid w:val="0"/>
                <w:color w:val="auto"/>
                <w:kern w:val="21"/>
                <w:szCs w:val="21"/>
              </w:rPr>
            </w:pPr>
            <w:r>
              <w:rPr>
                <w:snapToGrid w:val="0"/>
                <w:color w:val="auto"/>
                <w:kern w:val="21"/>
                <w:szCs w:val="21"/>
              </w:rPr>
              <w:t>/</w:t>
            </w:r>
          </w:p>
        </w:tc>
        <w:tc>
          <w:tcPr>
            <w:tcW w:w="1841" w:type="dxa"/>
            <w:vAlign w:val="center"/>
          </w:tcPr>
          <w:p w14:paraId="5D459836">
            <w:pPr>
              <w:adjustRightInd w:val="0"/>
              <w:snapToGrid w:val="0"/>
              <w:jc w:val="center"/>
              <w:rPr>
                <w:snapToGrid w:val="0"/>
                <w:color w:val="auto"/>
                <w:kern w:val="21"/>
                <w:szCs w:val="21"/>
              </w:rPr>
            </w:pPr>
            <w:r>
              <w:rPr>
                <w:snapToGrid w:val="0"/>
                <w:color w:val="auto"/>
                <w:kern w:val="21"/>
                <w:szCs w:val="21"/>
              </w:rPr>
              <w:t>65.92</w:t>
            </w:r>
          </w:p>
        </w:tc>
        <w:tc>
          <w:tcPr>
            <w:tcW w:w="926" w:type="dxa"/>
            <w:vAlign w:val="center"/>
          </w:tcPr>
          <w:p w14:paraId="51ED2662">
            <w:pPr>
              <w:adjustRightInd w:val="0"/>
              <w:snapToGrid w:val="0"/>
              <w:jc w:val="center"/>
              <w:rPr>
                <w:snapToGrid w:val="0"/>
                <w:color w:val="auto"/>
                <w:kern w:val="21"/>
                <w:szCs w:val="21"/>
              </w:rPr>
            </w:pPr>
            <w:r>
              <w:rPr>
                <w:snapToGrid w:val="0"/>
                <w:color w:val="auto"/>
                <w:kern w:val="21"/>
                <w:szCs w:val="21"/>
              </w:rPr>
              <w:t>/</w:t>
            </w:r>
          </w:p>
        </w:tc>
      </w:tr>
      <w:tr w14:paraId="33683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vAlign w:val="center"/>
          </w:tcPr>
          <w:p w14:paraId="4EA98538">
            <w:pPr>
              <w:adjustRightInd w:val="0"/>
              <w:snapToGrid w:val="0"/>
              <w:jc w:val="center"/>
              <w:rPr>
                <w:color w:val="auto"/>
                <w:szCs w:val="21"/>
              </w:rPr>
            </w:pPr>
          </w:p>
        </w:tc>
        <w:tc>
          <w:tcPr>
            <w:tcW w:w="2711" w:type="dxa"/>
            <w:vAlign w:val="center"/>
          </w:tcPr>
          <w:p w14:paraId="58689A92">
            <w:pPr>
              <w:adjustRightInd w:val="0"/>
              <w:snapToGrid w:val="0"/>
              <w:jc w:val="center"/>
              <w:rPr>
                <w:color w:val="auto"/>
                <w:kern w:val="0"/>
                <w:szCs w:val="21"/>
              </w:rPr>
            </w:pPr>
            <w:r>
              <w:rPr>
                <w:color w:val="auto"/>
                <w:kern w:val="0"/>
                <w:szCs w:val="21"/>
              </w:rPr>
              <w:t>COD（t/a）</w:t>
            </w:r>
          </w:p>
        </w:tc>
        <w:tc>
          <w:tcPr>
            <w:tcW w:w="1275" w:type="dxa"/>
            <w:vAlign w:val="center"/>
          </w:tcPr>
          <w:p w14:paraId="3FFEBC17">
            <w:pPr>
              <w:widowControl/>
              <w:jc w:val="center"/>
              <w:textAlignment w:val="center"/>
              <w:rPr>
                <w:color w:val="auto"/>
                <w:kern w:val="0"/>
                <w:szCs w:val="21"/>
              </w:rPr>
            </w:pPr>
            <w:r>
              <w:rPr>
                <w:snapToGrid w:val="0"/>
                <w:color w:val="auto"/>
                <w:kern w:val="21"/>
                <w:szCs w:val="21"/>
              </w:rPr>
              <w:t>/</w:t>
            </w:r>
          </w:p>
        </w:tc>
        <w:tc>
          <w:tcPr>
            <w:tcW w:w="1166" w:type="dxa"/>
            <w:vAlign w:val="center"/>
          </w:tcPr>
          <w:p w14:paraId="2A828B29">
            <w:pPr>
              <w:adjustRightInd w:val="0"/>
              <w:snapToGrid w:val="0"/>
              <w:jc w:val="center"/>
              <w:rPr>
                <w:color w:val="auto"/>
                <w:kern w:val="0"/>
                <w:szCs w:val="21"/>
              </w:rPr>
            </w:pPr>
            <w:r>
              <w:rPr>
                <w:snapToGrid w:val="0"/>
                <w:color w:val="auto"/>
                <w:kern w:val="21"/>
                <w:szCs w:val="21"/>
              </w:rPr>
              <w:t>/</w:t>
            </w:r>
          </w:p>
        </w:tc>
        <w:tc>
          <w:tcPr>
            <w:tcW w:w="1667" w:type="dxa"/>
            <w:vAlign w:val="center"/>
          </w:tcPr>
          <w:p w14:paraId="6D215E56">
            <w:pPr>
              <w:adjustRightInd w:val="0"/>
              <w:snapToGrid w:val="0"/>
              <w:jc w:val="center"/>
              <w:rPr>
                <w:color w:val="auto"/>
                <w:kern w:val="0"/>
                <w:szCs w:val="21"/>
              </w:rPr>
            </w:pPr>
            <w:r>
              <w:rPr>
                <w:snapToGrid w:val="0"/>
                <w:color w:val="auto"/>
                <w:kern w:val="21"/>
                <w:szCs w:val="21"/>
              </w:rPr>
              <w:t>/</w:t>
            </w:r>
          </w:p>
        </w:tc>
        <w:tc>
          <w:tcPr>
            <w:tcW w:w="1617" w:type="dxa"/>
            <w:vAlign w:val="center"/>
          </w:tcPr>
          <w:p w14:paraId="342CFD28">
            <w:pPr>
              <w:widowControl/>
              <w:jc w:val="center"/>
              <w:textAlignment w:val="center"/>
              <w:rPr>
                <w:color w:val="auto"/>
                <w:kern w:val="0"/>
                <w:szCs w:val="21"/>
              </w:rPr>
            </w:pPr>
            <w:r>
              <w:rPr>
                <w:rFonts w:hint="eastAsia"/>
                <w:color w:val="auto"/>
                <w:kern w:val="0"/>
                <w:szCs w:val="21"/>
              </w:rPr>
              <w:t>0.0021</w:t>
            </w:r>
          </w:p>
        </w:tc>
        <w:tc>
          <w:tcPr>
            <w:tcW w:w="1475" w:type="dxa"/>
            <w:vAlign w:val="center"/>
          </w:tcPr>
          <w:p w14:paraId="3CF8C15F">
            <w:pPr>
              <w:adjustRightInd w:val="0"/>
              <w:snapToGrid w:val="0"/>
              <w:jc w:val="center"/>
              <w:rPr>
                <w:color w:val="auto"/>
                <w:kern w:val="0"/>
                <w:szCs w:val="21"/>
              </w:rPr>
            </w:pPr>
            <w:r>
              <w:rPr>
                <w:snapToGrid w:val="0"/>
                <w:color w:val="auto"/>
                <w:kern w:val="21"/>
                <w:szCs w:val="21"/>
              </w:rPr>
              <w:t>/</w:t>
            </w:r>
          </w:p>
        </w:tc>
        <w:tc>
          <w:tcPr>
            <w:tcW w:w="1841" w:type="dxa"/>
            <w:vAlign w:val="center"/>
          </w:tcPr>
          <w:p w14:paraId="2E1F2B2F">
            <w:pPr>
              <w:widowControl/>
              <w:jc w:val="center"/>
              <w:textAlignment w:val="center"/>
              <w:rPr>
                <w:color w:val="auto"/>
                <w:kern w:val="0"/>
                <w:szCs w:val="21"/>
              </w:rPr>
            </w:pPr>
            <w:r>
              <w:rPr>
                <w:rFonts w:hint="eastAsia"/>
                <w:color w:val="auto"/>
                <w:kern w:val="0"/>
                <w:szCs w:val="21"/>
              </w:rPr>
              <w:t>0.0021</w:t>
            </w:r>
          </w:p>
        </w:tc>
        <w:tc>
          <w:tcPr>
            <w:tcW w:w="926" w:type="dxa"/>
            <w:vAlign w:val="center"/>
          </w:tcPr>
          <w:p w14:paraId="7CC88376">
            <w:pPr>
              <w:widowControl/>
              <w:jc w:val="center"/>
              <w:textAlignment w:val="center"/>
              <w:rPr>
                <w:color w:val="auto"/>
                <w:kern w:val="0"/>
                <w:szCs w:val="21"/>
              </w:rPr>
            </w:pPr>
            <w:r>
              <w:rPr>
                <w:snapToGrid w:val="0"/>
                <w:color w:val="auto"/>
                <w:kern w:val="21"/>
                <w:szCs w:val="21"/>
              </w:rPr>
              <w:t>/</w:t>
            </w:r>
          </w:p>
        </w:tc>
      </w:tr>
      <w:tr w14:paraId="29843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vAlign w:val="center"/>
          </w:tcPr>
          <w:p w14:paraId="40976642">
            <w:pPr>
              <w:adjustRightInd w:val="0"/>
              <w:snapToGrid w:val="0"/>
              <w:jc w:val="center"/>
              <w:rPr>
                <w:color w:val="auto"/>
                <w:kern w:val="0"/>
                <w:szCs w:val="21"/>
              </w:rPr>
            </w:pPr>
          </w:p>
        </w:tc>
        <w:tc>
          <w:tcPr>
            <w:tcW w:w="2711" w:type="dxa"/>
            <w:vAlign w:val="center"/>
          </w:tcPr>
          <w:p w14:paraId="0B3ABDF5">
            <w:pPr>
              <w:adjustRightInd w:val="0"/>
              <w:snapToGrid w:val="0"/>
              <w:jc w:val="center"/>
              <w:rPr>
                <w:color w:val="auto"/>
                <w:kern w:val="0"/>
                <w:szCs w:val="21"/>
              </w:rPr>
            </w:pPr>
            <w:r>
              <w:rPr>
                <w:color w:val="auto"/>
                <w:kern w:val="0"/>
                <w:szCs w:val="21"/>
              </w:rPr>
              <w:t>BOD</w:t>
            </w:r>
            <w:r>
              <w:rPr>
                <w:color w:val="auto"/>
                <w:kern w:val="0"/>
                <w:szCs w:val="21"/>
                <w:vertAlign w:val="subscript"/>
              </w:rPr>
              <w:t>5</w:t>
            </w:r>
            <w:r>
              <w:rPr>
                <w:color w:val="auto"/>
                <w:kern w:val="0"/>
                <w:szCs w:val="21"/>
              </w:rPr>
              <w:t>（t/a）</w:t>
            </w:r>
          </w:p>
        </w:tc>
        <w:tc>
          <w:tcPr>
            <w:tcW w:w="1275" w:type="dxa"/>
            <w:vAlign w:val="center"/>
          </w:tcPr>
          <w:p w14:paraId="67961A85">
            <w:pPr>
              <w:widowControl/>
              <w:jc w:val="center"/>
              <w:textAlignment w:val="center"/>
              <w:rPr>
                <w:color w:val="auto"/>
                <w:kern w:val="0"/>
                <w:szCs w:val="21"/>
              </w:rPr>
            </w:pPr>
            <w:r>
              <w:rPr>
                <w:snapToGrid w:val="0"/>
                <w:color w:val="auto"/>
                <w:kern w:val="21"/>
                <w:szCs w:val="21"/>
              </w:rPr>
              <w:t>/</w:t>
            </w:r>
          </w:p>
        </w:tc>
        <w:tc>
          <w:tcPr>
            <w:tcW w:w="1166" w:type="dxa"/>
            <w:vAlign w:val="center"/>
          </w:tcPr>
          <w:p w14:paraId="04845B34">
            <w:pPr>
              <w:adjustRightInd w:val="0"/>
              <w:snapToGrid w:val="0"/>
              <w:jc w:val="center"/>
              <w:rPr>
                <w:color w:val="auto"/>
                <w:kern w:val="0"/>
                <w:szCs w:val="21"/>
              </w:rPr>
            </w:pPr>
            <w:r>
              <w:rPr>
                <w:snapToGrid w:val="0"/>
                <w:color w:val="auto"/>
                <w:kern w:val="21"/>
                <w:szCs w:val="21"/>
              </w:rPr>
              <w:t>/</w:t>
            </w:r>
          </w:p>
        </w:tc>
        <w:tc>
          <w:tcPr>
            <w:tcW w:w="1667" w:type="dxa"/>
            <w:vAlign w:val="center"/>
          </w:tcPr>
          <w:p w14:paraId="64AB892B">
            <w:pPr>
              <w:adjustRightInd w:val="0"/>
              <w:snapToGrid w:val="0"/>
              <w:jc w:val="center"/>
              <w:rPr>
                <w:color w:val="auto"/>
                <w:kern w:val="0"/>
                <w:szCs w:val="21"/>
              </w:rPr>
            </w:pPr>
            <w:r>
              <w:rPr>
                <w:snapToGrid w:val="0"/>
                <w:color w:val="auto"/>
                <w:kern w:val="21"/>
                <w:szCs w:val="21"/>
              </w:rPr>
              <w:t>/</w:t>
            </w:r>
          </w:p>
        </w:tc>
        <w:tc>
          <w:tcPr>
            <w:tcW w:w="1617" w:type="dxa"/>
            <w:vAlign w:val="center"/>
          </w:tcPr>
          <w:p w14:paraId="23BA2811">
            <w:pPr>
              <w:widowControl/>
              <w:jc w:val="center"/>
              <w:textAlignment w:val="center"/>
              <w:rPr>
                <w:color w:val="auto"/>
                <w:kern w:val="0"/>
                <w:szCs w:val="21"/>
              </w:rPr>
            </w:pPr>
            <w:r>
              <w:rPr>
                <w:rFonts w:hint="eastAsia"/>
                <w:color w:val="auto"/>
                <w:kern w:val="0"/>
                <w:szCs w:val="21"/>
              </w:rPr>
              <w:t>0.0008</w:t>
            </w:r>
          </w:p>
        </w:tc>
        <w:tc>
          <w:tcPr>
            <w:tcW w:w="1475" w:type="dxa"/>
            <w:vAlign w:val="center"/>
          </w:tcPr>
          <w:p w14:paraId="379FC7CD">
            <w:pPr>
              <w:adjustRightInd w:val="0"/>
              <w:snapToGrid w:val="0"/>
              <w:jc w:val="center"/>
              <w:rPr>
                <w:color w:val="auto"/>
                <w:kern w:val="0"/>
                <w:szCs w:val="21"/>
              </w:rPr>
            </w:pPr>
            <w:r>
              <w:rPr>
                <w:snapToGrid w:val="0"/>
                <w:color w:val="auto"/>
                <w:kern w:val="21"/>
                <w:szCs w:val="21"/>
              </w:rPr>
              <w:t>/</w:t>
            </w:r>
          </w:p>
        </w:tc>
        <w:tc>
          <w:tcPr>
            <w:tcW w:w="1841" w:type="dxa"/>
            <w:vAlign w:val="center"/>
          </w:tcPr>
          <w:p w14:paraId="07C0E316">
            <w:pPr>
              <w:widowControl/>
              <w:jc w:val="center"/>
              <w:textAlignment w:val="center"/>
              <w:rPr>
                <w:color w:val="auto"/>
                <w:kern w:val="0"/>
                <w:szCs w:val="21"/>
              </w:rPr>
            </w:pPr>
            <w:r>
              <w:rPr>
                <w:rFonts w:hint="eastAsia"/>
                <w:color w:val="auto"/>
                <w:kern w:val="0"/>
                <w:szCs w:val="21"/>
              </w:rPr>
              <w:t>0.0008</w:t>
            </w:r>
          </w:p>
        </w:tc>
        <w:tc>
          <w:tcPr>
            <w:tcW w:w="926" w:type="dxa"/>
            <w:vAlign w:val="center"/>
          </w:tcPr>
          <w:p w14:paraId="0DD46DC8">
            <w:pPr>
              <w:widowControl/>
              <w:jc w:val="center"/>
              <w:textAlignment w:val="center"/>
              <w:rPr>
                <w:color w:val="auto"/>
                <w:kern w:val="0"/>
                <w:szCs w:val="21"/>
              </w:rPr>
            </w:pPr>
            <w:r>
              <w:rPr>
                <w:snapToGrid w:val="0"/>
                <w:color w:val="auto"/>
                <w:kern w:val="21"/>
                <w:szCs w:val="21"/>
              </w:rPr>
              <w:t>/</w:t>
            </w:r>
          </w:p>
        </w:tc>
      </w:tr>
      <w:tr w14:paraId="05E3E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vAlign w:val="center"/>
          </w:tcPr>
          <w:p w14:paraId="50BC2DC6">
            <w:pPr>
              <w:adjustRightInd w:val="0"/>
              <w:snapToGrid w:val="0"/>
              <w:jc w:val="center"/>
              <w:rPr>
                <w:color w:val="auto"/>
                <w:kern w:val="0"/>
                <w:szCs w:val="21"/>
              </w:rPr>
            </w:pPr>
          </w:p>
        </w:tc>
        <w:tc>
          <w:tcPr>
            <w:tcW w:w="2711" w:type="dxa"/>
            <w:vAlign w:val="center"/>
          </w:tcPr>
          <w:p w14:paraId="5E34F46C">
            <w:pPr>
              <w:adjustRightInd w:val="0"/>
              <w:snapToGrid w:val="0"/>
              <w:jc w:val="center"/>
              <w:rPr>
                <w:color w:val="auto"/>
                <w:kern w:val="0"/>
                <w:szCs w:val="21"/>
              </w:rPr>
            </w:pPr>
            <w:r>
              <w:rPr>
                <w:color w:val="auto"/>
                <w:kern w:val="0"/>
                <w:szCs w:val="21"/>
              </w:rPr>
              <w:t>NH</w:t>
            </w:r>
            <w:r>
              <w:rPr>
                <w:color w:val="auto"/>
                <w:kern w:val="0"/>
                <w:szCs w:val="21"/>
                <w:vertAlign w:val="subscript"/>
              </w:rPr>
              <w:t>3</w:t>
            </w:r>
            <w:r>
              <w:rPr>
                <w:color w:val="auto"/>
                <w:kern w:val="0"/>
                <w:szCs w:val="21"/>
              </w:rPr>
              <w:t>-N（t/a）</w:t>
            </w:r>
          </w:p>
        </w:tc>
        <w:tc>
          <w:tcPr>
            <w:tcW w:w="1275" w:type="dxa"/>
            <w:vAlign w:val="center"/>
          </w:tcPr>
          <w:p w14:paraId="3091B7DD">
            <w:pPr>
              <w:widowControl/>
              <w:jc w:val="center"/>
              <w:textAlignment w:val="center"/>
              <w:rPr>
                <w:color w:val="auto"/>
                <w:kern w:val="0"/>
                <w:szCs w:val="21"/>
              </w:rPr>
            </w:pPr>
            <w:r>
              <w:rPr>
                <w:snapToGrid w:val="0"/>
                <w:color w:val="auto"/>
                <w:kern w:val="21"/>
                <w:szCs w:val="21"/>
              </w:rPr>
              <w:t>/</w:t>
            </w:r>
          </w:p>
        </w:tc>
        <w:tc>
          <w:tcPr>
            <w:tcW w:w="1166" w:type="dxa"/>
            <w:vAlign w:val="center"/>
          </w:tcPr>
          <w:p w14:paraId="614770F3">
            <w:pPr>
              <w:adjustRightInd w:val="0"/>
              <w:snapToGrid w:val="0"/>
              <w:jc w:val="center"/>
              <w:rPr>
                <w:color w:val="auto"/>
                <w:kern w:val="0"/>
                <w:szCs w:val="21"/>
              </w:rPr>
            </w:pPr>
            <w:r>
              <w:rPr>
                <w:snapToGrid w:val="0"/>
                <w:color w:val="auto"/>
                <w:kern w:val="21"/>
                <w:szCs w:val="21"/>
              </w:rPr>
              <w:t>/</w:t>
            </w:r>
          </w:p>
        </w:tc>
        <w:tc>
          <w:tcPr>
            <w:tcW w:w="1667" w:type="dxa"/>
            <w:vAlign w:val="center"/>
          </w:tcPr>
          <w:p w14:paraId="0CC5080D">
            <w:pPr>
              <w:adjustRightInd w:val="0"/>
              <w:snapToGrid w:val="0"/>
              <w:jc w:val="center"/>
              <w:rPr>
                <w:color w:val="auto"/>
                <w:kern w:val="0"/>
                <w:szCs w:val="21"/>
              </w:rPr>
            </w:pPr>
            <w:r>
              <w:rPr>
                <w:snapToGrid w:val="0"/>
                <w:color w:val="auto"/>
                <w:kern w:val="21"/>
                <w:szCs w:val="21"/>
              </w:rPr>
              <w:t>/</w:t>
            </w:r>
          </w:p>
        </w:tc>
        <w:tc>
          <w:tcPr>
            <w:tcW w:w="1617" w:type="dxa"/>
            <w:vAlign w:val="center"/>
          </w:tcPr>
          <w:p w14:paraId="7DD2922B">
            <w:pPr>
              <w:widowControl/>
              <w:jc w:val="center"/>
              <w:textAlignment w:val="center"/>
              <w:rPr>
                <w:color w:val="auto"/>
                <w:kern w:val="0"/>
                <w:szCs w:val="21"/>
              </w:rPr>
            </w:pPr>
            <w:r>
              <w:rPr>
                <w:rFonts w:hint="eastAsia"/>
                <w:color w:val="auto"/>
                <w:kern w:val="0"/>
                <w:szCs w:val="21"/>
              </w:rPr>
              <w:t>0.0002</w:t>
            </w:r>
          </w:p>
        </w:tc>
        <w:tc>
          <w:tcPr>
            <w:tcW w:w="1475" w:type="dxa"/>
            <w:vAlign w:val="center"/>
          </w:tcPr>
          <w:p w14:paraId="123E6559">
            <w:pPr>
              <w:adjustRightInd w:val="0"/>
              <w:snapToGrid w:val="0"/>
              <w:jc w:val="center"/>
              <w:rPr>
                <w:color w:val="auto"/>
                <w:kern w:val="0"/>
                <w:szCs w:val="21"/>
              </w:rPr>
            </w:pPr>
            <w:r>
              <w:rPr>
                <w:snapToGrid w:val="0"/>
                <w:color w:val="auto"/>
                <w:kern w:val="21"/>
                <w:szCs w:val="21"/>
              </w:rPr>
              <w:t>/</w:t>
            </w:r>
          </w:p>
        </w:tc>
        <w:tc>
          <w:tcPr>
            <w:tcW w:w="1841" w:type="dxa"/>
            <w:vAlign w:val="center"/>
          </w:tcPr>
          <w:p w14:paraId="7EC2C632">
            <w:pPr>
              <w:widowControl/>
              <w:jc w:val="center"/>
              <w:textAlignment w:val="center"/>
              <w:rPr>
                <w:color w:val="auto"/>
                <w:kern w:val="0"/>
                <w:szCs w:val="21"/>
              </w:rPr>
            </w:pPr>
            <w:r>
              <w:rPr>
                <w:rFonts w:hint="eastAsia"/>
                <w:color w:val="auto"/>
                <w:kern w:val="0"/>
                <w:szCs w:val="21"/>
              </w:rPr>
              <w:t>0.0002</w:t>
            </w:r>
          </w:p>
        </w:tc>
        <w:tc>
          <w:tcPr>
            <w:tcW w:w="926" w:type="dxa"/>
            <w:vAlign w:val="center"/>
          </w:tcPr>
          <w:p w14:paraId="113A5537">
            <w:pPr>
              <w:widowControl/>
              <w:jc w:val="center"/>
              <w:textAlignment w:val="center"/>
              <w:rPr>
                <w:color w:val="auto"/>
                <w:kern w:val="0"/>
                <w:szCs w:val="21"/>
              </w:rPr>
            </w:pPr>
            <w:r>
              <w:rPr>
                <w:snapToGrid w:val="0"/>
                <w:color w:val="auto"/>
                <w:kern w:val="21"/>
                <w:szCs w:val="21"/>
              </w:rPr>
              <w:t>/</w:t>
            </w:r>
          </w:p>
        </w:tc>
      </w:tr>
      <w:tr w14:paraId="3083E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vAlign w:val="center"/>
          </w:tcPr>
          <w:p w14:paraId="13DEF835">
            <w:pPr>
              <w:adjustRightInd w:val="0"/>
              <w:snapToGrid w:val="0"/>
              <w:jc w:val="center"/>
              <w:rPr>
                <w:color w:val="auto"/>
                <w:kern w:val="0"/>
                <w:szCs w:val="21"/>
              </w:rPr>
            </w:pPr>
          </w:p>
        </w:tc>
        <w:tc>
          <w:tcPr>
            <w:tcW w:w="2711" w:type="dxa"/>
            <w:vAlign w:val="center"/>
          </w:tcPr>
          <w:p w14:paraId="6BE4CE8F">
            <w:pPr>
              <w:adjustRightInd w:val="0"/>
              <w:snapToGrid w:val="0"/>
              <w:jc w:val="center"/>
              <w:rPr>
                <w:color w:val="auto"/>
                <w:kern w:val="0"/>
                <w:szCs w:val="21"/>
              </w:rPr>
            </w:pPr>
            <w:r>
              <w:rPr>
                <w:color w:val="auto"/>
                <w:kern w:val="0"/>
                <w:szCs w:val="21"/>
              </w:rPr>
              <w:t>SS（t/a）</w:t>
            </w:r>
          </w:p>
        </w:tc>
        <w:tc>
          <w:tcPr>
            <w:tcW w:w="1275" w:type="dxa"/>
            <w:vAlign w:val="center"/>
          </w:tcPr>
          <w:p w14:paraId="43D544D3">
            <w:pPr>
              <w:widowControl/>
              <w:jc w:val="center"/>
              <w:textAlignment w:val="center"/>
              <w:rPr>
                <w:color w:val="auto"/>
                <w:kern w:val="0"/>
                <w:szCs w:val="21"/>
              </w:rPr>
            </w:pPr>
            <w:r>
              <w:rPr>
                <w:snapToGrid w:val="0"/>
                <w:color w:val="auto"/>
                <w:kern w:val="21"/>
                <w:szCs w:val="21"/>
              </w:rPr>
              <w:t>/</w:t>
            </w:r>
          </w:p>
        </w:tc>
        <w:tc>
          <w:tcPr>
            <w:tcW w:w="1166" w:type="dxa"/>
            <w:vAlign w:val="center"/>
          </w:tcPr>
          <w:p w14:paraId="67BE3CAC">
            <w:pPr>
              <w:adjustRightInd w:val="0"/>
              <w:snapToGrid w:val="0"/>
              <w:jc w:val="center"/>
              <w:rPr>
                <w:color w:val="auto"/>
                <w:kern w:val="0"/>
                <w:szCs w:val="21"/>
              </w:rPr>
            </w:pPr>
            <w:r>
              <w:rPr>
                <w:snapToGrid w:val="0"/>
                <w:color w:val="auto"/>
                <w:kern w:val="21"/>
                <w:szCs w:val="21"/>
              </w:rPr>
              <w:t>/</w:t>
            </w:r>
          </w:p>
        </w:tc>
        <w:tc>
          <w:tcPr>
            <w:tcW w:w="1667" w:type="dxa"/>
            <w:vAlign w:val="center"/>
          </w:tcPr>
          <w:p w14:paraId="082A9384">
            <w:pPr>
              <w:adjustRightInd w:val="0"/>
              <w:snapToGrid w:val="0"/>
              <w:jc w:val="center"/>
              <w:rPr>
                <w:color w:val="auto"/>
                <w:kern w:val="0"/>
                <w:szCs w:val="21"/>
              </w:rPr>
            </w:pPr>
            <w:r>
              <w:rPr>
                <w:snapToGrid w:val="0"/>
                <w:color w:val="auto"/>
                <w:kern w:val="21"/>
                <w:szCs w:val="21"/>
              </w:rPr>
              <w:t>/</w:t>
            </w:r>
          </w:p>
        </w:tc>
        <w:tc>
          <w:tcPr>
            <w:tcW w:w="1617" w:type="dxa"/>
            <w:vAlign w:val="center"/>
          </w:tcPr>
          <w:p w14:paraId="6469DA2F">
            <w:pPr>
              <w:widowControl/>
              <w:jc w:val="center"/>
              <w:textAlignment w:val="center"/>
              <w:rPr>
                <w:color w:val="auto"/>
                <w:kern w:val="0"/>
                <w:szCs w:val="21"/>
              </w:rPr>
            </w:pPr>
            <w:r>
              <w:rPr>
                <w:rFonts w:hint="eastAsia"/>
                <w:color w:val="auto"/>
                <w:kern w:val="0"/>
                <w:szCs w:val="21"/>
              </w:rPr>
              <w:t>0.0015</w:t>
            </w:r>
          </w:p>
        </w:tc>
        <w:tc>
          <w:tcPr>
            <w:tcW w:w="1475" w:type="dxa"/>
            <w:vAlign w:val="center"/>
          </w:tcPr>
          <w:p w14:paraId="4BE435DC">
            <w:pPr>
              <w:adjustRightInd w:val="0"/>
              <w:snapToGrid w:val="0"/>
              <w:jc w:val="center"/>
              <w:rPr>
                <w:color w:val="auto"/>
                <w:kern w:val="0"/>
                <w:szCs w:val="21"/>
              </w:rPr>
            </w:pPr>
            <w:r>
              <w:rPr>
                <w:snapToGrid w:val="0"/>
                <w:color w:val="auto"/>
                <w:kern w:val="21"/>
                <w:szCs w:val="21"/>
              </w:rPr>
              <w:t>/</w:t>
            </w:r>
          </w:p>
        </w:tc>
        <w:tc>
          <w:tcPr>
            <w:tcW w:w="1841" w:type="dxa"/>
            <w:vAlign w:val="center"/>
          </w:tcPr>
          <w:p w14:paraId="0CF30B46">
            <w:pPr>
              <w:widowControl/>
              <w:jc w:val="center"/>
              <w:textAlignment w:val="center"/>
              <w:rPr>
                <w:color w:val="auto"/>
                <w:kern w:val="0"/>
                <w:szCs w:val="21"/>
              </w:rPr>
            </w:pPr>
            <w:r>
              <w:rPr>
                <w:rFonts w:hint="eastAsia"/>
                <w:color w:val="auto"/>
                <w:kern w:val="0"/>
                <w:szCs w:val="21"/>
              </w:rPr>
              <w:t>0.0015</w:t>
            </w:r>
          </w:p>
        </w:tc>
        <w:tc>
          <w:tcPr>
            <w:tcW w:w="926" w:type="dxa"/>
            <w:vAlign w:val="center"/>
          </w:tcPr>
          <w:p w14:paraId="63042171">
            <w:pPr>
              <w:widowControl/>
              <w:jc w:val="center"/>
              <w:textAlignment w:val="center"/>
              <w:rPr>
                <w:color w:val="auto"/>
                <w:kern w:val="0"/>
                <w:szCs w:val="21"/>
              </w:rPr>
            </w:pPr>
            <w:r>
              <w:rPr>
                <w:snapToGrid w:val="0"/>
                <w:color w:val="auto"/>
                <w:kern w:val="21"/>
                <w:szCs w:val="21"/>
              </w:rPr>
              <w:t>/</w:t>
            </w:r>
          </w:p>
        </w:tc>
      </w:tr>
      <w:tr w14:paraId="7BA33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Align w:val="center"/>
          </w:tcPr>
          <w:p w14:paraId="6EB51392">
            <w:pPr>
              <w:adjustRightInd w:val="0"/>
              <w:snapToGrid w:val="0"/>
              <w:jc w:val="center"/>
              <w:rPr>
                <w:snapToGrid w:val="0"/>
                <w:color w:val="auto"/>
                <w:kern w:val="21"/>
                <w:szCs w:val="21"/>
              </w:rPr>
            </w:pPr>
            <w:r>
              <w:rPr>
                <w:snapToGrid w:val="0"/>
                <w:color w:val="auto"/>
                <w:kern w:val="21"/>
                <w:szCs w:val="21"/>
              </w:rPr>
              <w:t>一般工业固体废物</w:t>
            </w:r>
          </w:p>
        </w:tc>
        <w:tc>
          <w:tcPr>
            <w:tcW w:w="2711" w:type="dxa"/>
            <w:vAlign w:val="center"/>
          </w:tcPr>
          <w:p w14:paraId="33BCAA92">
            <w:pPr>
              <w:pStyle w:val="25"/>
              <w:kinsoku w:val="0"/>
              <w:overflowPunct w:val="0"/>
              <w:adjustRightInd w:val="0"/>
              <w:snapToGrid w:val="0"/>
              <w:contextualSpacing/>
              <w:jc w:val="center"/>
              <w:rPr>
                <w:rFonts w:ascii="Times New Roman" w:hAnsi="Times New Roman" w:cs="Times New Roman"/>
                <w:color w:val="auto"/>
                <w:kern w:val="0"/>
                <w:szCs w:val="21"/>
              </w:rPr>
            </w:pPr>
            <w:r>
              <w:rPr>
                <w:rFonts w:ascii="Times New Roman" w:hAnsi="Times New Roman" w:cs="Times New Roman"/>
                <w:color w:val="auto"/>
                <w:spacing w:val="-1"/>
                <w:szCs w:val="21"/>
              </w:rPr>
              <w:t>废</w:t>
            </w:r>
            <w:r>
              <w:rPr>
                <w:rFonts w:ascii="Times New Roman" w:hAnsi="Times New Roman" w:cs="Times New Roman"/>
                <w:color w:val="auto"/>
                <w:spacing w:val="-1"/>
                <w:szCs w:val="21"/>
                <w:lang w:val="en-US"/>
              </w:rPr>
              <w:t>包装材料</w:t>
            </w:r>
            <w:r>
              <w:rPr>
                <w:rFonts w:ascii="Times New Roman" w:hAnsi="Times New Roman" w:cs="Times New Roman"/>
                <w:color w:val="auto"/>
                <w:kern w:val="0"/>
                <w:szCs w:val="21"/>
                <w:lang w:val="en-US"/>
              </w:rPr>
              <w:t>（t/a）</w:t>
            </w:r>
          </w:p>
        </w:tc>
        <w:tc>
          <w:tcPr>
            <w:tcW w:w="1275" w:type="dxa"/>
            <w:vAlign w:val="center"/>
          </w:tcPr>
          <w:p w14:paraId="67E8777B">
            <w:pPr>
              <w:kinsoku w:val="0"/>
              <w:overflowPunct w:val="0"/>
              <w:adjustRightInd w:val="0"/>
              <w:snapToGrid w:val="0"/>
              <w:contextualSpacing/>
              <w:jc w:val="center"/>
              <w:rPr>
                <w:snapToGrid w:val="0"/>
                <w:color w:val="auto"/>
                <w:kern w:val="21"/>
                <w:szCs w:val="21"/>
              </w:rPr>
            </w:pPr>
            <w:r>
              <w:rPr>
                <w:snapToGrid w:val="0"/>
                <w:color w:val="auto"/>
                <w:kern w:val="21"/>
                <w:szCs w:val="21"/>
              </w:rPr>
              <w:t>/</w:t>
            </w:r>
          </w:p>
        </w:tc>
        <w:tc>
          <w:tcPr>
            <w:tcW w:w="1166" w:type="dxa"/>
            <w:vAlign w:val="center"/>
          </w:tcPr>
          <w:p w14:paraId="5C3C9EB8">
            <w:pPr>
              <w:adjustRightInd w:val="0"/>
              <w:snapToGrid w:val="0"/>
              <w:jc w:val="center"/>
              <w:rPr>
                <w:snapToGrid w:val="0"/>
                <w:color w:val="auto"/>
                <w:kern w:val="21"/>
                <w:szCs w:val="21"/>
              </w:rPr>
            </w:pPr>
            <w:r>
              <w:rPr>
                <w:snapToGrid w:val="0"/>
                <w:color w:val="auto"/>
                <w:kern w:val="21"/>
                <w:szCs w:val="21"/>
              </w:rPr>
              <w:t>/</w:t>
            </w:r>
          </w:p>
        </w:tc>
        <w:tc>
          <w:tcPr>
            <w:tcW w:w="1667" w:type="dxa"/>
            <w:vAlign w:val="center"/>
          </w:tcPr>
          <w:p w14:paraId="1CA1EE69">
            <w:pPr>
              <w:adjustRightInd w:val="0"/>
              <w:snapToGrid w:val="0"/>
              <w:jc w:val="center"/>
              <w:rPr>
                <w:snapToGrid w:val="0"/>
                <w:color w:val="auto"/>
                <w:kern w:val="21"/>
                <w:szCs w:val="21"/>
              </w:rPr>
            </w:pPr>
            <w:r>
              <w:rPr>
                <w:snapToGrid w:val="0"/>
                <w:color w:val="auto"/>
                <w:kern w:val="21"/>
                <w:szCs w:val="21"/>
              </w:rPr>
              <w:t>/</w:t>
            </w:r>
          </w:p>
        </w:tc>
        <w:tc>
          <w:tcPr>
            <w:tcW w:w="1617" w:type="dxa"/>
            <w:vAlign w:val="center"/>
          </w:tcPr>
          <w:p w14:paraId="0B43E566">
            <w:pPr>
              <w:widowControl/>
              <w:jc w:val="center"/>
              <w:textAlignment w:val="center"/>
              <w:rPr>
                <w:snapToGrid w:val="0"/>
                <w:color w:val="auto"/>
                <w:kern w:val="21"/>
                <w:szCs w:val="21"/>
              </w:rPr>
            </w:pPr>
            <w:r>
              <w:rPr>
                <w:color w:val="auto"/>
                <w:kern w:val="0"/>
                <w:szCs w:val="21"/>
                <w:lang w:bidi="ar"/>
              </w:rPr>
              <w:t>0.02</w:t>
            </w:r>
          </w:p>
        </w:tc>
        <w:tc>
          <w:tcPr>
            <w:tcW w:w="1475" w:type="dxa"/>
            <w:vAlign w:val="center"/>
          </w:tcPr>
          <w:p w14:paraId="46C436D2">
            <w:pPr>
              <w:adjustRightInd w:val="0"/>
              <w:snapToGrid w:val="0"/>
              <w:jc w:val="center"/>
              <w:rPr>
                <w:snapToGrid w:val="0"/>
                <w:color w:val="auto"/>
                <w:kern w:val="21"/>
                <w:szCs w:val="21"/>
              </w:rPr>
            </w:pPr>
            <w:r>
              <w:rPr>
                <w:snapToGrid w:val="0"/>
                <w:color w:val="auto"/>
                <w:kern w:val="21"/>
                <w:szCs w:val="21"/>
              </w:rPr>
              <w:t>/</w:t>
            </w:r>
          </w:p>
        </w:tc>
        <w:tc>
          <w:tcPr>
            <w:tcW w:w="1841" w:type="dxa"/>
            <w:vAlign w:val="center"/>
          </w:tcPr>
          <w:p w14:paraId="7077FC0A">
            <w:pPr>
              <w:widowControl/>
              <w:jc w:val="center"/>
              <w:textAlignment w:val="center"/>
              <w:rPr>
                <w:snapToGrid w:val="0"/>
                <w:color w:val="auto"/>
                <w:kern w:val="21"/>
                <w:szCs w:val="21"/>
              </w:rPr>
            </w:pPr>
            <w:r>
              <w:rPr>
                <w:color w:val="auto"/>
                <w:kern w:val="0"/>
                <w:szCs w:val="21"/>
                <w:lang w:bidi="ar"/>
              </w:rPr>
              <w:t>0.02</w:t>
            </w:r>
          </w:p>
        </w:tc>
        <w:tc>
          <w:tcPr>
            <w:tcW w:w="926" w:type="dxa"/>
            <w:vAlign w:val="center"/>
          </w:tcPr>
          <w:p w14:paraId="460CFF19">
            <w:pPr>
              <w:adjustRightInd w:val="0"/>
              <w:snapToGrid w:val="0"/>
              <w:jc w:val="center"/>
              <w:rPr>
                <w:snapToGrid w:val="0"/>
                <w:color w:val="auto"/>
                <w:kern w:val="21"/>
                <w:szCs w:val="21"/>
              </w:rPr>
            </w:pPr>
            <w:r>
              <w:rPr>
                <w:snapToGrid w:val="0"/>
                <w:color w:val="auto"/>
                <w:kern w:val="21"/>
                <w:szCs w:val="21"/>
              </w:rPr>
              <w:t>/</w:t>
            </w:r>
          </w:p>
        </w:tc>
      </w:tr>
      <w:tr w14:paraId="37876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restart"/>
            <w:vAlign w:val="center"/>
          </w:tcPr>
          <w:p w14:paraId="3FBA645B">
            <w:pPr>
              <w:adjustRightInd w:val="0"/>
              <w:snapToGrid w:val="0"/>
              <w:jc w:val="center"/>
              <w:rPr>
                <w:snapToGrid w:val="0"/>
                <w:color w:val="auto"/>
                <w:kern w:val="21"/>
                <w:szCs w:val="21"/>
              </w:rPr>
            </w:pPr>
            <w:r>
              <w:rPr>
                <w:snapToGrid w:val="0"/>
                <w:color w:val="auto"/>
                <w:kern w:val="21"/>
                <w:szCs w:val="21"/>
              </w:rPr>
              <w:t>危险废物</w:t>
            </w:r>
          </w:p>
        </w:tc>
        <w:tc>
          <w:tcPr>
            <w:tcW w:w="2711" w:type="dxa"/>
            <w:vAlign w:val="center"/>
          </w:tcPr>
          <w:p w14:paraId="6CA8CE33">
            <w:pPr>
              <w:pStyle w:val="25"/>
              <w:kinsoku w:val="0"/>
              <w:overflowPunct w:val="0"/>
              <w:adjustRightInd w:val="0"/>
              <w:snapToGrid w:val="0"/>
              <w:contextualSpacing/>
              <w:jc w:val="center"/>
              <w:rPr>
                <w:rFonts w:ascii="Times New Roman" w:hAnsi="Times New Roman" w:cs="Times New Roman"/>
                <w:color w:val="auto"/>
                <w:spacing w:val="-1"/>
                <w:szCs w:val="21"/>
              </w:rPr>
            </w:pPr>
            <w:r>
              <w:rPr>
                <w:rFonts w:ascii="Times New Roman" w:hAnsi="Times New Roman" w:cs="Times New Roman"/>
                <w:color w:val="auto"/>
                <w:spacing w:val="-1"/>
                <w:szCs w:val="21"/>
                <w:lang w:val="en-US"/>
              </w:rPr>
              <w:t>废试剂瓶及玻璃器皿</w:t>
            </w:r>
            <w:r>
              <w:rPr>
                <w:rFonts w:ascii="Times New Roman" w:hAnsi="Times New Roman" w:cs="Times New Roman"/>
                <w:color w:val="auto"/>
                <w:kern w:val="0"/>
                <w:szCs w:val="21"/>
                <w:lang w:val="en-US"/>
              </w:rPr>
              <w:t>（t/a）</w:t>
            </w:r>
          </w:p>
        </w:tc>
        <w:tc>
          <w:tcPr>
            <w:tcW w:w="1275" w:type="dxa"/>
            <w:vAlign w:val="center"/>
          </w:tcPr>
          <w:p w14:paraId="22FB5DE2">
            <w:pPr>
              <w:kinsoku w:val="0"/>
              <w:overflowPunct w:val="0"/>
              <w:adjustRightInd w:val="0"/>
              <w:snapToGrid w:val="0"/>
              <w:contextualSpacing/>
              <w:jc w:val="center"/>
              <w:rPr>
                <w:color w:val="auto"/>
                <w:spacing w:val="-1"/>
                <w:szCs w:val="21"/>
              </w:rPr>
            </w:pPr>
            <w:r>
              <w:rPr>
                <w:snapToGrid w:val="0"/>
                <w:color w:val="auto"/>
                <w:kern w:val="21"/>
                <w:szCs w:val="21"/>
              </w:rPr>
              <w:t>/</w:t>
            </w:r>
          </w:p>
        </w:tc>
        <w:tc>
          <w:tcPr>
            <w:tcW w:w="1166" w:type="dxa"/>
            <w:vAlign w:val="center"/>
          </w:tcPr>
          <w:p w14:paraId="204D7B8C">
            <w:pPr>
              <w:adjustRightInd w:val="0"/>
              <w:snapToGrid w:val="0"/>
              <w:jc w:val="center"/>
              <w:rPr>
                <w:snapToGrid w:val="0"/>
                <w:color w:val="auto"/>
                <w:kern w:val="21"/>
                <w:szCs w:val="21"/>
              </w:rPr>
            </w:pPr>
            <w:r>
              <w:rPr>
                <w:snapToGrid w:val="0"/>
                <w:color w:val="auto"/>
                <w:kern w:val="21"/>
                <w:szCs w:val="21"/>
              </w:rPr>
              <w:t>/</w:t>
            </w:r>
          </w:p>
        </w:tc>
        <w:tc>
          <w:tcPr>
            <w:tcW w:w="1667" w:type="dxa"/>
            <w:vAlign w:val="center"/>
          </w:tcPr>
          <w:p w14:paraId="57897888">
            <w:pPr>
              <w:adjustRightInd w:val="0"/>
              <w:snapToGrid w:val="0"/>
              <w:jc w:val="center"/>
              <w:rPr>
                <w:snapToGrid w:val="0"/>
                <w:color w:val="auto"/>
                <w:kern w:val="21"/>
                <w:szCs w:val="21"/>
              </w:rPr>
            </w:pPr>
            <w:r>
              <w:rPr>
                <w:snapToGrid w:val="0"/>
                <w:color w:val="auto"/>
                <w:kern w:val="21"/>
                <w:szCs w:val="21"/>
              </w:rPr>
              <w:t>/</w:t>
            </w:r>
          </w:p>
        </w:tc>
        <w:tc>
          <w:tcPr>
            <w:tcW w:w="1617" w:type="dxa"/>
            <w:vAlign w:val="center"/>
          </w:tcPr>
          <w:p w14:paraId="4FE1EEF8">
            <w:pPr>
              <w:widowControl/>
              <w:jc w:val="center"/>
              <w:textAlignment w:val="center"/>
              <w:rPr>
                <w:color w:val="auto"/>
                <w:kern w:val="0"/>
                <w:szCs w:val="21"/>
              </w:rPr>
            </w:pPr>
            <w:r>
              <w:rPr>
                <w:color w:val="auto"/>
                <w:kern w:val="0"/>
                <w:szCs w:val="21"/>
              </w:rPr>
              <w:t>0.05</w:t>
            </w:r>
          </w:p>
        </w:tc>
        <w:tc>
          <w:tcPr>
            <w:tcW w:w="1475" w:type="dxa"/>
            <w:vAlign w:val="center"/>
          </w:tcPr>
          <w:p w14:paraId="299979B6">
            <w:pPr>
              <w:adjustRightInd w:val="0"/>
              <w:snapToGrid w:val="0"/>
              <w:jc w:val="center"/>
              <w:rPr>
                <w:snapToGrid w:val="0"/>
                <w:color w:val="auto"/>
                <w:kern w:val="21"/>
                <w:szCs w:val="21"/>
              </w:rPr>
            </w:pPr>
            <w:r>
              <w:rPr>
                <w:snapToGrid w:val="0"/>
                <w:color w:val="auto"/>
                <w:kern w:val="21"/>
                <w:szCs w:val="21"/>
              </w:rPr>
              <w:t>/</w:t>
            </w:r>
          </w:p>
        </w:tc>
        <w:tc>
          <w:tcPr>
            <w:tcW w:w="1841" w:type="dxa"/>
            <w:vAlign w:val="center"/>
          </w:tcPr>
          <w:p w14:paraId="7FDEF7E1">
            <w:pPr>
              <w:widowControl/>
              <w:jc w:val="center"/>
              <w:textAlignment w:val="center"/>
              <w:rPr>
                <w:snapToGrid w:val="0"/>
                <w:color w:val="auto"/>
                <w:kern w:val="21"/>
                <w:szCs w:val="21"/>
              </w:rPr>
            </w:pPr>
            <w:r>
              <w:rPr>
                <w:color w:val="auto"/>
                <w:kern w:val="0"/>
                <w:szCs w:val="21"/>
              </w:rPr>
              <w:t>0.05</w:t>
            </w:r>
          </w:p>
        </w:tc>
        <w:tc>
          <w:tcPr>
            <w:tcW w:w="926" w:type="dxa"/>
            <w:vAlign w:val="center"/>
          </w:tcPr>
          <w:p w14:paraId="27D87EDB">
            <w:pPr>
              <w:adjustRightInd w:val="0"/>
              <w:snapToGrid w:val="0"/>
              <w:jc w:val="center"/>
              <w:rPr>
                <w:color w:val="auto"/>
                <w:kern w:val="0"/>
                <w:szCs w:val="21"/>
              </w:rPr>
            </w:pPr>
            <w:r>
              <w:rPr>
                <w:snapToGrid w:val="0"/>
                <w:color w:val="auto"/>
                <w:kern w:val="21"/>
                <w:szCs w:val="21"/>
              </w:rPr>
              <w:t>/</w:t>
            </w:r>
          </w:p>
        </w:tc>
      </w:tr>
      <w:tr w14:paraId="38B51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vAlign w:val="center"/>
          </w:tcPr>
          <w:p w14:paraId="60333D74">
            <w:pPr>
              <w:adjustRightInd w:val="0"/>
              <w:snapToGrid w:val="0"/>
              <w:jc w:val="center"/>
              <w:rPr>
                <w:snapToGrid w:val="0"/>
                <w:color w:val="auto"/>
                <w:kern w:val="21"/>
                <w:szCs w:val="21"/>
              </w:rPr>
            </w:pPr>
          </w:p>
        </w:tc>
        <w:tc>
          <w:tcPr>
            <w:tcW w:w="2711" w:type="dxa"/>
            <w:vAlign w:val="center"/>
          </w:tcPr>
          <w:p w14:paraId="28C96655">
            <w:pPr>
              <w:pStyle w:val="25"/>
              <w:kinsoku w:val="0"/>
              <w:overflowPunct w:val="0"/>
              <w:adjustRightInd w:val="0"/>
              <w:snapToGrid w:val="0"/>
              <w:contextualSpacing/>
              <w:jc w:val="center"/>
              <w:rPr>
                <w:rFonts w:ascii="Times New Roman" w:hAnsi="Times New Roman" w:cs="Times New Roman"/>
                <w:color w:val="auto"/>
                <w:kern w:val="0"/>
                <w:szCs w:val="21"/>
              </w:rPr>
            </w:pPr>
            <w:r>
              <w:rPr>
                <w:rFonts w:ascii="Times New Roman" w:hAnsi="Times New Roman" w:cs="Times New Roman"/>
                <w:color w:val="auto"/>
                <w:spacing w:val="-1"/>
                <w:szCs w:val="21"/>
                <w:lang w:val="en-US"/>
              </w:rPr>
              <w:t>实验室废液</w:t>
            </w:r>
            <w:r>
              <w:rPr>
                <w:rFonts w:ascii="Times New Roman" w:hAnsi="Times New Roman" w:cs="Times New Roman"/>
                <w:color w:val="auto"/>
                <w:kern w:val="0"/>
                <w:szCs w:val="21"/>
                <w:lang w:val="en-US"/>
              </w:rPr>
              <w:t>（t/a）</w:t>
            </w:r>
          </w:p>
        </w:tc>
        <w:tc>
          <w:tcPr>
            <w:tcW w:w="1275" w:type="dxa"/>
            <w:vAlign w:val="center"/>
          </w:tcPr>
          <w:p w14:paraId="51678087">
            <w:pPr>
              <w:kinsoku w:val="0"/>
              <w:overflowPunct w:val="0"/>
              <w:adjustRightInd w:val="0"/>
              <w:snapToGrid w:val="0"/>
              <w:contextualSpacing/>
              <w:jc w:val="center"/>
              <w:rPr>
                <w:snapToGrid w:val="0"/>
                <w:color w:val="auto"/>
                <w:kern w:val="21"/>
                <w:szCs w:val="21"/>
              </w:rPr>
            </w:pPr>
            <w:r>
              <w:rPr>
                <w:snapToGrid w:val="0"/>
                <w:color w:val="auto"/>
                <w:kern w:val="21"/>
                <w:szCs w:val="21"/>
              </w:rPr>
              <w:t>/</w:t>
            </w:r>
          </w:p>
        </w:tc>
        <w:tc>
          <w:tcPr>
            <w:tcW w:w="1166" w:type="dxa"/>
            <w:vAlign w:val="center"/>
          </w:tcPr>
          <w:p w14:paraId="0ABA96FC">
            <w:pPr>
              <w:adjustRightInd w:val="0"/>
              <w:snapToGrid w:val="0"/>
              <w:jc w:val="center"/>
              <w:rPr>
                <w:snapToGrid w:val="0"/>
                <w:color w:val="auto"/>
                <w:kern w:val="21"/>
                <w:szCs w:val="21"/>
              </w:rPr>
            </w:pPr>
            <w:r>
              <w:rPr>
                <w:snapToGrid w:val="0"/>
                <w:color w:val="auto"/>
                <w:kern w:val="21"/>
                <w:szCs w:val="21"/>
              </w:rPr>
              <w:t>/</w:t>
            </w:r>
          </w:p>
        </w:tc>
        <w:tc>
          <w:tcPr>
            <w:tcW w:w="1667" w:type="dxa"/>
            <w:vAlign w:val="center"/>
          </w:tcPr>
          <w:p w14:paraId="333EF027">
            <w:pPr>
              <w:adjustRightInd w:val="0"/>
              <w:snapToGrid w:val="0"/>
              <w:jc w:val="center"/>
              <w:rPr>
                <w:snapToGrid w:val="0"/>
                <w:color w:val="auto"/>
                <w:kern w:val="21"/>
                <w:szCs w:val="21"/>
              </w:rPr>
            </w:pPr>
            <w:r>
              <w:rPr>
                <w:snapToGrid w:val="0"/>
                <w:color w:val="auto"/>
                <w:kern w:val="21"/>
                <w:szCs w:val="21"/>
              </w:rPr>
              <w:t>/</w:t>
            </w:r>
          </w:p>
        </w:tc>
        <w:tc>
          <w:tcPr>
            <w:tcW w:w="1617" w:type="dxa"/>
            <w:vAlign w:val="center"/>
          </w:tcPr>
          <w:p w14:paraId="108FE143">
            <w:pPr>
              <w:widowControl/>
              <w:jc w:val="center"/>
              <w:textAlignment w:val="center"/>
              <w:rPr>
                <w:color w:val="auto"/>
                <w:kern w:val="0"/>
                <w:szCs w:val="21"/>
              </w:rPr>
            </w:pPr>
            <w:r>
              <w:rPr>
                <w:color w:val="auto"/>
                <w:kern w:val="0"/>
                <w:szCs w:val="21"/>
              </w:rPr>
              <w:t>0.8</w:t>
            </w:r>
          </w:p>
        </w:tc>
        <w:tc>
          <w:tcPr>
            <w:tcW w:w="1475" w:type="dxa"/>
            <w:vAlign w:val="center"/>
          </w:tcPr>
          <w:p w14:paraId="7AC179B0">
            <w:pPr>
              <w:adjustRightInd w:val="0"/>
              <w:snapToGrid w:val="0"/>
              <w:jc w:val="center"/>
              <w:rPr>
                <w:snapToGrid w:val="0"/>
                <w:color w:val="auto"/>
                <w:kern w:val="21"/>
                <w:szCs w:val="21"/>
              </w:rPr>
            </w:pPr>
            <w:r>
              <w:rPr>
                <w:snapToGrid w:val="0"/>
                <w:color w:val="auto"/>
                <w:kern w:val="21"/>
                <w:szCs w:val="21"/>
              </w:rPr>
              <w:t>/</w:t>
            </w:r>
          </w:p>
        </w:tc>
        <w:tc>
          <w:tcPr>
            <w:tcW w:w="1841" w:type="dxa"/>
            <w:vAlign w:val="center"/>
          </w:tcPr>
          <w:p w14:paraId="6B665789">
            <w:pPr>
              <w:widowControl/>
              <w:jc w:val="center"/>
              <w:textAlignment w:val="center"/>
              <w:rPr>
                <w:color w:val="auto"/>
                <w:kern w:val="0"/>
                <w:szCs w:val="21"/>
              </w:rPr>
            </w:pPr>
            <w:r>
              <w:rPr>
                <w:color w:val="auto"/>
                <w:kern w:val="0"/>
                <w:szCs w:val="21"/>
              </w:rPr>
              <w:t>0.8</w:t>
            </w:r>
          </w:p>
        </w:tc>
        <w:tc>
          <w:tcPr>
            <w:tcW w:w="926" w:type="dxa"/>
            <w:vAlign w:val="center"/>
          </w:tcPr>
          <w:p w14:paraId="503913B0">
            <w:pPr>
              <w:adjustRightInd w:val="0"/>
              <w:snapToGrid w:val="0"/>
              <w:jc w:val="center"/>
              <w:rPr>
                <w:snapToGrid w:val="0"/>
                <w:color w:val="auto"/>
                <w:kern w:val="21"/>
                <w:szCs w:val="21"/>
              </w:rPr>
            </w:pPr>
            <w:r>
              <w:rPr>
                <w:snapToGrid w:val="0"/>
                <w:color w:val="auto"/>
                <w:kern w:val="21"/>
                <w:szCs w:val="21"/>
              </w:rPr>
              <w:t>/</w:t>
            </w:r>
          </w:p>
        </w:tc>
      </w:tr>
      <w:tr w14:paraId="7E2D0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vAlign w:val="center"/>
          </w:tcPr>
          <w:p w14:paraId="1630558E">
            <w:pPr>
              <w:adjustRightInd w:val="0"/>
              <w:snapToGrid w:val="0"/>
              <w:jc w:val="center"/>
              <w:rPr>
                <w:snapToGrid w:val="0"/>
                <w:color w:val="auto"/>
                <w:kern w:val="21"/>
                <w:szCs w:val="21"/>
              </w:rPr>
            </w:pPr>
          </w:p>
        </w:tc>
        <w:tc>
          <w:tcPr>
            <w:tcW w:w="2711" w:type="dxa"/>
            <w:vAlign w:val="center"/>
          </w:tcPr>
          <w:p w14:paraId="574EF2FD">
            <w:pPr>
              <w:pStyle w:val="25"/>
              <w:kinsoku w:val="0"/>
              <w:overflowPunct w:val="0"/>
              <w:adjustRightInd w:val="0"/>
              <w:snapToGrid w:val="0"/>
              <w:contextualSpacing/>
              <w:jc w:val="center"/>
              <w:rPr>
                <w:rFonts w:ascii="Times New Roman" w:hAnsi="Times New Roman" w:cs="Times New Roman"/>
                <w:color w:val="auto"/>
                <w:spacing w:val="-1"/>
                <w:szCs w:val="21"/>
                <w:lang w:val="en-US"/>
              </w:rPr>
            </w:pPr>
            <w:r>
              <w:rPr>
                <w:rFonts w:ascii="Times New Roman" w:hAnsi="Times New Roman" w:cs="Times New Roman"/>
                <w:color w:val="auto"/>
                <w:spacing w:val="-1"/>
                <w:szCs w:val="21"/>
                <w:lang w:val="en-US"/>
              </w:rPr>
              <w:t>初洗废水（t/a）</w:t>
            </w:r>
          </w:p>
        </w:tc>
        <w:tc>
          <w:tcPr>
            <w:tcW w:w="1275" w:type="dxa"/>
            <w:vAlign w:val="center"/>
          </w:tcPr>
          <w:p w14:paraId="0ACCBBEA">
            <w:pPr>
              <w:kinsoku w:val="0"/>
              <w:overflowPunct w:val="0"/>
              <w:adjustRightInd w:val="0"/>
              <w:snapToGrid w:val="0"/>
              <w:contextualSpacing/>
              <w:jc w:val="center"/>
              <w:rPr>
                <w:snapToGrid w:val="0"/>
                <w:color w:val="auto"/>
                <w:kern w:val="21"/>
                <w:szCs w:val="21"/>
              </w:rPr>
            </w:pPr>
            <w:r>
              <w:rPr>
                <w:snapToGrid w:val="0"/>
                <w:color w:val="auto"/>
                <w:kern w:val="21"/>
                <w:szCs w:val="21"/>
              </w:rPr>
              <w:t>/</w:t>
            </w:r>
          </w:p>
        </w:tc>
        <w:tc>
          <w:tcPr>
            <w:tcW w:w="1166" w:type="dxa"/>
            <w:vAlign w:val="center"/>
          </w:tcPr>
          <w:p w14:paraId="6B51B7FA">
            <w:pPr>
              <w:adjustRightInd w:val="0"/>
              <w:snapToGrid w:val="0"/>
              <w:jc w:val="center"/>
              <w:rPr>
                <w:snapToGrid w:val="0"/>
                <w:color w:val="auto"/>
                <w:kern w:val="21"/>
                <w:szCs w:val="21"/>
              </w:rPr>
            </w:pPr>
            <w:r>
              <w:rPr>
                <w:snapToGrid w:val="0"/>
                <w:color w:val="auto"/>
                <w:kern w:val="21"/>
                <w:szCs w:val="21"/>
              </w:rPr>
              <w:t>/</w:t>
            </w:r>
          </w:p>
        </w:tc>
        <w:tc>
          <w:tcPr>
            <w:tcW w:w="1667" w:type="dxa"/>
            <w:vAlign w:val="center"/>
          </w:tcPr>
          <w:p w14:paraId="390BE5F6">
            <w:pPr>
              <w:adjustRightInd w:val="0"/>
              <w:snapToGrid w:val="0"/>
              <w:jc w:val="center"/>
              <w:rPr>
                <w:snapToGrid w:val="0"/>
                <w:color w:val="auto"/>
                <w:kern w:val="21"/>
                <w:szCs w:val="21"/>
              </w:rPr>
            </w:pPr>
            <w:r>
              <w:rPr>
                <w:snapToGrid w:val="0"/>
                <w:color w:val="auto"/>
                <w:kern w:val="21"/>
                <w:szCs w:val="21"/>
              </w:rPr>
              <w:t>/</w:t>
            </w:r>
          </w:p>
        </w:tc>
        <w:tc>
          <w:tcPr>
            <w:tcW w:w="1617" w:type="dxa"/>
            <w:vAlign w:val="center"/>
          </w:tcPr>
          <w:p w14:paraId="1881D6D3">
            <w:pPr>
              <w:widowControl/>
              <w:jc w:val="center"/>
              <w:textAlignment w:val="center"/>
              <w:rPr>
                <w:rFonts w:hint="eastAsia" w:eastAsia="宋体"/>
                <w:color w:val="auto"/>
                <w:kern w:val="0"/>
                <w:szCs w:val="21"/>
                <w:lang w:eastAsia="zh-CN" w:bidi="ar"/>
              </w:rPr>
            </w:pPr>
            <w:r>
              <w:rPr>
                <w:rFonts w:hint="eastAsia"/>
                <w:color w:val="auto"/>
                <w:kern w:val="0"/>
                <w:szCs w:val="21"/>
                <w:lang w:eastAsia="zh-CN" w:bidi="ar"/>
              </w:rPr>
              <w:t>3.84</w:t>
            </w:r>
          </w:p>
        </w:tc>
        <w:tc>
          <w:tcPr>
            <w:tcW w:w="1475" w:type="dxa"/>
            <w:vAlign w:val="center"/>
          </w:tcPr>
          <w:p w14:paraId="481B28EE">
            <w:pPr>
              <w:adjustRightInd w:val="0"/>
              <w:snapToGrid w:val="0"/>
              <w:jc w:val="center"/>
              <w:rPr>
                <w:snapToGrid w:val="0"/>
                <w:color w:val="auto"/>
                <w:kern w:val="21"/>
                <w:szCs w:val="21"/>
              </w:rPr>
            </w:pPr>
            <w:r>
              <w:rPr>
                <w:snapToGrid w:val="0"/>
                <w:color w:val="auto"/>
                <w:kern w:val="21"/>
                <w:szCs w:val="21"/>
              </w:rPr>
              <w:t>/</w:t>
            </w:r>
          </w:p>
        </w:tc>
        <w:tc>
          <w:tcPr>
            <w:tcW w:w="1841" w:type="dxa"/>
            <w:vAlign w:val="center"/>
          </w:tcPr>
          <w:p w14:paraId="54FE08DA">
            <w:pPr>
              <w:widowControl/>
              <w:jc w:val="center"/>
              <w:textAlignment w:val="center"/>
              <w:rPr>
                <w:rFonts w:hint="eastAsia" w:eastAsia="宋体"/>
                <w:color w:val="auto"/>
                <w:kern w:val="0"/>
                <w:szCs w:val="21"/>
                <w:lang w:eastAsia="zh-CN" w:bidi="ar"/>
              </w:rPr>
            </w:pPr>
            <w:r>
              <w:rPr>
                <w:rFonts w:hint="eastAsia"/>
                <w:color w:val="auto"/>
                <w:kern w:val="0"/>
                <w:szCs w:val="21"/>
                <w:lang w:eastAsia="zh-CN" w:bidi="ar"/>
              </w:rPr>
              <w:t>3.84</w:t>
            </w:r>
          </w:p>
        </w:tc>
        <w:tc>
          <w:tcPr>
            <w:tcW w:w="926" w:type="dxa"/>
            <w:vAlign w:val="center"/>
          </w:tcPr>
          <w:p w14:paraId="30A67D98">
            <w:pPr>
              <w:adjustRightInd w:val="0"/>
              <w:snapToGrid w:val="0"/>
              <w:jc w:val="center"/>
              <w:rPr>
                <w:snapToGrid w:val="0"/>
                <w:color w:val="auto"/>
                <w:kern w:val="21"/>
                <w:szCs w:val="21"/>
              </w:rPr>
            </w:pPr>
            <w:r>
              <w:rPr>
                <w:snapToGrid w:val="0"/>
                <w:color w:val="auto"/>
                <w:kern w:val="21"/>
                <w:szCs w:val="21"/>
              </w:rPr>
              <w:t>/</w:t>
            </w:r>
          </w:p>
        </w:tc>
      </w:tr>
      <w:tr w14:paraId="333B6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vAlign w:val="center"/>
          </w:tcPr>
          <w:p w14:paraId="208037C7">
            <w:pPr>
              <w:adjustRightInd w:val="0"/>
              <w:snapToGrid w:val="0"/>
              <w:jc w:val="center"/>
              <w:rPr>
                <w:snapToGrid w:val="0"/>
                <w:color w:val="auto"/>
                <w:kern w:val="21"/>
                <w:szCs w:val="21"/>
              </w:rPr>
            </w:pPr>
          </w:p>
        </w:tc>
        <w:tc>
          <w:tcPr>
            <w:tcW w:w="2711" w:type="dxa"/>
            <w:vAlign w:val="center"/>
          </w:tcPr>
          <w:p w14:paraId="71E8A1BC">
            <w:pPr>
              <w:pStyle w:val="25"/>
              <w:kinsoku w:val="0"/>
              <w:overflowPunct w:val="0"/>
              <w:adjustRightInd w:val="0"/>
              <w:snapToGrid w:val="0"/>
              <w:contextualSpacing/>
              <w:jc w:val="center"/>
              <w:rPr>
                <w:rFonts w:ascii="Times New Roman" w:hAnsi="Times New Roman" w:cs="Times New Roman"/>
                <w:color w:val="auto"/>
                <w:spacing w:val="-1"/>
                <w:szCs w:val="21"/>
                <w:lang w:val="en-US"/>
              </w:rPr>
            </w:pPr>
            <w:r>
              <w:rPr>
                <w:rFonts w:ascii="Times New Roman" w:hAnsi="Times New Roman" w:cs="Times New Roman"/>
                <w:color w:val="auto"/>
                <w:spacing w:val="-1"/>
                <w:szCs w:val="21"/>
                <w:lang w:val="en-US"/>
              </w:rPr>
              <w:t>固废实验废物（t/a）</w:t>
            </w:r>
          </w:p>
        </w:tc>
        <w:tc>
          <w:tcPr>
            <w:tcW w:w="1275" w:type="dxa"/>
            <w:vAlign w:val="center"/>
          </w:tcPr>
          <w:p w14:paraId="04919E57">
            <w:pPr>
              <w:kinsoku w:val="0"/>
              <w:overflowPunct w:val="0"/>
              <w:adjustRightInd w:val="0"/>
              <w:snapToGrid w:val="0"/>
              <w:contextualSpacing/>
              <w:jc w:val="center"/>
              <w:rPr>
                <w:snapToGrid w:val="0"/>
                <w:color w:val="auto"/>
                <w:kern w:val="21"/>
                <w:szCs w:val="21"/>
              </w:rPr>
            </w:pPr>
            <w:r>
              <w:rPr>
                <w:snapToGrid w:val="0"/>
                <w:color w:val="auto"/>
                <w:kern w:val="21"/>
                <w:szCs w:val="21"/>
              </w:rPr>
              <w:t>/</w:t>
            </w:r>
          </w:p>
        </w:tc>
        <w:tc>
          <w:tcPr>
            <w:tcW w:w="1166" w:type="dxa"/>
            <w:vAlign w:val="center"/>
          </w:tcPr>
          <w:p w14:paraId="61741897">
            <w:pPr>
              <w:adjustRightInd w:val="0"/>
              <w:snapToGrid w:val="0"/>
              <w:jc w:val="center"/>
              <w:rPr>
                <w:snapToGrid w:val="0"/>
                <w:color w:val="auto"/>
                <w:kern w:val="21"/>
                <w:szCs w:val="21"/>
              </w:rPr>
            </w:pPr>
            <w:r>
              <w:rPr>
                <w:snapToGrid w:val="0"/>
                <w:color w:val="auto"/>
                <w:kern w:val="21"/>
                <w:szCs w:val="21"/>
              </w:rPr>
              <w:t>/</w:t>
            </w:r>
          </w:p>
        </w:tc>
        <w:tc>
          <w:tcPr>
            <w:tcW w:w="1667" w:type="dxa"/>
            <w:vAlign w:val="center"/>
          </w:tcPr>
          <w:p w14:paraId="3DE04068">
            <w:pPr>
              <w:adjustRightInd w:val="0"/>
              <w:snapToGrid w:val="0"/>
              <w:jc w:val="center"/>
              <w:rPr>
                <w:snapToGrid w:val="0"/>
                <w:color w:val="auto"/>
                <w:kern w:val="21"/>
                <w:szCs w:val="21"/>
              </w:rPr>
            </w:pPr>
            <w:r>
              <w:rPr>
                <w:snapToGrid w:val="0"/>
                <w:color w:val="auto"/>
                <w:kern w:val="21"/>
                <w:szCs w:val="21"/>
              </w:rPr>
              <w:t>/</w:t>
            </w:r>
          </w:p>
        </w:tc>
        <w:tc>
          <w:tcPr>
            <w:tcW w:w="1617" w:type="dxa"/>
            <w:vAlign w:val="center"/>
          </w:tcPr>
          <w:p w14:paraId="5F13B0AB">
            <w:pPr>
              <w:widowControl/>
              <w:jc w:val="center"/>
              <w:textAlignment w:val="center"/>
              <w:rPr>
                <w:color w:val="auto"/>
                <w:kern w:val="0"/>
                <w:szCs w:val="21"/>
                <w:lang w:bidi="ar"/>
              </w:rPr>
            </w:pPr>
            <w:r>
              <w:rPr>
                <w:color w:val="auto"/>
                <w:kern w:val="0"/>
                <w:szCs w:val="21"/>
                <w:lang w:bidi="ar"/>
              </w:rPr>
              <w:t>0.02</w:t>
            </w:r>
          </w:p>
        </w:tc>
        <w:tc>
          <w:tcPr>
            <w:tcW w:w="1475" w:type="dxa"/>
            <w:vAlign w:val="center"/>
          </w:tcPr>
          <w:p w14:paraId="116D76A0">
            <w:pPr>
              <w:adjustRightInd w:val="0"/>
              <w:snapToGrid w:val="0"/>
              <w:jc w:val="center"/>
              <w:rPr>
                <w:snapToGrid w:val="0"/>
                <w:color w:val="auto"/>
                <w:kern w:val="21"/>
                <w:szCs w:val="21"/>
              </w:rPr>
            </w:pPr>
            <w:r>
              <w:rPr>
                <w:snapToGrid w:val="0"/>
                <w:color w:val="auto"/>
                <w:kern w:val="21"/>
                <w:szCs w:val="21"/>
              </w:rPr>
              <w:t>/</w:t>
            </w:r>
          </w:p>
        </w:tc>
        <w:tc>
          <w:tcPr>
            <w:tcW w:w="1841" w:type="dxa"/>
            <w:vAlign w:val="center"/>
          </w:tcPr>
          <w:p w14:paraId="2F6C9E2F">
            <w:pPr>
              <w:widowControl/>
              <w:jc w:val="center"/>
              <w:textAlignment w:val="center"/>
              <w:rPr>
                <w:color w:val="auto"/>
                <w:kern w:val="0"/>
                <w:szCs w:val="21"/>
                <w:lang w:bidi="ar"/>
              </w:rPr>
            </w:pPr>
            <w:r>
              <w:rPr>
                <w:color w:val="auto"/>
                <w:kern w:val="0"/>
                <w:szCs w:val="21"/>
                <w:lang w:bidi="ar"/>
              </w:rPr>
              <w:t>0.02</w:t>
            </w:r>
          </w:p>
        </w:tc>
        <w:tc>
          <w:tcPr>
            <w:tcW w:w="926" w:type="dxa"/>
            <w:vAlign w:val="center"/>
          </w:tcPr>
          <w:p w14:paraId="74FD448B">
            <w:pPr>
              <w:adjustRightInd w:val="0"/>
              <w:snapToGrid w:val="0"/>
              <w:jc w:val="center"/>
              <w:rPr>
                <w:snapToGrid w:val="0"/>
                <w:color w:val="auto"/>
                <w:kern w:val="21"/>
                <w:szCs w:val="21"/>
              </w:rPr>
            </w:pPr>
            <w:r>
              <w:rPr>
                <w:snapToGrid w:val="0"/>
                <w:color w:val="auto"/>
                <w:kern w:val="21"/>
                <w:szCs w:val="21"/>
              </w:rPr>
              <w:t>/</w:t>
            </w:r>
          </w:p>
        </w:tc>
      </w:tr>
      <w:tr w14:paraId="0AE31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vAlign w:val="center"/>
          </w:tcPr>
          <w:p w14:paraId="0A37F7F9">
            <w:pPr>
              <w:adjustRightInd w:val="0"/>
              <w:snapToGrid w:val="0"/>
              <w:jc w:val="center"/>
              <w:rPr>
                <w:color w:val="auto"/>
                <w:szCs w:val="21"/>
              </w:rPr>
            </w:pPr>
          </w:p>
        </w:tc>
        <w:tc>
          <w:tcPr>
            <w:tcW w:w="2711" w:type="dxa"/>
            <w:vAlign w:val="center"/>
          </w:tcPr>
          <w:p w14:paraId="2030C0CF">
            <w:pPr>
              <w:adjustRightInd w:val="0"/>
              <w:snapToGrid w:val="0"/>
              <w:jc w:val="center"/>
              <w:rPr>
                <w:color w:val="auto"/>
                <w:spacing w:val="-1"/>
                <w:szCs w:val="21"/>
              </w:rPr>
            </w:pPr>
            <w:r>
              <w:rPr>
                <w:color w:val="auto"/>
                <w:spacing w:val="-1"/>
                <w:szCs w:val="21"/>
              </w:rPr>
              <w:t>废手套抹布（t/a）</w:t>
            </w:r>
          </w:p>
        </w:tc>
        <w:tc>
          <w:tcPr>
            <w:tcW w:w="1275" w:type="dxa"/>
            <w:vAlign w:val="center"/>
          </w:tcPr>
          <w:p w14:paraId="09618544">
            <w:pPr>
              <w:adjustRightInd w:val="0"/>
              <w:snapToGrid w:val="0"/>
              <w:jc w:val="center"/>
              <w:rPr>
                <w:color w:val="auto"/>
                <w:spacing w:val="-1"/>
                <w:szCs w:val="21"/>
              </w:rPr>
            </w:pPr>
            <w:r>
              <w:rPr>
                <w:snapToGrid w:val="0"/>
                <w:color w:val="auto"/>
                <w:kern w:val="21"/>
                <w:szCs w:val="21"/>
              </w:rPr>
              <w:t>/</w:t>
            </w:r>
          </w:p>
        </w:tc>
        <w:tc>
          <w:tcPr>
            <w:tcW w:w="1166" w:type="dxa"/>
            <w:vAlign w:val="center"/>
          </w:tcPr>
          <w:p w14:paraId="7D4240CA">
            <w:pPr>
              <w:adjustRightInd w:val="0"/>
              <w:snapToGrid w:val="0"/>
              <w:jc w:val="center"/>
              <w:rPr>
                <w:color w:val="auto"/>
                <w:spacing w:val="-1"/>
                <w:szCs w:val="21"/>
              </w:rPr>
            </w:pPr>
            <w:r>
              <w:rPr>
                <w:snapToGrid w:val="0"/>
                <w:color w:val="auto"/>
                <w:kern w:val="21"/>
                <w:szCs w:val="21"/>
              </w:rPr>
              <w:t>/</w:t>
            </w:r>
          </w:p>
        </w:tc>
        <w:tc>
          <w:tcPr>
            <w:tcW w:w="1667" w:type="dxa"/>
            <w:vAlign w:val="center"/>
          </w:tcPr>
          <w:p w14:paraId="71BC8356">
            <w:pPr>
              <w:adjustRightInd w:val="0"/>
              <w:snapToGrid w:val="0"/>
              <w:jc w:val="center"/>
              <w:rPr>
                <w:color w:val="auto"/>
                <w:spacing w:val="-1"/>
                <w:szCs w:val="21"/>
              </w:rPr>
            </w:pPr>
            <w:r>
              <w:rPr>
                <w:snapToGrid w:val="0"/>
                <w:color w:val="auto"/>
                <w:kern w:val="21"/>
                <w:szCs w:val="21"/>
              </w:rPr>
              <w:t>/</w:t>
            </w:r>
          </w:p>
        </w:tc>
        <w:tc>
          <w:tcPr>
            <w:tcW w:w="1617" w:type="dxa"/>
            <w:vAlign w:val="center"/>
          </w:tcPr>
          <w:p w14:paraId="6807611E">
            <w:pPr>
              <w:widowControl/>
              <w:jc w:val="center"/>
              <w:textAlignment w:val="center"/>
              <w:rPr>
                <w:color w:val="auto"/>
                <w:spacing w:val="-1"/>
                <w:szCs w:val="21"/>
              </w:rPr>
            </w:pPr>
            <w:r>
              <w:rPr>
                <w:color w:val="auto"/>
                <w:kern w:val="0"/>
                <w:szCs w:val="21"/>
                <w:lang w:bidi="ar"/>
              </w:rPr>
              <w:t>0.03</w:t>
            </w:r>
          </w:p>
        </w:tc>
        <w:tc>
          <w:tcPr>
            <w:tcW w:w="1475" w:type="dxa"/>
            <w:vAlign w:val="center"/>
          </w:tcPr>
          <w:p w14:paraId="7E25A4DF">
            <w:pPr>
              <w:adjustRightInd w:val="0"/>
              <w:snapToGrid w:val="0"/>
              <w:jc w:val="center"/>
              <w:rPr>
                <w:color w:val="auto"/>
                <w:spacing w:val="-1"/>
                <w:szCs w:val="21"/>
              </w:rPr>
            </w:pPr>
            <w:r>
              <w:rPr>
                <w:snapToGrid w:val="0"/>
                <w:color w:val="auto"/>
                <w:kern w:val="21"/>
                <w:szCs w:val="21"/>
              </w:rPr>
              <w:t>/</w:t>
            </w:r>
          </w:p>
        </w:tc>
        <w:tc>
          <w:tcPr>
            <w:tcW w:w="1841" w:type="dxa"/>
            <w:vAlign w:val="center"/>
          </w:tcPr>
          <w:p w14:paraId="0532EB36">
            <w:pPr>
              <w:widowControl/>
              <w:jc w:val="center"/>
              <w:textAlignment w:val="center"/>
              <w:rPr>
                <w:color w:val="auto"/>
                <w:spacing w:val="-1"/>
                <w:szCs w:val="21"/>
              </w:rPr>
            </w:pPr>
            <w:r>
              <w:rPr>
                <w:color w:val="auto"/>
                <w:kern w:val="0"/>
                <w:szCs w:val="21"/>
                <w:lang w:bidi="ar"/>
              </w:rPr>
              <w:t>0.03</w:t>
            </w:r>
          </w:p>
        </w:tc>
        <w:tc>
          <w:tcPr>
            <w:tcW w:w="926" w:type="dxa"/>
            <w:vAlign w:val="center"/>
          </w:tcPr>
          <w:p w14:paraId="0D763530">
            <w:pPr>
              <w:adjustRightInd w:val="0"/>
              <w:snapToGrid w:val="0"/>
              <w:jc w:val="center"/>
              <w:rPr>
                <w:color w:val="auto"/>
                <w:spacing w:val="-1"/>
                <w:szCs w:val="21"/>
              </w:rPr>
            </w:pPr>
            <w:r>
              <w:rPr>
                <w:snapToGrid w:val="0"/>
                <w:color w:val="auto"/>
                <w:kern w:val="21"/>
                <w:szCs w:val="21"/>
              </w:rPr>
              <w:t>/</w:t>
            </w:r>
          </w:p>
        </w:tc>
      </w:tr>
      <w:tr w14:paraId="58D53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0" w:type="dxa"/>
            <w:vMerge w:val="continue"/>
            <w:vAlign w:val="center"/>
          </w:tcPr>
          <w:p w14:paraId="454C8989">
            <w:pPr>
              <w:adjustRightInd w:val="0"/>
              <w:snapToGrid w:val="0"/>
              <w:jc w:val="center"/>
              <w:rPr>
                <w:color w:val="auto"/>
                <w:szCs w:val="21"/>
              </w:rPr>
            </w:pPr>
          </w:p>
        </w:tc>
        <w:tc>
          <w:tcPr>
            <w:tcW w:w="2711" w:type="dxa"/>
            <w:vAlign w:val="center"/>
          </w:tcPr>
          <w:p w14:paraId="24452C15">
            <w:pPr>
              <w:adjustRightInd w:val="0"/>
              <w:snapToGrid w:val="0"/>
              <w:jc w:val="center"/>
              <w:rPr>
                <w:color w:val="auto"/>
                <w:spacing w:val="-1"/>
                <w:szCs w:val="21"/>
              </w:rPr>
            </w:pPr>
            <w:r>
              <w:rPr>
                <w:color w:val="auto"/>
                <w:spacing w:val="-1"/>
                <w:szCs w:val="21"/>
              </w:rPr>
              <w:t>废活性炭（t/a）</w:t>
            </w:r>
          </w:p>
        </w:tc>
        <w:tc>
          <w:tcPr>
            <w:tcW w:w="1275" w:type="dxa"/>
            <w:vAlign w:val="center"/>
          </w:tcPr>
          <w:p w14:paraId="0CB8D6E8">
            <w:pPr>
              <w:adjustRightInd w:val="0"/>
              <w:snapToGrid w:val="0"/>
              <w:jc w:val="center"/>
              <w:rPr>
                <w:snapToGrid w:val="0"/>
                <w:color w:val="auto"/>
                <w:kern w:val="21"/>
                <w:szCs w:val="21"/>
              </w:rPr>
            </w:pPr>
            <w:r>
              <w:rPr>
                <w:snapToGrid w:val="0"/>
                <w:color w:val="auto"/>
                <w:kern w:val="21"/>
                <w:szCs w:val="21"/>
              </w:rPr>
              <w:t>/</w:t>
            </w:r>
          </w:p>
        </w:tc>
        <w:tc>
          <w:tcPr>
            <w:tcW w:w="1166" w:type="dxa"/>
            <w:vAlign w:val="center"/>
          </w:tcPr>
          <w:p w14:paraId="2A193B61">
            <w:pPr>
              <w:adjustRightInd w:val="0"/>
              <w:snapToGrid w:val="0"/>
              <w:jc w:val="center"/>
              <w:rPr>
                <w:color w:val="auto"/>
                <w:spacing w:val="-1"/>
                <w:szCs w:val="21"/>
              </w:rPr>
            </w:pPr>
            <w:r>
              <w:rPr>
                <w:snapToGrid w:val="0"/>
                <w:color w:val="auto"/>
                <w:kern w:val="21"/>
                <w:szCs w:val="21"/>
              </w:rPr>
              <w:t>/</w:t>
            </w:r>
          </w:p>
        </w:tc>
        <w:tc>
          <w:tcPr>
            <w:tcW w:w="1667" w:type="dxa"/>
            <w:vAlign w:val="center"/>
          </w:tcPr>
          <w:p w14:paraId="2507BB73">
            <w:pPr>
              <w:adjustRightInd w:val="0"/>
              <w:snapToGrid w:val="0"/>
              <w:jc w:val="center"/>
              <w:rPr>
                <w:color w:val="auto"/>
                <w:spacing w:val="-1"/>
                <w:szCs w:val="21"/>
              </w:rPr>
            </w:pPr>
            <w:r>
              <w:rPr>
                <w:snapToGrid w:val="0"/>
                <w:color w:val="auto"/>
                <w:kern w:val="21"/>
                <w:szCs w:val="21"/>
              </w:rPr>
              <w:t>/</w:t>
            </w:r>
          </w:p>
        </w:tc>
        <w:tc>
          <w:tcPr>
            <w:tcW w:w="1617" w:type="dxa"/>
            <w:vAlign w:val="center"/>
          </w:tcPr>
          <w:p w14:paraId="34AF01FF">
            <w:pPr>
              <w:widowControl/>
              <w:jc w:val="center"/>
              <w:textAlignment w:val="center"/>
              <w:rPr>
                <w:rFonts w:hint="eastAsia" w:eastAsia="宋体"/>
                <w:color w:val="auto"/>
                <w:kern w:val="0"/>
                <w:szCs w:val="21"/>
                <w:lang w:eastAsia="zh-CN" w:bidi="ar"/>
              </w:rPr>
            </w:pPr>
            <w:r>
              <w:rPr>
                <w:rFonts w:hint="eastAsia"/>
                <w:color w:val="auto"/>
                <w:spacing w:val="-1"/>
                <w:szCs w:val="21"/>
                <w:lang w:eastAsia="zh-CN"/>
              </w:rPr>
              <w:t>1.716</w:t>
            </w:r>
          </w:p>
        </w:tc>
        <w:tc>
          <w:tcPr>
            <w:tcW w:w="1475" w:type="dxa"/>
            <w:vAlign w:val="center"/>
          </w:tcPr>
          <w:p w14:paraId="38EC5799">
            <w:pPr>
              <w:adjustRightInd w:val="0"/>
              <w:snapToGrid w:val="0"/>
              <w:jc w:val="center"/>
              <w:rPr>
                <w:color w:val="auto"/>
                <w:spacing w:val="-1"/>
                <w:szCs w:val="21"/>
              </w:rPr>
            </w:pPr>
            <w:r>
              <w:rPr>
                <w:snapToGrid w:val="0"/>
                <w:color w:val="auto"/>
                <w:kern w:val="21"/>
                <w:szCs w:val="21"/>
              </w:rPr>
              <w:t>/</w:t>
            </w:r>
          </w:p>
        </w:tc>
        <w:tc>
          <w:tcPr>
            <w:tcW w:w="1841" w:type="dxa"/>
            <w:vAlign w:val="center"/>
          </w:tcPr>
          <w:p w14:paraId="5DE958C1">
            <w:pPr>
              <w:widowControl/>
              <w:jc w:val="center"/>
              <w:textAlignment w:val="center"/>
              <w:rPr>
                <w:rFonts w:hint="eastAsia" w:eastAsia="宋体"/>
                <w:color w:val="auto"/>
                <w:kern w:val="0"/>
                <w:szCs w:val="21"/>
                <w:lang w:eastAsia="zh-CN" w:bidi="ar"/>
              </w:rPr>
            </w:pPr>
            <w:r>
              <w:rPr>
                <w:rFonts w:hint="eastAsia"/>
                <w:color w:val="auto"/>
                <w:spacing w:val="-1"/>
                <w:szCs w:val="21"/>
                <w:lang w:eastAsia="zh-CN"/>
              </w:rPr>
              <w:t>1.716</w:t>
            </w:r>
          </w:p>
        </w:tc>
        <w:tc>
          <w:tcPr>
            <w:tcW w:w="926" w:type="dxa"/>
            <w:vAlign w:val="center"/>
          </w:tcPr>
          <w:p w14:paraId="5BFECB96">
            <w:pPr>
              <w:adjustRightInd w:val="0"/>
              <w:snapToGrid w:val="0"/>
              <w:jc w:val="center"/>
              <w:rPr>
                <w:snapToGrid w:val="0"/>
                <w:color w:val="auto"/>
                <w:kern w:val="21"/>
                <w:szCs w:val="21"/>
              </w:rPr>
            </w:pPr>
            <w:r>
              <w:rPr>
                <w:snapToGrid w:val="0"/>
                <w:color w:val="auto"/>
                <w:kern w:val="21"/>
                <w:szCs w:val="21"/>
              </w:rPr>
              <w:t>/</w:t>
            </w:r>
          </w:p>
        </w:tc>
      </w:tr>
      <w:tr w14:paraId="42355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21" w:type="dxa"/>
            <w:gridSpan w:val="2"/>
            <w:vAlign w:val="center"/>
          </w:tcPr>
          <w:p w14:paraId="06301D8E">
            <w:pPr>
              <w:adjustRightInd w:val="0"/>
              <w:snapToGrid w:val="0"/>
              <w:jc w:val="center"/>
              <w:rPr>
                <w:color w:val="auto"/>
                <w:kern w:val="0"/>
                <w:szCs w:val="21"/>
              </w:rPr>
            </w:pPr>
            <w:r>
              <w:rPr>
                <w:snapToGrid w:val="0"/>
                <w:color w:val="auto"/>
                <w:kern w:val="21"/>
                <w:szCs w:val="21"/>
              </w:rPr>
              <w:t>生活垃圾</w:t>
            </w:r>
            <w:r>
              <w:rPr>
                <w:color w:val="auto"/>
                <w:kern w:val="0"/>
                <w:szCs w:val="21"/>
              </w:rPr>
              <w:t>（t/a）</w:t>
            </w:r>
          </w:p>
        </w:tc>
        <w:tc>
          <w:tcPr>
            <w:tcW w:w="1275" w:type="dxa"/>
            <w:vAlign w:val="center"/>
          </w:tcPr>
          <w:p w14:paraId="7EEA9644">
            <w:pPr>
              <w:adjustRightInd w:val="0"/>
              <w:snapToGrid w:val="0"/>
              <w:jc w:val="center"/>
              <w:rPr>
                <w:snapToGrid w:val="0"/>
                <w:color w:val="auto"/>
                <w:kern w:val="21"/>
                <w:szCs w:val="21"/>
              </w:rPr>
            </w:pPr>
            <w:r>
              <w:rPr>
                <w:snapToGrid w:val="0"/>
                <w:color w:val="auto"/>
                <w:kern w:val="21"/>
                <w:szCs w:val="21"/>
              </w:rPr>
              <w:t>/</w:t>
            </w:r>
          </w:p>
        </w:tc>
        <w:tc>
          <w:tcPr>
            <w:tcW w:w="1166" w:type="dxa"/>
            <w:vAlign w:val="center"/>
          </w:tcPr>
          <w:p w14:paraId="0893AC10">
            <w:pPr>
              <w:adjustRightInd w:val="0"/>
              <w:snapToGrid w:val="0"/>
              <w:jc w:val="center"/>
              <w:rPr>
                <w:snapToGrid w:val="0"/>
                <w:color w:val="auto"/>
                <w:kern w:val="21"/>
                <w:szCs w:val="21"/>
              </w:rPr>
            </w:pPr>
            <w:r>
              <w:rPr>
                <w:snapToGrid w:val="0"/>
                <w:color w:val="auto"/>
                <w:kern w:val="21"/>
                <w:szCs w:val="21"/>
              </w:rPr>
              <w:t>/</w:t>
            </w:r>
          </w:p>
        </w:tc>
        <w:tc>
          <w:tcPr>
            <w:tcW w:w="1667" w:type="dxa"/>
            <w:vAlign w:val="center"/>
          </w:tcPr>
          <w:p w14:paraId="243C90F2">
            <w:pPr>
              <w:adjustRightInd w:val="0"/>
              <w:snapToGrid w:val="0"/>
              <w:jc w:val="center"/>
              <w:rPr>
                <w:snapToGrid w:val="0"/>
                <w:color w:val="auto"/>
                <w:kern w:val="21"/>
                <w:szCs w:val="21"/>
              </w:rPr>
            </w:pPr>
            <w:r>
              <w:rPr>
                <w:snapToGrid w:val="0"/>
                <w:color w:val="auto"/>
                <w:kern w:val="21"/>
                <w:szCs w:val="21"/>
              </w:rPr>
              <w:t>/</w:t>
            </w:r>
          </w:p>
        </w:tc>
        <w:tc>
          <w:tcPr>
            <w:tcW w:w="1617" w:type="dxa"/>
            <w:vAlign w:val="center"/>
          </w:tcPr>
          <w:p w14:paraId="4291510E">
            <w:pPr>
              <w:widowControl/>
              <w:jc w:val="center"/>
              <w:textAlignment w:val="center"/>
              <w:rPr>
                <w:snapToGrid w:val="0"/>
                <w:color w:val="auto"/>
                <w:kern w:val="21"/>
                <w:szCs w:val="21"/>
              </w:rPr>
            </w:pPr>
            <w:r>
              <w:rPr>
                <w:snapToGrid w:val="0"/>
                <w:color w:val="auto"/>
                <w:kern w:val="21"/>
                <w:szCs w:val="21"/>
              </w:rPr>
              <w:t>0.6</w:t>
            </w:r>
          </w:p>
        </w:tc>
        <w:tc>
          <w:tcPr>
            <w:tcW w:w="1475" w:type="dxa"/>
            <w:vAlign w:val="center"/>
          </w:tcPr>
          <w:p w14:paraId="5BDF6851">
            <w:pPr>
              <w:adjustRightInd w:val="0"/>
              <w:snapToGrid w:val="0"/>
              <w:jc w:val="center"/>
              <w:rPr>
                <w:snapToGrid w:val="0"/>
                <w:color w:val="auto"/>
                <w:kern w:val="21"/>
                <w:szCs w:val="21"/>
              </w:rPr>
            </w:pPr>
            <w:r>
              <w:rPr>
                <w:snapToGrid w:val="0"/>
                <w:color w:val="auto"/>
                <w:kern w:val="21"/>
                <w:szCs w:val="21"/>
              </w:rPr>
              <w:t>/</w:t>
            </w:r>
          </w:p>
        </w:tc>
        <w:tc>
          <w:tcPr>
            <w:tcW w:w="1841" w:type="dxa"/>
            <w:vAlign w:val="center"/>
          </w:tcPr>
          <w:p w14:paraId="24B1CA49">
            <w:pPr>
              <w:widowControl/>
              <w:jc w:val="center"/>
              <w:textAlignment w:val="center"/>
              <w:rPr>
                <w:snapToGrid w:val="0"/>
                <w:color w:val="auto"/>
                <w:kern w:val="21"/>
                <w:szCs w:val="21"/>
              </w:rPr>
            </w:pPr>
            <w:r>
              <w:rPr>
                <w:snapToGrid w:val="0"/>
                <w:color w:val="auto"/>
                <w:kern w:val="21"/>
                <w:szCs w:val="21"/>
              </w:rPr>
              <w:t>0.6</w:t>
            </w:r>
          </w:p>
        </w:tc>
        <w:tc>
          <w:tcPr>
            <w:tcW w:w="926" w:type="dxa"/>
            <w:vAlign w:val="center"/>
          </w:tcPr>
          <w:p w14:paraId="53AA2AB6">
            <w:pPr>
              <w:adjustRightInd w:val="0"/>
              <w:snapToGrid w:val="0"/>
              <w:jc w:val="center"/>
              <w:rPr>
                <w:snapToGrid w:val="0"/>
                <w:color w:val="auto"/>
                <w:kern w:val="21"/>
                <w:szCs w:val="21"/>
              </w:rPr>
            </w:pPr>
            <w:r>
              <w:rPr>
                <w:snapToGrid w:val="0"/>
                <w:color w:val="auto"/>
                <w:kern w:val="21"/>
                <w:szCs w:val="21"/>
              </w:rPr>
              <w:t>/</w:t>
            </w:r>
          </w:p>
        </w:tc>
      </w:tr>
    </w:tbl>
    <w:p w14:paraId="13C83384">
      <w:pPr>
        <w:rPr>
          <w:color w:val="auto"/>
        </w:rPr>
      </w:pPr>
      <w:r>
        <w:rPr>
          <w:snapToGrid w:val="0"/>
          <w:color w:val="auto"/>
          <w:kern w:val="21"/>
          <w:szCs w:val="21"/>
        </w:rPr>
        <w:t>注：</w:t>
      </w:r>
      <w:r>
        <w:rPr>
          <w:snapToGrid w:val="0"/>
          <w:color w:val="auto"/>
          <w:spacing w:val="-16"/>
          <w:kern w:val="21"/>
          <w:szCs w:val="21"/>
        </w:rPr>
        <w:fldChar w:fldCharType="begin"/>
      </w:r>
      <w:r>
        <w:rPr>
          <w:snapToGrid w:val="0"/>
          <w:color w:val="auto"/>
          <w:spacing w:val="-16"/>
          <w:kern w:val="21"/>
          <w:szCs w:val="21"/>
        </w:rPr>
        <w:instrText xml:space="preserve"> = 6 \* GB3 \* MERGEFORMAT </w:instrText>
      </w:r>
      <w:r>
        <w:rPr>
          <w:snapToGrid w:val="0"/>
          <w:color w:val="auto"/>
          <w:spacing w:val="-16"/>
          <w:kern w:val="21"/>
          <w:szCs w:val="21"/>
        </w:rPr>
        <w:fldChar w:fldCharType="separate"/>
      </w:r>
      <w:r>
        <w:rPr>
          <w:color w:val="auto"/>
          <w:szCs w:val="21"/>
        </w:rPr>
        <w:t>⑥</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1 \* GB3 \* MERGEFORMAT </w:instrText>
      </w:r>
      <w:r>
        <w:rPr>
          <w:snapToGrid w:val="0"/>
          <w:color w:val="auto"/>
          <w:spacing w:val="-6"/>
          <w:kern w:val="21"/>
          <w:szCs w:val="21"/>
        </w:rPr>
        <w:fldChar w:fldCharType="separate"/>
      </w:r>
      <w:r>
        <w:rPr>
          <w:color w:val="auto"/>
          <w:szCs w:val="21"/>
        </w:rPr>
        <w:t>①</w:t>
      </w:r>
      <w:r>
        <w:rPr>
          <w:snapToGrid w:val="0"/>
          <w:color w:val="auto"/>
          <w:spacing w:val="-6"/>
          <w:kern w:val="21"/>
          <w:szCs w:val="21"/>
        </w:rPr>
        <w:fldChar w:fldCharType="end"/>
      </w:r>
      <w:r>
        <w:rPr>
          <w:snapToGrid w:val="0"/>
          <w:color w:val="auto"/>
          <w:spacing w:val="-6"/>
          <w:kern w:val="21"/>
          <w:szCs w:val="21"/>
        </w:rPr>
        <w:t>+</w:t>
      </w:r>
      <w:r>
        <w:rPr>
          <w:snapToGrid w:val="0"/>
          <w:color w:val="auto"/>
          <w:spacing w:val="-6"/>
          <w:kern w:val="21"/>
          <w:szCs w:val="21"/>
        </w:rPr>
        <w:fldChar w:fldCharType="begin"/>
      </w:r>
      <w:r>
        <w:rPr>
          <w:snapToGrid w:val="0"/>
          <w:color w:val="auto"/>
          <w:spacing w:val="-6"/>
          <w:kern w:val="21"/>
          <w:szCs w:val="21"/>
        </w:rPr>
        <w:instrText xml:space="preserve"> = 3 \* GB3 \* MERGEFORMAT </w:instrText>
      </w:r>
      <w:r>
        <w:rPr>
          <w:snapToGrid w:val="0"/>
          <w:color w:val="auto"/>
          <w:spacing w:val="-6"/>
          <w:kern w:val="21"/>
          <w:szCs w:val="21"/>
        </w:rPr>
        <w:fldChar w:fldCharType="separate"/>
      </w:r>
      <w:r>
        <w:rPr>
          <w:color w:val="auto"/>
          <w:szCs w:val="21"/>
        </w:rPr>
        <w:t>③</w:t>
      </w:r>
      <w:r>
        <w:rPr>
          <w:snapToGrid w:val="0"/>
          <w:color w:val="auto"/>
          <w:spacing w:val="-6"/>
          <w:kern w:val="21"/>
          <w:szCs w:val="21"/>
        </w:rPr>
        <w:fldChar w:fldCharType="end"/>
      </w:r>
      <w:r>
        <w:rPr>
          <w:snapToGrid w:val="0"/>
          <w:color w:val="auto"/>
          <w:spacing w:val="-6"/>
          <w:kern w:val="21"/>
          <w:szCs w:val="21"/>
        </w:rPr>
        <w:t>+</w:t>
      </w:r>
      <w:r>
        <w:rPr>
          <w:snapToGrid w:val="0"/>
          <w:color w:val="auto"/>
          <w:spacing w:val="-6"/>
          <w:kern w:val="21"/>
          <w:szCs w:val="21"/>
        </w:rPr>
        <w:fldChar w:fldCharType="begin"/>
      </w:r>
      <w:r>
        <w:rPr>
          <w:snapToGrid w:val="0"/>
          <w:color w:val="auto"/>
          <w:spacing w:val="-6"/>
          <w:kern w:val="21"/>
          <w:szCs w:val="21"/>
        </w:rPr>
        <w:instrText xml:space="preserve"> = 4 \* GB3 \* MERGEFORMAT </w:instrText>
      </w:r>
      <w:r>
        <w:rPr>
          <w:snapToGrid w:val="0"/>
          <w:color w:val="auto"/>
          <w:spacing w:val="-6"/>
          <w:kern w:val="21"/>
          <w:szCs w:val="21"/>
        </w:rPr>
        <w:fldChar w:fldCharType="separate"/>
      </w:r>
      <w:r>
        <w:rPr>
          <w:color w:val="auto"/>
          <w:szCs w:val="21"/>
        </w:rPr>
        <w:t>④</w:t>
      </w:r>
      <w:r>
        <w:rPr>
          <w:snapToGrid w:val="0"/>
          <w:color w:val="auto"/>
          <w:spacing w:val="-6"/>
          <w:kern w:val="21"/>
          <w:szCs w:val="21"/>
        </w:rPr>
        <w:fldChar w:fldCharType="end"/>
      </w:r>
      <w:r>
        <w:rPr>
          <w:snapToGrid w:val="0"/>
          <w:color w:val="auto"/>
          <w:spacing w:val="-6"/>
          <w:kern w:val="21"/>
          <w:szCs w:val="21"/>
        </w:rPr>
        <w:t>-</w:t>
      </w:r>
      <w:r>
        <w:rPr>
          <w:snapToGrid w:val="0"/>
          <w:color w:val="auto"/>
          <w:spacing w:val="-16"/>
          <w:kern w:val="21"/>
          <w:szCs w:val="21"/>
        </w:rPr>
        <w:fldChar w:fldCharType="begin"/>
      </w:r>
      <w:r>
        <w:rPr>
          <w:snapToGrid w:val="0"/>
          <w:color w:val="auto"/>
          <w:spacing w:val="-16"/>
          <w:kern w:val="21"/>
          <w:szCs w:val="21"/>
        </w:rPr>
        <w:instrText xml:space="preserve"> = 5 \* GB3 \* MERGEFORMAT </w:instrText>
      </w:r>
      <w:r>
        <w:rPr>
          <w:snapToGrid w:val="0"/>
          <w:color w:val="auto"/>
          <w:spacing w:val="-16"/>
          <w:kern w:val="21"/>
          <w:szCs w:val="21"/>
        </w:rPr>
        <w:fldChar w:fldCharType="separate"/>
      </w:r>
      <w:r>
        <w:rPr>
          <w:color w:val="auto"/>
          <w:szCs w:val="21"/>
        </w:rPr>
        <w:t>⑤</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7 \* GB3 \* MERGEFORMAT </w:instrText>
      </w:r>
      <w:r>
        <w:rPr>
          <w:snapToGrid w:val="0"/>
          <w:color w:val="auto"/>
          <w:spacing w:val="-6"/>
          <w:kern w:val="21"/>
          <w:szCs w:val="21"/>
        </w:rPr>
        <w:fldChar w:fldCharType="separate"/>
      </w:r>
      <w:r>
        <w:rPr>
          <w:color w:val="auto"/>
          <w:szCs w:val="21"/>
        </w:rPr>
        <w:t>⑦</w:t>
      </w:r>
      <w:r>
        <w:rPr>
          <w:snapToGrid w:val="0"/>
          <w:color w:val="auto"/>
          <w:spacing w:val="-6"/>
          <w:kern w:val="21"/>
          <w:szCs w:val="21"/>
        </w:rPr>
        <w:fldChar w:fldCharType="end"/>
      </w:r>
      <w:r>
        <w:rPr>
          <w:snapToGrid w:val="0"/>
          <w:color w:val="auto"/>
          <w:spacing w:val="-6"/>
          <w:kern w:val="21"/>
          <w:szCs w:val="21"/>
        </w:rPr>
        <w:t>=</w:t>
      </w:r>
      <w:r>
        <w:rPr>
          <w:snapToGrid w:val="0"/>
          <w:color w:val="auto"/>
          <w:spacing w:val="-16"/>
          <w:kern w:val="21"/>
          <w:szCs w:val="21"/>
        </w:rPr>
        <w:fldChar w:fldCharType="begin"/>
      </w:r>
      <w:r>
        <w:rPr>
          <w:snapToGrid w:val="0"/>
          <w:color w:val="auto"/>
          <w:spacing w:val="-16"/>
          <w:kern w:val="21"/>
          <w:szCs w:val="21"/>
        </w:rPr>
        <w:instrText xml:space="preserve"> = 6 \* GB3 \* MERGEFORMAT </w:instrText>
      </w:r>
      <w:r>
        <w:rPr>
          <w:snapToGrid w:val="0"/>
          <w:color w:val="auto"/>
          <w:spacing w:val="-16"/>
          <w:kern w:val="21"/>
          <w:szCs w:val="21"/>
        </w:rPr>
        <w:fldChar w:fldCharType="separate"/>
      </w:r>
      <w:r>
        <w:rPr>
          <w:color w:val="auto"/>
          <w:szCs w:val="21"/>
        </w:rPr>
        <w:t>⑥</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1 \* GB3 \* MERGEFORMAT </w:instrText>
      </w:r>
      <w:r>
        <w:rPr>
          <w:snapToGrid w:val="0"/>
          <w:color w:val="auto"/>
          <w:spacing w:val="-6"/>
          <w:kern w:val="21"/>
          <w:szCs w:val="21"/>
        </w:rPr>
        <w:fldChar w:fldCharType="separate"/>
      </w:r>
      <w:r>
        <w:rPr>
          <w:color w:val="auto"/>
          <w:szCs w:val="21"/>
        </w:rPr>
        <w:t>①</w:t>
      </w:r>
      <w:r>
        <w:rPr>
          <w:snapToGrid w:val="0"/>
          <w:color w:val="auto"/>
          <w:spacing w:val="-6"/>
          <w:kern w:val="21"/>
          <w:szCs w:val="21"/>
        </w:rPr>
        <w:fldChar w:fldCharType="end"/>
      </w:r>
    </w:p>
    <w:p w14:paraId="026D14F1">
      <w:pPr>
        <w:rPr>
          <w:color w:val="auto"/>
        </w:rPr>
      </w:pPr>
    </w:p>
    <w:p w14:paraId="59795DBD"/>
    <w:sectPr>
      <w:headerReference r:id="rId6"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Yu Gothic"/>
    <w:panose1 w:val="00000000000000000000"/>
    <w:charset w:val="00"/>
    <w:family w:val="auto"/>
    <w:pitch w:val="default"/>
    <w:sig w:usb0="00000000" w:usb1="00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19B3">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D526A">
    <w:pPr>
      <w:snapToGrid w:val="0"/>
      <w:ind w:right="360" w:firstLine="360"/>
      <w:jc w:val="left"/>
      <w:rPr>
        <w:kern w:val="0"/>
        <w:sz w:val="18"/>
        <w:szCs w:val="20"/>
      </w:rPr>
    </w:pPr>
    <w:r>
      <w:rPr>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71973">
                          <w:pPr>
                            <w:snapToGrid w:val="0"/>
                            <w:jc w:val="left"/>
                            <w:rPr>
                              <w:kern w:val="0"/>
                              <w:sz w:val="18"/>
                              <w:szCs w:val="20"/>
                            </w:rPr>
                          </w:pPr>
                          <w:r>
                            <w:rPr>
                              <w:kern w:val="0"/>
                              <w:sz w:val="24"/>
                              <w:szCs w:val="28"/>
                            </w:rPr>
                            <w:fldChar w:fldCharType="begin"/>
                          </w:r>
                          <w:r>
                            <w:rPr>
                              <w:kern w:val="0"/>
                              <w:sz w:val="24"/>
                              <w:szCs w:val="28"/>
                            </w:rPr>
                            <w:instrText xml:space="preserve"> PAGE  \* MERGEFORMAT </w:instrText>
                          </w:r>
                          <w:r>
                            <w:rPr>
                              <w:kern w:val="0"/>
                              <w:sz w:val="24"/>
                              <w:szCs w:val="28"/>
                            </w:rPr>
                            <w:fldChar w:fldCharType="separate"/>
                          </w:r>
                          <w:r>
                            <w:rPr>
                              <w:kern w:val="0"/>
                              <w:sz w:val="24"/>
                              <w:szCs w:val="28"/>
                            </w:rPr>
                            <w:t>- 25 -</w:t>
                          </w:r>
                          <w:r>
                            <w:rPr>
                              <w:kern w:val="0"/>
                              <w:sz w:val="24"/>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HVMI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EtbsItJY5bnPj56fH849f553eC&#10;PhSoD1Bj3kPAzDS88wMmz35AZ+Y9qGjzFxkRjKO8p4u8ckhE5Eer5WpVYUhgbL4gPnt+HiKk99Jb&#10;ko2GRpxfkZUfP0IaU+eUXM35e21MmaFxfzkQM3tY7n3sMVtp2A0ToZ1vT8inx9E31OGmU2I+OFQ2&#10;b8lsxNnYTUauAeHtIWHh0k9GHaGmYjinwmjaqbwIf95L1vN/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SPh1TCAQAAjwMAAA4AAAAAAAAAAQAgAAAAHgEAAGRycy9lMm9Eb2MueG1sUEsF&#10;BgAAAAAGAAYAWQEAAFIFAAAAAA==&#10;">
              <v:fill on="f" focussize="0,0"/>
              <v:stroke on="f"/>
              <v:imagedata o:title=""/>
              <o:lock v:ext="edit" aspectratio="f"/>
              <v:textbox inset="0mm,0mm,0mm,0mm" style="mso-fit-shape-to-text:t;">
                <w:txbxContent>
                  <w:p w14:paraId="0EC71973">
                    <w:pPr>
                      <w:snapToGrid w:val="0"/>
                      <w:jc w:val="left"/>
                      <w:rPr>
                        <w:kern w:val="0"/>
                        <w:sz w:val="18"/>
                        <w:szCs w:val="20"/>
                      </w:rPr>
                    </w:pPr>
                    <w:r>
                      <w:rPr>
                        <w:kern w:val="0"/>
                        <w:sz w:val="24"/>
                        <w:szCs w:val="28"/>
                      </w:rPr>
                      <w:fldChar w:fldCharType="begin"/>
                    </w:r>
                    <w:r>
                      <w:rPr>
                        <w:kern w:val="0"/>
                        <w:sz w:val="24"/>
                        <w:szCs w:val="28"/>
                      </w:rPr>
                      <w:instrText xml:space="preserve"> PAGE  \* MERGEFORMAT </w:instrText>
                    </w:r>
                    <w:r>
                      <w:rPr>
                        <w:kern w:val="0"/>
                        <w:sz w:val="24"/>
                        <w:szCs w:val="28"/>
                      </w:rPr>
                      <w:fldChar w:fldCharType="separate"/>
                    </w:r>
                    <w:r>
                      <w:rPr>
                        <w:kern w:val="0"/>
                        <w:sz w:val="24"/>
                        <w:szCs w:val="28"/>
                      </w:rPr>
                      <w:t>- 25 -</w:t>
                    </w:r>
                    <w:r>
                      <w:rPr>
                        <w:kern w:val="0"/>
                        <w:sz w:val="24"/>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863A">
    <w:pPr>
      <w:pStyle w:val="1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26988E">
                          <w:pPr>
                            <w:pStyle w:val="1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- 57 -</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626988E">
                    <w:pPr>
                      <w:pStyle w:val="1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- 57 -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9C1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FB57A"/>
    <w:multiLevelType w:val="singleLevel"/>
    <w:tmpl w:val="85CFB57A"/>
    <w:lvl w:ilvl="0" w:tentative="0">
      <w:start w:val="1"/>
      <w:numFmt w:val="decimal"/>
      <w:suff w:val="nothing"/>
      <w:lvlText w:val="（%1）"/>
      <w:lvlJc w:val="left"/>
    </w:lvl>
  </w:abstractNum>
  <w:abstractNum w:abstractNumId="1">
    <w:nsid w:val="8683598F"/>
    <w:multiLevelType w:val="singleLevel"/>
    <w:tmpl w:val="8683598F"/>
    <w:lvl w:ilvl="0" w:tentative="0">
      <w:start w:val="1"/>
      <w:numFmt w:val="decimal"/>
      <w:suff w:val="nothing"/>
      <w:lvlText w:val="%1、"/>
      <w:lvlJc w:val="left"/>
    </w:lvl>
  </w:abstractNum>
  <w:abstractNum w:abstractNumId="2">
    <w:nsid w:val="ABA54737"/>
    <w:multiLevelType w:val="singleLevel"/>
    <w:tmpl w:val="ABA54737"/>
    <w:lvl w:ilvl="0" w:tentative="0">
      <w:start w:val="1"/>
      <w:numFmt w:val="decimal"/>
      <w:suff w:val="nothing"/>
      <w:lvlText w:val="%1、"/>
      <w:lvlJc w:val="left"/>
    </w:lvl>
  </w:abstractNum>
  <w:abstractNum w:abstractNumId="3">
    <w:nsid w:val="ACA58DF6"/>
    <w:multiLevelType w:val="singleLevel"/>
    <w:tmpl w:val="ACA58DF6"/>
    <w:lvl w:ilvl="0" w:tentative="0">
      <w:start w:val="1"/>
      <w:numFmt w:val="decimal"/>
      <w:suff w:val="nothing"/>
      <w:lvlText w:val="%1、"/>
      <w:lvlJc w:val="left"/>
    </w:lvl>
  </w:abstractNum>
  <w:abstractNum w:abstractNumId="4">
    <w:nsid w:val="DEF46CF3"/>
    <w:multiLevelType w:val="singleLevel"/>
    <w:tmpl w:val="DEF46CF3"/>
    <w:lvl w:ilvl="0" w:tentative="0">
      <w:start w:val="1"/>
      <w:numFmt w:val="decimal"/>
      <w:suff w:val="nothing"/>
      <w:lvlText w:val="%1、"/>
      <w:lvlJc w:val="left"/>
    </w:lvl>
  </w:abstractNum>
  <w:abstractNum w:abstractNumId="5">
    <w:nsid w:val="0825D59F"/>
    <w:multiLevelType w:val="singleLevel"/>
    <w:tmpl w:val="0825D59F"/>
    <w:lvl w:ilvl="0" w:tentative="0">
      <w:start w:val="2"/>
      <w:numFmt w:val="decimal"/>
      <w:suff w:val="nothing"/>
      <w:lvlText w:val="（%1）"/>
      <w:lvlJc w:val="left"/>
    </w:lvl>
  </w:abstractNum>
  <w:abstractNum w:abstractNumId="6">
    <w:nsid w:val="1F908033"/>
    <w:multiLevelType w:val="singleLevel"/>
    <w:tmpl w:val="1F908033"/>
    <w:lvl w:ilvl="0" w:tentative="0">
      <w:start w:val="4"/>
      <w:numFmt w:val="chineseCounting"/>
      <w:suff w:val="nothing"/>
      <w:lvlText w:val="（%1）"/>
      <w:lvlJc w:val="left"/>
      <w:rPr>
        <w:rFonts w:hint="eastAsia"/>
      </w:rPr>
    </w:lvl>
  </w:abstractNum>
  <w:abstractNum w:abstractNumId="7">
    <w:nsid w:val="2F1F03B4"/>
    <w:multiLevelType w:val="singleLevel"/>
    <w:tmpl w:val="2F1F03B4"/>
    <w:lvl w:ilvl="0" w:tentative="0">
      <w:start w:val="7"/>
      <w:numFmt w:val="decimal"/>
      <w:lvlText w:val="%1."/>
      <w:lvlJc w:val="left"/>
      <w:pPr>
        <w:tabs>
          <w:tab w:val="left" w:pos="312"/>
        </w:tabs>
      </w:pPr>
    </w:lvl>
  </w:abstractNum>
  <w:num w:numId="1">
    <w:abstractNumId w:val="3"/>
  </w:num>
  <w:num w:numId="2">
    <w:abstractNumId w:val="7"/>
  </w:num>
  <w:num w:numId="3">
    <w:abstractNumId w:val="2"/>
  </w:num>
  <w:num w:numId="4">
    <w:abstractNumId w:val="4"/>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jMTkwMjBlNDgxNDg1N2M4OTI3NTE4ZDNjZmU2MDUifQ=="/>
  </w:docVars>
  <w:rsids>
    <w:rsidRoot w:val="459D7124"/>
    <w:rsid w:val="000100BD"/>
    <w:rsid w:val="000D5A26"/>
    <w:rsid w:val="001941A0"/>
    <w:rsid w:val="00216E39"/>
    <w:rsid w:val="0024476D"/>
    <w:rsid w:val="00267C07"/>
    <w:rsid w:val="003D664A"/>
    <w:rsid w:val="0048028D"/>
    <w:rsid w:val="00487D7A"/>
    <w:rsid w:val="00807A24"/>
    <w:rsid w:val="00814A78"/>
    <w:rsid w:val="00851152"/>
    <w:rsid w:val="008533D5"/>
    <w:rsid w:val="008F3F6B"/>
    <w:rsid w:val="009F5CDC"/>
    <w:rsid w:val="009F7F8A"/>
    <w:rsid w:val="00AD42B2"/>
    <w:rsid w:val="00BC7215"/>
    <w:rsid w:val="00C37EEC"/>
    <w:rsid w:val="00C87D1B"/>
    <w:rsid w:val="00DB13F7"/>
    <w:rsid w:val="00DD65A4"/>
    <w:rsid w:val="00E72D0D"/>
    <w:rsid w:val="00EA7E66"/>
    <w:rsid w:val="00EF7E11"/>
    <w:rsid w:val="00F148F2"/>
    <w:rsid w:val="00F213D1"/>
    <w:rsid w:val="01245FE0"/>
    <w:rsid w:val="01823744"/>
    <w:rsid w:val="020229F7"/>
    <w:rsid w:val="02CC0BDC"/>
    <w:rsid w:val="02F94AB6"/>
    <w:rsid w:val="03221C76"/>
    <w:rsid w:val="033C22CF"/>
    <w:rsid w:val="041D47D5"/>
    <w:rsid w:val="043266F7"/>
    <w:rsid w:val="04656365"/>
    <w:rsid w:val="06CA028C"/>
    <w:rsid w:val="08801C5B"/>
    <w:rsid w:val="088F6AD2"/>
    <w:rsid w:val="0A3B02D0"/>
    <w:rsid w:val="0AD516EE"/>
    <w:rsid w:val="0AE95CFC"/>
    <w:rsid w:val="0C930761"/>
    <w:rsid w:val="0EBA6C59"/>
    <w:rsid w:val="0EED7014"/>
    <w:rsid w:val="0EF7152D"/>
    <w:rsid w:val="0FE33D08"/>
    <w:rsid w:val="104B66D4"/>
    <w:rsid w:val="10702395"/>
    <w:rsid w:val="1077037C"/>
    <w:rsid w:val="11806E0D"/>
    <w:rsid w:val="11A83A45"/>
    <w:rsid w:val="11EE731D"/>
    <w:rsid w:val="11F726AC"/>
    <w:rsid w:val="12E32572"/>
    <w:rsid w:val="151A20A0"/>
    <w:rsid w:val="156149C2"/>
    <w:rsid w:val="169D6697"/>
    <w:rsid w:val="17942BA8"/>
    <w:rsid w:val="18F4418E"/>
    <w:rsid w:val="198E2F14"/>
    <w:rsid w:val="1A4B1D45"/>
    <w:rsid w:val="1A661F1A"/>
    <w:rsid w:val="1B143032"/>
    <w:rsid w:val="1B2D759B"/>
    <w:rsid w:val="1BA6350C"/>
    <w:rsid w:val="1C7D7F73"/>
    <w:rsid w:val="1CD00F4F"/>
    <w:rsid w:val="1E200B1D"/>
    <w:rsid w:val="1EC2372A"/>
    <w:rsid w:val="1ED72A10"/>
    <w:rsid w:val="1EDB7569"/>
    <w:rsid w:val="1EE269E2"/>
    <w:rsid w:val="1F103499"/>
    <w:rsid w:val="1F173B7E"/>
    <w:rsid w:val="1FD42A07"/>
    <w:rsid w:val="202B4C8F"/>
    <w:rsid w:val="202E218F"/>
    <w:rsid w:val="20785A58"/>
    <w:rsid w:val="21111EDC"/>
    <w:rsid w:val="212F501D"/>
    <w:rsid w:val="21F7620D"/>
    <w:rsid w:val="22305C7F"/>
    <w:rsid w:val="22342FBD"/>
    <w:rsid w:val="228D15E2"/>
    <w:rsid w:val="229C052C"/>
    <w:rsid w:val="22F87E51"/>
    <w:rsid w:val="232C638A"/>
    <w:rsid w:val="235E4E24"/>
    <w:rsid w:val="24D30C6B"/>
    <w:rsid w:val="26871955"/>
    <w:rsid w:val="270C0A48"/>
    <w:rsid w:val="27497244"/>
    <w:rsid w:val="275C55F7"/>
    <w:rsid w:val="27ED7E11"/>
    <w:rsid w:val="289D1D2D"/>
    <w:rsid w:val="28FB2A0A"/>
    <w:rsid w:val="298E0665"/>
    <w:rsid w:val="29FF4A61"/>
    <w:rsid w:val="2A4E308A"/>
    <w:rsid w:val="2A7F0C3A"/>
    <w:rsid w:val="2AD90BA6"/>
    <w:rsid w:val="2C234784"/>
    <w:rsid w:val="2C611977"/>
    <w:rsid w:val="2CFD4900"/>
    <w:rsid w:val="2D55028C"/>
    <w:rsid w:val="2D846881"/>
    <w:rsid w:val="2E4E563C"/>
    <w:rsid w:val="2E526EF3"/>
    <w:rsid w:val="2E577592"/>
    <w:rsid w:val="2F0078E8"/>
    <w:rsid w:val="2F0D7333"/>
    <w:rsid w:val="2FB54450"/>
    <w:rsid w:val="2FF73994"/>
    <w:rsid w:val="303763DB"/>
    <w:rsid w:val="30524B42"/>
    <w:rsid w:val="30A65249"/>
    <w:rsid w:val="31D11D75"/>
    <w:rsid w:val="32E70C34"/>
    <w:rsid w:val="332208C7"/>
    <w:rsid w:val="33B74885"/>
    <w:rsid w:val="34A023AB"/>
    <w:rsid w:val="34AA2520"/>
    <w:rsid w:val="35085D15"/>
    <w:rsid w:val="35174172"/>
    <w:rsid w:val="352A5A97"/>
    <w:rsid w:val="353A3F83"/>
    <w:rsid w:val="35B777DD"/>
    <w:rsid w:val="35C93C32"/>
    <w:rsid w:val="369C20DF"/>
    <w:rsid w:val="373133CE"/>
    <w:rsid w:val="374D3A45"/>
    <w:rsid w:val="376932B2"/>
    <w:rsid w:val="387A6162"/>
    <w:rsid w:val="391F703D"/>
    <w:rsid w:val="396B1BBD"/>
    <w:rsid w:val="396C1569"/>
    <w:rsid w:val="398750F2"/>
    <w:rsid w:val="399208C8"/>
    <w:rsid w:val="39A90146"/>
    <w:rsid w:val="39CD2B69"/>
    <w:rsid w:val="3A141A9A"/>
    <w:rsid w:val="3A89390E"/>
    <w:rsid w:val="3A9A0C47"/>
    <w:rsid w:val="3B15767C"/>
    <w:rsid w:val="3B606CB9"/>
    <w:rsid w:val="3BD1667E"/>
    <w:rsid w:val="3C38119C"/>
    <w:rsid w:val="3C7334B5"/>
    <w:rsid w:val="3CB24960"/>
    <w:rsid w:val="3DE74F30"/>
    <w:rsid w:val="3F0253DB"/>
    <w:rsid w:val="3F08664C"/>
    <w:rsid w:val="3F514C69"/>
    <w:rsid w:val="3FA640EA"/>
    <w:rsid w:val="3FE37F2D"/>
    <w:rsid w:val="40363195"/>
    <w:rsid w:val="40AA087F"/>
    <w:rsid w:val="414F5284"/>
    <w:rsid w:val="41FD0ECA"/>
    <w:rsid w:val="438328CB"/>
    <w:rsid w:val="44DC49FF"/>
    <w:rsid w:val="459B16BA"/>
    <w:rsid w:val="459D7124"/>
    <w:rsid w:val="45BA540E"/>
    <w:rsid w:val="46120813"/>
    <w:rsid w:val="46353E51"/>
    <w:rsid w:val="46702313"/>
    <w:rsid w:val="46E20922"/>
    <w:rsid w:val="47C926DF"/>
    <w:rsid w:val="48083C46"/>
    <w:rsid w:val="485F1B88"/>
    <w:rsid w:val="48893F43"/>
    <w:rsid w:val="49216C81"/>
    <w:rsid w:val="49D42B55"/>
    <w:rsid w:val="49E71F35"/>
    <w:rsid w:val="4A5705E5"/>
    <w:rsid w:val="4A642BEC"/>
    <w:rsid w:val="4A8F0C82"/>
    <w:rsid w:val="4AB82E60"/>
    <w:rsid w:val="4BED0167"/>
    <w:rsid w:val="4C9041BA"/>
    <w:rsid w:val="4CFE285F"/>
    <w:rsid w:val="4D7E2AD4"/>
    <w:rsid w:val="4E077263"/>
    <w:rsid w:val="4E682371"/>
    <w:rsid w:val="4EA3049E"/>
    <w:rsid w:val="4FC45A3C"/>
    <w:rsid w:val="50033E4B"/>
    <w:rsid w:val="50160A05"/>
    <w:rsid w:val="504E668D"/>
    <w:rsid w:val="50C7350F"/>
    <w:rsid w:val="51047306"/>
    <w:rsid w:val="518A083B"/>
    <w:rsid w:val="51C76F66"/>
    <w:rsid w:val="51D53C6F"/>
    <w:rsid w:val="51F05D8D"/>
    <w:rsid w:val="5282675F"/>
    <w:rsid w:val="53E959C3"/>
    <w:rsid w:val="54207762"/>
    <w:rsid w:val="54617C92"/>
    <w:rsid w:val="54C33A87"/>
    <w:rsid w:val="54E61022"/>
    <w:rsid w:val="55C43251"/>
    <w:rsid w:val="55FA4674"/>
    <w:rsid w:val="56957271"/>
    <w:rsid w:val="56B7504A"/>
    <w:rsid w:val="573B7EB6"/>
    <w:rsid w:val="57535884"/>
    <w:rsid w:val="58847722"/>
    <w:rsid w:val="59622AC8"/>
    <w:rsid w:val="59E14631"/>
    <w:rsid w:val="5A072562"/>
    <w:rsid w:val="5A0C3FFB"/>
    <w:rsid w:val="5AB814D9"/>
    <w:rsid w:val="5ACD3DB7"/>
    <w:rsid w:val="5B0F7D33"/>
    <w:rsid w:val="5B7D3ED0"/>
    <w:rsid w:val="5DE21703"/>
    <w:rsid w:val="5E0F285C"/>
    <w:rsid w:val="5E573A6A"/>
    <w:rsid w:val="5E957DDE"/>
    <w:rsid w:val="5EFC5BB3"/>
    <w:rsid w:val="5FB36E1F"/>
    <w:rsid w:val="60047D8D"/>
    <w:rsid w:val="601E6EE1"/>
    <w:rsid w:val="607B4A8E"/>
    <w:rsid w:val="60AC2446"/>
    <w:rsid w:val="61CB6468"/>
    <w:rsid w:val="623E6393"/>
    <w:rsid w:val="62495B5A"/>
    <w:rsid w:val="63A66B70"/>
    <w:rsid w:val="644A4D95"/>
    <w:rsid w:val="64697CC6"/>
    <w:rsid w:val="64726E03"/>
    <w:rsid w:val="647844A1"/>
    <w:rsid w:val="64A32CEC"/>
    <w:rsid w:val="65033C2E"/>
    <w:rsid w:val="65BB1C97"/>
    <w:rsid w:val="65ED57BC"/>
    <w:rsid w:val="66234D4E"/>
    <w:rsid w:val="669D5FD2"/>
    <w:rsid w:val="66A123C6"/>
    <w:rsid w:val="66C44CB7"/>
    <w:rsid w:val="66D80C8D"/>
    <w:rsid w:val="67800AFA"/>
    <w:rsid w:val="68CD0392"/>
    <w:rsid w:val="69132EFA"/>
    <w:rsid w:val="6968417C"/>
    <w:rsid w:val="696B29E7"/>
    <w:rsid w:val="69DA701E"/>
    <w:rsid w:val="6A00654F"/>
    <w:rsid w:val="6AE97B6D"/>
    <w:rsid w:val="6AEC62DC"/>
    <w:rsid w:val="6B8275CC"/>
    <w:rsid w:val="6BBC300C"/>
    <w:rsid w:val="6CDB63BF"/>
    <w:rsid w:val="6CEB574B"/>
    <w:rsid w:val="6DB92382"/>
    <w:rsid w:val="6E0E7BD2"/>
    <w:rsid w:val="6E103CE5"/>
    <w:rsid w:val="6E5739AF"/>
    <w:rsid w:val="6EC90A21"/>
    <w:rsid w:val="6EE90259"/>
    <w:rsid w:val="6EF76311"/>
    <w:rsid w:val="6F5C1E1E"/>
    <w:rsid w:val="6FC85164"/>
    <w:rsid w:val="6FD3454E"/>
    <w:rsid w:val="703A5210"/>
    <w:rsid w:val="704C01C5"/>
    <w:rsid w:val="705B03CD"/>
    <w:rsid w:val="708A18AA"/>
    <w:rsid w:val="70A01337"/>
    <w:rsid w:val="71E82A49"/>
    <w:rsid w:val="72873EDD"/>
    <w:rsid w:val="728A28D7"/>
    <w:rsid w:val="734971BC"/>
    <w:rsid w:val="7375390B"/>
    <w:rsid w:val="73AB78F6"/>
    <w:rsid w:val="73DE2937"/>
    <w:rsid w:val="73F3530A"/>
    <w:rsid w:val="73F82E7E"/>
    <w:rsid w:val="74024038"/>
    <w:rsid w:val="7462619E"/>
    <w:rsid w:val="74A44256"/>
    <w:rsid w:val="752A1D4C"/>
    <w:rsid w:val="75A539FC"/>
    <w:rsid w:val="75BE55E8"/>
    <w:rsid w:val="776D0E74"/>
    <w:rsid w:val="777119B4"/>
    <w:rsid w:val="782D1567"/>
    <w:rsid w:val="7830502B"/>
    <w:rsid w:val="78777193"/>
    <w:rsid w:val="787F7587"/>
    <w:rsid w:val="7A5C43E5"/>
    <w:rsid w:val="7A873B55"/>
    <w:rsid w:val="7AFE38B3"/>
    <w:rsid w:val="7B046283"/>
    <w:rsid w:val="7B0A3A31"/>
    <w:rsid w:val="7B0E0625"/>
    <w:rsid w:val="7B512E8E"/>
    <w:rsid w:val="7BBF4883"/>
    <w:rsid w:val="7C2E7D91"/>
    <w:rsid w:val="7C846239"/>
    <w:rsid w:val="7D415D02"/>
    <w:rsid w:val="7D951894"/>
    <w:rsid w:val="7DA8705E"/>
    <w:rsid w:val="7DC30455"/>
    <w:rsid w:val="7E0530C1"/>
    <w:rsid w:val="7E517B85"/>
    <w:rsid w:val="7EF276D3"/>
    <w:rsid w:val="7FED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iPriority="1"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36"/>
      <w:sz w:val="48"/>
      <w:szCs w:val="48"/>
    </w:rPr>
  </w:style>
  <w:style w:type="paragraph" w:styleId="3">
    <w:name w:val="heading 2"/>
    <w:basedOn w:val="1"/>
    <w:next w:val="1"/>
    <w:qFormat/>
    <w:uiPriority w:val="0"/>
    <w:pPr>
      <w:keepNext/>
      <w:snapToGrid w:val="0"/>
      <w:outlineLvl w:val="1"/>
    </w:pPr>
    <w:rPr>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0"/>
    <w:pPr>
      <w:jc w:val="left"/>
    </w:pPr>
    <w:rPr>
      <w:kern w:val="0"/>
      <w:sz w:val="24"/>
      <w:szCs w:val="20"/>
    </w:rPr>
  </w:style>
  <w:style w:type="paragraph" w:styleId="6">
    <w:name w:val="Body Text 3"/>
    <w:basedOn w:val="1"/>
    <w:unhideWhenUsed/>
    <w:qFormat/>
    <w:uiPriority w:val="1"/>
    <w:pPr>
      <w:spacing w:after="120"/>
    </w:pPr>
    <w:rPr>
      <w:sz w:val="16"/>
      <w:szCs w:val="16"/>
    </w:rPr>
  </w:style>
  <w:style w:type="paragraph" w:styleId="7">
    <w:name w:val="Body Text"/>
    <w:basedOn w:val="1"/>
    <w:next w:val="1"/>
    <w:qFormat/>
    <w:uiPriority w:val="99"/>
    <w:pPr>
      <w:spacing w:after="120"/>
    </w:pPr>
  </w:style>
  <w:style w:type="paragraph" w:styleId="8">
    <w:name w:val="Body Text Indent"/>
    <w:basedOn w:val="1"/>
    <w:next w:val="9"/>
    <w:qFormat/>
    <w:uiPriority w:val="0"/>
    <w:pPr>
      <w:spacing w:after="120"/>
      <w:ind w:left="420" w:leftChars="200"/>
    </w:pPr>
    <w:rPr>
      <w:kern w:val="0"/>
      <w:sz w:val="24"/>
      <w:szCs w:val="20"/>
    </w:rPr>
  </w:style>
  <w:style w:type="paragraph" w:styleId="9">
    <w:name w:val="Body Text First Indent 2"/>
    <w:basedOn w:val="8"/>
    <w:next w:val="1"/>
    <w:qFormat/>
    <w:uiPriority w:val="99"/>
    <w:pPr>
      <w:ind w:firstLine="420" w:firstLineChars="200"/>
    </w:pPr>
  </w:style>
  <w:style w:type="paragraph" w:styleId="10">
    <w:name w:val="Block Text"/>
    <w:basedOn w:val="1"/>
    <w:next w:val="1"/>
    <w:qFormat/>
    <w:uiPriority w:val="0"/>
    <w:pPr>
      <w:spacing w:line="320" w:lineRule="exact"/>
      <w:ind w:left="113" w:right="113"/>
      <w:jc w:val="center"/>
    </w:pPr>
    <w:rPr>
      <w:b/>
      <w:sz w:val="13"/>
      <w:szCs w:val="15"/>
    </w:rPr>
  </w:style>
  <w:style w:type="paragraph" w:styleId="11">
    <w:name w:val="Plain Text"/>
    <w:basedOn w:val="1"/>
    <w:autoRedefine/>
    <w:qFormat/>
    <w:uiPriority w:val="0"/>
    <w:rPr>
      <w:rFonts w:ascii="宋体" w:hAnsi="Courier New"/>
    </w:rPr>
  </w:style>
  <w:style w:type="paragraph" w:styleId="12">
    <w:name w:val="Balloon Text"/>
    <w:basedOn w:val="1"/>
    <w:link w:val="47"/>
    <w:qFormat/>
    <w:uiPriority w:val="0"/>
    <w:rPr>
      <w:sz w:val="18"/>
      <w:szCs w:val="18"/>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annotation subject"/>
    <w:basedOn w:val="5"/>
    <w:next w:val="1"/>
    <w:semiHidden/>
    <w:qFormat/>
    <w:uiPriority w:val="0"/>
    <w:rPr>
      <w:b/>
    </w:rPr>
  </w:style>
  <w:style w:type="paragraph" w:styleId="17">
    <w:name w:val="Body Text First Indent"/>
    <w:basedOn w:val="7"/>
    <w:qFormat/>
    <w:uiPriority w:val="99"/>
    <w:pPr>
      <w:spacing w:line="440" w:lineRule="exact"/>
      <w:ind w:firstLine="504"/>
    </w:pPr>
    <w:rPr>
      <w:spacing w:val="6"/>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rPr>
  </w:style>
  <w:style w:type="paragraph" w:customStyle="1" w:styleId="25">
    <w:name w:val="Table Paragraph"/>
    <w:basedOn w:val="1"/>
    <w:qFormat/>
    <w:uiPriority w:val="1"/>
    <w:rPr>
      <w:rFonts w:ascii="宋体" w:hAnsi="宋体" w:cs="宋体"/>
      <w:lang w:val="zh-CN" w:bidi="zh-CN"/>
    </w:rPr>
  </w:style>
  <w:style w:type="paragraph" w:customStyle="1" w:styleId="26">
    <w:name w:val="Default1"/>
    <w:autoRedefine/>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character" w:customStyle="1" w:styleId="27">
    <w:name w:val="fontstyle01"/>
    <w:basedOn w:val="20"/>
    <w:qFormat/>
    <w:uiPriority w:val="0"/>
    <w:rPr>
      <w:rFonts w:hint="eastAsia" w:ascii="宋体" w:hAnsi="宋体" w:eastAsia="宋体"/>
      <w:color w:val="000000"/>
      <w:sz w:val="22"/>
      <w:szCs w:val="22"/>
    </w:rPr>
  </w:style>
  <w:style w:type="character" w:customStyle="1" w:styleId="28">
    <w:name w:val="fontstyle21"/>
    <w:basedOn w:val="20"/>
    <w:qFormat/>
    <w:uiPriority w:val="0"/>
    <w:rPr>
      <w:rFonts w:hint="default" w:ascii="TimesNewRomanPSMT" w:hAnsi="TimesNewRomanPSMT"/>
      <w:color w:val="000000"/>
      <w:sz w:val="22"/>
      <w:szCs w:val="22"/>
    </w:rPr>
  </w:style>
  <w:style w:type="character" w:customStyle="1" w:styleId="29">
    <w:name w:val="fontstyle11"/>
    <w:basedOn w:val="20"/>
    <w:qFormat/>
    <w:uiPriority w:val="0"/>
    <w:rPr>
      <w:rFonts w:hint="default" w:ascii="TimesNewRomanPSMT" w:hAnsi="TimesNewRomanPSMT"/>
      <w:color w:val="000000"/>
      <w:sz w:val="22"/>
      <w:szCs w:val="22"/>
    </w:rPr>
  </w:style>
  <w:style w:type="paragraph" w:customStyle="1" w:styleId="30">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1">
    <w:name w:val="表格2"/>
    <w:basedOn w:val="1"/>
    <w:qFormat/>
    <w:uiPriority w:val="0"/>
    <w:pPr>
      <w:adjustRightInd w:val="0"/>
      <w:spacing w:line="320" w:lineRule="exact"/>
      <w:jc w:val="center"/>
      <w:textAlignment w:val="baseline"/>
    </w:pPr>
    <w:rPr>
      <w:sz w:val="24"/>
      <w:szCs w:val="20"/>
    </w:rPr>
  </w:style>
  <w:style w:type="paragraph" w:customStyle="1" w:styleId="32">
    <w:name w:val="样式1"/>
    <w:basedOn w:val="1"/>
    <w:next w:val="16"/>
    <w:autoRedefine/>
    <w:qFormat/>
    <w:uiPriority w:val="0"/>
    <w:pPr>
      <w:ind w:firstLine="462"/>
    </w:pPr>
    <w:rPr>
      <w:rFonts w:ascii="宋体"/>
      <w:color w:val="000000"/>
      <w:sz w:val="24"/>
    </w:rPr>
  </w:style>
  <w:style w:type="character" w:customStyle="1" w:styleId="33">
    <w:name w:val="font21"/>
    <w:basedOn w:val="20"/>
    <w:qFormat/>
    <w:uiPriority w:val="0"/>
    <w:rPr>
      <w:rFonts w:hint="eastAsia" w:ascii="宋体" w:hAnsi="宋体" w:eastAsia="宋体" w:cs="宋体"/>
      <w:color w:val="000000"/>
      <w:sz w:val="21"/>
      <w:szCs w:val="21"/>
      <w:u w:val="none"/>
    </w:rPr>
  </w:style>
  <w:style w:type="character" w:customStyle="1" w:styleId="34">
    <w:name w:val="font01"/>
    <w:basedOn w:val="20"/>
    <w:qFormat/>
    <w:uiPriority w:val="0"/>
    <w:rPr>
      <w:rFonts w:hint="default" w:ascii="Times New Roman" w:hAnsi="Times New Roman" w:cs="Times New Roman"/>
      <w:color w:val="000000"/>
      <w:sz w:val="21"/>
      <w:szCs w:val="21"/>
      <w:u w:val="none"/>
    </w:rPr>
  </w:style>
  <w:style w:type="paragraph" w:customStyle="1" w:styleId="35">
    <w:name w:val="图表标题"/>
    <w:basedOn w:val="1"/>
    <w:qFormat/>
    <w:uiPriority w:val="0"/>
    <w:pPr>
      <w:jc w:val="center"/>
    </w:pPr>
    <w:rPr>
      <w:b/>
      <w:szCs w:val="22"/>
    </w:rPr>
  </w:style>
  <w:style w:type="paragraph" w:customStyle="1" w:styleId="36">
    <w:name w:val="图表文字"/>
    <w:qFormat/>
    <w:uiPriority w:val="0"/>
    <w:pPr>
      <w:widowControl w:val="0"/>
      <w:jc w:val="center"/>
    </w:pPr>
    <w:rPr>
      <w:rFonts w:ascii="Times New Roman" w:hAnsi="Times New Roman" w:eastAsia="宋体" w:cs="Times New Roman"/>
      <w:snapToGrid w:val="0"/>
      <w:kern w:val="2"/>
      <w:sz w:val="21"/>
      <w:szCs w:val="24"/>
      <w:lang w:val="en-US" w:eastAsia="zh-CN" w:bidi="ar-SA"/>
    </w:rPr>
  </w:style>
  <w:style w:type="paragraph" w:customStyle="1" w:styleId="37">
    <w:name w:val="1【表头】"/>
    <w:basedOn w:val="1"/>
    <w:qFormat/>
    <w:uiPriority w:val="0"/>
    <w:pPr>
      <w:keepNext/>
      <w:tabs>
        <w:tab w:val="left" w:pos="720"/>
        <w:tab w:val="left" w:pos="1080"/>
        <w:tab w:val="left" w:pos="4167"/>
      </w:tabs>
      <w:wordWrap w:val="0"/>
      <w:spacing w:line="360" w:lineRule="auto"/>
      <w:jc w:val="center"/>
    </w:pPr>
    <w:rPr>
      <w:b/>
      <w:kern w:val="0"/>
      <w:sz w:val="24"/>
      <w:szCs w:val="20"/>
    </w:rPr>
  </w:style>
  <w:style w:type="paragraph" w:customStyle="1" w:styleId="38">
    <w:name w:val="1报告表格"/>
    <w:basedOn w:val="1"/>
    <w:qFormat/>
    <w:uiPriority w:val="0"/>
    <w:pPr>
      <w:autoSpaceDE w:val="0"/>
      <w:autoSpaceDN w:val="0"/>
      <w:adjustRightInd w:val="0"/>
      <w:snapToGrid w:val="0"/>
      <w:jc w:val="center"/>
      <w:textAlignment w:val="bottom"/>
    </w:pPr>
    <w:rPr>
      <w:kern w:val="0"/>
      <w:szCs w:val="20"/>
    </w:rPr>
  </w:style>
  <w:style w:type="paragraph" w:customStyle="1" w:styleId="39">
    <w:name w:val="正文11"/>
    <w:basedOn w:val="1"/>
    <w:qFormat/>
    <w:uiPriority w:val="0"/>
    <w:pPr>
      <w:adjustRightInd w:val="0"/>
    </w:pPr>
    <w:rPr>
      <w:rFonts w:eastAsia="楷体_GB2312"/>
    </w:rPr>
  </w:style>
  <w:style w:type="paragraph" w:customStyle="1" w:styleId="40">
    <w:name w:val="环评表格内容"/>
    <w:qFormat/>
    <w:uiPriority w:val="0"/>
    <w:pPr>
      <w:adjustRightInd w:val="0"/>
      <w:jc w:val="center"/>
    </w:pPr>
    <w:rPr>
      <w:rFonts w:ascii="Times New Roman" w:hAnsi="Times New Roman" w:eastAsia="宋体" w:cs="Times New Roman"/>
      <w:sz w:val="21"/>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新宋体" w:hAnsi="新宋体" w:eastAsia="新宋体" w:cs="新宋体"/>
      <w:sz w:val="20"/>
      <w:szCs w:val="20"/>
      <w:lang w:eastAsia="en-US"/>
    </w:rPr>
  </w:style>
  <w:style w:type="paragraph" w:customStyle="1" w:styleId="43">
    <w:name w:val="表格文字"/>
    <w:basedOn w:val="1"/>
    <w:qFormat/>
    <w:uiPriority w:val="0"/>
    <w:pPr>
      <w:jc w:val="center"/>
    </w:pPr>
    <w:rPr>
      <w:rFonts w:ascii="仿宋_GB2312" w:hAnsi="Arial Black" w:eastAsia="仿宋_GB2312"/>
      <w:kern w:val="44"/>
      <w:sz w:val="24"/>
      <w:szCs w:val="20"/>
    </w:rPr>
  </w:style>
  <w:style w:type="paragraph" w:customStyle="1" w:styleId="44">
    <w:name w:val="Default"/>
    <w:basedOn w:val="45"/>
    <w:next w:val="1"/>
    <w:qFormat/>
    <w:uiPriority w:val="0"/>
    <w:pPr>
      <w:autoSpaceDE w:val="0"/>
      <w:autoSpaceDN w:val="0"/>
    </w:pPr>
    <w:rPr>
      <w:rFonts w:ascii="仿宋_GB2312" w:eastAsia="仿宋_GB2312" w:cs="仿宋_GB2312"/>
      <w:color w:val="000000"/>
      <w:sz w:val="24"/>
      <w:szCs w:val="24"/>
    </w:rPr>
  </w:style>
  <w:style w:type="paragraph" w:customStyle="1" w:styleId="45">
    <w:name w:val="纯文本1"/>
    <w:qFormat/>
    <w:uiPriority w:val="0"/>
    <w:pPr>
      <w:widowControl w:val="0"/>
      <w:adjustRightInd w:val="0"/>
      <w:jc w:val="both"/>
    </w:pPr>
    <w:rPr>
      <w:rFonts w:ascii="宋体" w:hAnsi="Courier New" w:eastAsia="宋体" w:cs="Times New Roman"/>
      <w:kern w:val="2"/>
      <w:sz w:val="21"/>
      <w:lang w:val="en-US" w:eastAsia="zh-CN" w:bidi="ar-SA"/>
    </w:rPr>
  </w:style>
  <w:style w:type="paragraph" w:customStyle="1" w:styleId="46">
    <w:name w:val="0正文"/>
    <w:basedOn w:val="1"/>
    <w:qFormat/>
    <w:uiPriority w:val="0"/>
    <w:pPr>
      <w:spacing w:line="360" w:lineRule="auto"/>
      <w:ind w:firstLine="480" w:firstLineChars="200"/>
    </w:pPr>
    <w:rPr>
      <w:rFonts w:ascii="Calibri" w:hAnsi="Calibri"/>
      <w:sz w:val="24"/>
      <w:szCs w:val="22"/>
    </w:rPr>
  </w:style>
  <w:style w:type="character" w:customStyle="1" w:styleId="47">
    <w:name w:val="批注框文本 字符"/>
    <w:basedOn w:val="20"/>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Q4MTU5NjE3ODY2IiwKCSJHcm91cElkIiA6ICIyMjUzNTQ5MjciLAoJIkltYWdlIiA6ICJpVkJPUncwS0dnb0FBQUFOU1VoRVVnQUFCQm9BQUFLS0NBWUFBQUNUYWpnbUFBQUFBWE5TUjBJQXJzNGM2UUFBSUFCSlJFRlVlSnpzM1hsY1ZQWCt4L0gzR1laTlFReHdLeFZ6cVRCTkJpdlQwdkpXbG5iVHJOdDZ5MnkzMVp0YVdhazN6YVhsdXBkN3VmUzdwbVYyMWRMMDNrUnp2eXFnbGt1WVM2S29JR29xSU16TStmMkJNNWVSQVFFSEJ2WDFmRHg0TVBNOTMvTTluek42bURtZitTNF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Cdzkvcy9tN3hOSFRwcFVha0FBQUFBU1VWT1JLNUNZSUk9IiwKCSJUaGVtZSIgOiAiIiwKCSJUeXBlIiA6ICJmbG93IiwKCSJVc2VySWQiIDogIiIsCgkiVmVyc2lvbiIgOiAiIgp9Cg=="/>
    </extobj>
    <extobj name="ECB019B1-382A-4266-B25C-5B523AA43C14-2">
      <extobjdata type="ECB019B1-382A-4266-B25C-5B523AA43C14" data="ewoJIkZpbGVJZCIgOiAiMzQ4NTU4NTYwNjQ5IiwKCSJHcm91cElkIiA6ICIyMjUzNTQ5MjciLAoJIkltYWdlIiA6ICJpVkJPUncwS0dnb0FBQUFOU1VoRVVnQUFBMDBBQUFGOUNBWUFBQURZNW9Pb0FBQUFBWE5TUjBJQXJzNGM2UUFBSUFCSlJFRlVlSnpzM1hsNGpGZi9CdkQ3bVNWN2hBaUNrQ0MyQ0Vta3RxQm9LU25TbjYzUzBxcXRhZzFxcTZLVUtHcGZYb3BXclZXMVZCSkphNnVsNVVVbFlsL1NDQ0ppaTRRc2s5bWUzeCthZVRPU1RFYTJ5U1QzNTdwY1YrYzh5OXd6YVU3bU84OXp6Z0d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NnOC9SOGlmVkgxbFdxWXlRQUFBQUJKUlU1RXJrSmdnZz09IiwKCSJUaGVtZSIgOiAiIiwKCSJUeXBlIiA6ICJmbG93IiwKCSJVc2VySWQiIDogIi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18628</Words>
  <Characters>20624</Characters>
  <Lines>322</Lines>
  <Paragraphs>90</Paragraphs>
  <TotalTime>10</TotalTime>
  <ScaleCrop>false</ScaleCrop>
  <LinksUpToDate>false</LinksUpToDate>
  <CharactersWithSpaces>20733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2024-12-25T02:36:00Z</dcterms:created>
  <dc:creator>大大的脑袋</dc:creator>
  <cp:lastModifiedBy>t</cp:lastModifiedBy>
  <dcterms:modified xsi:type="dcterms:W3CDTF">2025-01-14T07:57:50Z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64B7FCBB8BBA41A1AA0DEDEF32D1978C_13</vt:lpwstr>
  </property>
  <property fmtid="{D5CDD505-2E9C-101B-9397-08002B2CF9AE}" pid="4" name="KSOTemplateDocerSaveRecord">
    <vt:lpwstr>eyJoZGlkIjoiYmQzZGVlZDhlMTk4OWE5ZDRlNWZmYzJhZTU1NWFlZWUiLCJ1c2VySWQiOiIyOTA1NzkyNTkifQ==</vt:lpwstr>
  </property>
</Properties>
</file>