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593951">
      <w:pPr>
        <w:ind w:firstLine="480"/>
        <w:rPr>
          <w:rFonts w:hint="default" w:ascii="Times New Roman" w:hAnsi="Times New Roman" w:eastAsia="仿宋_GB2312" w:cs="Times New Roman"/>
          <w:color w:val="000000" w:themeColor="text1"/>
          <w:sz w:val="36"/>
          <w:szCs w:val="36"/>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-43815</wp:posOffset>
            </wp:positionH>
            <wp:positionV relativeFrom="paragraph">
              <wp:posOffset>48260</wp:posOffset>
            </wp:positionV>
            <wp:extent cx="1200150" cy="1259840"/>
            <wp:effectExtent l="0" t="0" r="0" b="0"/>
            <wp:wrapTight wrapText="bothSides">
              <wp:wrapPolygon>
                <wp:start x="7886" y="1960"/>
                <wp:lineTo x="5829" y="2940"/>
                <wp:lineTo x="3086" y="6206"/>
                <wp:lineTo x="3086" y="8165"/>
                <wp:lineTo x="4114" y="12411"/>
                <wp:lineTo x="1371" y="16984"/>
                <wp:lineTo x="1371" y="18944"/>
                <wp:lineTo x="2057" y="19270"/>
                <wp:lineTo x="5486" y="19923"/>
                <wp:lineTo x="18857" y="19923"/>
                <wp:lineTo x="19200" y="15677"/>
                <wp:lineTo x="17143" y="12411"/>
                <wp:lineTo x="18514" y="6532"/>
                <wp:lineTo x="14743" y="2613"/>
                <wp:lineTo x="13029" y="1960"/>
                <wp:lineTo x="7886" y="1960"/>
              </wp:wrapPolygon>
            </wp:wrapTight>
            <wp:docPr id="1" name="图片 176" descr="宋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6" descr="宋体"/>
                    <pic:cNvPicPr>
                      <a:picLocks noChangeAspect="1"/>
                    </pic:cNvPicPr>
                  </pic:nvPicPr>
                  <pic:blipFill>
                    <a:blip r:embed="rId14" cstate="print"/>
                    <a:stretch>
                      <a:fillRect/>
                    </a:stretch>
                  </pic:blipFill>
                  <pic:spPr>
                    <a:xfrm>
                      <a:off x="0" y="0"/>
                      <a:ext cx="1200150" cy="1259840"/>
                    </a:xfrm>
                    <a:prstGeom prst="rect">
                      <a:avLst/>
                    </a:prstGeom>
                    <a:noFill/>
                    <a:ln>
                      <a:noFill/>
                    </a:ln>
                  </pic:spPr>
                </pic:pic>
              </a:graphicData>
            </a:graphic>
          </wp:anchor>
        </w:drawing>
      </w:r>
    </w:p>
    <w:p w14:paraId="0D472096">
      <w:pPr>
        <w:rPr>
          <w:rFonts w:hint="default" w:ascii="Times New Roman" w:hAnsi="Times New Roman" w:eastAsia="仿宋_GB2312" w:cs="Times New Roman"/>
          <w:color w:val="000000" w:themeColor="text1"/>
          <w:sz w:val="36"/>
          <w:szCs w:val="36"/>
          <w14:textFill>
            <w14:solidFill>
              <w14:schemeClr w14:val="tx1"/>
            </w14:solidFill>
          </w14:textFill>
        </w:rPr>
      </w:pPr>
    </w:p>
    <w:p w14:paraId="2C8F3199">
      <w:pPr>
        <w:rPr>
          <w:rFonts w:hint="default" w:ascii="Times New Roman" w:hAnsi="Times New Roman" w:eastAsia="仿宋_GB2312" w:cs="Times New Roman"/>
          <w:color w:val="000000" w:themeColor="text1"/>
          <w:sz w:val="36"/>
          <w:szCs w:val="36"/>
          <w14:textFill>
            <w14:solidFill>
              <w14:schemeClr w14:val="tx1"/>
            </w14:solidFill>
          </w14:textFill>
        </w:rPr>
      </w:pPr>
    </w:p>
    <w:p w14:paraId="6DDAF4E1">
      <w:pPr>
        <w:rPr>
          <w:rFonts w:hint="default" w:ascii="Times New Roman" w:hAnsi="Times New Roman" w:eastAsia="仿宋_GB2312" w:cs="Times New Roman"/>
          <w:color w:val="000000" w:themeColor="text1"/>
          <w:sz w:val="36"/>
          <w:szCs w:val="36"/>
          <w14:textFill>
            <w14:solidFill>
              <w14:schemeClr w14:val="tx1"/>
            </w14:solidFill>
          </w14:textFill>
        </w:rPr>
      </w:pPr>
    </w:p>
    <w:p w14:paraId="667A3C92">
      <w:pPr>
        <w:rPr>
          <w:rFonts w:hint="default" w:ascii="Times New Roman" w:hAnsi="Times New Roman" w:eastAsia="仿宋_GB2312" w:cs="Times New Roman"/>
          <w:color w:val="000000" w:themeColor="text1"/>
          <w:sz w:val="36"/>
          <w:szCs w:val="36"/>
          <w14:textFill>
            <w14:solidFill>
              <w14:schemeClr w14:val="tx1"/>
            </w14:solidFill>
          </w14:textFill>
        </w:rPr>
      </w:pPr>
    </w:p>
    <w:p w14:paraId="5D990D2C">
      <w:pPr>
        <w:adjustRightInd w:val="0"/>
        <w:snapToGrid w:val="0"/>
        <w:spacing w:line="240" w:lineRule="auto"/>
        <w:ind w:firstLine="0" w:firstLineChars="0"/>
        <w:jc w:val="center"/>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14:paraId="7BAC430A">
      <w:pPr>
        <w:adjustRightInd w:val="0"/>
        <w:snapToGrid w:val="0"/>
        <w:spacing w:before="192" w:beforeLines="80" w:line="240" w:lineRule="auto"/>
        <w:ind w:firstLine="0" w:firstLineChars="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13437D3D">
      <w:pPr>
        <w:adjustRightInd w:val="0"/>
        <w:snapToGrid w:val="0"/>
        <w:spacing w:line="288" w:lineRule="auto"/>
        <w:ind w:firstLine="880"/>
        <w:jc w:val="center"/>
        <w:outlineLvl w:val="0"/>
        <w:rPr>
          <w:rFonts w:hint="default" w:ascii="Times New Roman" w:hAnsi="Times New Roman" w:eastAsia="华文仿宋" w:cs="Times New Roman"/>
          <w:color w:val="000000" w:themeColor="text1"/>
          <w:kern w:val="44"/>
          <w:sz w:val="44"/>
          <w:szCs w:val="44"/>
          <w14:textFill>
            <w14:solidFill>
              <w14:schemeClr w14:val="tx1"/>
            </w14:solidFill>
          </w14:textFill>
        </w:rPr>
      </w:pPr>
    </w:p>
    <w:p w14:paraId="3E46C5CA">
      <w:pPr>
        <w:ind w:firstLine="1040"/>
        <w:jc w:val="center"/>
        <w:rPr>
          <w:rFonts w:hint="default" w:ascii="Times New Roman" w:hAnsi="Times New Roman" w:eastAsia="仿宋" w:cs="Times New Roman"/>
          <w:color w:val="000000" w:themeColor="text1"/>
          <w:sz w:val="52"/>
          <w:szCs w:val="52"/>
          <w14:textFill>
            <w14:solidFill>
              <w14:schemeClr w14:val="tx1"/>
            </w14:solidFill>
          </w14:textFill>
        </w:rPr>
      </w:pPr>
    </w:p>
    <w:p w14:paraId="35A082ED">
      <w:pPr>
        <w:ind w:firstLine="880"/>
        <w:rPr>
          <w:rFonts w:hint="default" w:ascii="Times New Roman" w:hAnsi="Times New Roman" w:eastAsia="仿宋" w:cs="Times New Roman"/>
          <w:color w:val="000000" w:themeColor="text1"/>
          <w:sz w:val="44"/>
          <w:szCs w:val="44"/>
          <w14:textFill>
            <w14:solidFill>
              <w14:schemeClr w14:val="tx1"/>
            </w14:solidFill>
          </w14:textFill>
        </w:rPr>
      </w:pPr>
    </w:p>
    <w:p w14:paraId="0C2978F9">
      <w:pPr>
        <w:ind w:firstLine="880"/>
        <w:rPr>
          <w:rFonts w:hint="default" w:ascii="Times New Roman" w:hAnsi="Times New Roman" w:eastAsia="仿宋" w:cs="Times New Roman"/>
          <w:color w:val="000000" w:themeColor="text1"/>
          <w:sz w:val="44"/>
          <w:szCs w:val="44"/>
          <w14:textFill>
            <w14:solidFill>
              <w14:schemeClr w14:val="tx1"/>
            </w14:solidFill>
          </w14:textFill>
        </w:rPr>
      </w:pPr>
    </w:p>
    <w:p w14:paraId="7CF519F2">
      <w:pPr>
        <w:ind w:firstLine="880"/>
        <w:rPr>
          <w:rFonts w:hint="default" w:ascii="Times New Roman" w:hAnsi="Times New Roman" w:eastAsia="仿宋" w:cs="Times New Roman"/>
          <w:color w:val="000000" w:themeColor="text1"/>
          <w:sz w:val="44"/>
          <w:szCs w:val="44"/>
          <w14:textFill>
            <w14:solidFill>
              <w14:schemeClr w14:val="tx1"/>
            </w14:solidFill>
          </w14:textFill>
        </w:rPr>
      </w:pPr>
    </w:p>
    <w:p w14:paraId="0FABEADC">
      <w:pPr>
        <w:pStyle w:val="30"/>
        <w:rPr>
          <w:rFonts w:hint="default" w:ascii="Times New Roman" w:hAnsi="Times New Roman" w:eastAsia="仿宋" w:cs="Times New Roman"/>
          <w:color w:val="000000" w:themeColor="text1"/>
          <w:sz w:val="44"/>
          <w:szCs w:val="44"/>
          <w14:textFill>
            <w14:solidFill>
              <w14:schemeClr w14:val="tx1"/>
            </w14:solidFill>
          </w14:textFill>
        </w:rPr>
      </w:pPr>
    </w:p>
    <w:p w14:paraId="468DFD20">
      <w:pPr>
        <w:pStyle w:val="20"/>
        <w:rPr>
          <w:rFonts w:hint="default" w:ascii="Times New Roman" w:hAnsi="Times New Roman" w:eastAsia="仿宋" w:cs="Times New Roman"/>
          <w:color w:val="000000" w:themeColor="text1"/>
          <w:sz w:val="44"/>
          <w:szCs w:val="44"/>
          <w14:textFill>
            <w14:solidFill>
              <w14:schemeClr w14:val="tx1"/>
            </w14:solidFill>
          </w14:textFill>
        </w:rPr>
      </w:pPr>
    </w:p>
    <w:p w14:paraId="0E154659">
      <w:pPr>
        <w:rPr>
          <w:rFonts w:hint="default" w:ascii="Times New Roman" w:hAnsi="Times New Roman" w:eastAsia="仿宋" w:cs="Times New Roman"/>
          <w:color w:val="000000" w:themeColor="text1"/>
          <w:sz w:val="44"/>
          <w:szCs w:val="44"/>
          <w14:textFill>
            <w14:solidFill>
              <w14:schemeClr w14:val="tx1"/>
            </w14:solidFill>
          </w14:textFill>
        </w:rPr>
      </w:pPr>
    </w:p>
    <w:p w14:paraId="5C5F1721">
      <w:pPr>
        <w:rPr>
          <w:rFonts w:hint="default"/>
          <w:color w:val="000000" w:themeColor="text1"/>
          <w14:textFill>
            <w14:solidFill>
              <w14:schemeClr w14:val="tx1"/>
            </w14:solidFill>
          </w14:textFill>
        </w:rPr>
      </w:pPr>
    </w:p>
    <w:p w14:paraId="202B968D">
      <w:pPr>
        <w:keepNext w:val="0"/>
        <w:keepLines w:val="0"/>
        <w:pageBreakBefore w:val="0"/>
        <w:widowControl w:val="0"/>
        <w:kinsoku/>
        <w:wordWrap/>
        <w:overflowPunct/>
        <w:topLinePunct w:val="0"/>
        <w:autoSpaceDE/>
        <w:autoSpaceDN/>
        <w:bidi w:val="0"/>
        <w:adjustRightInd w:val="0"/>
        <w:snapToGrid w:val="0"/>
        <w:spacing w:line="288" w:lineRule="auto"/>
        <w:ind w:left="2340" w:leftChars="300" w:hanging="1620" w:hangingChars="450"/>
        <w:textAlignment w:val="auto"/>
        <w:rPr>
          <w:rFonts w:hint="default" w:ascii="Times New Roman" w:hAnsi="Times New Roman" w:eastAsia="仿宋_GB2312" w:cs="Times New Roman"/>
          <w:color w:val="000000" w:themeColor="text1"/>
          <w:sz w:val="36"/>
          <w:szCs w:val="36"/>
          <w:u w:val="single"/>
          <w:lang w:val="en-US"/>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eastAsia" w:eastAsia="仿宋_GB2312" w:cs="Times New Roman"/>
          <w:color w:val="000000" w:themeColor="text1"/>
          <w:sz w:val="36"/>
          <w:szCs w:val="36"/>
          <w:u w:val="single"/>
          <w:lang w:eastAsia="zh-CN"/>
          <w14:textFill>
            <w14:solidFill>
              <w14:schemeClr w14:val="tx1"/>
            </w14:solidFill>
          </w14:textFill>
        </w:rPr>
        <w:t>纸制品加工项目</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p>
    <w:p w14:paraId="29635617">
      <w:pPr>
        <w:adjustRightInd w:val="0"/>
        <w:snapToGrid w:val="0"/>
        <w:spacing w:line="288" w:lineRule="auto"/>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r>
        <w:rPr>
          <w:rFonts w:hint="eastAsia" w:eastAsia="仿宋_GB2312" w:cs="Times New Roman"/>
          <w:color w:val="000000" w:themeColor="text1"/>
          <w:spacing w:val="0"/>
          <w:kern w:val="0"/>
          <w:sz w:val="36"/>
          <w:szCs w:val="36"/>
          <w:u w:val="single"/>
          <w:fitText w:val="5400" w:id="534717030"/>
          <w:lang w:eastAsia="zh-CN"/>
          <w14:textFill>
            <w14:solidFill>
              <w14:schemeClr w14:val="tx1"/>
            </w14:solidFill>
          </w14:textFill>
        </w:rPr>
        <w:t>西咸新区轩牧联包装材料有限公司</w:t>
      </w:r>
    </w:p>
    <w:p w14:paraId="046F2EB4">
      <w:pPr>
        <w:adjustRightInd w:val="0"/>
        <w:snapToGrid w:val="0"/>
        <w:spacing w:line="288" w:lineRule="auto"/>
        <w:rPr>
          <w:rFonts w:hint="default" w:ascii="Times New Roman" w:hAnsi="Times New Roman" w:eastAsia="仿宋_GB2312" w:cs="Times New Roman"/>
          <w:color w:val="000000" w:themeColor="text1"/>
          <w:sz w:val="36"/>
          <w:szCs w:val="36"/>
          <w:u w:val="single"/>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编制日期：</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202</w:t>
      </w:r>
      <w:r>
        <w:rPr>
          <w:rFonts w:hint="eastAsia" w:eastAsia="仿宋_GB2312" w:cs="Times New Roman"/>
          <w:color w:val="000000" w:themeColor="text1"/>
          <w:sz w:val="36"/>
          <w:szCs w:val="36"/>
          <w:u w:val="single"/>
          <w:lang w:val="en-US" w:eastAsia="zh-CN"/>
          <w14:textFill>
            <w14:solidFill>
              <w14:schemeClr w14:val="tx1"/>
            </w14:solidFill>
          </w14:textFill>
        </w:rPr>
        <w:t>4</w:t>
      </w:r>
      <w:r>
        <w:rPr>
          <w:rFonts w:hint="default" w:ascii="Times New Roman" w:hAnsi="Times New Roman" w:eastAsia="仿宋_GB2312" w:cs="Times New Roman"/>
          <w:color w:val="000000" w:themeColor="text1"/>
          <w:sz w:val="36"/>
          <w:szCs w:val="36"/>
          <w:u w:val="single"/>
          <w14:textFill>
            <w14:solidFill>
              <w14:schemeClr w14:val="tx1"/>
            </w14:solidFill>
          </w14:textFill>
        </w:rPr>
        <w:t>年</w:t>
      </w:r>
      <w:r>
        <w:rPr>
          <w:rFonts w:hint="eastAsia" w:eastAsia="仿宋_GB2312" w:cs="Times New Roman"/>
          <w:color w:val="000000" w:themeColor="text1"/>
          <w:sz w:val="36"/>
          <w:szCs w:val="36"/>
          <w:u w:val="single"/>
          <w:lang w:val="en-US" w:eastAsia="zh-CN"/>
          <w14:textFill>
            <w14:solidFill>
              <w14:schemeClr w14:val="tx1"/>
            </w14:solidFill>
          </w14:textFill>
        </w:rPr>
        <w:t>10</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月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r>
        <w:rPr>
          <w:rFonts w:hint="eastAsia" w:eastAsia="仿宋_GB2312" w:cs="Times New Roman"/>
          <w:color w:val="000000" w:themeColor="text1"/>
          <w:sz w:val="36"/>
          <w:szCs w:val="36"/>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6"/>
          <w:szCs w:val="36"/>
          <w:u w:val="single"/>
          <w14:textFill>
            <w14:solidFill>
              <w14:schemeClr w14:val="tx1"/>
            </w14:solidFill>
          </w14:textFill>
        </w:rPr>
        <w:t xml:space="preserve"> </w:t>
      </w:r>
    </w:p>
    <w:p w14:paraId="69E4AA98">
      <w:pPr>
        <w:adjustRightInd w:val="0"/>
        <w:snapToGrid w:val="0"/>
        <w:spacing w:line="288" w:lineRule="auto"/>
        <w:rPr>
          <w:rFonts w:hint="default" w:ascii="Times New Roman" w:hAnsi="Times New Roman" w:eastAsia="仿宋_GB2312" w:cs="Times New Roman"/>
          <w:color w:val="000000" w:themeColor="text1"/>
          <w:sz w:val="36"/>
          <w:szCs w:val="36"/>
          <w14:textFill>
            <w14:solidFill>
              <w14:schemeClr w14:val="tx1"/>
            </w14:solidFill>
          </w14:textFill>
        </w:rPr>
      </w:pPr>
      <w:bookmarkStart w:id="0" w:name="_Hlk57884087"/>
    </w:p>
    <w:p w14:paraId="7FE4A16A">
      <w:pPr>
        <w:adjustRightInd w:val="0"/>
        <w:snapToGrid w:val="0"/>
        <w:spacing w:line="288" w:lineRule="auto"/>
        <w:rPr>
          <w:rFonts w:hint="default" w:ascii="Times New Roman" w:hAnsi="Times New Roman" w:eastAsia="仿宋_GB2312" w:cs="Times New Roman"/>
          <w:color w:val="000000" w:themeColor="text1"/>
          <w:sz w:val="36"/>
          <w:szCs w:val="36"/>
          <w14:textFill>
            <w14:solidFill>
              <w14:schemeClr w14:val="tx1"/>
            </w14:solidFill>
          </w14:textFill>
        </w:rPr>
      </w:pPr>
    </w:p>
    <w:bookmarkEnd w:id="0"/>
    <w:p w14:paraId="5B09C242">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64788810">
      <w:pPr>
        <w:adjustRightInd w:val="0"/>
        <w:snapToGrid w:val="0"/>
        <w:spacing w:line="288" w:lineRule="auto"/>
        <w:rPr>
          <w:rFonts w:hint="default" w:ascii="Times New Roman" w:hAnsi="Times New Roman" w:eastAsia="仿宋_GB2312" w:cs="Times New Roman"/>
          <w:color w:val="000000" w:themeColor="text1"/>
          <w:sz w:val="36"/>
          <w:szCs w:val="36"/>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2D070984">
      <w:pPr>
        <w:pStyle w:val="18"/>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4"/>
        <w:gridCol w:w="1939"/>
        <w:gridCol w:w="2079"/>
        <w:gridCol w:w="3368"/>
      </w:tblGrid>
      <w:tr w14:paraId="1C7BD5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74B1081D">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建设项目名称</w:t>
            </w:r>
          </w:p>
        </w:tc>
        <w:tc>
          <w:tcPr>
            <w:tcW w:w="7386" w:type="dxa"/>
            <w:gridSpan w:val="3"/>
            <w:vAlign w:val="center"/>
          </w:tcPr>
          <w:p w14:paraId="5FDBCF96">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纸制品加工项目</w:t>
            </w:r>
          </w:p>
        </w:tc>
      </w:tr>
      <w:tr w14:paraId="3186AF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3CC6C9D7">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项目代码</w:t>
            </w:r>
          </w:p>
        </w:tc>
        <w:tc>
          <w:tcPr>
            <w:tcW w:w="7386" w:type="dxa"/>
            <w:gridSpan w:val="3"/>
            <w:vAlign w:val="center"/>
          </w:tcPr>
          <w:p w14:paraId="231A9BD5">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w:t>
            </w:r>
          </w:p>
        </w:tc>
      </w:tr>
      <w:tr w14:paraId="231276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4AAD564F">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建设单位联系人</w:t>
            </w:r>
          </w:p>
        </w:tc>
        <w:tc>
          <w:tcPr>
            <w:tcW w:w="1939" w:type="dxa"/>
            <w:vAlign w:val="center"/>
          </w:tcPr>
          <w:p w14:paraId="30E58F3D">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姚磊</w:t>
            </w:r>
          </w:p>
        </w:tc>
        <w:tc>
          <w:tcPr>
            <w:tcW w:w="2079" w:type="dxa"/>
            <w:vAlign w:val="center"/>
          </w:tcPr>
          <w:p w14:paraId="4AC461DE">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联系方式</w:t>
            </w:r>
          </w:p>
        </w:tc>
        <w:tc>
          <w:tcPr>
            <w:tcW w:w="3368" w:type="dxa"/>
            <w:vAlign w:val="center"/>
          </w:tcPr>
          <w:p w14:paraId="25CB475F">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18092529335</w:t>
            </w:r>
          </w:p>
        </w:tc>
      </w:tr>
      <w:tr w14:paraId="03FB72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1484" w:type="dxa"/>
            <w:tcMar>
              <w:top w:w="16" w:type="dxa"/>
              <w:left w:w="16" w:type="dxa"/>
              <w:right w:w="16" w:type="dxa"/>
            </w:tcMar>
            <w:vAlign w:val="center"/>
          </w:tcPr>
          <w:p w14:paraId="530F261F">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建设地点</w:t>
            </w:r>
          </w:p>
        </w:tc>
        <w:tc>
          <w:tcPr>
            <w:tcW w:w="7386" w:type="dxa"/>
            <w:gridSpan w:val="3"/>
            <w:vAlign w:val="center"/>
          </w:tcPr>
          <w:p w14:paraId="19D451A1">
            <w:pPr>
              <w:keepNext w:val="0"/>
              <w:keepLines w:val="0"/>
              <w:suppressLineNumbers w:val="0"/>
              <w:adjustRightInd w:val="0"/>
              <w:snapToGrid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陕西省西咸新区沣西新城大王街道</w:t>
            </w:r>
            <w:r>
              <w:rPr>
                <w:rFonts w:hint="eastAsia" w:cs="Times New Roman"/>
                <w:color w:val="000000" w:themeColor="text1"/>
                <w:lang w:val="en-US" w:eastAsia="zh-CN"/>
                <w14:textFill>
                  <w14:solidFill>
                    <w14:schemeClr w14:val="tx1"/>
                  </w14:solidFill>
                </w14:textFill>
              </w:rPr>
              <w:t>宋家村宋大路1号</w:t>
            </w:r>
          </w:p>
        </w:tc>
      </w:tr>
      <w:tr w14:paraId="26F82F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23D251C9">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地理坐标</w:t>
            </w:r>
          </w:p>
        </w:tc>
        <w:tc>
          <w:tcPr>
            <w:tcW w:w="7386" w:type="dxa"/>
            <w:gridSpan w:val="3"/>
            <w:vAlign w:val="center"/>
          </w:tcPr>
          <w:p w14:paraId="005B5D4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u w:val="single"/>
                <w14:textFill>
                  <w14:solidFill>
                    <w14:schemeClr w14:val="tx1"/>
                  </w14:solidFill>
                </w14:textFill>
              </w:rPr>
              <w:t>10</w:t>
            </w:r>
            <w:r>
              <w:rPr>
                <w:rFonts w:hint="eastAsia" w:cs="Times New Roman"/>
                <w:color w:val="000000" w:themeColor="text1"/>
                <w:u w:val="single"/>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度</w:t>
            </w:r>
            <w:r>
              <w:rPr>
                <w:rFonts w:hint="eastAsia" w:cs="Times New Roman"/>
                <w:color w:val="000000" w:themeColor="text1"/>
                <w:u w:val="single"/>
                <w:lang w:val="en-US" w:eastAsia="zh-CN"/>
                <w14:textFill>
                  <w14:solidFill>
                    <w14:schemeClr w14:val="tx1"/>
                  </w14:solidFill>
                </w14:textFill>
              </w:rPr>
              <w:t>38</w:t>
            </w:r>
            <w:r>
              <w:rPr>
                <w:rFonts w:hint="default" w:ascii="Times New Roman" w:hAnsi="Times New Roman" w:cs="Times New Roman"/>
                <w:color w:val="000000" w:themeColor="text1"/>
                <w14:textFill>
                  <w14:solidFill>
                    <w14:schemeClr w14:val="tx1"/>
                  </w14:solidFill>
                </w14:textFill>
              </w:rPr>
              <w:t>分</w:t>
            </w:r>
            <w:r>
              <w:rPr>
                <w:rFonts w:hint="eastAsia" w:cs="Times New Roman"/>
                <w:color w:val="000000" w:themeColor="text1"/>
                <w:u w:val="single"/>
                <w:lang w:val="en-US" w:eastAsia="zh-CN"/>
                <w14:textFill>
                  <w14:solidFill>
                    <w14:schemeClr w14:val="tx1"/>
                  </w14:solidFill>
                </w14:textFill>
              </w:rPr>
              <w:t>26.589</w:t>
            </w:r>
            <w:r>
              <w:rPr>
                <w:rFonts w:hint="default" w:ascii="Times New Roman" w:hAnsi="Times New Roman" w:cs="Times New Roman"/>
                <w:color w:val="000000" w:themeColor="text1"/>
                <w14:textFill>
                  <w14:solidFill>
                    <w14:schemeClr w14:val="tx1"/>
                  </w14:solidFill>
                </w14:textFill>
              </w:rPr>
              <w:t>秒，</w:t>
            </w:r>
            <w:r>
              <w:rPr>
                <w:rFonts w:hint="default" w:ascii="Times New Roman" w:hAnsi="Times New Roman" w:cs="Times New Roman"/>
                <w:color w:val="000000" w:themeColor="text1"/>
                <w:u w:val="single"/>
                <w:lang w:val="en-US" w:eastAsia="zh-CN"/>
                <w14:textFill>
                  <w14:solidFill>
                    <w14:schemeClr w14:val="tx1"/>
                  </w14:solidFill>
                </w14:textFill>
              </w:rPr>
              <w:t>34</w:t>
            </w:r>
            <w:r>
              <w:rPr>
                <w:rFonts w:hint="default" w:ascii="Times New Roman" w:hAnsi="Times New Roman" w:cs="Times New Roman"/>
                <w:color w:val="000000" w:themeColor="text1"/>
                <w14:textFill>
                  <w14:solidFill>
                    <w14:schemeClr w14:val="tx1"/>
                  </w14:solidFill>
                </w14:textFill>
              </w:rPr>
              <w:t>度</w:t>
            </w:r>
            <w:r>
              <w:rPr>
                <w:rFonts w:hint="eastAsia" w:cs="Times New Roman"/>
                <w:color w:val="000000" w:themeColor="text1"/>
                <w:u w:val="single"/>
                <w:lang w:val="en-US" w:eastAsia="zh-CN"/>
                <w14:textFill>
                  <w14:solidFill>
                    <w14:schemeClr w14:val="tx1"/>
                  </w14:solidFill>
                </w14:textFill>
              </w:rPr>
              <w:t>13</w:t>
            </w:r>
            <w:r>
              <w:rPr>
                <w:rFonts w:hint="default" w:ascii="Times New Roman" w:hAnsi="Times New Roman" w:cs="Times New Roman"/>
                <w:color w:val="000000" w:themeColor="text1"/>
                <w14:textFill>
                  <w14:solidFill>
                    <w14:schemeClr w14:val="tx1"/>
                  </w14:solidFill>
                </w14:textFill>
              </w:rPr>
              <w:t>分</w:t>
            </w:r>
            <w:r>
              <w:rPr>
                <w:rFonts w:hint="eastAsia" w:cs="Times New Roman"/>
                <w:color w:val="000000" w:themeColor="text1"/>
                <w:u w:val="single"/>
                <w:lang w:val="en-US" w:eastAsia="zh-CN"/>
                <w14:textFill>
                  <w14:solidFill>
                    <w14:schemeClr w14:val="tx1"/>
                  </w14:solidFill>
                </w14:textFill>
              </w:rPr>
              <w:t>3.310</w:t>
            </w:r>
            <w:r>
              <w:rPr>
                <w:rFonts w:hint="default" w:ascii="Times New Roman" w:hAnsi="Times New Roman" w:cs="Times New Roman"/>
                <w:color w:val="000000" w:themeColor="text1"/>
                <w14:textFill>
                  <w14:solidFill>
                    <w14:schemeClr w14:val="tx1"/>
                  </w14:solidFill>
                </w14:textFill>
              </w:rPr>
              <w:t>秒</w:t>
            </w:r>
          </w:p>
        </w:tc>
      </w:tr>
      <w:tr w14:paraId="65C7C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726DFDF0">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国民经济</w:t>
            </w:r>
          </w:p>
          <w:p w14:paraId="6950916C">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p>
        </w:tc>
        <w:tc>
          <w:tcPr>
            <w:tcW w:w="1939" w:type="dxa"/>
            <w:vAlign w:val="center"/>
          </w:tcPr>
          <w:p w14:paraId="5D66619C">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C2231</w:t>
            </w:r>
            <w:r>
              <w:rPr>
                <w:rFonts w:hint="eastAsia" w:cs="Times New Roman"/>
                <w:color w:val="000000" w:themeColor="text1"/>
                <w:sz w:val="24"/>
                <w:szCs w:val="24"/>
                <w:lang w:val="en-US" w:eastAsia="zh-CN"/>
                <w14:textFill>
                  <w14:solidFill>
                    <w14:schemeClr w14:val="tx1"/>
                  </w14:solidFill>
                </w14:textFill>
              </w:rPr>
              <w:t>纸和纸板容器制造</w:t>
            </w:r>
          </w:p>
        </w:tc>
        <w:tc>
          <w:tcPr>
            <w:tcW w:w="2079" w:type="dxa"/>
            <w:vAlign w:val="center"/>
          </w:tcPr>
          <w:p w14:paraId="3CF23801">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bookmarkStart w:id="1" w:name="_Hlk49843745"/>
            <w:r>
              <w:rPr>
                <w:rFonts w:hint="default" w:ascii="Times New Roman" w:hAnsi="Times New Roman" w:cs="Times New Roman"/>
                <w:color w:val="000000" w:themeColor="text1"/>
                <w14:textFill>
                  <w14:solidFill>
                    <w14:schemeClr w14:val="tx1"/>
                  </w14:solidFill>
                </w14:textFill>
              </w:rPr>
              <w:t>建设项目</w:t>
            </w:r>
          </w:p>
          <w:p w14:paraId="04E53CD2">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行业类别</w:t>
            </w:r>
            <w:bookmarkEnd w:id="1"/>
          </w:p>
        </w:tc>
        <w:tc>
          <w:tcPr>
            <w:tcW w:w="3368" w:type="dxa"/>
            <w:vAlign w:val="center"/>
          </w:tcPr>
          <w:p w14:paraId="456ACCD7">
            <w:pPr>
              <w:keepNext w:val="0"/>
              <w:keepLines w:val="0"/>
              <w:numPr>
                <w:ilvl w:val="0"/>
                <w:numId w:val="0"/>
              </w:numPr>
              <w:suppressLineNumbers w:val="0"/>
              <w:adjustRightInd w:val="0"/>
              <w:snapToGrid w:val="0"/>
              <w:spacing w:before="0" w:beforeAutospacing="0" w:after="0" w:afterAutospacing="0" w:line="360" w:lineRule="atLeast"/>
              <w:ind w:left="0" w:right="0" w:firstLine="0" w:firstLineChars="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38</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、纸制品制造223</w:t>
            </w:r>
            <w:r>
              <w:rPr>
                <w:rFonts w:hint="eastAsia" w:cs="Times New Roman"/>
                <w:color w:val="000000" w:themeColor="text1"/>
                <w:kern w:val="2"/>
                <w:sz w:val="24"/>
                <w:szCs w:val="24"/>
                <w:lang w:val="en-US" w:eastAsia="zh-CN" w:bidi="ar-SA"/>
                <w14:textFill>
                  <w14:solidFill>
                    <w14:schemeClr w14:val="tx1"/>
                  </w14:solidFill>
                </w14:textFill>
              </w:rPr>
              <w:t>（有涂布、浸渍、印刷、粘胶工艺的）</w:t>
            </w:r>
          </w:p>
        </w:tc>
      </w:tr>
      <w:tr w14:paraId="03FDB2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7F42F18C">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建设性质</w:t>
            </w:r>
          </w:p>
        </w:tc>
        <w:tc>
          <w:tcPr>
            <w:tcW w:w="1939" w:type="dxa"/>
            <w:vAlign w:val="center"/>
          </w:tcPr>
          <w:p w14:paraId="0A2C7624">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新建（迁建）</w:t>
            </w:r>
          </w:p>
          <w:p w14:paraId="4278ADC1">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改建</w:t>
            </w:r>
          </w:p>
          <w:p w14:paraId="103B02BB">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扩建</w:t>
            </w:r>
          </w:p>
          <w:p w14:paraId="1593FDAA">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技术改造</w:t>
            </w:r>
          </w:p>
        </w:tc>
        <w:tc>
          <w:tcPr>
            <w:tcW w:w="2079" w:type="dxa"/>
            <w:vAlign w:val="center"/>
          </w:tcPr>
          <w:p w14:paraId="14F137FF">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建设项目</w:t>
            </w:r>
          </w:p>
          <w:p w14:paraId="2BE3DEC4">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申报情形</w:t>
            </w:r>
          </w:p>
        </w:tc>
        <w:tc>
          <w:tcPr>
            <w:tcW w:w="3368" w:type="dxa"/>
            <w:vAlign w:val="center"/>
          </w:tcPr>
          <w:p w14:paraId="48AB4324">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☑首次申报项目</w:t>
            </w:r>
          </w:p>
          <w:p w14:paraId="4115D8F1">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不予批准后再次申报项目</w:t>
            </w:r>
          </w:p>
          <w:p w14:paraId="3C26CB0C">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超五年重新审核项目</w:t>
            </w:r>
          </w:p>
          <w:p w14:paraId="3F27FA2E">
            <w:pPr>
              <w:keepNext w:val="0"/>
              <w:keepLines w:val="0"/>
              <w:suppressLineNumbers w:val="0"/>
              <w:spacing w:before="0" w:beforeAutospacing="0" w:after="0" w:afterAutospacing="0" w:line="360" w:lineRule="atLeast"/>
              <w:ind w:left="0" w:right="0" w:firstLine="0" w:firstLineChars="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重大变动重新报批项目</w:t>
            </w:r>
          </w:p>
        </w:tc>
      </w:tr>
      <w:tr w14:paraId="62C8D2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59" w:hRule="atLeast"/>
          <w:jc w:val="center"/>
        </w:trPr>
        <w:tc>
          <w:tcPr>
            <w:tcW w:w="1484" w:type="dxa"/>
            <w:tcMar>
              <w:top w:w="16" w:type="dxa"/>
              <w:left w:w="16" w:type="dxa"/>
              <w:right w:w="16" w:type="dxa"/>
            </w:tcMar>
            <w:vAlign w:val="center"/>
          </w:tcPr>
          <w:p w14:paraId="51A496B3">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项目审批（核准/</w:t>
            </w:r>
          </w:p>
          <w:p w14:paraId="161B4DA5">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备案）部门（选填）</w:t>
            </w:r>
          </w:p>
        </w:tc>
        <w:tc>
          <w:tcPr>
            <w:tcW w:w="1939" w:type="dxa"/>
            <w:vAlign w:val="center"/>
          </w:tcPr>
          <w:p w14:paraId="7E41DABA">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c>
          <w:tcPr>
            <w:tcW w:w="2079" w:type="dxa"/>
            <w:vAlign w:val="center"/>
          </w:tcPr>
          <w:p w14:paraId="5F1F05BA">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项目审批（核准/</w:t>
            </w:r>
          </w:p>
          <w:p w14:paraId="671A0C75">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备案）文号（选填）</w:t>
            </w:r>
          </w:p>
        </w:tc>
        <w:tc>
          <w:tcPr>
            <w:tcW w:w="3368" w:type="dxa"/>
            <w:vAlign w:val="center"/>
          </w:tcPr>
          <w:p w14:paraId="4B242A18">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w:t>
            </w:r>
          </w:p>
        </w:tc>
      </w:tr>
      <w:tr w14:paraId="380D42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112CE452">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总投资（万元）</w:t>
            </w:r>
          </w:p>
        </w:tc>
        <w:tc>
          <w:tcPr>
            <w:tcW w:w="1939" w:type="dxa"/>
            <w:vAlign w:val="center"/>
          </w:tcPr>
          <w:p w14:paraId="34B9BF8C">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20</w:t>
            </w:r>
          </w:p>
        </w:tc>
        <w:tc>
          <w:tcPr>
            <w:tcW w:w="2079" w:type="dxa"/>
            <w:tcMar>
              <w:top w:w="16" w:type="dxa"/>
              <w:left w:w="16" w:type="dxa"/>
              <w:right w:w="16" w:type="dxa"/>
            </w:tcMar>
            <w:vAlign w:val="center"/>
          </w:tcPr>
          <w:p w14:paraId="5F259C92">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环保投资（万元）</w:t>
            </w:r>
          </w:p>
        </w:tc>
        <w:tc>
          <w:tcPr>
            <w:tcW w:w="3368" w:type="dxa"/>
            <w:vAlign w:val="center"/>
          </w:tcPr>
          <w:p w14:paraId="674D3C0A">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r>
      <w:tr w14:paraId="6D651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78BF2D69">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环保投资占比（%）</w:t>
            </w:r>
          </w:p>
        </w:tc>
        <w:tc>
          <w:tcPr>
            <w:tcW w:w="1939" w:type="dxa"/>
            <w:vAlign w:val="center"/>
          </w:tcPr>
          <w:p w14:paraId="04C807D0">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15</w:t>
            </w:r>
          </w:p>
        </w:tc>
        <w:tc>
          <w:tcPr>
            <w:tcW w:w="2079" w:type="dxa"/>
            <w:tcMar>
              <w:top w:w="16" w:type="dxa"/>
              <w:left w:w="16" w:type="dxa"/>
              <w:right w:w="16" w:type="dxa"/>
            </w:tcMar>
            <w:vAlign w:val="center"/>
          </w:tcPr>
          <w:p w14:paraId="7991A97C">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施工工期</w:t>
            </w:r>
          </w:p>
        </w:tc>
        <w:tc>
          <w:tcPr>
            <w:tcW w:w="3368" w:type="dxa"/>
            <w:vAlign w:val="center"/>
          </w:tcPr>
          <w:p w14:paraId="11384263">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1个月</w:t>
            </w:r>
          </w:p>
        </w:tc>
      </w:tr>
      <w:tr w14:paraId="39E8FF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484" w:type="dxa"/>
            <w:tcMar>
              <w:top w:w="16" w:type="dxa"/>
              <w:left w:w="16" w:type="dxa"/>
              <w:right w:w="16" w:type="dxa"/>
            </w:tcMar>
            <w:vAlign w:val="center"/>
          </w:tcPr>
          <w:p w14:paraId="3EB2C265">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是否开工建设</w:t>
            </w:r>
          </w:p>
        </w:tc>
        <w:tc>
          <w:tcPr>
            <w:tcW w:w="1939" w:type="dxa"/>
            <w:vAlign w:val="center"/>
          </w:tcPr>
          <w:p w14:paraId="6C9EA1E2">
            <w:pPr>
              <w:keepNext w:val="0"/>
              <w:keepLines w:val="0"/>
              <w:suppressLineNumbers w:val="0"/>
              <w:adjustRightInd w:val="0"/>
              <w:snapToGrid w:val="0"/>
              <w:spacing w:before="0" w:beforeAutospacing="0" w:after="0" w:afterAutospacing="0" w:line="360" w:lineRule="atLeast"/>
              <w:ind w:left="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52"/>
            </w:r>
            <w:r>
              <w:rPr>
                <w:rFonts w:hint="default" w:ascii="Times New Roman" w:hAnsi="Times New Roman" w:cs="Times New Roman"/>
                <w:color w:val="000000" w:themeColor="text1"/>
                <w14:textFill>
                  <w14:solidFill>
                    <w14:schemeClr w14:val="tx1"/>
                  </w14:solidFill>
                </w14:textFill>
              </w:rPr>
              <w:t>否</w:t>
            </w:r>
          </w:p>
          <w:p w14:paraId="4F731358">
            <w:pPr>
              <w:keepNext w:val="0"/>
              <w:keepLines w:val="0"/>
              <w:suppressLineNumbers w:val="0"/>
              <w:adjustRightInd w:val="0"/>
              <w:snapToGrid w:val="0"/>
              <w:spacing w:before="0" w:beforeAutospacing="0" w:after="0" w:afterAutospacing="0" w:line="360" w:lineRule="atLeast"/>
              <w:ind w:left="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sym w:font="Wingdings 2" w:char="00A3"/>
            </w:r>
            <w:r>
              <w:rPr>
                <w:rFonts w:hint="default" w:ascii="Times New Roman" w:hAnsi="Times New Roman" w:cs="Times New Roman"/>
                <w:color w:val="000000" w:themeColor="text1"/>
                <w14:textFill>
                  <w14:solidFill>
                    <w14:schemeClr w14:val="tx1"/>
                  </w14:solidFill>
                </w14:textFill>
              </w:rPr>
              <w:t>是：</w:t>
            </w:r>
            <w:r>
              <w:rPr>
                <w:rFonts w:hint="eastAsia" w:cs="Times New Roman"/>
                <w:color w:val="000000" w:themeColor="text1"/>
                <w:u w:val="single"/>
                <w:lang w:val="en-US" w:eastAsia="zh-CN"/>
                <w14:textFill>
                  <w14:solidFill>
                    <w14:schemeClr w14:val="tx1"/>
                  </w14:solidFill>
                </w14:textFill>
              </w:rPr>
              <w:t xml:space="preserve">       </w:t>
            </w:r>
            <w:r>
              <w:rPr>
                <w:rFonts w:hint="default" w:ascii="Times New Roman" w:hAnsi="Times New Roman" w:cs="Times New Roman"/>
                <w:color w:val="000000" w:themeColor="text1"/>
                <w:u w:val="single"/>
                <w14:textFill>
                  <w14:solidFill>
                    <w14:schemeClr w14:val="tx1"/>
                  </w14:solidFill>
                </w14:textFill>
              </w:rPr>
              <w:t xml:space="preserve">           </w:t>
            </w:r>
          </w:p>
        </w:tc>
        <w:tc>
          <w:tcPr>
            <w:tcW w:w="2079" w:type="dxa"/>
            <w:tcMar>
              <w:top w:w="16" w:type="dxa"/>
              <w:left w:w="16" w:type="dxa"/>
              <w:right w:w="16" w:type="dxa"/>
            </w:tcMar>
            <w:vAlign w:val="center"/>
          </w:tcPr>
          <w:p w14:paraId="2ABECC5B">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pacing w:val="-6"/>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用地（用海）</w:t>
            </w:r>
          </w:p>
          <w:p w14:paraId="109EB059">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pacing w:val="-6"/>
                <w14:textFill>
                  <w14:solidFill>
                    <w14:schemeClr w14:val="tx1"/>
                  </w14:solidFill>
                </w14:textFill>
              </w:rPr>
              <w:t>面积（m</w:t>
            </w:r>
            <w:r>
              <w:rPr>
                <w:rFonts w:hint="default" w:ascii="Times New Roman" w:hAnsi="Times New Roman" w:cs="Times New Roman"/>
                <w:color w:val="000000" w:themeColor="text1"/>
                <w:spacing w:val="-6"/>
                <w:vertAlign w:val="superscript"/>
                <w14:textFill>
                  <w14:solidFill>
                    <w14:schemeClr w14:val="tx1"/>
                  </w14:solidFill>
                </w14:textFill>
              </w:rPr>
              <w:t>2</w:t>
            </w:r>
            <w:r>
              <w:rPr>
                <w:rFonts w:hint="default" w:ascii="Times New Roman" w:hAnsi="Times New Roman" w:cs="Times New Roman"/>
                <w:color w:val="000000" w:themeColor="text1"/>
                <w:spacing w:val="-6"/>
                <w14:textFill>
                  <w14:solidFill>
                    <w14:schemeClr w14:val="tx1"/>
                  </w14:solidFill>
                </w14:textFill>
              </w:rPr>
              <w:t>）</w:t>
            </w:r>
          </w:p>
        </w:tc>
        <w:tc>
          <w:tcPr>
            <w:tcW w:w="3368" w:type="dxa"/>
            <w:vAlign w:val="center"/>
          </w:tcPr>
          <w:p w14:paraId="5F54CBB0">
            <w:pPr>
              <w:keepNext w:val="0"/>
              <w:keepLines w:val="0"/>
              <w:suppressLineNumbers w:val="0"/>
              <w:adjustRightInd w:val="0"/>
              <w:snapToGrid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1200（租赁</w:t>
            </w:r>
            <w:r>
              <w:rPr>
                <w:rFonts w:hint="eastAsia" w:cs="Times New Roman"/>
                <w:color w:val="000000" w:themeColor="text1"/>
                <w:lang w:val="en-US" w:eastAsia="zh-CN"/>
                <w14:textFill>
                  <w14:solidFill>
                    <w14:schemeClr w14:val="tx1"/>
                  </w14:solidFill>
                </w14:textFill>
              </w:rPr>
              <w:t>）</w:t>
            </w:r>
          </w:p>
        </w:tc>
      </w:tr>
      <w:tr w14:paraId="289BEE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84" w:type="dxa"/>
            <w:vAlign w:val="center"/>
          </w:tcPr>
          <w:p w14:paraId="5AAEC00D">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专项评价设置情况</w:t>
            </w:r>
          </w:p>
        </w:tc>
        <w:tc>
          <w:tcPr>
            <w:tcW w:w="7386" w:type="dxa"/>
            <w:gridSpan w:val="3"/>
            <w:vAlign w:val="center"/>
          </w:tcPr>
          <w:p w14:paraId="75824312">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无</w:t>
            </w:r>
          </w:p>
        </w:tc>
      </w:tr>
      <w:tr w14:paraId="41674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84" w:type="dxa"/>
            <w:vAlign w:val="center"/>
          </w:tcPr>
          <w:p w14:paraId="1FC8E7CA">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规划情况</w:t>
            </w:r>
          </w:p>
        </w:tc>
        <w:tc>
          <w:tcPr>
            <w:tcW w:w="7386" w:type="dxa"/>
            <w:gridSpan w:val="3"/>
            <w:vAlign w:val="center"/>
          </w:tcPr>
          <w:p w14:paraId="45C7F4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规划名称：《西咸新区沣西新城分区规划（2016~2035年）》</w:t>
            </w:r>
          </w:p>
          <w:p w14:paraId="0E09A5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规划审批机关：陕西省西咸新区开发建设管理委员会</w:t>
            </w:r>
          </w:p>
          <w:p w14:paraId="2C6B62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审批文件名称及文号：</w:t>
            </w:r>
            <w:r>
              <w:rPr>
                <w:rFonts w:hint="default"/>
                <w:color w:val="000000" w:themeColor="text1"/>
                <w:kern w:val="0"/>
                <w14:textFill>
                  <w14:solidFill>
                    <w14:schemeClr w14:val="tx1"/>
                  </w14:solidFill>
                </w14:textFill>
              </w:rPr>
              <w:t>陕西省西咸新区开发建设管理委员会</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关于《西咸新区沣西新城分区规划》的批复（陕西咸函[2011]123号）</w:t>
            </w:r>
          </w:p>
        </w:tc>
      </w:tr>
      <w:tr w14:paraId="43A558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484" w:type="dxa"/>
            <w:vAlign w:val="center"/>
          </w:tcPr>
          <w:p w14:paraId="39081C9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规划环境影响评价情况</w:t>
            </w:r>
          </w:p>
        </w:tc>
        <w:tc>
          <w:tcPr>
            <w:tcW w:w="7386" w:type="dxa"/>
            <w:gridSpan w:val="3"/>
            <w:vAlign w:val="center"/>
          </w:tcPr>
          <w:p w14:paraId="037A26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规划环评名称：《西咸新区沣西新城分区规划（2016~2035）环境影响报告书》</w:t>
            </w:r>
          </w:p>
          <w:p w14:paraId="1D58E9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召集审查机关：陕西省西咸新区环境保护局</w:t>
            </w:r>
          </w:p>
          <w:p w14:paraId="68B369C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left"/>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审查文件名称及文号：陕西省西咸新区环境保护局关于《西咸新区沣西新城分区规划（2016-2035）环境影响报告书》审查意见的函（陕西咸环函[2018]61号）</w:t>
            </w:r>
          </w:p>
        </w:tc>
      </w:tr>
      <w:tr w14:paraId="576244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9" w:hRule="atLeast"/>
          <w:jc w:val="center"/>
        </w:trPr>
        <w:tc>
          <w:tcPr>
            <w:tcW w:w="1484" w:type="dxa"/>
            <w:vAlign w:val="center"/>
          </w:tcPr>
          <w:p w14:paraId="04F1F7E8">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规划及规划环境影响评价符合性分析</w:t>
            </w:r>
          </w:p>
        </w:tc>
        <w:tc>
          <w:tcPr>
            <w:tcW w:w="7386" w:type="dxa"/>
            <w:gridSpan w:val="3"/>
            <w:vAlign w:val="center"/>
          </w:tcPr>
          <w:p w14:paraId="151001A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520" w:lineRule="exact"/>
              <w:ind w:left="0" w:right="0" w:firstLine="480" w:firstLineChars="200"/>
              <w:textAlignment w:val="auto"/>
              <w:rPr>
                <w:rFonts w:hint="default"/>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w:t>本项目与</w:t>
            </w:r>
            <w:r>
              <w:rPr>
                <w:rFonts w:hint="eastAsia"/>
                <w:color w:val="000000" w:themeColor="text1"/>
                <w:sz w:val="24"/>
                <w:lang w:eastAsia="zh-CN"/>
                <w14:textFill>
                  <w14:solidFill>
                    <w14:schemeClr w14:val="tx1"/>
                  </w14:solidFill>
                </w14:textFill>
              </w:rPr>
              <w:t>相关规划、规划</w:t>
            </w:r>
            <w:r>
              <w:rPr>
                <w:rFonts w:hint="eastAsia"/>
                <w:color w:val="000000" w:themeColor="text1"/>
                <w:sz w:val="24"/>
                <w14:textFill>
                  <w14:solidFill>
                    <w14:schemeClr w14:val="tx1"/>
                  </w14:solidFill>
                </w14:textFill>
              </w:rPr>
              <w:t>环境影响评价</w:t>
            </w:r>
            <w:r>
              <w:rPr>
                <w:rFonts w:hint="eastAsia"/>
                <w:color w:val="000000" w:themeColor="text1"/>
                <w:sz w:val="24"/>
                <w:lang w:eastAsia="zh-CN"/>
                <w14:textFill>
                  <w14:solidFill>
                    <w14:schemeClr w14:val="tx1"/>
                  </w14:solidFill>
                </w14:textFill>
              </w:rPr>
              <w:t>结论及其审查意见</w:t>
            </w:r>
            <w:r>
              <w:rPr>
                <w:rFonts w:hint="default"/>
                <w:color w:val="000000" w:themeColor="text1"/>
                <w:sz w:val="24"/>
                <w14:textFill>
                  <w14:solidFill>
                    <w14:schemeClr w14:val="tx1"/>
                  </w14:solidFill>
                </w14:textFill>
              </w:rPr>
              <w:t>的符合性分析见表</w:t>
            </w:r>
            <w:r>
              <w:rPr>
                <w:rFonts w:hint="eastAsia"/>
                <w:color w:val="000000" w:themeColor="text1"/>
                <w:sz w:val="24"/>
                <w14:textFill>
                  <w14:solidFill>
                    <w14:schemeClr w14:val="tx1"/>
                  </w14:solidFill>
                </w14:textFill>
              </w:rPr>
              <w:t>1-1</w:t>
            </w:r>
            <w:r>
              <w:rPr>
                <w:rFonts w:hint="default"/>
                <w:color w:val="000000" w:themeColor="text1"/>
                <w:sz w:val="24"/>
                <w14:textFill>
                  <w14:solidFill>
                    <w14:schemeClr w14:val="tx1"/>
                  </w14:solidFill>
                </w14:textFill>
              </w:rPr>
              <w:t>。</w:t>
            </w:r>
          </w:p>
          <w:p w14:paraId="0582CB8E">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color w:val="000000" w:themeColor="text1"/>
                <w:kern w:val="0"/>
                <w14:textFill>
                  <w14:solidFill>
                    <w14:schemeClr w14:val="tx1"/>
                  </w14:solidFill>
                </w14:textFill>
              </w:rPr>
            </w:pPr>
            <w:r>
              <w:rPr>
                <w:rFonts w:hint="default" w:ascii="Times New Roman" w:hAnsi="Times New Roman" w:eastAsia="黑体" w:cs="Times New Roman"/>
                <w:color w:val="000000" w:themeColor="text1"/>
                <w:kern w:val="0"/>
                <w14:textFill>
                  <w14:solidFill>
                    <w14:schemeClr w14:val="tx1"/>
                  </w14:solidFill>
                </w14:textFill>
              </w:rPr>
              <w:t>表1</w:t>
            </w:r>
            <w:r>
              <w:rPr>
                <w:rFonts w:hint="eastAsia" w:ascii="Times New Roman" w:hAnsi="Times New Roman" w:eastAsia="黑体" w:cs="Times New Roman"/>
                <w:color w:val="000000" w:themeColor="text1"/>
                <w:kern w:val="0"/>
                <w14:textFill>
                  <w14:solidFill>
                    <w14:schemeClr w14:val="tx1"/>
                  </w14:solidFill>
                </w14:textFill>
              </w:rPr>
              <w:t>-1</w:t>
            </w:r>
            <w:r>
              <w:rPr>
                <w:rFonts w:hint="default" w:ascii="Times New Roman" w:hAnsi="Times New Roman" w:eastAsia="黑体" w:cs="Times New Roman"/>
                <w:color w:val="000000" w:themeColor="text1"/>
                <w:kern w:val="0"/>
                <w14:textFill>
                  <w14:solidFill>
                    <w14:schemeClr w14:val="tx1"/>
                  </w14:solidFill>
                </w14:textFill>
              </w:rPr>
              <w:t xml:space="preserve">  </w:t>
            </w:r>
            <w:r>
              <w:rPr>
                <w:rFonts w:hint="eastAsia" w:ascii="Times New Roman" w:hAnsi="Times New Roman" w:eastAsia="黑体" w:cs="Times New Roman"/>
                <w:color w:val="000000" w:themeColor="text1"/>
                <w:kern w:val="0"/>
                <w14:textFill>
                  <w14:solidFill>
                    <w14:schemeClr w14:val="tx1"/>
                  </w14:solidFill>
                </w14:textFill>
              </w:rPr>
              <w:t xml:space="preserve"> </w:t>
            </w:r>
            <w:r>
              <w:rPr>
                <w:rFonts w:hint="default" w:ascii="Times New Roman" w:hAnsi="Times New Roman" w:eastAsia="黑体" w:cs="Times New Roman"/>
                <w:color w:val="000000" w:themeColor="text1"/>
                <w:kern w:val="0"/>
                <w14:textFill>
                  <w14:solidFill>
                    <w14:schemeClr w14:val="tx1"/>
                  </w14:solidFill>
                </w14:textFill>
              </w:rPr>
              <w:t>本项目与</w:t>
            </w:r>
            <w:r>
              <w:rPr>
                <w:rFonts w:hint="eastAsia" w:eastAsia="黑体" w:cs="Times New Roman"/>
                <w:color w:val="000000" w:themeColor="text1"/>
                <w:kern w:val="0"/>
                <w:lang w:val="en-US" w:eastAsia="zh-CN"/>
                <w14:textFill>
                  <w14:solidFill>
                    <w14:schemeClr w14:val="tx1"/>
                  </w14:solidFill>
                </w14:textFill>
              </w:rPr>
              <w:t>规</w:t>
            </w:r>
            <w:r>
              <w:rPr>
                <w:rFonts w:hint="eastAsia" w:ascii="Times New Roman" w:hAnsi="Times New Roman" w:eastAsia="黑体" w:cs="Times New Roman"/>
                <w:color w:val="000000" w:themeColor="text1"/>
                <w:kern w:val="0"/>
                <w14:textFill>
                  <w14:solidFill>
                    <w14:schemeClr w14:val="tx1"/>
                  </w14:solidFill>
                </w14:textFill>
              </w:rPr>
              <w:t>划及规划环境影响评价</w:t>
            </w:r>
            <w:r>
              <w:rPr>
                <w:rFonts w:hint="default" w:ascii="Times New Roman" w:hAnsi="Times New Roman" w:eastAsia="黑体" w:cs="Times New Roman"/>
                <w:color w:val="000000" w:themeColor="text1"/>
                <w:kern w:val="0"/>
                <w14:textFill>
                  <w14:solidFill>
                    <w14:schemeClr w14:val="tx1"/>
                  </w14:solidFill>
                </w14:textFill>
              </w:rPr>
              <w:t>符合性分析</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3196"/>
              <w:gridCol w:w="2006"/>
              <w:gridCol w:w="849"/>
            </w:tblGrid>
            <w:tr w14:paraId="6630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pct"/>
                  <w:noWrap w:val="0"/>
                  <w:vAlign w:val="center"/>
                </w:tcPr>
                <w:p w14:paraId="3AAEC700">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名称</w:t>
                  </w:r>
                </w:p>
              </w:tc>
              <w:tc>
                <w:tcPr>
                  <w:tcW w:w="2233" w:type="pct"/>
                  <w:noWrap w:val="0"/>
                  <w:vAlign w:val="center"/>
                </w:tcPr>
                <w:p w14:paraId="521B54FD">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规划要求</w:t>
                  </w:r>
                </w:p>
              </w:tc>
              <w:tc>
                <w:tcPr>
                  <w:tcW w:w="1401" w:type="pct"/>
                  <w:noWrap w:val="0"/>
                  <w:vAlign w:val="center"/>
                </w:tcPr>
                <w:p w14:paraId="6CE7E5F6">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项目情况</w:t>
                  </w:r>
                </w:p>
              </w:tc>
              <w:tc>
                <w:tcPr>
                  <w:tcW w:w="593" w:type="pct"/>
                  <w:noWrap w:val="0"/>
                  <w:vAlign w:val="center"/>
                </w:tcPr>
                <w:p w14:paraId="7085E09A">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firstLine="0" w:firstLineChars="0"/>
                    <w:jc w:val="center"/>
                    <w:textAlignment w:val="auto"/>
                    <w:rPr>
                      <w:rFonts w:hint="default"/>
                      <w:b/>
                      <w:bCs w:val="0"/>
                      <w:color w:val="000000" w:themeColor="text1"/>
                      <w:kern w:val="0"/>
                      <w:sz w:val="21"/>
                      <w:szCs w:val="21"/>
                      <w:highlight w:val="none"/>
                      <w14:textFill>
                        <w14:solidFill>
                          <w14:schemeClr w14:val="tx1"/>
                        </w14:solidFill>
                      </w14:textFill>
                    </w:rPr>
                  </w:pPr>
                  <w:r>
                    <w:rPr>
                      <w:rFonts w:hint="default"/>
                      <w:b/>
                      <w:bCs w:val="0"/>
                      <w:color w:val="000000" w:themeColor="text1"/>
                      <w:kern w:val="0"/>
                      <w:sz w:val="21"/>
                      <w:szCs w:val="21"/>
                      <w:highlight w:val="none"/>
                      <w:lang w:bidi="ar"/>
                      <w14:textFill>
                        <w14:solidFill>
                          <w14:schemeClr w14:val="tx1"/>
                        </w14:solidFill>
                      </w14:textFill>
                    </w:rPr>
                    <w:t>符合性</w:t>
                  </w:r>
                </w:p>
              </w:tc>
            </w:tr>
            <w:tr w14:paraId="67450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pct"/>
                  <w:vMerge w:val="restart"/>
                  <w:noWrap w:val="0"/>
                  <w:vAlign w:val="center"/>
                </w:tcPr>
                <w:p w14:paraId="406AE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w:t>
                  </w:r>
                </w:p>
              </w:tc>
              <w:tc>
                <w:tcPr>
                  <w:tcW w:w="2233" w:type="pct"/>
                  <w:noWrap w:val="0"/>
                  <w:vAlign w:val="center"/>
                </w:tcPr>
                <w:p w14:paraId="17D65EF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b/>
                      <w:bCs/>
                      <w:color w:val="000000" w:themeColor="text1"/>
                      <w:kern w:val="0"/>
                      <w:sz w:val="21"/>
                      <w:szCs w:val="21"/>
                      <w:highlight w:val="none"/>
                      <w:lang w:val="en-US" w:eastAsia="zh-CN"/>
                      <w14:textFill>
                        <w14:solidFill>
                          <w14:schemeClr w14:val="tx1"/>
                        </w14:solidFill>
                      </w14:textFill>
                    </w:rPr>
                    <w:t>功能定位：</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以协调大西安、带动大关中、引领大西北为使命，落实国家“一带一路”战略，提升西咸新区影响力，将沣西新城建设成为丝绸之路信息港、西部科技创新引领区、新中心重要组成部分、绿色低碳生态城市。</w:t>
                  </w:r>
                </w:p>
              </w:tc>
              <w:tc>
                <w:tcPr>
                  <w:tcW w:w="1401" w:type="pct"/>
                  <w:noWrap w:val="0"/>
                  <w:vAlign w:val="center"/>
                </w:tcPr>
                <w:p w14:paraId="05226AB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本项目属于纸制品制造，项目建成后能够增加当地就业机会，带动地区经济发展，符合国家“一带一路”发</w:t>
                  </w:r>
                  <w:r>
                    <w:rPr>
                      <w:rFonts w:hint="eastAsia" w:cs="Times New Roman"/>
                      <w:color w:val="000000" w:themeColor="text1"/>
                      <w:kern w:val="0"/>
                      <w:sz w:val="21"/>
                      <w:szCs w:val="21"/>
                      <w:highlight w:val="none"/>
                      <w:lang w:val="en-US" w:eastAsia="zh-CN"/>
                      <w14:textFill>
                        <w14:solidFill>
                          <w14:schemeClr w14:val="tx1"/>
                        </w14:solidFill>
                      </w14:textFill>
                    </w:rPr>
                    <w:t>展战略。</w:t>
                  </w:r>
                </w:p>
              </w:tc>
              <w:tc>
                <w:tcPr>
                  <w:tcW w:w="593" w:type="pct"/>
                  <w:noWrap w:val="0"/>
                  <w:vAlign w:val="center"/>
                </w:tcPr>
                <w:p w14:paraId="5062DF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1E4B6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pct"/>
                  <w:vMerge w:val="continue"/>
                  <w:noWrap w:val="0"/>
                  <w:vAlign w:val="center"/>
                </w:tcPr>
                <w:p w14:paraId="278E102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2233" w:type="pct"/>
                  <w:shd w:val="clear" w:color="auto" w:fill="auto"/>
                  <w:noWrap w:val="0"/>
                  <w:vAlign w:val="center"/>
                </w:tcPr>
                <w:p w14:paraId="7228CD7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b/>
                      <w:bCs/>
                      <w:color w:val="000000" w:themeColor="text1"/>
                      <w:kern w:val="0"/>
                      <w:sz w:val="21"/>
                      <w:szCs w:val="21"/>
                      <w:highlight w:val="none"/>
                      <w:lang w:val="en-US" w:eastAsia="zh-CN" w:bidi="ar-SA"/>
                      <w14:textFill>
                        <w14:solidFill>
                          <w14:schemeClr w14:val="tx1"/>
                        </w14:solidFill>
                      </w14:textFill>
                    </w:rPr>
                    <w:t>土地利用规划：</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分两大类用途</w:t>
                  </w:r>
                  <w:r>
                    <w:rPr>
                      <w:rFonts w:hint="eastAsia" w:cs="Times New Roman"/>
                      <w:color w:val="000000" w:themeColor="text1"/>
                      <w:kern w:val="0"/>
                      <w:sz w:val="21"/>
                      <w:szCs w:val="21"/>
                      <w:highlight w:val="none"/>
                      <w:lang w:val="en-US" w:eastAsia="zh-CN" w:bidi="ar-SA"/>
                      <w14:textFill>
                        <w14:solidFill>
                          <w14:schemeClr w14:val="tx1"/>
                        </w14:solidFill>
                      </w14:textFill>
                    </w:rPr>
                    <w:t>，即</w:t>
                  </w: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建设用地和非建设用地进行管理控制：</w:t>
                  </w:r>
                </w:p>
                <w:p w14:paraId="452B3A6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1、建设用地分城市建设用地、村庄建设用地和其他建设用地三种。</w:t>
                  </w:r>
                </w:p>
                <w:p w14:paraId="4B2F2B3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（1）城市建设用地：分居住、公共管理与公共服务、商业服务业设施用地、工业用地、交通设施用地、仓储用地等八大类。</w:t>
                  </w:r>
                </w:p>
                <w:p w14:paraId="16EBBE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（2）村庄建设用地：主要集中在南部大王镇周边，为现状保留的村庄。</w:t>
                  </w:r>
                </w:p>
                <w:p w14:paraId="7EDC041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（3）其他类建设用地：包含区域对外交通设施用地、区域公用设施用地以及特殊用地。</w:t>
                  </w:r>
                </w:p>
                <w:p w14:paraId="35DA7E1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2、非建设用地分水域、农林地、遗址和其他非建设用地四类。</w:t>
                  </w:r>
                </w:p>
              </w:tc>
              <w:tc>
                <w:tcPr>
                  <w:tcW w:w="1401" w:type="pct"/>
                  <w:shd w:val="clear" w:color="auto" w:fill="auto"/>
                  <w:noWrap w:val="0"/>
                  <w:vAlign w:val="center"/>
                </w:tcPr>
                <w:p w14:paraId="6E758A4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本项目位于大王街道宋家村宋大路1号，根据对照土地利用规划图，项目用地类型属于村庄建设用地（土地利用规划图见附图2）。</w:t>
                  </w:r>
                </w:p>
              </w:tc>
              <w:tc>
                <w:tcPr>
                  <w:tcW w:w="593" w:type="pct"/>
                  <w:shd w:val="clear" w:color="auto" w:fill="auto"/>
                  <w:noWrap w:val="0"/>
                  <w:vAlign w:val="center"/>
                </w:tcPr>
                <w:p w14:paraId="04EF5F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3723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pct"/>
                  <w:noWrap w:val="0"/>
                  <w:vAlign w:val="center"/>
                </w:tcPr>
                <w:p w14:paraId="0151B47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《西咸新区沣西新城分区规划(2016~2035年)环境影响报告书》</w:t>
                  </w:r>
                </w:p>
              </w:tc>
              <w:tc>
                <w:tcPr>
                  <w:tcW w:w="2233" w:type="pct"/>
                  <w:noWrap w:val="0"/>
                  <w:vAlign w:val="center"/>
                </w:tcPr>
                <w:p w14:paraId="3281BE4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①对产业的引入采取“底线控制、优势相关、鼓励创新”的原则，底线控制即淘汰三高（高污染、高耗能、高耗水，如铸造、化工等），凡是非三高企业都可引入；</w:t>
                  </w:r>
                </w:p>
                <w:p w14:paraId="3EF38E0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②区内建设污水处理厂，对地表水有较大的改善，但考虑到距离最终的规划目标仍有差距，评价要求严禁高耗水、高排水企业入驻区内，严格控制污水外排；</w:t>
                  </w:r>
                </w:p>
                <w:p w14:paraId="7E5B6FD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合理规划区内环卫基础设施建设，针对固废的不同性质，采取相应的处置措施。推行生活垃圾分类收集，提高生活垃圾无害化处理率和固体废物的综合利用率。固废须按照《一般工业固体废物贮存、处置场污染控制标准》</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（GB18599-2001）要求，进行贮存和处置，危废的产生和管理按照陕西省环境保护厅颁发的《危险废物转</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移联单管理办法》等有关规定文件的要求，收集后送往危废处理处置中心。</w:t>
                  </w:r>
                </w:p>
              </w:tc>
              <w:tc>
                <w:tcPr>
                  <w:tcW w:w="1401" w:type="pct"/>
                  <w:noWrap w:val="0"/>
                  <w:vAlign w:val="center"/>
                </w:tcPr>
                <w:p w14:paraId="1FAABD57">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①本项目</w:t>
                  </w:r>
                  <w:r>
                    <w:rPr>
                      <w:rFonts w:hint="eastAsia" w:cs="Times New Roman"/>
                      <w:color w:val="000000" w:themeColor="text1"/>
                      <w:kern w:val="0"/>
                      <w:sz w:val="21"/>
                      <w:szCs w:val="21"/>
                      <w:highlight w:val="none"/>
                      <w:lang w:val="en-US" w:eastAsia="zh-CN"/>
                      <w14:textFill>
                        <w14:solidFill>
                          <w14:schemeClr w14:val="tx1"/>
                        </w14:solidFill>
                      </w14:textFill>
                    </w:rPr>
                    <w:t>为</w:t>
                  </w:r>
                  <w:r>
                    <w:rPr>
                      <w:rFonts w:hint="eastAsia" w:cs="Times New Roman"/>
                      <w:color w:val="000000" w:themeColor="text1"/>
                      <w:kern w:val="0"/>
                      <w:sz w:val="21"/>
                      <w:szCs w:val="21"/>
                      <w:highlight w:val="none"/>
                      <w:lang w:eastAsia="zh-CN"/>
                      <w14:textFill>
                        <w14:solidFill>
                          <w14:schemeClr w14:val="tx1"/>
                        </w14:solidFill>
                      </w14:textFill>
                    </w:rPr>
                    <w:t>纸制品制造</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不属于“三高”行业</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05BC84F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②本项目不属于高耗水、高排水企业</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外排废水仅为生活污水，生活污水经化粪池预处理后通过市政污水管网排入沣西新城大王污水处理厂</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p>
                <w:p w14:paraId="7EBB78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③本项目生活垃圾设置垃圾桶</w:t>
                  </w:r>
                  <w:r>
                    <w:rPr>
                      <w:rFonts w:hint="eastAsia" w:cs="Times New Roman"/>
                      <w:color w:val="000000" w:themeColor="text1"/>
                      <w:kern w:val="0"/>
                      <w:sz w:val="21"/>
                      <w:szCs w:val="21"/>
                      <w:highlight w:val="none"/>
                      <w:lang w:val="en-US" w:eastAsia="zh-CN"/>
                      <w14:textFill>
                        <w14:solidFill>
                          <w14:schemeClr w14:val="tx1"/>
                        </w14:solidFill>
                      </w14:textFill>
                    </w:rPr>
                    <w:t>分类</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收集后，委托环卫部门定期清运；废边角料、不合格产品、废胶桶等一般固体废物按照《一般工业固体废弃物贮存和填埋污染控制标准》（GB18599-2020）要求进行贮存和处置；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废油墨桶、清洗废水、废活性炭、废矿物油、废含油抹布</w:t>
                  </w:r>
                  <w:r>
                    <w:rPr>
                      <w:rFonts w:hint="eastAsia" w:cs="Times New Roman"/>
                      <w:color w:val="000000" w:themeColor="text1"/>
                      <w:kern w:val="0"/>
                      <w:sz w:val="21"/>
                      <w:szCs w:val="21"/>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危险废物按照《危险废物贮存污染控制标准》（GB18597-2023）</w:t>
                  </w:r>
                  <w:r>
                    <w:rPr>
                      <w:rFonts w:hint="eastAsia" w:cs="Times New Roman"/>
                      <w:color w:val="000000" w:themeColor="text1"/>
                      <w:kern w:val="0"/>
                      <w:sz w:val="21"/>
                      <w:szCs w:val="21"/>
                      <w:highlight w:val="none"/>
                      <w:lang w:eastAsia="zh-CN"/>
                      <w14:textFill>
                        <w14:solidFill>
                          <w14:schemeClr w14:val="tx1"/>
                        </w14:solidFill>
                      </w14:textFill>
                    </w:rPr>
                    <w:t>、《危险废物转移联单管理办法》</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要求进行贮存</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管理，</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定期交由有资质单位处置。</w:t>
                  </w:r>
                </w:p>
              </w:tc>
              <w:tc>
                <w:tcPr>
                  <w:tcW w:w="593" w:type="pct"/>
                  <w:noWrap w:val="0"/>
                  <w:vAlign w:val="center"/>
                </w:tcPr>
                <w:p w14:paraId="0AF9535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r w14:paraId="4DF0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72" w:type="pct"/>
                  <w:noWrap w:val="0"/>
                  <w:vAlign w:val="center"/>
                </w:tcPr>
                <w:p w14:paraId="760977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《西咸新区沣西新城分区规划（2016-2035年）环境影响报告书》审查意见（陕西咸环函[2018]61号）</w:t>
                  </w:r>
                </w:p>
              </w:tc>
              <w:tc>
                <w:tcPr>
                  <w:tcW w:w="2233" w:type="pct"/>
                  <w:noWrap w:val="0"/>
                  <w:vAlign w:val="center"/>
                </w:tcPr>
                <w:p w14:paraId="6BD57B9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①加强规划引导，坚持生态优先、绿色集约发展，突出城市与产业协调发展的理念。严格落实生态保护红线、环境质量底线、资源利用上线和环境准入负面清单管控要求。强化“三线一单”在优布局、控规模及对项目环境准入的强制约束作用。严禁“三高一低”项目入区</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采用总量控制方式，限制大气污染物及水污染物排放量大的项目入区。引进项目的生产工艺、设备、污染治理技术，以及单位产品能耗、物耗、污染物排放和资源利用率等均需达到同行业国际先进水平，落实《报告书》提出的环境要求；</w:t>
                  </w:r>
                </w:p>
                <w:p w14:paraId="021D958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②严守环境质量底线，落实污染物总量管控要求。根据国家、陕西省、</w:t>
                  </w:r>
                  <w:r>
                    <w:rPr>
                      <w:rFonts w:hint="eastAsia" w:cs="Times New Roman"/>
                      <w:color w:val="000000" w:themeColor="text1"/>
                      <w:kern w:val="0"/>
                      <w:sz w:val="21"/>
                      <w:szCs w:val="21"/>
                      <w:highlight w:val="none"/>
                      <w:lang w:val="en-US" w:eastAsia="zh-CN"/>
                      <w14:textFill>
                        <w14:solidFill>
                          <w14:schemeClr w14:val="tx1"/>
                        </w14:solidFill>
                      </w14:textFill>
                    </w:rPr>
                    <w:t>西咸</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新区有关大气、水、土壤污染防治行动计划相关要求，制定区域污染物减排方案，采取有效措施减少主要污染物和挥发性有机物等排放总量，实现区域环境质量改善目标；</w:t>
                  </w:r>
                </w:p>
                <w:p w14:paraId="3B96574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③结合区域大气环境质量改善目标要求，明确无煤化城市建设阶段性目标，进一步优化能源结构，加大无干热岩供热技术的应用推广。加强挥发性有机物产生企业监督管理，强化移动源污染防治；</w:t>
                  </w:r>
                </w:p>
                <w:p w14:paraId="098F472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④结合区域水环境质量改善目标的要求，提高再生水回用率，提高污水厂管理标准；落实畜禽养殖禁养、景观水体建设等措施；</w:t>
                  </w:r>
                </w:p>
                <w:p w14:paraId="24EFF5D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⑤结合规划及水源地保护相关法律法规，加强水源地保护，全力保障饮用水安全；</w:t>
                  </w:r>
                </w:p>
                <w:p w14:paraId="0FEED8D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⑥积极开展垃圾分类试点建设，加强固体废弃物特别是危险废物的集中处理处置。</w:t>
                  </w:r>
                </w:p>
              </w:tc>
              <w:tc>
                <w:tcPr>
                  <w:tcW w:w="1401" w:type="pct"/>
                  <w:noWrap w:val="0"/>
                  <w:vAlign w:val="center"/>
                </w:tcPr>
                <w:p w14:paraId="107289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本项目位于重点管控单元，符合“三线一单”管控要求</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不属于</w:t>
                  </w:r>
                  <w:r>
                    <w:rPr>
                      <w:rFonts w:hint="eastAsia" w:cs="Times New Roman"/>
                      <w:color w:val="000000" w:themeColor="text1"/>
                      <w:kern w:val="0"/>
                      <w:sz w:val="21"/>
                      <w:szCs w:val="21"/>
                      <w:highlight w:val="none"/>
                      <w:lang w:eastAsia="zh-CN"/>
                      <w14:textFill>
                        <w14:solidFill>
                          <w14:schemeClr w14:val="tx1"/>
                        </w14:solidFill>
                      </w14:textFill>
                    </w:rPr>
                    <w:t>“三高一低”项目；</w:t>
                  </w:r>
                  <w:r>
                    <w:rPr>
                      <w:rFonts w:hint="eastAsia" w:cs="Times New Roman"/>
                      <w:color w:val="000000" w:themeColor="text1"/>
                      <w:kern w:val="0"/>
                      <w:sz w:val="21"/>
                      <w:szCs w:val="21"/>
                      <w:highlight w:val="none"/>
                      <w:lang w:val="en-US" w:eastAsia="zh-CN"/>
                      <w14:textFill>
                        <w14:solidFill>
                          <w14:schemeClr w14:val="tx1"/>
                        </w14:solidFill>
                      </w14:textFill>
                    </w:rPr>
                    <w:t>项目采用低</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水性油墨，裱纸采用无有机废气产生的玉米淀粉胶，大气污染物及水污染物排放量较小，</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COD、氨氮排放实行总量控制；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印刷</w:t>
                  </w:r>
                  <w:r>
                    <w:rPr>
                      <w:rFonts w:hint="eastAsia" w:cs="Times New Roman"/>
                      <w:color w:val="000000" w:themeColor="text1"/>
                      <w:kern w:val="0"/>
                      <w:sz w:val="21"/>
                      <w:szCs w:val="21"/>
                      <w:highlight w:val="none"/>
                      <w:lang w:val="en-US" w:eastAsia="zh-CN"/>
                      <w14:textFill>
                        <w14:solidFill>
                          <w14:schemeClr w14:val="tx1"/>
                        </w14:solidFill>
                      </w14:textFill>
                    </w:rPr>
                    <w:t>工序</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产生的有机废气（以非甲烷总烃计）采用集气罩进行收集后经1套“两级活性炭”处理后通过15m排气筒排放</w:t>
                  </w:r>
                  <w:r>
                    <w:rPr>
                      <w:rFonts w:hint="eastAsia" w:cs="Times New Roman"/>
                      <w:color w:val="000000" w:themeColor="text1"/>
                      <w:kern w:val="0"/>
                      <w:sz w:val="21"/>
                      <w:szCs w:val="21"/>
                      <w:highlight w:val="none"/>
                      <w:lang w:val="en-US" w:eastAsia="zh-CN"/>
                      <w14:textFill>
                        <w14:solidFill>
                          <w14:schemeClr w14:val="tx1"/>
                        </w14:solidFill>
                      </w14:textFill>
                    </w:rPr>
                    <w:t>；无生产废水排放，生活污水经化粪池预处理后通过市政污水管网排入沣西新城大王污水处理厂；</w:t>
                  </w:r>
                </w:p>
                <w:p w14:paraId="5BF7B52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本项目生活垃圾设垃圾桶</w:t>
                  </w:r>
                  <w:r>
                    <w:rPr>
                      <w:rFonts w:hint="eastAsia" w:cs="Times New Roman"/>
                      <w:color w:val="000000" w:themeColor="text1"/>
                      <w:kern w:val="0"/>
                      <w:sz w:val="21"/>
                      <w:szCs w:val="21"/>
                      <w:highlight w:val="none"/>
                      <w:lang w:val="en-US" w:eastAsia="zh-CN"/>
                      <w14:textFill>
                        <w14:solidFill>
                          <w14:schemeClr w14:val="tx1"/>
                        </w14:solidFill>
                      </w14:textFill>
                    </w:rPr>
                    <w:t>分类</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收集后由环卫部门定期清运；废边角料、不合格产品、废胶桶等一般固体废物收集后分类定期外售；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废油墨桶、清洗废水、废活性炭、废矿物油、废含油抹布</w:t>
                  </w:r>
                  <w:r>
                    <w:rPr>
                      <w:rFonts w:hint="eastAsia" w:cs="Times New Roman"/>
                      <w:color w:val="000000" w:themeColor="text1"/>
                      <w:kern w:val="0"/>
                      <w:sz w:val="21"/>
                      <w:szCs w:val="21"/>
                      <w:highlight w:val="none"/>
                      <w:lang w:val="en-US" w:eastAsia="zh-CN"/>
                      <w14:textFill>
                        <w14:solidFill>
                          <w14:schemeClr w14:val="tx1"/>
                        </w14:solidFill>
                      </w14:textFill>
                    </w:rPr>
                    <w:t>等</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危险废物</w:t>
                  </w:r>
                  <w:r>
                    <w:rPr>
                      <w:rFonts w:hint="eastAsia" w:cs="Times New Roman"/>
                      <w:color w:val="000000" w:themeColor="text1"/>
                      <w:kern w:val="0"/>
                      <w:sz w:val="21"/>
                      <w:szCs w:val="21"/>
                      <w:highlight w:val="none"/>
                      <w:lang w:val="en-US" w:eastAsia="zh-CN"/>
                      <w14:textFill>
                        <w14:solidFill>
                          <w14:schemeClr w14:val="tx1"/>
                        </w14:solidFill>
                      </w14:textFill>
                    </w:rPr>
                    <w:t>专用容器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分类收集后暂存于危废贮存库，</w:t>
                  </w:r>
                  <w:r>
                    <w:rPr>
                      <w:rFonts w:hint="eastAsia" w:cs="Times New Roman"/>
                      <w:color w:val="000000" w:themeColor="text1"/>
                      <w:kern w:val="0"/>
                      <w:sz w:val="21"/>
                      <w:szCs w:val="21"/>
                      <w:highlight w:val="none"/>
                      <w:lang w:val="en-US" w:eastAsia="zh-CN"/>
                      <w14:textFill>
                        <w14:solidFill>
                          <w14:schemeClr w14:val="tx1"/>
                        </w14:solidFill>
                      </w14:textFill>
                    </w:rPr>
                    <w:t>定期</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交由有资质单位处置</w:t>
                  </w:r>
                  <w:r>
                    <w:rPr>
                      <w:rFonts w:hint="eastAsia" w:cs="Times New Roman"/>
                      <w:color w:val="000000" w:themeColor="text1"/>
                      <w:kern w:val="0"/>
                      <w:sz w:val="21"/>
                      <w:szCs w:val="21"/>
                      <w:highlight w:val="none"/>
                      <w:lang w:eastAsia="zh-CN"/>
                      <w14:textFill>
                        <w14:solidFill>
                          <w14:schemeClr w14:val="tx1"/>
                        </w14:solidFill>
                      </w14:textFill>
                    </w:rPr>
                    <w:t>；企业使用物料均由外包车辆拉运货物；厂区内使用非道路移动机械全部使用达到国三及以上排放标准或使用新能源机械。</w:t>
                  </w:r>
                  <w:r>
                    <w:rPr>
                      <w:rFonts w:hint="eastAsia" w:cs="Times New Roman"/>
                      <w:color w:val="000000" w:themeColor="text1"/>
                      <w:kern w:val="0"/>
                      <w:sz w:val="21"/>
                      <w:szCs w:val="21"/>
                      <w:highlight w:val="none"/>
                      <w:lang w:val="en-US" w:eastAsia="zh-CN"/>
                      <w14:textFill>
                        <w14:solidFill>
                          <w14:schemeClr w14:val="tx1"/>
                        </w14:solidFill>
                      </w14:textFill>
                    </w:rPr>
                    <w:t>项目在采取以上措施后，对周边环境质量影响较小。</w:t>
                  </w:r>
                </w:p>
              </w:tc>
              <w:tc>
                <w:tcPr>
                  <w:tcW w:w="593" w:type="pct"/>
                  <w:noWrap w:val="0"/>
                  <w:vAlign w:val="center"/>
                </w:tcPr>
                <w:p w14:paraId="6052268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符合</w:t>
                  </w:r>
                </w:p>
              </w:tc>
            </w:tr>
          </w:tbl>
          <w:p w14:paraId="6D4E1D68">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p>
        </w:tc>
      </w:tr>
      <w:tr w14:paraId="51D16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4" w:hRule="atLeast"/>
          <w:jc w:val="center"/>
        </w:trPr>
        <w:tc>
          <w:tcPr>
            <w:tcW w:w="1484" w:type="dxa"/>
            <w:vAlign w:val="center"/>
          </w:tcPr>
          <w:p w14:paraId="3E90A410">
            <w:pPr>
              <w:keepNext w:val="0"/>
              <w:keepLines w:val="0"/>
              <w:suppressLineNumbers w:val="0"/>
              <w:autoSpaceDE w:val="0"/>
              <w:autoSpaceDN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其他符合性分析</w:t>
            </w:r>
          </w:p>
        </w:tc>
        <w:tc>
          <w:tcPr>
            <w:tcW w:w="7386" w:type="dxa"/>
            <w:gridSpan w:val="3"/>
            <w:vAlign w:val="center"/>
          </w:tcPr>
          <w:p w14:paraId="0D7CEE72">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、与产业政策符合性分析</w:t>
            </w:r>
          </w:p>
          <w:p w14:paraId="3B8E1761">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属于纸制品制造行业。</w:t>
            </w:r>
            <w:r>
              <w:rPr>
                <w:rFonts w:hint="default" w:ascii="Times New Roman" w:hAnsi="Times New Roman" w:cs="Times New Roman"/>
                <w:color w:val="000000" w:themeColor="text1"/>
                <w:lang w:val="en-US" w:eastAsia="zh-CN"/>
                <w14:textFill>
                  <w14:solidFill>
                    <w14:schemeClr w14:val="tx1"/>
                  </w14:solidFill>
                </w14:textFill>
              </w:rPr>
              <w:t>根据《产业结构调整指导目录》（20</w:t>
            </w:r>
            <w:r>
              <w:rPr>
                <w:rFonts w:hint="eastAsia" w:ascii="Times New Roman" w:hAnsi="Times New Roman" w:cs="Times New Roman"/>
                <w:color w:val="000000" w:themeColor="text1"/>
                <w:lang w:val="en-US" w:eastAsia="zh-CN"/>
                <w14:textFill>
                  <w14:solidFill>
                    <w14:schemeClr w14:val="tx1"/>
                  </w14:solidFill>
                </w14:textFill>
              </w:rPr>
              <w:t>24</w:t>
            </w:r>
            <w:r>
              <w:rPr>
                <w:rFonts w:hint="default" w:ascii="Times New Roman" w:hAnsi="Times New Roman" w:cs="Times New Roman"/>
                <w:color w:val="000000" w:themeColor="text1"/>
                <w:lang w:val="en-US" w:eastAsia="zh-CN"/>
                <w14:textFill>
                  <w14:solidFill>
                    <w14:schemeClr w14:val="tx1"/>
                  </w14:solidFill>
                </w14:textFill>
              </w:rPr>
              <w:t>年本），本项目不在鼓励类、限制类和淘汰类之列，为允许建设类。</w:t>
            </w:r>
            <w:r>
              <w:rPr>
                <w:rFonts w:hint="default" w:ascii="Times New Roman" w:hAnsi="Times New Roman" w:cs="Times New Roman"/>
                <w:color w:val="000000" w:themeColor="text1"/>
                <w:lang w:val="zh-CN" w:eastAsia="zh-CN"/>
                <w14:textFill>
                  <w14:solidFill>
                    <w14:schemeClr w14:val="tx1"/>
                  </w14:solidFill>
                </w14:textFill>
              </w:rPr>
              <w:t>对照《市场准入负面清单》（202</w:t>
            </w:r>
            <w:r>
              <w:rPr>
                <w:rFonts w:hint="default"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lang w:val="zh-CN" w:eastAsia="zh-CN"/>
                <w14:textFill>
                  <w14:solidFill>
                    <w14:schemeClr w14:val="tx1"/>
                  </w14:solidFill>
                </w14:textFill>
              </w:rPr>
              <w:t>年版），</w:t>
            </w:r>
            <w:r>
              <w:rPr>
                <w:rFonts w:hint="default" w:ascii="Times New Roman" w:hAnsi="Times New Roman" w:cs="Times New Roman"/>
                <w:color w:val="000000" w:themeColor="text1"/>
                <w:lang w:val="en-US" w:eastAsia="zh-CN"/>
                <w14:textFill>
                  <w14:solidFill>
                    <w14:schemeClr w14:val="tx1"/>
                  </w14:solidFill>
                </w14:textFill>
              </w:rPr>
              <w:t>本项目不属于禁止准入类或许可准入类项目，可依法平等进入</w:t>
            </w:r>
            <w:r>
              <w:rPr>
                <w:rFonts w:hint="default" w:ascii="Times New Roman" w:hAnsi="Times New Roman" w:cs="Times New Roman"/>
                <w:color w:val="000000" w:themeColor="text1"/>
                <w:lang w:val="zh-CN" w:eastAsia="zh-CN"/>
                <w14:textFill>
                  <w14:solidFill>
                    <w14:schemeClr w14:val="tx1"/>
                  </w14:solidFill>
                </w14:textFill>
              </w:rPr>
              <w:t>。</w:t>
            </w:r>
          </w:p>
          <w:p w14:paraId="5DBB042A">
            <w:pPr>
              <w:keepNext w:val="0"/>
              <w:keepLines w:val="0"/>
              <w:suppressLineNumbers w:val="0"/>
              <w:spacing w:before="0" w:beforeAutospacing="0" w:after="0" w:afterAutospacing="0" w:line="520" w:lineRule="exact"/>
              <w:ind w:left="0" w:right="0" w:firstLine="480" w:firstLineChars="200"/>
              <w:rPr>
                <w:rFonts w:hint="default" w:ascii="Times New Roman" w:hAnsi="Times New Roman" w:eastAsia="黑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因此，本项目的建设符合国家</w:t>
            </w:r>
            <w:r>
              <w:rPr>
                <w:rFonts w:hint="eastAsia" w:cs="Times New Roman"/>
                <w:color w:val="000000" w:themeColor="text1"/>
                <w:lang w:val="en-US" w:eastAsia="zh-CN"/>
                <w14:textFill>
                  <w14:solidFill>
                    <w14:schemeClr w14:val="tx1"/>
                  </w14:solidFill>
                </w14:textFill>
              </w:rPr>
              <w:t>和地方</w:t>
            </w:r>
            <w:r>
              <w:rPr>
                <w:rFonts w:hint="default" w:ascii="Times New Roman" w:hAnsi="Times New Roman" w:cs="Times New Roman"/>
                <w:color w:val="000000" w:themeColor="text1"/>
                <w14:textFill>
                  <w14:solidFill>
                    <w14:schemeClr w14:val="tx1"/>
                  </w14:solidFill>
                </w14:textFill>
              </w:rPr>
              <w:t>现行产业政策。</w:t>
            </w:r>
          </w:p>
          <w:p w14:paraId="6BFEF71E">
            <w:pPr>
              <w:keepNext w:val="0"/>
              <w:keepLines w:val="0"/>
              <w:suppressLineNumbers w:val="0"/>
              <w:spacing w:before="0" w:beforeAutospacing="0" w:after="0" w:afterAutospacing="0"/>
              <w:ind w:left="0" w:right="0" w:firstLine="482"/>
              <w:rPr>
                <w:rFonts w:hint="default" w:cs="Times New Roman"/>
                <w:b/>
                <w:bCs/>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cs="Times New Roman"/>
                <w:b/>
                <w:bCs/>
                <w:color w:val="000000" w:themeColor="text1"/>
                <w:lang w:val="en-US" w:eastAsia="zh-CN"/>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与</w:t>
            </w:r>
            <w:r>
              <w:rPr>
                <w:rFonts w:hint="default" w:cs="Times New Roman"/>
                <w:b/>
                <w:bCs/>
                <w:color w:val="000000" w:themeColor="text1"/>
                <w:lang w:val="en-US" w:eastAsia="zh-CN"/>
                <w14:textFill>
                  <w14:solidFill>
                    <w14:schemeClr w14:val="tx1"/>
                  </w14:solidFill>
                </w14:textFill>
              </w:rPr>
              <w:t>“三线一单”符合性分析</w:t>
            </w:r>
          </w:p>
          <w:p w14:paraId="3A2E863A">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color w:val="000000" w:themeColor="text1"/>
                <w:sz w:val="24"/>
                <w:lang w:eastAsia="zh-CN"/>
                <w14:textFill>
                  <w14:solidFill>
                    <w14:schemeClr w14:val="tx1"/>
                  </w14:solidFill>
                </w14:textFill>
              </w:rPr>
              <w:t>本项目已在陕西省生态环境厅发布的陕西省“三线一单”数据管理系统查询，并取得《陕西省“三线一单”生态环境管控单元对照分析报告》</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见</w:t>
            </w:r>
            <w:r>
              <w:rPr>
                <w:rFonts w:hint="eastAsia" w:ascii="Times New Roman" w:hAnsi="Times New Roman" w:cs="Times New Roman"/>
                <w:color w:val="000000" w:themeColor="text1"/>
                <w:sz w:val="24"/>
                <w:highlight w:val="none"/>
                <w:lang w:eastAsia="zh-CN"/>
                <w14:textFill>
                  <w14:solidFill>
                    <w14:schemeClr w14:val="tx1"/>
                  </w14:solidFill>
                </w14:textFill>
              </w:rPr>
              <w:t>附件</w:t>
            </w:r>
            <w:r>
              <w:rPr>
                <w:rFonts w:hint="eastAsia" w:cs="Times New Roman"/>
                <w:color w:val="000000" w:themeColor="text1"/>
                <w:sz w:val="24"/>
                <w:highlight w:val="none"/>
                <w:lang w:val="en-US" w:eastAsia="zh-CN"/>
                <w14:textFill>
                  <w14:solidFill>
                    <w14:schemeClr w14:val="tx1"/>
                  </w14:solidFill>
                </w14:textFill>
              </w:rPr>
              <w:t>7</w:t>
            </w:r>
            <w:r>
              <w:rPr>
                <w:rFonts w:hint="eastAsia" w:ascii="Times New Roman" w:hAnsi="Times New Roman" w:cs="Times New Roman"/>
                <w:color w:val="000000" w:themeColor="text1"/>
                <w:sz w:val="24"/>
                <w:highlight w:val="none"/>
                <w:lang w:eastAsia="zh-CN"/>
                <w14:textFill>
                  <w14:solidFill>
                    <w14:schemeClr w14:val="tx1"/>
                  </w14:solidFill>
                </w14:textFill>
              </w:rPr>
              <w:t>）</w:t>
            </w:r>
            <w:r>
              <w:rPr>
                <w:rFonts w:hint="eastAsia" w:ascii="Times New Roman" w:hAnsi="Times New Roman" w:cs="Times New Roman"/>
                <w:color w:val="000000" w:themeColor="text1"/>
                <w:sz w:val="24"/>
                <w:lang w:eastAsia="zh-CN"/>
                <w14:textFill>
                  <w14:solidFill>
                    <w14:schemeClr w14:val="tx1"/>
                  </w14:solidFill>
                </w14:textFill>
              </w:rPr>
              <w:t>。根据陕西省生态环境厅办公室发布《陕西省“三线一单”生态环境分区管控应用技术指南：环境影响评价（试行）》（陕环办发〔2022〕76号）要求，对本项目进行“一图一表一说明”分析。</w:t>
            </w:r>
          </w:p>
          <w:p w14:paraId="6465A98F">
            <w:pPr>
              <w:keepNext w:val="0"/>
              <w:keepLines w:val="0"/>
              <w:suppressLineNumbers w:val="0"/>
              <w:autoSpaceDE w:val="0"/>
              <w:autoSpaceDN w:val="0"/>
              <w:adjustRightInd w:val="0"/>
              <w:snapToGrid w:val="0"/>
              <w:spacing w:before="0" w:beforeAutospacing="0" w:after="0" w:afterAutospacing="0" w:line="520" w:lineRule="exact"/>
              <w:ind w:left="0" w:right="0" w:firstLine="482"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一图：</w:t>
            </w:r>
            <w:r>
              <w:rPr>
                <w:rFonts w:hint="eastAsia" w:ascii="Times New Roman" w:hAnsi="Times New Roman"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位于</w:t>
            </w:r>
            <w:r>
              <w:rPr>
                <w:rFonts w:hint="eastAsia" w:cs="Times New Roman"/>
                <w:color w:val="000000" w:themeColor="text1"/>
                <w:sz w:val="24"/>
                <w:lang w:val="en-US" w:eastAsia="zh-CN"/>
                <w14:textFill>
                  <w14:solidFill>
                    <w14:schemeClr w14:val="tx1"/>
                  </w14:solidFill>
                </w14:textFill>
              </w:rPr>
              <w:t>重点管控单元</w:t>
            </w:r>
            <w:r>
              <w:rPr>
                <w:rFonts w:hint="eastAsia" w:ascii="Times New Roman" w:hAnsi="Times New Roman" w:cs="Times New Roman"/>
                <w:color w:val="000000" w:themeColor="text1"/>
                <w:sz w:val="24"/>
                <w:lang w:eastAsia="zh-CN"/>
                <w14:textFill>
                  <w14:solidFill>
                    <w14:schemeClr w14:val="tx1"/>
                  </w14:solidFill>
                </w14:textFill>
              </w:rPr>
              <w:t>，项目生态环境管控单元位置关系图见</w:t>
            </w:r>
            <w:r>
              <w:rPr>
                <w:rFonts w:hint="eastAsia" w:ascii="Times New Roman" w:hAnsi="Times New Roman" w:cs="Times New Roman"/>
                <w:color w:val="000000" w:themeColor="text1"/>
                <w:sz w:val="24"/>
                <w:highlight w:val="none"/>
                <w:lang w:eastAsia="zh-CN"/>
                <w14:textFill>
                  <w14:solidFill>
                    <w14:schemeClr w14:val="tx1"/>
                  </w14:solidFill>
                </w14:textFill>
              </w:rPr>
              <w:t>图</w:t>
            </w:r>
            <w:r>
              <w:rPr>
                <w:rFonts w:hint="eastAsia" w:ascii="Times New Roman" w:hAnsi="Times New Roman" w:cs="Times New Roman"/>
                <w:color w:val="000000" w:themeColor="text1"/>
                <w:sz w:val="24"/>
                <w:highlight w:val="none"/>
                <w:lang w:val="en-US" w:eastAsia="zh-CN"/>
                <w14:textFill>
                  <w14:solidFill>
                    <w14:schemeClr w14:val="tx1"/>
                  </w14:solidFill>
                </w14:textFill>
              </w:rPr>
              <w:t>1-1</w:t>
            </w:r>
            <w:r>
              <w:rPr>
                <w:rFonts w:hint="eastAsia" w:ascii="Times New Roman" w:hAnsi="Times New Roman" w:cs="Times New Roman"/>
                <w:color w:val="000000" w:themeColor="text1"/>
                <w:sz w:val="24"/>
                <w:lang w:eastAsia="zh-CN"/>
                <w14:textFill>
                  <w14:solidFill>
                    <w14:schemeClr w14:val="tx1"/>
                  </w14:solidFill>
                </w14:textFill>
              </w:rPr>
              <w:t>。</w:t>
            </w:r>
          </w:p>
          <w:p w14:paraId="58A98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Cs/>
                <w:color w:val="000000" w:themeColor="text1"/>
                <w:sz w:val="24"/>
                <w14:textFill>
                  <w14:solidFill>
                    <w14:schemeClr w14:val="tx1"/>
                  </w14:solidFill>
                </w14:textFill>
              </w:rPr>
            </w:pPr>
            <w:r>
              <w:rPr>
                <w:rFonts w:hint="default"/>
                <w:color w:val="000000" w:themeColor="text1"/>
                <w:sz w:val="24"/>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2077085</wp:posOffset>
                      </wp:positionH>
                      <wp:positionV relativeFrom="paragraph">
                        <wp:posOffset>3096895</wp:posOffset>
                      </wp:positionV>
                      <wp:extent cx="926465" cy="259715"/>
                      <wp:effectExtent l="160020" t="172085" r="18415" b="6350"/>
                      <wp:wrapNone/>
                      <wp:docPr id="3" name="自选图形 2"/>
                      <wp:cNvGraphicFramePr/>
                      <a:graphic xmlns:a="http://schemas.openxmlformats.org/drawingml/2006/main">
                        <a:graphicData uri="http://schemas.microsoft.com/office/word/2010/wordprocessingShape">
                          <wps:wsp>
                            <wps:cNvSpPr/>
                            <wps:spPr>
                              <a:xfrm>
                                <a:off x="0" y="0"/>
                                <a:ext cx="926465" cy="259715"/>
                              </a:xfrm>
                              <a:prstGeom prst="wedgeRectCallout">
                                <a:avLst>
                                  <a:gd name="adj1" fmla="val -63433"/>
                                  <a:gd name="adj2" fmla="val -110263"/>
                                </a:avLst>
                              </a:prstGeom>
                              <a:solidFill>
                                <a:srgbClr val="FFFFFF"/>
                              </a:solidFill>
                              <a:ln w="9525" cap="flat" cmpd="sng">
                                <a:solidFill>
                                  <a:srgbClr val="000000"/>
                                </a:solidFill>
                                <a:prstDash val="solid"/>
                                <a:miter/>
                                <a:headEnd type="none" w="med" len="med"/>
                                <a:tailEnd type="none" w="med" len="med"/>
                              </a:ln>
                            </wps:spPr>
                            <wps:txbx>
                              <w:txbxContent>
                                <w:p w14:paraId="2E601BA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sz w:val="21"/>
                                      <w:szCs w:val="21"/>
                                      <w:lang w:val="en-US" w:eastAsia="zh-CN"/>
                                    </w:rPr>
                                  </w:pPr>
                                  <w:r>
                                    <w:rPr>
                                      <w:rFonts w:hint="eastAsia"/>
                                      <w:b/>
                                      <w:bCs/>
                                      <w:sz w:val="21"/>
                                      <w:szCs w:val="21"/>
                                      <w:lang w:val="en-US" w:eastAsia="zh-CN"/>
                                    </w:rPr>
                                    <w:t>项目拟建地</w:t>
                                  </w:r>
                                </w:p>
                              </w:txbxContent>
                            </wps:txbx>
                            <wps:bodyPr upright="1"/>
                          </wps:wsp>
                        </a:graphicData>
                      </a:graphic>
                    </wp:anchor>
                  </w:drawing>
                </mc:Choice>
                <mc:Fallback>
                  <w:pict>
                    <v:shape id="自选图形 2" o:spid="_x0000_s1026" o:spt="61" type="#_x0000_t61" style="position:absolute;left:0pt;margin-left:163.55pt;margin-top:243.85pt;height:20.45pt;width:72.95pt;z-index:251660288;mso-width-relative:page;mso-height-relative:page;" fillcolor="#FFFFFF" filled="t" stroked="t" coordsize="21600,21600" o:gfxdata="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evX8S2gAAAAsBAAAPAAAAAAAAAAEAIAAAACIAAABkcnMvZG93&#10;bnJldi54bWxQSwECFAAUAAAACACHTuJA6DZWPTcCAACOBAAADgAAAAAAAAABACAAAAApAQAAZHJz&#10;L2Uyb0RvYy54bWxQSwUGAAAAAAYABgBZAQAA0gUAAAAA&#10;" adj="-2902,-13017">
                      <v:fill on="t" focussize="0,0"/>
                      <v:stroke color="#000000" joinstyle="miter"/>
                      <v:imagedata o:title=""/>
                      <o:lock v:ext="edit" aspectratio="f"/>
                      <v:textbox>
                        <w:txbxContent>
                          <w:p w14:paraId="2E601BA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sz w:val="21"/>
                                <w:szCs w:val="21"/>
                                <w:lang w:val="en-US" w:eastAsia="zh-CN"/>
                              </w:rPr>
                            </w:pPr>
                            <w:r>
                              <w:rPr>
                                <w:rFonts w:hint="eastAsia"/>
                                <w:b/>
                                <w:bCs/>
                                <w:sz w:val="21"/>
                                <w:szCs w:val="21"/>
                                <w:lang w:val="en-US" w:eastAsia="zh-CN"/>
                              </w:rPr>
                              <w:t>项目拟建地</w:t>
                            </w:r>
                          </w:p>
                        </w:txbxContent>
                      </v:textbox>
                    </v:shape>
                  </w:pict>
                </mc:Fallback>
              </mc:AlternateContent>
            </w:r>
            <w:r>
              <w:rPr>
                <w:rFonts w:hint="default"/>
                <w:color w:val="000000" w:themeColor="text1"/>
                <w14:textFill>
                  <w14:solidFill>
                    <w14:schemeClr w14:val="tx1"/>
                  </w14:solidFill>
                </w14:textFill>
              </w:rPr>
              <w:drawing>
                <wp:inline distT="0" distB="0" distL="114300" distR="114300">
                  <wp:extent cx="4531360" cy="6332220"/>
                  <wp:effectExtent l="0" t="0" r="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rcRect b="1189"/>
                          <a:stretch>
                            <a:fillRect/>
                          </a:stretch>
                        </pic:blipFill>
                        <pic:spPr>
                          <a:xfrm>
                            <a:off x="0" y="0"/>
                            <a:ext cx="4531360" cy="6332220"/>
                          </a:xfrm>
                          <a:prstGeom prst="rect">
                            <a:avLst/>
                          </a:prstGeom>
                          <a:noFill/>
                          <a:ln>
                            <a:noFill/>
                          </a:ln>
                        </pic:spPr>
                      </pic:pic>
                    </a:graphicData>
                  </a:graphic>
                </wp:inline>
              </w:drawing>
            </w:r>
          </w:p>
          <w:p w14:paraId="272788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Cs/>
                <w:color w:val="000000" w:themeColor="text1"/>
                <w:sz w:val="24"/>
                <w:lang w:val="en-US" w:eastAsia="zh-CN"/>
                <w14:textFill>
                  <w14:solidFill>
                    <w14:schemeClr w14:val="tx1"/>
                  </w14:solidFill>
                </w14:textFill>
              </w:rPr>
            </w:pPr>
            <w:r>
              <w:rPr>
                <w:rFonts w:hint="eastAsia" w:ascii="Times New Roman" w:hAnsi="Times New Roman" w:eastAsia="黑体" w:cs="Times New Roman"/>
                <w:bCs/>
                <w:color w:val="000000" w:themeColor="text1"/>
                <w:sz w:val="24"/>
                <w:lang w:val="en-US" w:eastAsia="zh-CN"/>
                <w14:textFill>
                  <w14:solidFill>
                    <w14:schemeClr w14:val="tx1"/>
                  </w14:solidFill>
                </w14:textFill>
              </w:rPr>
              <w:t>图</w:t>
            </w:r>
            <w:r>
              <w:rPr>
                <w:rFonts w:hint="default" w:ascii="Times New Roman" w:hAnsi="Times New Roman" w:eastAsia="黑体" w:cs="Times New Roman"/>
                <w:bCs/>
                <w:color w:val="000000" w:themeColor="text1"/>
                <w:sz w:val="24"/>
                <w14:textFill>
                  <w14:solidFill>
                    <w14:schemeClr w14:val="tx1"/>
                  </w14:solidFill>
                </w14:textFill>
              </w:rPr>
              <w:t>1-</w:t>
            </w:r>
            <w:r>
              <w:rPr>
                <w:rFonts w:hint="eastAsia" w:ascii="Times New Roman" w:hAnsi="Times New Roman" w:eastAsia="黑体" w:cs="Times New Roman"/>
                <w:bCs/>
                <w:color w:val="000000" w:themeColor="text1"/>
                <w:sz w:val="24"/>
                <w:lang w:val="en-US" w:eastAsia="zh-CN"/>
                <w14:textFill>
                  <w14:solidFill>
                    <w14:schemeClr w14:val="tx1"/>
                  </w14:solidFill>
                </w14:textFill>
              </w:rPr>
              <w:t>1</w:t>
            </w:r>
            <w:r>
              <w:rPr>
                <w:rFonts w:hint="default" w:ascii="Times New Roman" w:hAnsi="Times New Roman" w:eastAsia="黑体" w:cs="Times New Roman"/>
                <w:bCs/>
                <w:color w:val="000000" w:themeColor="text1"/>
                <w:sz w:val="24"/>
                <w14:textFill>
                  <w14:solidFill>
                    <w14:schemeClr w14:val="tx1"/>
                  </w14:solidFill>
                </w14:textFill>
              </w:rPr>
              <w:t xml:space="preserve">  项目生态环境管控单元位置关系图</w:t>
            </w:r>
          </w:p>
          <w:p w14:paraId="692C301A">
            <w:pPr>
              <w:keepNext w:val="0"/>
              <w:keepLines w:val="0"/>
              <w:suppressLineNumbers w:val="0"/>
              <w:autoSpaceDE w:val="0"/>
              <w:autoSpaceDN w:val="0"/>
              <w:adjustRightInd w:val="0"/>
              <w:snapToGrid w:val="0"/>
              <w:spacing w:before="0" w:beforeAutospacing="0" w:after="0" w:afterAutospacing="0" w:line="520" w:lineRule="exact"/>
              <w:ind w:left="0" w:right="0" w:firstLine="482" w:firstLineChars="200"/>
              <w:rPr>
                <w:rFonts w:hint="eastAsia" w:ascii="Times New Roman" w:hAnsi="Times New Roman" w:cs="Times New Roman"/>
                <w:color w:val="000000" w:themeColor="text1"/>
                <w:sz w:val="24"/>
                <w:lang w:eastAsia="zh-CN"/>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一表：</w:t>
            </w:r>
            <w:r>
              <w:rPr>
                <w:rFonts w:hint="eastAsia" w:ascii="Times New Roman" w:hAnsi="Times New Roman" w:cs="Times New Roman"/>
                <w:color w:val="000000" w:themeColor="text1"/>
                <w:sz w:val="24"/>
                <w:lang w:eastAsia="zh-CN"/>
                <w14:textFill>
                  <w14:solidFill>
                    <w14:schemeClr w14:val="tx1"/>
                  </w14:solidFill>
                </w14:textFill>
              </w:rPr>
              <w:t>本项目</w:t>
            </w:r>
            <w:r>
              <w:rPr>
                <w:rFonts w:hint="eastAsia" w:ascii="Times New Roman" w:hAnsi="Times New Roman" w:cs="Times New Roman"/>
                <w:color w:val="000000" w:themeColor="text1"/>
                <w:sz w:val="24"/>
                <w:lang w:val="en-US" w:eastAsia="zh-CN"/>
                <w14:textFill>
                  <w14:solidFill>
                    <w14:schemeClr w14:val="tx1"/>
                  </w14:solidFill>
                </w14:textFill>
              </w:rPr>
              <w:t>与</w:t>
            </w:r>
            <w:r>
              <w:rPr>
                <w:rFonts w:hint="eastAsia" w:cs="Times New Roman"/>
                <w:color w:val="000000" w:themeColor="text1"/>
                <w:sz w:val="24"/>
                <w:lang w:val="en-US" w:eastAsia="zh-CN"/>
                <w14:textFill>
                  <w14:solidFill>
                    <w14:schemeClr w14:val="tx1"/>
                  </w14:solidFill>
                </w14:textFill>
              </w:rPr>
              <w:t>重点管控单元</w:t>
            </w:r>
            <w:r>
              <w:rPr>
                <w:rFonts w:hint="eastAsia" w:ascii="Times New Roman" w:hAnsi="Times New Roman" w:cs="Times New Roman"/>
                <w:color w:val="000000" w:themeColor="text1"/>
                <w:sz w:val="24"/>
                <w:lang w:eastAsia="zh-CN"/>
                <w14:textFill>
                  <w14:solidFill>
                    <w14:schemeClr w14:val="tx1"/>
                  </w14:solidFill>
                </w14:textFill>
              </w:rPr>
              <w:t>的管控要求及符合性分析见表1-2。</w:t>
            </w:r>
          </w:p>
          <w:p w14:paraId="41D7A426">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p>
          <w:p w14:paraId="139FB1D6">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p>
          <w:p w14:paraId="2B247847">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eastAsia" w:ascii="Times New Roman" w:hAnsi="Times New Roman" w:cs="Times New Roman"/>
                <w:color w:val="000000" w:themeColor="text1"/>
                <w:sz w:val="24"/>
                <w:lang w:eastAsia="zh-CN"/>
                <w14:textFill>
                  <w14:solidFill>
                    <w14:schemeClr w14:val="tx1"/>
                  </w14:solidFill>
                </w14:textFill>
              </w:rPr>
            </w:pPr>
          </w:p>
          <w:p w14:paraId="67813AFE">
            <w:pPr>
              <w:keepNext w:val="0"/>
              <w:keepLines w:val="0"/>
              <w:suppressLineNumbers w:val="0"/>
              <w:autoSpaceDE w:val="0"/>
              <w:autoSpaceDN w:val="0"/>
              <w:adjustRightInd w:val="0"/>
              <w:snapToGrid w:val="0"/>
              <w:spacing w:before="0" w:beforeAutospacing="0" w:after="0" w:afterAutospacing="0" w:line="520" w:lineRule="exact"/>
              <w:ind w:left="0" w:right="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p>
        </w:tc>
      </w:tr>
    </w:tbl>
    <w:p w14:paraId="5E3F65F6">
      <w:pPr>
        <w:spacing w:line="360" w:lineRule="auto"/>
        <w:ind w:firstLine="600"/>
        <w:outlineLvl w:val="0"/>
        <w:rPr>
          <w:rFonts w:hint="default" w:ascii="Times New Roman" w:hAnsi="Times New Roman" w:eastAsia="黑体" w:cs="Times New Roman"/>
          <w:color w:val="000000" w:themeColor="text1"/>
          <w:sz w:val="30"/>
          <w14:textFill>
            <w14:solidFill>
              <w14:schemeClr w14:val="tx1"/>
            </w14:solidFill>
          </w14:textFill>
        </w:rPr>
        <w:sectPr>
          <w:footerReference r:id="rId11"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2436"/>
      </w:tblGrid>
      <w:tr w14:paraId="50D32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2" w:hRule="atLeast"/>
        </w:trPr>
        <w:tc>
          <w:tcPr>
            <w:tcW w:w="1216" w:type="dxa"/>
            <w:vAlign w:val="center"/>
          </w:tcPr>
          <w:p w14:paraId="72940562">
            <w:pPr>
              <w:keepNext w:val="0"/>
              <w:keepLines w:val="0"/>
              <w:suppressLineNumbers w:val="0"/>
              <w:spacing w:before="0" w:beforeAutospacing="0" w:after="0" w:afterAutospacing="0" w:line="360" w:lineRule="auto"/>
              <w:ind w:left="0" w:right="0" w:firstLine="0" w:firstLineChars="0"/>
              <w:jc w:val="center"/>
              <w:outlineLvl w:val="0"/>
              <w:rPr>
                <w:rFonts w:hint="default" w:ascii="Times New Roman" w:hAnsi="Times New Roman" w:eastAsia="黑体" w:cs="Times New Roman"/>
                <w:color w:val="000000" w:themeColor="text1"/>
                <w:sz w:val="3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其他符合性分析</w:t>
            </w:r>
          </w:p>
        </w:tc>
        <w:tc>
          <w:tcPr>
            <w:tcW w:w="12436" w:type="dxa"/>
          </w:tcPr>
          <w:p w14:paraId="61C9F8B2">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color w:val="000000" w:themeColor="text1"/>
                <w:kern w:val="0"/>
                <w14:textFill>
                  <w14:solidFill>
                    <w14:schemeClr w14:val="tx1"/>
                  </w14:solidFill>
                </w14:textFill>
              </w:rPr>
            </w:pPr>
            <w:r>
              <w:rPr>
                <w:rFonts w:hint="default" w:ascii="Times New Roman" w:hAnsi="Times New Roman" w:eastAsia="黑体" w:cs="Times New Roman"/>
                <w:color w:val="000000" w:themeColor="text1"/>
                <w:kern w:val="0"/>
                <w14:textFill>
                  <w14:solidFill>
                    <w14:schemeClr w14:val="tx1"/>
                  </w14:solidFill>
                </w14:textFill>
              </w:rPr>
              <w:t>表</w:t>
            </w:r>
            <w:r>
              <w:rPr>
                <w:rFonts w:hint="default" w:ascii="Times New Roman" w:hAnsi="Times New Roman" w:eastAsia="黑体" w:cs="Times New Roman"/>
                <w:color w:val="000000" w:themeColor="text1"/>
                <w:kern w:val="0"/>
                <w:lang w:val="en-US"/>
                <w14:textFill>
                  <w14:solidFill>
                    <w14:schemeClr w14:val="tx1"/>
                  </w14:solidFill>
                </w14:textFill>
              </w:rPr>
              <w:t>1</w:t>
            </w:r>
            <w:r>
              <w:rPr>
                <w:rFonts w:hint="default" w:ascii="Times New Roman" w:hAnsi="Times New Roman" w:eastAsia="黑体" w:cs="Times New Roman"/>
                <w:color w:val="000000" w:themeColor="text1"/>
                <w:kern w:val="0"/>
                <w:lang w:val="zh-CN"/>
                <w14:textFill>
                  <w14:solidFill>
                    <w14:schemeClr w14:val="tx1"/>
                  </w14:solidFill>
                </w14:textFill>
              </w:rPr>
              <w:t>-</w:t>
            </w:r>
            <w:r>
              <w:rPr>
                <w:rFonts w:hint="default" w:ascii="Times New Roman" w:hAnsi="Times New Roman" w:eastAsia="黑体" w:cs="Times New Roman"/>
                <w:color w:val="000000" w:themeColor="text1"/>
                <w:kern w:val="0"/>
                <w:lang w:val="en-US" w:eastAsia="zh-CN"/>
                <w14:textFill>
                  <w14:solidFill>
                    <w14:schemeClr w14:val="tx1"/>
                  </w14:solidFill>
                </w14:textFill>
              </w:rPr>
              <w:t>2</w:t>
            </w:r>
            <w:r>
              <w:rPr>
                <w:rFonts w:hint="default" w:ascii="Times New Roman" w:hAnsi="Times New Roman" w:eastAsia="黑体" w:cs="Times New Roman"/>
                <w:color w:val="000000" w:themeColor="text1"/>
                <w:kern w:val="0"/>
                <w14:textFill>
                  <w14:solidFill>
                    <w14:schemeClr w14:val="tx1"/>
                  </w14:solidFill>
                </w14:textFill>
              </w:rPr>
              <w:t xml:space="preserve">  </w:t>
            </w:r>
            <w:r>
              <w:rPr>
                <w:rFonts w:hint="default" w:ascii="Times New Roman" w:hAnsi="Times New Roman" w:eastAsia="黑体" w:cs="Times New Roman"/>
                <w:color w:val="000000" w:themeColor="text1"/>
                <w:kern w:val="0"/>
                <w:lang w:val="en-US" w:eastAsia="zh-CN"/>
                <w14:textFill>
                  <w14:solidFill>
                    <w14:schemeClr w14:val="tx1"/>
                  </w14:solidFill>
                </w14:textFill>
              </w:rPr>
              <w:t>本项目环境管控单元管控要求及</w:t>
            </w:r>
            <w:r>
              <w:rPr>
                <w:rFonts w:hint="default" w:ascii="Times New Roman" w:hAnsi="Times New Roman" w:eastAsia="黑体" w:cs="Times New Roman"/>
                <w:color w:val="000000" w:themeColor="text1"/>
                <w:kern w:val="0"/>
                <w14:textFill>
                  <w14:solidFill>
                    <w14:schemeClr w14:val="tx1"/>
                  </w14:solidFill>
                </w14:textFill>
              </w:rPr>
              <w:t>符合性分析表</w:t>
            </w:r>
          </w:p>
          <w:tbl>
            <w:tblPr>
              <w:tblStyle w:val="21"/>
              <w:tblW w:w="499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28" w:type="dxa"/>
                <w:left w:w="28" w:type="dxa"/>
                <w:bottom w:w="28" w:type="dxa"/>
                <w:right w:w="28" w:type="dxa"/>
              </w:tblCellMar>
            </w:tblPr>
            <w:tblGrid>
              <w:gridCol w:w="689"/>
              <w:gridCol w:w="581"/>
              <w:gridCol w:w="730"/>
              <w:gridCol w:w="757"/>
              <w:gridCol w:w="576"/>
              <w:gridCol w:w="791"/>
              <w:gridCol w:w="3938"/>
              <w:gridCol w:w="845"/>
              <w:gridCol w:w="2510"/>
              <w:gridCol w:w="776"/>
            </w:tblGrid>
            <w:tr w14:paraId="3C75DA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28" w:type="dxa"/>
                  <w:bottom w:w="28" w:type="dxa"/>
                  <w:right w:w="28" w:type="dxa"/>
                </w:tblCellMar>
              </w:tblPrEx>
              <w:trPr>
                <w:trHeight w:val="397" w:hRule="atLeast"/>
                <w:jc w:val="center"/>
              </w:trPr>
              <w:tc>
                <w:tcPr>
                  <w:tcW w:w="282" w:type="pct"/>
                  <w:tcBorders>
                    <w:tl2br w:val="nil"/>
                    <w:tr2bl w:val="nil"/>
                  </w:tcBorders>
                  <w:noWrap w:val="0"/>
                  <w:vAlign w:val="center"/>
                </w:tcPr>
                <w:p w14:paraId="1E06D3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市（区）</w:t>
                  </w:r>
                </w:p>
              </w:tc>
              <w:tc>
                <w:tcPr>
                  <w:tcW w:w="238" w:type="pct"/>
                  <w:tcBorders>
                    <w:tl2br w:val="nil"/>
                    <w:tr2bl w:val="nil"/>
                  </w:tcBorders>
                  <w:noWrap w:val="0"/>
                  <w:vAlign w:val="center"/>
                </w:tcPr>
                <w:p w14:paraId="1D2CBB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区县</w:t>
                  </w:r>
                </w:p>
              </w:tc>
              <w:tc>
                <w:tcPr>
                  <w:tcW w:w="299" w:type="pct"/>
                  <w:tcBorders>
                    <w:tl2br w:val="nil"/>
                    <w:tr2bl w:val="nil"/>
                  </w:tcBorders>
                  <w:noWrap w:val="0"/>
                  <w:vAlign w:val="center"/>
                </w:tcPr>
                <w:p w14:paraId="768F6B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环境管控单元名称</w:t>
                  </w:r>
                </w:p>
              </w:tc>
              <w:tc>
                <w:tcPr>
                  <w:tcW w:w="310" w:type="pct"/>
                  <w:tcBorders>
                    <w:tl2br w:val="nil"/>
                    <w:tr2bl w:val="nil"/>
                  </w:tcBorders>
                  <w:noWrap w:val="0"/>
                  <w:vAlign w:val="center"/>
                </w:tcPr>
                <w:p w14:paraId="040A998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单元要素属性</w:t>
                  </w:r>
                </w:p>
              </w:tc>
              <w:tc>
                <w:tcPr>
                  <w:tcW w:w="236" w:type="pct"/>
                  <w:tcBorders>
                    <w:tl2br w:val="nil"/>
                    <w:tr2bl w:val="nil"/>
                  </w:tcBorders>
                  <w:noWrap w:val="0"/>
                  <w:vAlign w:val="center"/>
                </w:tcPr>
                <w:p w14:paraId="0758E9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管控单元分类</w:t>
                  </w:r>
                </w:p>
              </w:tc>
              <w:tc>
                <w:tcPr>
                  <w:tcW w:w="1937" w:type="pct"/>
                  <w:gridSpan w:val="2"/>
                  <w:tcBorders>
                    <w:tl2br w:val="nil"/>
                    <w:tr2bl w:val="nil"/>
                  </w:tcBorders>
                  <w:noWrap w:val="0"/>
                  <w:vAlign w:val="center"/>
                </w:tcPr>
                <w:p w14:paraId="1E30BBA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管控要求</w:t>
                  </w:r>
                </w:p>
              </w:tc>
              <w:tc>
                <w:tcPr>
                  <w:tcW w:w="346" w:type="pct"/>
                  <w:tcBorders>
                    <w:tl2br w:val="nil"/>
                    <w:tr2bl w:val="nil"/>
                  </w:tcBorders>
                  <w:noWrap w:val="0"/>
                  <w:vAlign w:val="center"/>
                </w:tcPr>
                <w:p w14:paraId="057F17C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t>面积</w:t>
                  </w:r>
                  <w:r>
                    <w:rPr>
                      <w:rFonts w:hint="eastAsia" w:cs="Times New Roman"/>
                      <w:b/>
                      <w:color w:val="000000" w:themeColor="text1"/>
                      <w:kern w:val="0"/>
                      <w:sz w:val="21"/>
                      <w:szCs w:val="21"/>
                      <w:lang w:val="en-US" w:eastAsia="zh-CN" w:bidi="en-US"/>
                      <w14:textFill>
                        <w14:solidFill>
                          <w14:schemeClr w14:val="tx1"/>
                        </w14:solidFill>
                      </w14:textFill>
                    </w:rPr>
                    <w:t>（m</w:t>
                  </w:r>
                  <w:r>
                    <w:rPr>
                      <w:rFonts w:hint="eastAsia" w:cs="Times New Roman"/>
                      <w:b/>
                      <w:color w:val="000000" w:themeColor="text1"/>
                      <w:kern w:val="0"/>
                      <w:sz w:val="21"/>
                      <w:szCs w:val="21"/>
                      <w:vertAlign w:val="superscript"/>
                      <w:lang w:val="en-US" w:eastAsia="zh-CN" w:bidi="en-US"/>
                      <w14:textFill>
                        <w14:solidFill>
                          <w14:schemeClr w14:val="tx1"/>
                        </w14:solidFill>
                      </w14:textFill>
                    </w:rPr>
                    <w:t>2</w:t>
                  </w:r>
                  <w:r>
                    <w:rPr>
                      <w:rFonts w:hint="eastAsia" w:cs="Times New Roman"/>
                      <w:b/>
                      <w:color w:val="000000" w:themeColor="text1"/>
                      <w:kern w:val="0"/>
                      <w:sz w:val="21"/>
                      <w:szCs w:val="21"/>
                      <w:lang w:val="en-US" w:eastAsia="zh-CN" w:bidi="en-US"/>
                      <w14:textFill>
                        <w14:solidFill>
                          <w14:schemeClr w14:val="tx1"/>
                        </w14:solidFill>
                      </w14:textFill>
                    </w:rPr>
                    <w:t>）</w:t>
                  </w:r>
                </w:p>
              </w:tc>
              <w:tc>
                <w:tcPr>
                  <w:tcW w:w="1028" w:type="pct"/>
                  <w:tcBorders>
                    <w:tl2br w:val="nil"/>
                    <w:tr2bl w:val="nil"/>
                  </w:tcBorders>
                  <w:noWrap w:val="0"/>
                  <w:vAlign w:val="center"/>
                </w:tcPr>
                <w:p w14:paraId="356862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val="en-US" w:eastAsia="en-US" w:bidi="en-US"/>
                      <w14:textFill>
                        <w14:solidFill>
                          <w14:schemeClr w14:val="tx1"/>
                        </w14:solidFill>
                      </w14:textFill>
                    </w:rPr>
                    <w:t>本</w:t>
                  </w:r>
                  <w:r>
                    <w:rPr>
                      <w:rFonts w:hint="default" w:ascii="Times New Roman" w:hAnsi="Times New Roman" w:eastAsia="宋体" w:cs="Times New Roman"/>
                      <w:b/>
                      <w:color w:val="000000" w:themeColor="text1"/>
                      <w:kern w:val="0"/>
                      <w:sz w:val="21"/>
                      <w:szCs w:val="21"/>
                      <w:highlight w:val="none"/>
                      <w:lang w:val="en-US" w:eastAsia="zh-CN" w:bidi="en-US"/>
                      <w14:textFill>
                        <w14:solidFill>
                          <w14:schemeClr w14:val="tx1"/>
                        </w14:solidFill>
                      </w14:textFill>
                    </w:rPr>
                    <w:t>项目情况</w:t>
                  </w:r>
                </w:p>
              </w:tc>
              <w:tc>
                <w:tcPr>
                  <w:tcW w:w="318" w:type="pct"/>
                  <w:tcBorders>
                    <w:tl2br w:val="nil"/>
                    <w:tr2bl w:val="nil"/>
                  </w:tcBorders>
                  <w:noWrap w:val="0"/>
                  <w:vAlign w:val="center"/>
                </w:tcPr>
                <w:p w14:paraId="275406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kern w:val="0"/>
                      <w:sz w:val="21"/>
                      <w:szCs w:val="21"/>
                      <w:lang w:val="en-US" w:eastAsia="en-US" w:bidi="en-US"/>
                      <w14:textFill>
                        <w14:solidFill>
                          <w14:schemeClr w14:val="tx1"/>
                        </w14:solidFill>
                      </w14:textFill>
                    </w:rPr>
                  </w:pPr>
                  <w:r>
                    <w:rPr>
                      <w:rFonts w:hint="default" w:ascii="Times New Roman" w:hAnsi="Times New Roman" w:eastAsia="宋体" w:cs="Times New Roman"/>
                      <w:b/>
                      <w:color w:val="000000" w:themeColor="text1"/>
                      <w:kern w:val="0"/>
                      <w:sz w:val="21"/>
                      <w:szCs w:val="21"/>
                      <w:lang w:val="en-US" w:eastAsia="en-US" w:bidi="en-US"/>
                      <w14:textFill>
                        <w14:solidFill>
                          <w14:schemeClr w14:val="tx1"/>
                        </w14:solidFill>
                      </w14:textFill>
                    </w:rPr>
                    <w:t>符合性</w:t>
                  </w:r>
                </w:p>
              </w:tc>
            </w:tr>
            <w:tr w14:paraId="135B89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28" w:type="dxa"/>
                  <w:bottom w:w="28" w:type="dxa"/>
                  <w:right w:w="28" w:type="dxa"/>
                </w:tblCellMar>
              </w:tblPrEx>
              <w:trPr>
                <w:trHeight w:val="626" w:hRule="atLeast"/>
                <w:jc w:val="center"/>
              </w:trPr>
              <w:tc>
                <w:tcPr>
                  <w:tcW w:w="282" w:type="pct"/>
                  <w:vMerge w:val="restart"/>
                  <w:tcBorders>
                    <w:tl2br w:val="nil"/>
                    <w:tr2bl w:val="nil"/>
                  </w:tcBorders>
                  <w:noWrap w:val="0"/>
                  <w:vAlign w:val="center"/>
                </w:tcPr>
                <w:p w14:paraId="013788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西安</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市</w:t>
                  </w:r>
                </w:p>
              </w:tc>
              <w:tc>
                <w:tcPr>
                  <w:tcW w:w="238" w:type="pct"/>
                  <w:vMerge w:val="restart"/>
                  <w:tcBorders>
                    <w:tl2br w:val="nil"/>
                    <w:tr2bl w:val="nil"/>
                  </w:tcBorders>
                  <w:noWrap w:val="0"/>
                  <w:vAlign w:val="center"/>
                </w:tcPr>
                <w:p w14:paraId="77A44D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鄠邑区</w:t>
                  </w:r>
                </w:p>
              </w:tc>
              <w:tc>
                <w:tcPr>
                  <w:tcW w:w="299" w:type="pct"/>
                  <w:vMerge w:val="restart"/>
                  <w:tcBorders>
                    <w:tl2br w:val="nil"/>
                    <w:tr2bl w:val="nil"/>
                  </w:tcBorders>
                  <w:noWrap w:val="0"/>
                  <w:vAlign w:val="center"/>
                </w:tcPr>
                <w:p w14:paraId="789F53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陕西省西安市鄠邑区重点管控单元</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单元</w:t>
                  </w:r>
                  <w:r>
                    <w:rPr>
                      <w:rFonts w:hint="eastAsia" w:cs="Times New Roman"/>
                      <w:color w:val="000000" w:themeColor="text1"/>
                      <w:kern w:val="0"/>
                      <w:sz w:val="21"/>
                      <w:szCs w:val="21"/>
                      <w:lang w:val="en-US" w:eastAsia="zh-CN" w:bidi="en-US"/>
                      <w14:textFill>
                        <w14:solidFill>
                          <w14:schemeClr w14:val="tx1"/>
                        </w14:solidFill>
                      </w14:textFill>
                    </w:rPr>
                    <w:t>2</w:t>
                  </w:r>
                </w:p>
              </w:tc>
              <w:tc>
                <w:tcPr>
                  <w:tcW w:w="310" w:type="pct"/>
                  <w:vMerge w:val="restart"/>
                  <w:tcBorders>
                    <w:tl2br w:val="nil"/>
                    <w:tr2bl w:val="nil"/>
                  </w:tcBorders>
                  <w:noWrap w:val="0"/>
                  <w:vAlign w:val="center"/>
                </w:tcPr>
                <w:p w14:paraId="6FB5E9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大气环境布局敏感重点管控区、水环境城镇生活污染重点管控区、高污染燃料禁燃区</w:t>
                  </w:r>
                </w:p>
              </w:tc>
              <w:tc>
                <w:tcPr>
                  <w:tcW w:w="236" w:type="pct"/>
                  <w:vMerge w:val="restart"/>
                  <w:tcBorders>
                    <w:tl2br w:val="nil"/>
                    <w:tr2bl w:val="nil"/>
                  </w:tcBorders>
                  <w:noWrap w:val="0"/>
                  <w:vAlign w:val="center"/>
                </w:tcPr>
                <w:p w14:paraId="01D080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重点管控单元</w:t>
                  </w:r>
                </w:p>
              </w:tc>
              <w:tc>
                <w:tcPr>
                  <w:tcW w:w="324" w:type="pct"/>
                  <w:tcBorders>
                    <w:tl2br w:val="nil"/>
                    <w:tr2bl w:val="nil"/>
                  </w:tcBorders>
                  <w:noWrap w:val="0"/>
                  <w:vAlign w:val="center"/>
                </w:tcPr>
                <w:p w14:paraId="7CF33A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Calibri"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空间布局约束</w:t>
                  </w:r>
                </w:p>
              </w:tc>
              <w:tc>
                <w:tcPr>
                  <w:tcW w:w="1613" w:type="pct"/>
                  <w:tcBorders>
                    <w:tl2br w:val="nil"/>
                    <w:tr2bl w:val="nil"/>
                  </w:tcBorders>
                  <w:noWrap w:val="0"/>
                  <w:vAlign w:val="center"/>
                </w:tcPr>
                <w:p w14:paraId="13CA647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大气环境布局敏感重点管控区：</w:t>
                  </w:r>
                </w:p>
                <w:p w14:paraId="76B50A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1.严格控制新增《陕西省“两高”项目管理暂行目录》行业项目（民生等项目除外，后续对“两高”范围国家如有新规定的，从其规定）。</w:t>
                  </w:r>
                </w:p>
                <w:p w14:paraId="738E9C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2.严禁新增钢铁、焦化、水泥熟料、平板玻璃、电解铝、氧化铝、煤化工产能。</w:t>
                  </w:r>
                </w:p>
                <w:p w14:paraId="7020B4A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3.推动重污染企业搬迁入园或依法关闭。</w:t>
                  </w:r>
                </w:p>
                <w:p w14:paraId="3F4573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水环境城镇生活污染重点管控区：</w:t>
                  </w:r>
                </w:p>
                <w:p w14:paraId="2ED705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1.持</w:t>
                  </w:r>
                  <w:r>
                    <w:rPr>
                      <w:rFonts w:hint="eastAsia" w:cs="Times New Roman"/>
                      <w:color w:val="000000" w:themeColor="text1"/>
                      <w:kern w:val="0"/>
                      <w:sz w:val="21"/>
                      <w:szCs w:val="21"/>
                      <w:lang w:val="en-US" w:eastAsia="zh-CN" w:bidi="en-US"/>
                      <w14:textFill>
                        <w14:solidFill>
                          <w14:schemeClr w14:val="tx1"/>
                        </w14:solidFill>
                      </w14:textFill>
                    </w:rPr>
                    <w:t>续推</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进城中村、老旧城区、城乡结合部污水截流、收集和城市雨污管道新建、改建。</w:t>
                  </w:r>
                </w:p>
              </w:tc>
              <w:tc>
                <w:tcPr>
                  <w:tcW w:w="346" w:type="pct"/>
                  <w:vMerge w:val="restart"/>
                  <w:tcBorders>
                    <w:tl2br w:val="nil"/>
                    <w:tr2bl w:val="nil"/>
                  </w:tcBorders>
                  <w:noWrap w:val="0"/>
                  <w:vAlign w:val="center"/>
                </w:tcPr>
                <w:p w14:paraId="2E6FE4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1200</w:t>
                  </w:r>
                </w:p>
              </w:tc>
              <w:tc>
                <w:tcPr>
                  <w:tcW w:w="1028" w:type="pct"/>
                  <w:tcBorders>
                    <w:tl2br w:val="nil"/>
                    <w:tr2bl w:val="nil"/>
                  </w:tcBorders>
                  <w:noWrap w:val="0"/>
                  <w:vAlign w:val="center"/>
                </w:tcPr>
                <w:p w14:paraId="79E758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eastAsia"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属于纸制品制造行业，</w:t>
                  </w:r>
                  <w:r>
                    <w:rPr>
                      <w:rFonts w:hint="eastAsia" w:cs="Times New Roman"/>
                      <w:color w:val="000000" w:themeColor="text1"/>
                      <w:kern w:val="0"/>
                      <w:sz w:val="21"/>
                      <w:szCs w:val="21"/>
                      <w:lang w:val="en-US" w:eastAsia="zh-CN" w:bidi="en-US"/>
                      <w14:textFill>
                        <w14:solidFill>
                          <w14:schemeClr w14:val="tx1"/>
                        </w14:solidFill>
                      </w14:textFill>
                    </w:rPr>
                    <w:t>不属于</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“两高”项目</w:t>
                  </w:r>
                  <w:r>
                    <w:rPr>
                      <w:rFonts w:hint="eastAsia" w:cs="Times New Roman"/>
                      <w:color w:val="000000" w:themeColor="text1"/>
                      <w:kern w:val="0"/>
                      <w:sz w:val="21"/>
                      <w:szCs w:val="21"/>
                      <w:lang w:val="en-US" w:eastAsia="zh-CN" w:bidi="en-US"/>
                      <w14:textFill>
                        <w14:solidFill>
                          <w14:schemeClr w14:val="tx1"/>
                        </w14:solidFill>
                      </w14:textFill>
                    </w:rPr>
                    <w:t>，不属于严禁</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新增</w:t>
                  </w:r>
                  <w:r>
                    <w:rPr>
                      <w:rFonts w:hint="eastAsia" w:cs="Times New Roman"/>
                      <w:color w:val="000000" w:themeColor="text1"/>
                      <w:kern w:val="0"/>
                      <w:sz w:val="21"/>
                      <w:szCs w:val="21"/>
                      <w:lang w:val="en-US" w:eastAsia="zh-CN" w:bidi="en-US"/>
                      <w14:textFill>
                        <w14:solidFill>
                          <w14:schemeClr w14:val="tx1"/>
                        </w14:solidFill>
                      </w14:textFill>
                    </w:rPr>
                    <w:t>产能的</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钢铁、焦化、水泥熟料、平板玻璃、电解铝、氧化铝、煤化工</w:t>
                  </w:r>
                  <w:r>
                    <w:rPr>
                      <w:rFonts w:hint="eastAsia" w:cs="Times New Roman"/>
                      <w:color w:val="000000" w:themeColor="text1"/>
                      <w:kern w:val="0"/>
                      <w:sz w:val="21"/>
                      <w:szCs w:val="21"/>
                      <w:lang w:val="en-US" w:eastAsia="zh-CN" w:bidi="en-US"/>
                      <w14:textFill>
                        <w14:solidFill>
                          <w14:schemeClr w14:val="tx1"/>
                        </w14:solidFill>
                      </w14:textFill>
                    </w:rPr>
                    <w:t>行业，也不属于重污染企业。</w:t>
                  </w:r>
                </w:p>
                <w:p w14:paraId="152D0EE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cs="Times New Roman"/>
                      <w:color w:val="000000" w:themeColor="text1"/>
                      <w:kern w:val="0"/>
                      <w:sz w:val="21"/>
                      <w:szCs w:val="21"/>
                      <w:lang w:val="en-US" w:eastAsia="zh-CN" w:bidi="en-US"/>
                      <w14:textFill>
                        <w14:solidFill>
                          <w14:schemeClr w14:val="tx1"/>
                        </w14:solidFill>
                      </w14:textFill>
                    </w:rPr>
                  </w:pPr>
                  <w:r>
                    <w:rPr>
                      <w:rFonts w:hint="eastAsia" w:cs="Times New Roman"/>
                      <w:color w:val="000000" w:themeColor="text1"/>
                      <w:kern w:val="0"/>
                      <w:sz w:val="21"/>
                      <w:szCs w:val="21"/>
                      <w:lang w:val="en-US" w:eastAsia="zh-CN" w:bidi="en-US"/>
                      <w14:textFill>
                        <w14:solidFill>
                          <w14:schemeClr w14:val="tx1"/>
                        </w14:solidFill>
                      </w14:textFill>
                    </w:rPr>
                    <w:t>本项目厂区内市政</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雨污</w:t>
                  </w:r>
                  <w:r>
                    <w:rPr>
                      <w:rFonts w:hint="eastAsia" w:cs="Times New Roman"/>
                      <w:color w:val="000000" w:themeColor="text1"/>
                      <w:kern w:val="0"/>
                      <w:sz w:val="21"/>
                      <w:szCs w:val="21"/>
                      <w:lang w:val="en-US" w:eastAsia="zh-CN" w:bidi="en-US"/>
                      <w14:textFill>
                        <w14:solidFill>
                          <w14:schemeClr w14:val="tx1"/>
                        </w14:solidFill>
                      </w14:textFill>
                    </w:rPr>
                    <w:t>水</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管道</w:t>
                  </w:r>
                  <w:r>
                    <w:rPr>
                      <w:rFonts w:hint="eastAsia" w:cs="Times New Roman"/>
                      <w:color w:val="000000" w:themeColor="text1"/>
                      <w:kern w:val="0"/>
                      <w:sz w:val="21"/>
                      <w:szCs w:val="21"/>
                      <w:lang w:val="en-US" w:eastAsia="zh-CN" w:bidi="en-US"/>
                      <w14:textFill>
                        <w14:solidFill>
                          <w14:schemeClr w14:val="tx1"/>
                        </w14:solidFill>
                      </w14:textFill>
                    </w:rPr>
                    <w:t>已接通，</w:t>
                  </w:r>
                  <w:r>
                    <w:rPr>
                      <w:rFonts w:hint="eastAsia" w:cs="Times New Roman"/>
                      <w:color w:val="000000" w:themeColor="text1"/>
                      <w:kern w:val="0"/>
                      <w:sz w:val="21"/>
                      <w:szCs w:val="21"/>
                      <w:highlight w:val="none"/>
                      <w:lang w:val="en-US" w:eastAsia="zh-CN"/>
                      <w14:textFill>
                        <w14:solidFill>
                          <w14:schemeClr w14:val="tx1"/>
                        </w14:solidFill>
                      </w14:textFill>
                    </w:rPr>
                    <w:t>生活污水经化粪池预处理后通过市政污水管网排入沣西新城大王污水处理</w:t>
                  </w:r>
                  <w:r>
                    <w:rPr>
                      <w:rFonts w:hint="eastAsia" w:cs="Times New Roman"/>
                      <w:color w:val="000000" w:themeColor="text1"/>
                      <w:kern w:val="0"/>
                      <w:sz w:val="21"/>
                      <w:szCs w:val="21"/>
                      <w:lang w:val="en-US" w:eastAsia="zh-CN" w:bidi="en-US"/>
                      <w14:textFill>
                        <w14:solidFill>
                          <w14:schemeClr w14:val="tx1"/>
                        </w14:solidFill>
                      </w14:textFill>
                    </w:rPr>
                    <w:t>厂。</w:t>
                  </w:r>
                </w:p>
              </w:tc>
              <w:tc>
                <w:tcPr>
                  <w:tcW w:w="318" w:type="pct"/>
                  <w:tcBorders>
                    <w:tl2br w:val="nil"/>
                    <w:tr2bl w:val="nil"/>
                  </w:tcBorders>
                  <w:noWrap w:val="0"/>
                  <w:vAlign w:val="center"/>
                </w:tcPr>
                <w:p w14:paraId="31D7E6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en-US"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bidi="en-US"/>
                      <w14:textFill>
                        <w14:solidFill>
                          <w14:schemeClr w14:val="tx1"/>
                        </w14:solidFill>
                      </w14:textFill>
                    </w:rPr>
                    <w:t>符合</w:t>
                  </w:r>
                </w:p>
              </w:tc>
            </w:tr>
            <w:tr w14:paraId="13F602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28" w:type="dxa"/>
                  <w:bottom w:w="28" w:type="dxa"/>
                  <w:right w:w="28" w:type="dxa"/>
                </w:tblCellMar>
              </w:tblPrEx>
              <w:trPr>
                <w:trHeight w:val="237" w:hRule="atLeast"/>
                <w:jc w:val="center"/>
              </w:trPr>
              <w:tc>
                <w:tcPr>
                  <w:tcW w:w="282" w:type="pct"/>
                  <w:vMerge w:val="continue"/>
                  <w:tcBorders>
                    <w:tl2br w:val="nil"/>
                    <w:tr2bl w:val="nil"/>
                  </w:tcBorders>
                  <w:noWrap w:val="0"/>
                  <w:vAlign w:val="center"/>
                </w:tcPr>
                <w:p w14:paraId="758E0B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8" w:type="pct"/>
                  <w:vMerge w:val="continue"/>
                  <w:tcBorders>
                    <w:tl2br w:val="nil"/>
                    <w:tr2bl w:val="nil"/>
                  </w:tcBorders>
                  <w:noWrap w:val="0"/>
                  <w:vAlign w:val="center"/>
                </w:tcPr>
                <w:p w14:paraId="29650B0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99" w:type="pct"/>
                  <w:vMerge w:val="continue"/>
                  <w:tcBorders>
                    <w:tl2br w:val="nil"/>
                    <w:tr2bl w:val="nil"/>
                  </w:tcBorders>
                  <w:noWrap w:val="0"/>
                  <w:vAlign w:val="center"/>
                </w:tcPr>
                <w:p w14:paraId="10BADCB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10" w:type="pct"/>
                  <w:vMerge w:val="continue"/>
                  <w:tcBorders>
                    <w:tl2br w:val="nil"/>
                    <w:tr2bl w:val="nil"/>
                  </w:tcBorders>
                  <w:noWrap w:val="0"/>
                  <w:vAlign w:val="center"/>
                </w:tcPr>
                <w:p w14:paraId="14208C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6" w:type="pct"/>
                  <w:vMerge w:val="continue"/>
                  <w:tcBorders>
                    <w:tl2br w:val="nil"/>
                    <w:tr2bl w:val="nil"/>
                  </w:tcBorders>
                  <w:noWrap w:val="0"/>
                  <w:vAlign w:val="center"/>
                </w:tcPr>
                <w:p w14:paraId="5A5CE5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24" w:type="pct"/>
                  <w:tcBorders>
                    <w:tl2br w:val="nil"/>
                    <w:tr2bl w:val="nil"/>
                  </w:tcBorders>
                  <w:noWrap w:val="0"/>
                  <w:vAlign w:val="center"/>
                </w:tcPr>
                <w:p w14:paraId="004D15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Calibri"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污染排放管控</w:t>
                  </w:r>
                </w:p>
              </w:tc>
              <w:tc>
                <w:tcPr>
                  <w:tcW w:w="1613" w:type="pct"/>
                  <w:tcBorders>
                    <w:tl2br w:val="nil"/>
                    <w:tr2bl w:val="nil"/>
                  </w:tcBorders>
                  <w:noWrap w:val="0"/>
                  <w:vAlign w:val="center"/>
                </w:tcPr>
                <w:p w14:paraId="6704722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大气环境布局敏感重点管控区：</w:t>
                  </w:r>
                </w:p>
                <w:p w14:paraId="2B967D2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1.鼓励将老旧车辆和非道路移动机械替换为清洁能源车辆。推进新能源或清洁能源汽车使用。</w:t>
                  </w:r>
                </w:p>
                <w:p w14:paraId="6253D1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水环境城镇生活污染重点管控区：</w:t>
                  </w:r>
                </w:p>
                <w:p w14:paraId="65A387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1.加强城镇污水收集处理设施建设与提标改造。城镇生活污水处理达到《陕西省黄河流域污水综合排放标准》（DB61/224-2018）排放限值要求。</w:t>
                  </w:r>
                </w:p>
                <w:p w14:paraId="45548AB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2.城镇新区管网建设及老旧城区管网升级改造中实行雨污分流，鼓励推进初期雨水收集、处理和资源化利用，建设人工湿地水质净化工程，对处理达标后的尾水进一步净化。</w:t>
                  </w:r>
                </w:p>
                <w:p w14:paraId="17F7EB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3.污水处理厂出水用于绿化、农灌等用途的，合理确定管控要求，确保达到相应污水再生利用标准。</w:t>
                  </w:r>
                </w:p>
              </w:tc>
              <w:tc>
                <w:tcPr>
                  <w:tcW w:w="346" w:type="pct"/>
                  <w:vMerge w:val="continue"/>
                  <w:tcBorders>
                    <w:tl2br w:val="nil"/>
                    <w:tr2bl w:val="nil"/>
                  </w:tcBorders>
                  <w:noWrap w:val="0"/>
                  <w:vAlign w:val="center"/>
                </w:tcPr>
                <w:p w14:paraId="2F32D98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1028" w:type="pct"/>
                  <w:tcBorders>
                    <w:tl2br w:val="nil"/>
                    <w:tr2bl w:val="nil"/>
                  </w:tcBorders>
                  <w:noWrap w:val="0"/>
                  <w:vAlign w:val="center"/>
                </w:tcPr>
                <w:p w14:paraId="1D82331E">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s="Times New Roman"/>
                      <w:b w:val="0"/>
                      <w:bCs w:val="0"/>
                      <w:color w:val="000000" w:themeColor="text1"/>
                      <w:kern w:val="0"/>
                      <w:sz w:val="21"/>
                      <w:szCs w:val="21"/>
                      <w:lang w:val="en-US" w:eastAsia="zh-CN" w:bidi="en-US"/>
                      <w14:textFill>
                        <w14:solidFill>
                          <w14:schemeClr w14:val="tx1"/>
                        </w14:solidFill>
                      </w14:textFill>
                    </w:rPr>
                  </w:pPr>
                  <w:r>
                    <w:rPr>
                      <w:rFonts w:hint="eastAsia" w:cs="Times New Roman"/>
                      <w:b/>
                      <w:bCs/>
                      <w:color w:val="000000" w:themeColor="text1"/>
                      <w:kern w:val="0"/>
                      <w:sz w:val="21"/>
                      <w:szCs w:val="21"/>
                      <w:lang w:val="en-US" w:eastAsia="zh-CN" w:bidi="en-US"/>
                      <w14:textFill>
                        <w14:solidFill>
                          <w14:schemeClr w14:val="tx1"/>
                        </w14:solidFill>
                      </w14:textFill>
                    </w:rPr>
                    <w:t>废气：</w:t>
                  </w:r>
                  <w:r>
                    <w:rPr>
                      <w:rFonts w:hint="eastAsia" w:cs="Times New Roman"/>
                      <w:b w:val="0"/>
                      <w:bCs w:val="0"/>
                      <w:color w:val="000000" w:themeColor="text1"/>
                      <w:kern w:val="0"/>
                      <w:sz w:val="21"/>
                      <w:szCs w:val="21"/>
                      <w:lang w:val="en-US" w:eastAsia="zh-CN" w:bidi="en-US"/>
                      <w14:textFill>
                        <w14:solidFill>
                          <w14:schemeClr w14:val="tx1"/>
                        </w14:solidFill>
                      </w14:textFill>
                    </w:rPr>
                    <w:t>本项目物料均由外包车辆拉运货物；厂区内使用非道路移动机械全部使用达到国三及以上排放标准或使用新能源机械。</w:t>
                  </w:r>
                </w:p>
                <w:p w14:paraId="42AE8B0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000000" w:themeColor="text1"/>
                      <w:lang w:val="en-US" w:eastAsia="zh-CN"/>
                      <w14:textFill>
                        <w14:solidFill>
                          <w14:schemeClr w14:val="tx1"/>
                        </w14:solidFill>
                      </w14:textFill>
                    </w:rPr>
                  </w:pPr>
                  <w:r>
                    <w:rPr>
                      <w:rFonts w:hint="eastAsia" w:cs="Times New Roman"/>
                      <w:b/>
                      <w:bCs/>
                      <w:color w:val="000000" w:themeColor="text1"/>
                      <w:kern w:val="0"/>
                      <w:sz w:val="21"/>
                      <w:szCs w:val="21"/>
                      <w:lang w:val="en-US" w:eastAsia="zh-CN" w:bidi="en-US"/>
                      <w14:textFill>
                        <w14:solidFill>
                          <w14:schemeClr w14:val="tx1"/>
                        </w14:solidFill>
                      </w14:textFill>
                    </w:rPr>
                    <w:t>废水：</w:t>
                  </w:r>
                  <w:r>
                    <w:rPr>
                      <w:rFonts w:hint="eastAsia" w:cs="Times New Roman"/>
                      <w:b w:val="0"/>
                      <w:bCs w:val="0"/>
                      <w:color w:val="000000" w:themeColor="text1"/>
                      <w:kern w:val="0"/>
                      <w:sz w:val="21"/>
                      <w:szCs w:val="21"/>
                      <w:lang w:val="en-US" w:eastAsia="zh-CN" w:bidi="en-US"/>
                      <w14:textFill>
                        <w14:solidFill>
                          <w14:schemeClr w14:val="tx1"/>
                        </w14:solidFill>
                      </w14:textFill>
                    </w:rPr>
                    <w:t>本项目厂区内雨污分流，无生产废水排放，</w:t>
                  </w:r>
                  <w:r>
                    <w:rPr>
                      <w:rFonts w:hint="eastAsia" w:cs="Times New Roman"/>
                      <w:color w:val="000000" w:themeColor="text1"/>
                      <w:kern w:val="0"/>
                      <w:sz w:val="21"/>
                      <w:szCs w:val="21"/>
                      <w:highlight w:val="none"/>
                      <w:lang w:val="en-US" w:eastAsia="zh-CN"/>
                      <w14:textFill>
                        <w14:solidFill>
                          <w14:schemeClr w14:val="tx1"/>
                        </w14:solidFill>
                      </w14:textFill>
                    </w:rPr>
                    <w:t>生活污水经化粪池预处理后通过市政污水管网排入沣西新城大王污水处理</w:t>
                  </w:r>
                  <w:r>
                    <w:rPr>
                      <w:rFonts w:hint="eastAsia" w:cs="Times New Roman"/>
                      <w:color w:val="000000" w:themeColor="text1"/>
                      <w:kern w:val="0"/>
                      <w:sz w:val="21"/>
                      <w:szCs w:val="21"/>
                      <w:lang w:val="en-US" w:eastAsia="zh-CN" w:bidi="en-US"/>
                      <w14:textFill>
                        <w14:solidFill>
                          <w14:schemeClr w14:val="tx1"/>
                        </w14:solidFill>
                      </w14:textFill>
                    </w:rPr>
                    <w:t>厂，污水处理厂可</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达到《陕西省黄河流域污水综合排放标准》（DB61/224-2018）排放限值要求</w:t>
                  </w:r>
                  <w:r>
                    <w:rPr>
                      <w:rFonts w:hint="eastAsia" w:cs="Times New Roman"/>
                      <w:color w:val="000000" w:themeColor="text1"/>
                      <w:kern w:val="0"/>
                      <w:sz w:val="21"/>
                      <w:szCs w:val="21"/>
                      <w:lang w:val="en-US" w:eastAsia="zh-CN" w:bidi="en-US"/>
                      <w14:textFill>
                        <w14:solidFill>
                          <w14:schemeClr w14:val="tx1"/>
                        </w14:solidFill>
                      </w14:textFill>
                    </w:rPr>
                    <w:t>。</w:t>
                  </w:r>
                </w:p>
              </w:tc>
              <w:tc>
                <w:tcPr>
                  <w:tcW w:w="318" w:type="pct"/>
                  <w:tcBorders>
                    <w:tl2br w:val="nil"/>
                    <w:tr2bl w:val="nil"/>
                  </w:tcBorders>
                  <w:noWrap w:val="0"/>
                  <w:vAlign w:val="center"/>
                </w:tcPr>
                <w:p w14:paraId="263A97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en-US"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bidi="en-US"/>
                      <w14:textFill>
                        <w14:solidFill>
                          <w14:schemeClr w14:val="tx1"/>
                        </w14:solidFill>
                      </w14:textFill>
                    </w:rPr>
                    <w:t>符合</w:t>
                  </w:r>
                </w:p>
              </w:tc>
            </w:tr>
            <w:tr w14:paraId="6F29D3D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28" w:type="dxa"/>
                  <w:bottom w:w="28" w:type="dxa"/>
                  <w:right w:w="28" w:type="dxa"/>
                </w:tblCellMar>
              </w:tblPrEx>
              <w:trPr>
                <w:trHeight w:val="90" w:hRule="atLeast"/>
                <w:jc w:val="center"/>
              </w:trPr>
              <w:tc>
                <w:tcPr>
                  <w:tcW w:w="282" w:type="pct"/>
                  <w:vMerge w:val="continue"/>
                  <w:tcBorders>
                    <w:tl2br w:val="nil"/>
                    <w:tr2bl w:val="nil"/>
                  </w:tcBorders>
                  <w:noWrap w:val="0"/>
                  <w:vAlign w:val="center"/>
                </w:tcPr>
                <w:p w14:paraId="5BE753E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8" w:type="pct"/>
                  <w:vMerge w:val="continue"/>
                  <w:tcBorders>
                    <w:tl2br w:val="nil"/>
                    <w:tr2bl w:val="nil"/>
                  </w:tcBorders>
                  <w:noWrap w:val="0"/>
                  <w:vAlign w:val="center"/>
                </w:tcPr>
                <w:p w14:paraId="2402C18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99" w:type="pct"/>
                  <w:vMerge w:val="continue"/>
                  <w:tcBorders>
                    <w:tl2br w:val="nil"/>
                    <w:tr2bl w:val="nil"/>
                  </w:tcBorders>
                  <w:noWrap w:val="0"/>
                  <w:vAlign w:val="center"/>
                </w:tcPr>
                <w:p w14:paraId="0271FC5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10" w:type="pct"/>
                  <w:vMerge w:val="continue"/>
                  <w:tcBorders>
                    <w:tl2br w:val="nil"/>
                    <w:tr2bl w:val="nil"/>
                  </w:tcBorders>
                  <w:noWrap w:val="0"/>
                  <w:vAlign w:val="center"/>
                </w:tcPr>
                <w:p w14:paraId="5545B1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6" w:type="pct"/>
                  <w:vMerge w:val="continue"/>
                  <w:tcBorders>
                    <w:tl2br w:val="nil"/>
                    <w:tr2bl w:val="nil"/>
                  </w:tcBorders>
                  <w:noWrap w:val="0"/>
                  <w:vAlign w:val="center"/>
                </w:tcPr>
                <w:p w14:paraId="12BF05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24" w:type="pct"/>
                  <w:tcBorders>
                    <w:tl2br w:val="nil"/>
                    <w:tr2bl w:val="nil"/>
                  </w:tcBorders>
                  <w:noWrap w:val="0"/>
                  <w:vAlign w:val="center"/>
                </w:tcPr>
                <w:p w14:paraId="5AF703E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Calibri"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环境风险防控</w:t>
                  </w:r>
                </w:p>
              </w:tc>
              <w:tc>
                <w:tcPr>
                  <w:tcW w:w="1613" w:type="pct"/>
                  <w:tcBorders>
                    <w:tl2br w:val="nil"/>
                    <w:tr2bl w:val="nil"/>
                  </w:tcBorders>
                  <w:noWrap w:val="0"/>
                  <w:vAlign w:val="center"/>
                </w:tcPr>
                <w:p w14:paraId="165D63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en-US"/>
                      <w14:textFill>
                        <w14:solidFill>
                          <w14:schemeClr w14:val="tx1"/>
                        </w14:solidFill>
                      </w14:textFill>
                    </w:rPr>
                    <w:t>/</w:t>
                  </w:r>
                </w:p>
              </w:tc>
              <w:tc>
                <w:tcPr>
                  <w:tcW w:w="346" w:type="pct"/>
                  <w:vMerge w:val="continue"/>
                  <w:tcBorders>
                    <w:tl2br w:val="nil"/>
                    <w:tr2bl w:val="nil"/>
                  </w:tcBorders>
                  <w:noWrap w:val="0"/>
                  <w:vAlign w:val="center"/>
                </w:tcPr>
                <w:p w14:paraId="477E0C2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1028" w:type="pct"/>
                  <w:tcBorders>
                    <w:tl2br w:val="nil"/>
                    <w:tr2bl w:val="nil"/>
                  </w:tcBorders>
                  <w:noWrap w:val="0"/>
                  <w:vAlign w:val="center"/>
                </w:tcPr>
                <w:p w14:paraId="4F31847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en-US"/>
                      <w14:textFill>
                        <w14:solidFill>
                          <w14:schemeClr w14:val="tx1"/>
                        </w14:solidFill>
                      </w14:textFill>
                    </w:rPr>
                    <w:t>/</w:t>
                  </w:r>
                </w:p>
              </w:tc>
              <w:tc>
                <w:tcPr>
                  <w:tcW w:w="318" w:type="pct"/>
                  <w:tcBorders>
                    <w:tl2br w:val="nil"/>
                    <w:tr2bl w:val="nil"/>
                  </w:tcBorders>
                  <w:noWrap w:val="0"/>
                  <w:vAlign w:val="center"/>
                </w:tcPr>
                <w:p w14:paraId="18B507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en-US"/>
                      <w14:textFill>
                        <w14:solidFill>
                          <w14:schemeClr w14:val="tx1"/>
                        </w14:solidFill>
                      </w14:textFill>
                    </w:rPr>
                    <w:t>/</w:t>
                  </w:r>
                </w:p>
              </w:tc>
            </w:tr>
            <w:tr w14:paraId="60FCF1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28" w:type="dxa"/>
                  <w:left w:w="28" w:type="dxa"/>
                  <w:bottom w:w="28" w:type="dxa"/>
                  <w:right w:w="28" w:type="dxa"/>
                </w:tblCellMar>
              </w:tblPrEx>
              <w:trPr>
                <w:trHeight w:val="397" w:hRule="atLeast"/>
                <w:jc w:val="center"/>
              </w:trPr>
              <w:tc>
                <w:tcPr>
                  <w:tcW w:w="282" w:type="pct"/>
                  <w:vMerge w:val="continue"/>
                  <w:tcBorders>
                    <w:tl2br w:val="nil"/>
                    <w:tr2bl w:val="nil"/>
                  </w:tcBorders>
                  <w:noWrap w:val="0"/>
                  <w:vAlign w:val="center"/>
                </w:tcPr>
                <w:p w14:paraId="3F90F1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8" w:type="pct"/>
                  <w:vMerge w:val="continue"/>
                  <w:tcBorders>
                    <w:tl2br w:val="nil"/>
                    <w:tr2bl w:val="nil"/>
                  </w:tcBorders>
                  <w:noWrap w:val="0"/>
                  <w:vAlign w:val="center"/>
                </w:tcPr>
                <w:p w14:paraId="7216EBD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99" w:type="pct"/>
                  <w:vMerge w:val="continue"/>
                  <w:tcBorders>
                    <w:tl2br w:val="nil"/>
                    <w:tr2bl w:val="nil"/>
                  </w:tcBorders>
                  <w:noWrap w:val="0"/>
                  <w:vAlign w:val="center"/>
                </w:tcPr>
                <w:p w14:paraId="2982ABB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10" w:type="pct"/>
                  <w:vMerge w:val="continue"/>
                  <w:tcBorders>
                    <w:tl2br w:val="nil"/>
                    <w:tr2bl w:val="nil"/>
                  </w:tcBorders>
                  <w:noWrap w:val="0"/>
                  <w:vAlign w:val="center"/>
                </w:tcPr>
                <w:p w14:paraId="0941678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236" w:type="pct"/>
                  <w:vMerge w:val="continue"/>
                  <w:tcBorders>
                    <w:tl2br w:val="nil"/>
                    <w:tr2bl w:val="nil"/>
                  </w:tcBorders>
                  <w:noWrap w:val="0"/>
                  <w:vAlign w:val="center"/>
                </w:tcPr>
                <w:p w14:paraId="7565F1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324" w:type="pct"/>
                  <w:tcBorders>
                    <w:tl2br w:val="nil"/>
                    <w:tr2bl w:val="nil"/>
                  </w:tcBorders>
                  <w:noWrap w:val="0"/>
                  <w:vAlign w:val="center"/>
                </w:tcPr>
                <w:p w14:paraId="2D01F10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Calibri"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资源</w:t>
                  </w:r>
                  <w:r>
                    <w:rPr>
                      <w:rFonts w:hint="default" w:ascii="Times New Roman" w:hAnsi="Times New Roman" w:cs="Times New Roman"/>
                      <w:color w:val="000000" w:themeColor="text1"/>
                      <w:kern w:val="0"/>
                      <w:sz w:val="21"/>
                      <w:szCs w:val="21"/>
                      <w:lang w:val="en-US" w:eastAsia="zh-CN" w:bidi="en-US"/>
                      <w14:textFill>
                        <w14:solidFill>
                          <w14:schemeClr w14:val="tx1"/>
                        </w14:solidFill>
                      </w14:textFill>
                    </w:rPr>
                    <w:t>开发</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效率要求</w:t>
                  </w:r>
                </w:p>
              </w:tc>
              <w:tc>
                <w:tcPr>
                  <w:tcW w:w="1613" w:type="pct"/>
                  <w:tcBorders>
                    <w:tl2br w:val="nil"/>
                    <w:tr2bl w:val="nil"/>
                  </w:tcBorders>
                  <w:noWrap w:val="0"/>
                  <w:vAlign w:val="center"/>
                </w:tcPr>
                <w:p w14:paraId="764E5E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en-US"/>
                      <w14:textFill>
                        <w14:solidFill>
                          <w14:schemeClr w14:val="tx1"/>
                        </w14:solidFill>
                      </w14:textFill>
                    </w:rPr>
                    <w:t>高污染燃料禁燃区：</w:t>
                  </w:r>
                </w:p>
                <w:p w14:paraId="001A215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1.禁止销售、使用高污染燃料。禁止新建、扩建燃用高污染燃料的设施。已建成的，应当在市人民政府规定的期限内停止使用或者改用天然气、页岩气、煤层气、液化石油气、干热岩、电、太阳能或者其他清洁能源。</w:t>
                  </w:r>
                </w:p>
                <w:p w14:paraId="609195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2.禁止燃放烟花爆竹。</w:t>
                  </w:r>
                </w:p>
              </w:tc>
              <w:tc>
                <w:tcPr>
                  <w:tcW w:w="346" w:type="pct"/>
                  <w:vMerge w:val="continue"/>
                  <w:tcBorders>
                    <w:tl2br w:val="nil"/>
                    <w:tr2bl w:val="nil"/>
                  </w:tcBorders>
                  <w:noWrap w:val="0"/>
                  <w:vAlign w:val="center"/>
                </w:tcPr>
                <w:p w14:paraId="2740C3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p>
              </w:tc>
              <w:tc>
                <w:tcPr>
                  <w:tcW w:w="1028" w:type="pct"/>
                  <w:tcBorders>
                    <w:tl2br w:val="nil"/>
                    <w:tr2bl w:val="nil"/>
                  </w:tcBorders>
                  <w:noWrap w:val="0"/>
                  <w:vAlign w:val="center"/>
                </w:tcPr>
                <w:p w14:paraId="0D8C5E0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本项目</w:t>
                  </w:r>
                  <w:r>
                    <w:rPr>
                      <w:rFonts w:hint="eastAsia" w:cs="Times New Roman"/>
                      <w:color w:val="000000" w:themeColor="text1"/>
                      <w:kern w:val="0"/>
                      <w:sz w:val="21"/>
                      <w:szCs w:val="21"/>
                      <w:lang w:val="en-US" w:eastAsia="zh-CN" w:bidi="en-US"/>
                      <w14:textFill>
                        <w14:solidFill>
                          <w14:schemeClr w14:val="tx1"/>
                        </w14:solidFill>
                      </w14:textFill>
                    </w:rPr>
                    <w:t>使用能源为电能，不涉及</w:t>
                  </w:r>
                  <w:r>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t>燃料使用</w:t>
                  </w:r>
                  <w:r>
                    <w:rPr>
                      <w:rFonts w:hint="eastAsia" w:cs="Times New Roman"/>
                      <w:color w:val="000000" w:themeColor="text1"/>
                      <w:kern w:val="0"/>
                      <w:sz w:val="21"/>
                      <w:szCs w:val="21"/>
                      <w:lang w:val="en-US" w:eastAsia="zh-CN" w:bidi="en-US"/>
                      <w14:textFill>
                        <w14:solidFill>
                          <w14:schemeClr w14:val="tx1"/>
                        </w14:solidFill>
                      </w14:textFill>
                    </w:rPr>
                    <w:t>。</w:t>
                  </w:r>
                </w:p>
              </w:tc>
              <w:tc>
                <w:tcPr>
                  <w:tcW w:w="318" w:type="pct"/>
                  <w:tcBorders>
                    <w:tl2br w:val="nil"/>
                    <w:tr2bl w:val="nil"/>
                  </w:tcBorders>
                  <w:noWrap w:val="0"/>
                  <w:vAlign w:val="center"/>
                </w:tcPr>
                <w:p w14:paraId="3B07899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en-US" w:bidi="en-US"/>
                      <w14:textFill>
                        <w14:solidFill>
                          <w14:schemeClr w14:val="tx1"/>
                        </w14:solidFill>
                      </w14:textFill>
                    </w:rPr>
                    <w:t>符合</w:t>
                  </w:r>
                </w:p>
              </w:tc>
            </w:tr>
          </w:tbl>
          <w:p w14:paraId="7F63C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482" w:firstLineChars="200"/>
              <w:textAlignment w:val="auto"/>
              <w:rPr>
                <w:rFonts w:hint="eastAsia"/>
                <w:color w:val="000000" w:themeColor="text1"/>
                <w:lang w:eastAsia="zh-CN"/>
                <w14:textFill>
                  <w14:solidFill>
                    <w14:schemeClr w14:val="tx1"/>
                  </w14:solidFill>
                </w14:textFill>
              </w:rPr>
            </w:pPr>
            <w:r>
              <w:rPr>
                <w:rFonts w:hint="eastAsia" w:ascii="Times New Roman" w:hAnsi="Times New Roman" w:cs="Times New Roman"/>
                <w:b/>
                <w:bCs/>
                <w:color w:val="000000" w:themeColor="text1"/>
                <w:sz w:val="24"/>
                <w:lang w:eastAsia="zh-CN"/>
                <w14:textFill>
                  <w14:solidFill>
                    <w14:schemeClr w14:val="tx1"/>
                  </w14:solidFill>
                </w14:textFill>
              </w:rPr>
              <w:t>一说明：</w:t>
            </w:r>
            <w:r>
              <w:rPr>
                <w:rFonts w:hint="default" w:ascii="Times New Roman" w:hAnsi="Times New Roman" w:cs="Times New Roman"/>
                <w:color w:val="000000" w:themeColor="text1"/>
                <w14:textFill>
                  <w14:solidFill>
                    <w14:schemeClr w14:val="tx1"/>
                  </w14:solidFill>
                </w14:textFill>
              </w:rPr>
              <w:t>本项目满足</w:t>
            </w:r>
            <w:r>
              <w:rPr>
                <w:rFonts w:hint="eastAsia" w:cs="Times New Roman"/>
                <w:color w:val="000000" w:themeColor="text1"/>
                <w:lang w:eastAsia="zh-CN"/>
                <w14:textFill>
                  <w14:solidFill>
                    <w14:schemeClr w14:val="tx1"/>
                  </w14:solidFill>
                </w14:textFill>
              </w:rPr>
              <w:t>重点管控单元</w:t>
            </w:r>
            <w:r>
              <w:rPr>
                <w:rFonts w:hint="default" w:ascii="Times New Roman" w:hAnsi="Times New Roman" w:cs="Times New Roman"/>
                <w:color w:val="000000" w:themeColor="text1"/>
                <w14:textFill>
                  <w14:solidFill>
                    <w14:schemeClr w14:val="tx1"/>
                  </w14:solidFill>
                </w14:textFill>
              </w:rPr>
              <w:t>关于空间布局约束、污染排放管控、环境风险防控、资源开发效率相关要求，符合“三线一单”</w:t>
            </w:r>
            <w:r>
              <w:rPr>
                <w:rFonts w:hint="eastAsia" w:cs="Times New Roman"/>
                <w:color w:val="000000" w:themeColor="text1"/>
                <w:lang w:val="en-US" w:eastAsia="zh-CN"/>
                <w14:textFill>
                  <w14:solidFill>
                    <w14:schemeClr w14:val="tx1"/>
                  </w14:solidFill>
                </w14:textFill>
              </w:rPr>
              <w:t>管控要求</w:t>
            </w:r>
            <w:r>
              <w:rPr>
                <w:rFonts w:hint="default" w:ascii="Times New Roman" w:hAnsi="Times New Roman" w:cs="Times New Roman"/>
                <w:color w:val="000000" w:themeColor="text1"/>
                <w14:textFill>
                  <w14:solidFill>
                    <w14:schemeClr w14:val="tx1"/>
                  </w14:solidFill>
                </w14:textFill>
              </w:rPr>
              <w:t>。</w:t>
            </w:r>
          </w:p>
        </w:tc>
      </w:tr>
    </w:tbl>
    <w:p w14:paraId="3F51D416">
      <w:pPr>
        <w:spacing w:line="360" w:lineRule="auto"/>
        <w:ind w:firstLine="600"/>
        <w:outlineLvl w:val="0"/>
        <w:rPr>
          <w:rFonts w:hint="default" w:ascii="Times New Roman" w:hAnsi="Times New Roman" w:eastAsia="黑体" w:cs="Times New Roman"/>
          <w:color w:val="000000" w:themeColor="text1"/>
          <w:sz w:val="30"/>
          <w14:textFill>
            <w14:solidFill>
              <w14:schemeClr w14:val="tx1"/>
            </w14:solidFill>
          </w14:textFill>
        </w:rPr>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tbl>
      <w:tblPr>
        <w:tblStyle w:val="2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7893"/>
      </w:tblGrid>
      <w:tr w14:paraId="2F8B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5" w:hRule="atLeast"/>
        </w:trPr>
        <w:tc>
          <w:tcPr>
            <w:tcW w:w="643" w:type="pct"/>
            <w:vAlign w:val="center"/>
          </w:tcPr>
          <w:p w14:paraId="3A0BEACC">
            <w:pPr>
              <w:keepNext w:val="0"/>
              <w:keepLines w:val="0"/>
              <w:suppressLineNumbers w:val="0"/>
              <w:spacing w:before="0" w:beforeAutospacing="0" w:after="0" w:afterAutospacing="0" w:line="360" w:lineRule="auto"/>
              <w:ind w:left="0" w:right="0" w:firstLine="0" w:firstLineChars="0"/>
              <w:jc w:val="center"/>
              <w:outlineLvl w:val="0"/>
              <w:rPr>
                <w:rFonts w:hint="default" w:ascii="Times New Roman" w:hAnsi="Times New Roman" w:eastAsia="黑体" w:cs="Times New Roman"/>
                <w:color w:val="000000" w:themeColor="text1"/>
                <w:sz w:val="3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其他符合性分析</w:t>
            </w:r>
          </w:p>
        </w:tc>
        <w:tc>
          <w:tcPr>
            <w:tcW w:w="4356" w:type="pct"/>
          </w:tcPr>
          <w:p w14:paraId="353BAC1C">
            <w:pPr>
              <w:keepNext w:val="0"/>
              <w:keepLines w:val="0"/>
              <w:suppressLineNumbers w:val="0"/>
              <w:spacing w:before="0" w:beforeAutospacing="0" w:after="0" w:afterAutospacing="0"/>
              <w:ind w:left="0" w:right="0"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、与相关政策符合性分析</w:t>
            </w:r>
          </w:p>
          <w:p w14:paraId="487B220A">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本项目与相关政策的符合性分析见表1-</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w:t>
            </w:r>
          </w:p>
          <w:p w14:paraId="522651F7">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表1-</w:t>
            </w:r>
            <w:r>
              <w:rPr>
                <w:rFonts w:hint="eastAsia" w:eastAsia="黑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与相关政策的符合性分析</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3150"/>
              <w:gridCol w:w="2287"/>
              <w:gridCol w:w="725"/>
            </w:tblGrid>
            <w:tr w14:paraId="3547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78" w:type="pct"/>
                  <w:vAlign w:val="center"/>
                </w:tcPr>
                <w:p w14:paraId="4F67D2FA">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eastAsia="宋体"/>
                      <w:b/>
                      <w:bCs/>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文件</w:t>
                  </w:r>
                </w:p>
              </w:tc>
              <w:tc>
                <w:tcPr>
                  <w:tcW w:w="2055" w:type="pct"/>
                  <w:vAlign w:val="center"/>
                </w:tcPr>
                <w:p w14:paraId="285E65B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b/>
                      <w:bCs/>
                      <w:color w:val="000000" w:themeColor="text1"/>
                      <w14:textFill>
                        <w14:solidFill>
                          <w14:schemeClr w14:val="tx1"/>
                        </w14:solidFill>
                      </w14:textFill>
                    </w:rPr>
                  </w:pPr>
                  <w:r>
                    <w:rPr>
                      <w:rFonts w:hint="default"/>
                      <w:b/>
                      <w:bCs/>
                      <w:color w:val="000000" w:themeColor="text1"/>
                      <w:lang w:val="zh-CN"/>
                      <w14:textFill>
                        <w14:solidFill>
                          <w14:schemeClr w14:val="tx1"/>
                        </w14:solidFill>
                      </w14:textFill>
                    </w:rPr>
                    <w:t>政策要求</w:t>
                  </w:r>
                </w:p>
              </w:tc>
              <w:tc>
                <w:tcPr>
                  <w:tcW w:w="1492" w:type="pct"/>
                  <w:vAlign w:val="center"/>
                </w:tcPr>
                <w:p w14:paraId="563ECBA2">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b/>
                      <w:bCs/>
                      <w:color w:val="000000" w:themeColor="text1"/>
                      <w14:textFill>
                        <w14:solidFill>
                          <w14:schemeClr w14:val="tx1"/>
                        </w14:solidFill>
                      </w14:textFill>
                    </w:rPr>
                  </w:pPr>
                  <w:r>
                    <w:rPr>
                      <w:rFonts w:hint="eastAsia"/>
                      <w:b/>
                      <w:bCs/>
                      <w:color w:val="000000" w:themeColor="text1"/>
                      <w:lang w:val="zh-CN"/>
                      <w14:textFill>
                        <w14:solidFill>
                          <w14:schemeClr w14:val="tx1"/>
                        </w14:solidFill>
                      </w14:textFill>
                    </w:rPr>
                    <w:t>本项目情况</w:t>
                  </w:r>
                </w:p>
              </w:tc>
              <w:tc>
                <w:tcPr>
                  <w:tcW w:w="473" w:type="pct"/>
                  <w:vAlign w:val="center"/>
                </w:tcPr>
                <w:p w14:paraId="7982B30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b/>
                      <w:bCs/>
                      <w:color w:val="000000" w:themeColor="text1"/>
                      <w14:textFill>
                        <w14:solidFill>
                          <w14:schemeClr w14:val="tx1"/>
                        </w14:solidFill>
                      </w14:textFill>
                    </w:rPr>
                  </w:pPr>
                  <w:r>
                    <w:rPr>
                      <w:rFonts w:hint="default"/>
                      <w:b/>
                      <w:bCs/>
                      <w:color w:val="000000" w:themeColor="text1"/>
                      <w:lang w:val="zh-CN"/>
                      <w14:textFill>
                        <w14:solidFill>
                          <w14:schemeClr w14:val="tx1"/>
                        </w14:solidFill>
                      </w14:textFill>
                    </w:rPr>
                    <w:t>符合性</w:t>
                  </w:r>
                </w:p>
              </w:tc>
            </w:tr>
            <w:tr w14:paraId="3667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1" w:hRule="atLeast"/>
                <w:jc w:val="center"/>
              </w:trPr>
              <w:tc>
                <w:tcPr>
                  <w:tcW w:w="978" w:type="pct"/>
                  <w:vMerge w:val="restart"/>
                  <w:vAlign w:val="center"/>
                </w:tcPr>
                <w:p w14:paraId="3604152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《挥发性有机物无组织排放控制标准》（GB 37822-2019）</w:t>
                  </w:r>
                </w:p>
              </w:tc>
              <w:tc>
                <w:tcPr>
                  <w:tcW w:w="2055" w:type="pct"/>
                  <w:vAlign w:val="center"/>
                </w:tcPr>
                <w:p w14:paraId="4691571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000000" w:themeColor="text1"/>
                      <w:lang w:val="zh-CN"/>
                      <w14:textFill>
                        <w14:solidFill>
                          <w14:schemeClr w14:val="tx1"/>
                        </w14:solidFill>
                      </w14:textFill>
                    </w:rPr>
                  </w:pPr>
                  <w:r>
                    <w:rPr>
                      <w:rFonts w:hint="default"/>
                      <w:color w:val="000000" w:themeColor="text1"/>
                      <w:sz w:val="21"/>
                      <w:szCs w:val="21"/>
                      <w14:textFill>
                        <w14:solidFill>
                          <w14:schemeClr w14:val="tx1"/>
                        </w14:solidFill>
                      </w14:textFill>
                    </w:rPr>
                    <w:t>VOCs物料应储存于密闭的容器、包装袋、储罐、储库、料仓中。盛装VOCs物料的容器或包装袋应存放于室内，或存放于设置有雨棚、遮阳和防渗设施的专用场地。盛装VOCs物料的容器或包装袋在非取用状态时应加盖、封口，保持密闭。</w:t>
                  </w:r>
                </w:p>
              </w:tc>
              <w:tc>
                <w:tcPr>
                  <w:tcW w:w="1492" w:type="pct"/>
                  <w:vAlign w:val="center"/>
                </w:tcPr>
                <w:p w14:paraId="4EBBE57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000000" w:themeColor="text1"/>
                      <w:highlight w:val="yellow"/>
                      <w:lang w:val="zh-CN"/>
                      <w14:textFill>
                        <w14:solidFill>
                          <w14:schemeClr w14:val="tx1"/>
                        </w14:solidFill>
                      </w14:textFill>
                    </w:rPr>
                  </w:pPr>
                  <w:r>
                    <w:rPr>
                      <w:rFonts w:hint="default"/>
                      <w:color w:val="000000" w:themeColor="text1"/>
                      <w:sz w:val="21"/>
                      <w:szCs w:val="21"/>
                      <w14:textFill>
                        <w14:solidFill>
                          <w14:schemeClr w14:val="tx1"/>
                        </w14:solidFill>
                      </w14:textFill>
                    </w:rPr>
                    <w:t>项目所用的</w:t>
                  </w:r>
                  <w:r>
                    <w:rPr>
                      <w:rFonts w:hint="eastAsia"/>
                      <w:color w:val="000000" w:themeColor="text1"/>
                      <w:sz w:val="21"/>
                      <w:szCs w:val="21"/>
                      <w:lang w:val="en-US" w:eastAsia="zh-CN"/>
                      <w14:textFill>
                        <w14:solidFill>
                          <w14:schemeClr w14:val="tx1"/>
                        </w14:solidFill>
                      </w14:textFill>
                    </w:rPr>
                    <w:t>水性油墨</w:t>
                  </w:r>
                  <w:r>
                    <w:rPr>
                      <w:rFonts w:hint="default"/>
                      <w:color w:val="000000" w:themeColor="text1"/>
                      <w:sz w:val="21"/>
                      <w:szCs w:val="21"/>
                      <w14:textFill>
                        <w14:solidFill>
                          <w14:schemeClr w14:val="tx1"/>
                        </w14:solidFill>
                      </w14:textFill>
                    </w:rPr>
                    <w:t>均储存在密闭</w:t>
                  </w:r>
                  <w:r>
                    <w:rPr>
                      <w:rFonts w:hint="eastAsia"/>
                      <w:color w:val="000000" w:themeColor="text1"/>
                      <w:sz w:val="21"/>
                      <w:szCs w:val="21"/>
                      <w:lang w:val="en-US" w:eastAsia="zh-CN"/>
                      <w14:textFill>
                        <w14:solidFill>
                          <w14:schemeClr w14:val="tx1"/>
                        </w14:solidFill>
                      </w14:textFill>
                    </w:rPr>
                    <w:t>容器</w:t>
                  </w:r>
                  <w:r>
                    <w:rPr>
                      <w:rFonts w:hint="eastAsia"/>
                      <w:color w:val="000000" w:themeColor="text1"/>
                      <w:sz w:val="21"/>
                      <w:szCs w:val="21"/>
                      <w14:textFill>
                        <w14:solidFill>
                          <w14:schemeClr w14:val="tx1"/>
                        </w14:solidFill>
                      </w14:textFill>
                    </w:rPr>
                    <w:t>内</w:t>
                  </w:r>
                  <w:r>
                    <w:rPr>
                      <w:rFonts w:hint="default"/>
                      <w:color w:val="000000" w:themeColor="text1"/>
                      <w:sz w:val="21"/>
                      <w:szCs w:val="21"/>
                      <w14:textFill>
                        <w14:solidFill>
                          <w14:schemeClr w14:val="tx1"/>
                        </w14:solidFill>
                      </w14:textFill>
                    </w:rPr>
                    <w:t>，且储存于封闭</w:t>
                  </w:r>
                  <w:r>
                    <w:rPr>
                      <w:rFonts w:hint="eastAsia"/>
                      <w:color w:val="000000" w:themeColor="text1"/>
                      <w:sz w:val="21"/>
                      <w:szCs w:val="21"/>
                      <w14:textFill>
                        <w14:solidFill>
                          <w14:schemeClr w14:val="tx1"/>
                        </w14:solidFill>
                      </w14:textFill>
                    </w:rPr>
                    <w:t>库房内</w:t>
                  </w:r>
                  <w:r>
                    <w:rPr>
                      <w:rFonts w:hint="default"/>
                      <w:color w:val="000000" w:themeColor="text1"/>
                      <w:sz w:val="21"/>
                      <w:szCs w:val="21"/>
                      <w14:textFill>
                        <w14:solidFill>
                          <w14:schemeClr w14:val="tx1"/>
                        </w14:solidFill>
                      </w14:textFill>
                    </w:rPr>
                    <w:t>，满足防雨、防晒、防渗的基本要求，非取用状态的</w:t>
                  </w:r>
                  <w:r>
                    <w:rPr>
                      <w:rFonts w:hint="eastAsia"/>
                      <w:color w:val="000000" w:themeColor="text1"/>
                      <w:sz w:val="21"/>
                      <w:szCs w:val="21"/>
                      <w:lang w:val="en-US" w:eastAsia="zh-CN"/>
                      <w14:textFill>
                        <w14:solidFill>
                          <w14:schemeClr w14:val="tx1"/>
                        </w14:solidFill>
                      </w14:textFill>
                    </w:rPr>
                    <w:t>油墨</w:t>
                  </w:r>
                  <w:r>
                    <w:rPr>
                      <w:rFonts w:hint="default"/>
                      <w:color w:val="000000" w:themeColor="text1"/>
                      <w:sz w:val="21"/>
                      <w:szCs w:val="21"/>
                      <w14:textFill>
                        <w14:solidFill>
                          <w14:schemeClr w14:val="tx1"/>
                        </w14:solidFill>
                      </w14:textFill>
                    </w:rPr>
                    <w:t>存储于密闭</w:t>
                  </w:r>
                  <w:r>
                    <w:rPr>
                      <w:rFonts w:hint="eastAsia"/>
                      <w:color w:val="000000" w:themeColor="text1"/>
                      <w:sz w:val="21"/>
                      <w:szCs w:val="21"/>
                      <w:lang w:val="en-US" w:eastAsia="zh-CN"/>
                      <w14:textFill>
                        <w14:solidFill>
                          <w14:schemeClr w14:val="tx1"/>
                        </w14:solidFill>
                      </w14:textFill>
                    </w:rPr>
                    <w:t>容器</w:t>
                  </w:r>
                  <w:r>
                    <w:rPr>
                      <w:rFonts w:hint="default"/>
                      <w:color w:val="000000" w:themeColor="text1"/>
                      <w:sz w:val="21"/>
                      <w:szCs w:val="21"/>
                      <w14:textFill>
                        <w14:solidFill>
                          <w14:schemeClr w14:val="tx1"/>
                        </w14:solidFill>
                      </w14:textFill>
                    </w:rPr>
                    <w:t>内</w:t>
                  </w:r>
                  <w:r>
                    <w:rPr>
                      <w:rFonts w:hint="eastAsia"/>
                      <w:color w:val="000000" w:themeColor="text1"/>
                      <w:sz w:val="21"/>
                      <w:szCs w:val="21"/>
                      <w14:textFill>
                        <w14:solidFill>
                          <w14:schemeClr w14:val="tx1"/>
                        </w14:solidFill>
                      </w14:textFill>
                    </w:rPr>
                    <w:t>加盖、封口</w:t>
                  </w:r>
                  <w:r>
                    <w:rPr>
                      <w:rFonts w:hint="default"/>
                      <w:color w:val="000000" w:themeColor="text1"/>
                      <w:sz w:val="21"/>
                      <w:szCs w:val="21"/>
                      <w14:textFill>
                        <w14:solidFill>
                          <w14:schemeClr w14:val="tx1"/>
                        </w14:solidFill>
                      </w14:textFill>
                    </w:rPr>
                    <w:t>。</w:t>
                  </w:r>
                </w:p>
              </w:tc>
              <w:tc>
                <w:tcPr>
                  <w:tcW w:w="473" w:type="pct"/>
                  <w:vAlign w:val="center"/>
                </w:tcPr>
                <w:p w14:paraId="0F569573">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14:paraId="1A98F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78" w:type="pct"/>
                  <w:vMerge w:val="continue"/>
                  <w:vAlign w:val="center"/>
                </w:tcPr>
                <w:p w14:paraId="59AD5BB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p>
              </w:tc>
              <w:tc>
                <w:tcPr>
                  <w:tcW w:w="2055" w:type="pct"/>
                  <w:vAlign w:val="center"/>
                </w:tcPr>
                <w:p w14:paraId="0207E966">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收集的废气中NMHC初始排放速率≥3kg/h时，应配置VOCs处理设施，处理效率不应低于80%；对于重点地区，收集的废气中NMHC初始排放速率≥2kg/h时，应配置VOCs处理设施，处理效率不应低于80%</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1492" w:type="pct"/>
                  <w:vAlign w:val="center"/>
                </w:tcPr>
                <w:p w14:paraId="5491000F">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1"/>
                      <w:szCs w:val="21"/>
                      <w:lang w:val="zh-CN" w:eastAsia="zh-CN"/>
                      <w14:textFill>
                        <w14:solidFill>
                          <w14:schemeClr w14:val="tx1"/>
                        </w14:solidFill>
                      </w14:textFill>
                    </w:rPr>
                  </w:pPr>
                  <w:r>
                    <w:rPr>
                      <w:rFonts w:hint="eastAsia" w:ascii="Times New Roman" w:hAnsi="Times New Roman" w:eastAsia="宋体" w:cs="Times New Roman"/>
                      <w:color w:val="000000" w:themeColor="text1"/>
                      <w:sz w:val="21"/>
                      <w:szCs w:val="21"/>
                      <w:lang w:val="zh-CN" w:eastAsia="zh-CN"/>
                      <w14:textFill>
                        <w14:solidFill>
                          <w14:schemeClr w14:val="tx1"/>
                        </w14:solidFill>
                      </w14:textFill>
                    </w:rPr>
                    <w:t>本项目印刷采用水性油墨，NMHC初始排放速率为0.7kg/h，印刷产生的有机废气采用集气罩进行收集后经1套“两级活性炭”处理后通过15m排气筒DA001排放，处理效率为85%。</w:t>
                  </w:r>
                </w:p>
              </w:tc>
              <w:tc>
                <w:tcPr>
                  <w:tcW w:w="473" w:type="pct"/>
                  <w:vAlign w:val="center"/>
                </w:tcPr>
                <w:p w14:paraId="6AE2DF9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14:paraId="2AE0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vAlign w:val="center"/>
                </w:tcPr>
                <w:p w14:paraId="5A6392B1">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14:textFill>
                        <w14:solidFill>
                          <w14:schemeClr w14:val="tx1"/>
                        </w14:solidFill>
                      </w14:textFill>
                    </w:rPr>
                    <w:t>《陕西省“十四五”生态环境保护规划》</w:t>
                  </w:r>
                </w:p>
              </w:tc>
              <w:tc>
                <w:tcPr>
                  <w:tcW w:w="2055" w:type="pct"/>
                  <w:vAlign w:val="center"/>
                </w:tcPr>
                <w:p w14:paraId="6AB8A90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eastAsia="宋体"/>
                      <w:color w:val="000000" w:themeColor="text1"/>
                      <w:lang w:val="en-US" w:eastAsia="zh-CN"/>
                      <w14:textFill>
                        <w14:solidFill>
                          <w14:schemeClr w14:val="tx1"/>
                        </w14:solidFill>
                      </w14:textFill>
                    </w:rPr>
                  </w:pPr>
                  <w:r>
                    <w:rPr>
                      <w:rFonts w:hint="default"/>
                      <w:color w:val="000000" w:themeColor="text1"/>
                      <w:lang w:val="zh-CN"/>
                      <w14:textFill>
                        <w14:solidFill>
                          <w14:schemeClr w14:val="tx1"/>
                        </w14:solidFill>
                      </w14:textFill>
                    </w:rPr>
                    <w:t>推进重点行业挥发性有机物综合整治。建立石化、化工、工业涂装、包装印刷、家具、电子制造、工程机械制造等重点行业源头、过程和末端全过程控制体系，实施挥发性有机物总量控</w:t>
                  </w:r>
                  <w:r>
                    <w:rPr>
                      <w:rFonts w:hint="eastAsia"/>
                      <w:color w:val="000000" w:themeColor="text1"/>
                      <w:lang w:val="en-US" w:eastAsia="zh-CN"/>
                      <w14:textFill>
                        <w14:solidFill>
                          <w14:schemeClr w14:val="tx1"/>
                        </w14:solidFill>
                      </w14:textFill>
                    </w:rPr>
                    <w:t>制。</w:t>
                  </w:r>
                </w:p>
              </w:tc>
              <w:tc>
                <w:tcPr>
                  <w:tcW w:w="1492" w:type="pct"/>
                  <w:shd w:val="clear" w:color="auto" w:fill="auto"/>
                  <w:vAlign w:val="center"/>
                </w:tcPr>
                <w:p w14:paraId="28AF9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2"/>
                      <w:sz w:val="24"/>
                      <w:szCs w:val="24"/>
                      <w:highlight w:val="none"/>
                      <w:lang w:val="zh-CN" w:eastAsia="zh-CN" w:bidi="ar-SA"/>
                      <w14:textFill>
                        <w14:solidFill>
                          <w14:schemeClr w14:val="tx1"/>
                        </w14:solidFill>
                      </w14:textFill>
                    </w:rPr>
                  </w:pPr>
                  <w:r>
                    <w:rPr>
                      <w:rFonts w:hint="eastAsia"/>
                      <w:color w:val="000000" w:themeColor="text1"/>
                      <w:sz w:val="21"/>
                      <w:szCs w:val="21"/>
                      <w14:textFill>
                        <w14:solidFill>
                          <w14:schemeClr w14:val="tx1"/>
                        </w14:solidFill>
                      </w14:textFill>
                    </w:rPr>
                    <w:t>本项目属于纸制品制造行业</w:t>
                  </w:r>
                  <w:r>
                    <w:rPr>
                      <w:rFonts w:hint="eastAsia"/>
                      <w:color w:val="000000" w:themeColor="text1"/>
                      <w:sz w:val="21"/>
                      <w:szCs w:val="21"/>
                      <w:lang w:eastAsia="zh-CN"/>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采用低</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水性油墨，</w:t>
                  </w:r>
                  <w:r>
                    <w:rPr>
                      <w:rFonts w:hint="eastAsia"/>
                      <w:color w:val="000000" w:themeColor="text1"/>
                      <w:sz w:val="21"/>
                      <w:szCs w:val="21"/>
                      <w14:textFill>
                        <w14:solidFill>
                          <w14:schemeClr w14:val="tx1"/>
                        </w14:solidFill>
                      </w14:textFill>
                    </w:rPr>
                    <w:t>印刷产生的有机废气采用集气罩进行收集后经1套“两级活性炭”处理后通过15m排气筒排放</w:t>
                  </w:r>
                  <w:r>
                    <w:rPr>
                      <w:rFonts w:hint="eastAsia"/>
                      <w:color w:val="000000" w:themeColor="text1"/>
                      <w:sz w:val="21"/>
                      <w:szCs w:val="21"/>
                      <w:lang w:eastAsia="zh-CN"/>
                      <w14:textFill>
                        <w14:solidFill>
                          <w14:schemeClr w14:val="tx1"/>
                        </w14:solidFill>
                      </w14:textFill>
                    </w:rPr>
                    <w:t>，VOCs</w:t>
                  </w:r>
                  <w:r>
                    <w:rPr>
                      <w:rFonts w:hint="eastAsia"/>
                      <w:color w:val="000000" w:themeColor="text1"/>
                      <w:sz w:val="21"/>
                      <w:szCs w:val="21"/>
                      <w:lang w:val="en-US" w:eastAsia="zh-CN"/>
                      <w14:textFill>
                        <w14:solidFill>
                          <w14:schemeClr w14:val="tx1"/>
                        </w14:solidFill>
                      </w14:textFill>
                    </w:rPr>
                    <w:t>排放实施总量控制</w:t>
                  </w:r>
                  <w:r>
                    <w:rPr>
                      <w:rFonts w:hint="default"/>
                      <w:color w:val="000000" w:themeColor="text1"/>
                      <w:sz w:val="21"/>
                      <w:szCs w:val="21"/>
                      <w14:textFill>
                        <w14:solidFill>
                          <w14:schemeClr w14:val="tx1"/>
                        </w14:solidFill>
                      </w14:textFill>
                    </w:rPr>
                    <w:t>。</w:t>
                  </w:r>
                </w:p>
              </w:tc>
              <w:tc>
                <w:tcPr>
                  <w:tcW w:w="473" w:type="pct"/>
                  <w:vAlign w:val="center"/>
                </w:tcPr>
                <w:p w14:paraId="5CEA0C5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14:textFill>
                        <w14:solidFill>
                          <w14:schemeClr w14:val="tx1"/>
                        </w14:solidFill>
                      </w14:textFill>
                    </w:rPr>
                  </w:pPr>
                  <w:r>
                    <w:rPr>
                      <w:rFonts w:hint="eastAsia"/>
                      <w:color w:val="000000" w:themeColor="text1"/>
                      <w:lang w:val="zh-CN"/>
                      <w14:textFill>
                        <w14:solidFill>
                          <w14:schemeClr w14:val="tx1"/>
                        </w14:solidFill>
                      </w14:textFill>
                    </w:rPr>
                    <w:t>符合</w:t>
                  </w:r>
                </w:p>
              </w:tc>
            </w:tr>
            <w:tr w14:paraId="41BF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vMerge w:val="restart"/>
                  <w:vAlign w:val="center"/>
                </w:tcPr>
                <w:p w14:paraId="6236719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陕西省生态环境厅关于进一步加强关中地区涉气重点行业项目环评管理的通知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（陕环环评函〔2023〕76号）</w:t>
                  </w:r>
                </w:p>
              </w:tc>
              <w:tc>
                <w:tcPr>
                  <w:tcW w:w="2055" w:type="pct"/>
                  <w:vAlign w:val="center"/>
                </w:tcPr>
                <w:p w14:paraId="3BF417D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color w:val="000000" w:themeColor="text1"/>
                      <w:lang w:val="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关中地区涉气重点行业项目范围为生态环境部确定的39个重点行业的新改扩建项目，涉及关中各市(区)辖区及开发区范围内的应达到环保绩效A级、绩效引领性水平要求，西安市、咸阳市、渭南市的其他区域应达到环保绩效B级及以上要求。</w:t>
                  </w:r>
                </w:p>
              </w:tc>
              <w:tc>
                <w:tcPr>
                  <w:tcW w:w="1492" w:type="pct"/>
                  <w:vMerge w:val="restart"/>
                  <w:shd w:val="clear" w:color="auto" w:fill="auto"/>
                  <w:vAlign w:val="center"/>
                </w:tcPr>
                <w:p w14:paraId="0EE9E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本项目位于西咸新区沣西新城，涉及印刷工艺，属于涉气重点行业中“包装印刷”，</w:t>
                  </w:r>
                  <w:r>
                    <w:rPr>
                      <w:rFonts w:hint="default" w:ascii="Times New Roman" w:hAnsi="Times New Roman" w:cs="Times New Roman"/>
                      <w:color w:val="000000" w:themeColor="text1"/>
                      <w:sz w:val="21"/>
                      <w:szCs w:val="21"/>
                      <w14:textFill>
                        <w14:solidFill>
                          <w14:schemeClr w14:val="tx1"/>
                        </w14:solidFill>
                      </w14:textFill>
                    </w:rPr>
                    <w:t>应达到环保绩效A级、绩效引领性水平要求</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建设单位已出具</w:t>
                  </w:r>
                  <w:r>
                    <w:rPr>
                      <w:rFonts w:hint="default" w:ascii="Times New Roman" w:hAnsi="Times New Roman" w:cs="Times New Roman"/>
                      <w:color w:val="000000" w:themeColor="text1"/>
                      <w:sz w:val="21"/>
                      <w:szCs w:val="21"/>
                      <w:highlight w:val="none"/>
                      <w14:textFill>
                        <w14:solidFill>
                          <w14:schemeClr w14:val="tx1"/>
                        </w14:solidFill>
                      </w14:textFill>
                    </w:rPr>
                    <w:t>环保绩效达级承诺书</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见附件4</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承诺项目建成后按照主管部门规定的时限内完成环保绩效达级</w:t>
                  </w:r>
                  <w:r>
                    <w:rPr>
                      <w:rFonts w:hint="eastAsia" w:cs="Times New Roman"/>
                      <w:color w:val="000000" w:themeColor="text1"/>
                      <w:sz w:val="21"/>
                      <w:szCs w:val="21"/>
                      <w:highlight w:val="none"/>
                      <w:lang w:eastAsia="zh-CN"/>
                      <w14:textFill>
                        <w14:solidFill>
                          <w14:schemeClr w14:val="tx1"/>
                        </w14:solidFill>
                      </w14:textFill>
                    </w:rPr>
                    <w:t>。</w:t>
                  </w:r>
                </w:p>
              </w:tc>
              <w:tc>
                <w:tcPr>
                  <w:tcW w:w="473" w:type="pct"/>
                  <w:vMerge w:val="restart"/>
                  <w:vAlign w:val="center"/>
                </w:tcPr>
                <w:p w14:paraId="2AB0CADE">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符合</w:t>
                  </w:r>
                </w:p>
              </w:tc>
            </w:tr>
            <w:tr w14:paraId="2685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78" w:type="pct"/>
                  <w:vMerge w:val="continue"/>
                  <w:vAlign w:val="center"/>
                </w:tcPr>
                <w:p w14:paraId="743336F6">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color w:val="000000" w:themeColor="text1"/>
                      <w:lang w:eastAsia="zh-CN"/>
                      <w14:textFill>
                        <w14:solidFill>
                          <w14:schemeClr w14:val="tx1"/>
                        </w14:solidFill>
                      </w14:textFill>
                    </w:rPr>
                  </w:pPr>
                </w:p>
              </w:tc>
              <w:tc>
                <w:tcPr>
                  <w:tcW w:w="2055" w:type="pct"/>
                  <w:vAlign w:val="center"/>
                </w:tcPr>
                <w:p w14:paraId="1652D24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both"/>
                    <w:textAlignment w:val="auto"/>
                    <w:rPr>
                      <w:rFonts w:hint="default"/>
                      <w:color w:val="000000" w:themeColor="text1"/>
                      <w:lang w:val="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涉及改、扩建项目的企业应出具环保绩效达级承诺书，原则上应在拟建项目建成时且在专项行动方案或市级生态环境部门规定时限内完成环保绩效达级。承诺书与项目环评文件一并报送环评审批部门，并纳入竣工验收管理。</w:t>
                  </w:r>
                </w:p>
              </w:tc>
              <w:tc>
                <w:tcPr>
                  <w:tcW w:w="1492" w:type="pct"/>
                  <w:vMerge w:val="continue"/>
                  <w:shd w:val="clear" w:color="auto" w:fill="auto"/>
                  <w:vAlign w:val="center"/>
                </w:tcPr>
                <w:p w14:paraId="47E0DB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color w:val="000000" w:themeColor="text1"/>
                      <w:sz w:val="21"/>
                      <w:szCs w:val="21"/>
                      <w14:textFill>
                        <w14:solidFill>
                          <w14:schemeClr w14:val="tx1"/>
                        </w14:solidFill>
                      </w14:textFill>
                    </w:rPr>
                  </w:pPr>
                </w:p>
              </w:tc>
              <w:tc>
                <w:tcPr>
                  <w:tcW w:w="473" w:type="pct"/>
                  <w:vMerge w:val="continue"/>
                  <w:vAlign w:val="center"/>
                </w:tcPr>
                <w:p w14:paraId="540F12E6">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color w:val="000000" w:themeColor="text1"/>
                      <w:lang w:val="zh-CN"/>
                      <w14:textFill>
                        <w14:solidFill>
                          <w14:schemeClr w14:val="tx1"/>
                        </w14:solidFill>
                      </w14:textFill>
                    </w:rPr>
                  </w:pPr>
                </w:p>
              </w:tc>
            </w:tr>
            <w:tr w14:paraId="30A7F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restart"/>
                  <w:vAlign w:val="center"/>
                </w:tcPr>
                <w:p w14:paraId="54F589F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陕西省大气污染治理专项行动方案（2023-2027年）</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2055" w:type="pct"/>
                  <w:vAlign w:val="center"/>
                </w:tcPr>
                <w:p w14:paraId="6C4DE68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产业发展结构调整。严禁新增钢铁、焦化、水泥熟料、平板玻璃、电解铝、氧化铝、煤化工产能，合理控制煤制油气产能规模，严控新增炼油产能。</w:t>
                  </w:r>
                </w:p>
              </w:tc>
              <w:tc>
                <w:tcPr>
                  <w:tcW w:w="1492" w:type="pct"/>
                  <w:vAlign w:val="center"/>
                </w:tcPr>
                <w:p w14:paraId="1FBD300C">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本项目不属于钢铁、焦化、水泥熟料、平板玻璃、电解铝、氧化铝、煤化工等严禁新增产能的行业。</w:t>
                  </w:r>
                </w:p>
              </w:tc>
              <w:tc>
                <w:tcPr>
                  <w:tcW w:w="473" w:type="pct"/>
                  <w:vAlign w:val="center"/>
                </w:tcPr>
                <w:p w14:paraId="0934B4B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07D6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vAlign w:val="center"/>
                </w:tcPr>
                <w:p w14:paraId="4D6637A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2055" w:type="pct"/>
                  <w:vAlign w:val="center"/>
                </w:tcPr>
                <w:p w14:paraId="5078B703">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严格落实国家和我省产业规划、产业政策、“三线一单”、规划环评等要求，深入开展我市区域空间生态环境评价工作，积极推行区域、规划环境影响评价，新改扩建化工、石化、建材、有色等项目的环境影响评价应满足区域和规划环评要求。</w:t>
                  </w:r>
                </w:p>
              </w:tc>
              <w:tc>
                <w:tcPr>
                  <w:tcW w:w="1492" w:type="pct"/>
                  <w:vAlign w:val="center"/>
                </w:tcPr>
                <w:p w14:paraId="77276566">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本项目符合国家和我省产业规划、产业政策、“三线一单”等要求，不属于化工、石化、建材、有色等项目。</w:t>
                  </w:r>
                </w:p>
              </w:tc>
              <w:tc>
                <w:tcPr>
                  <w:tcW w:w="473" w:type="pct"/>
                  <w:vAlign w:val="center"/>
                </w:tcPr>
                <w:p w14:paraId="01F23837">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4F37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Align w:val="center"/>
                </w:tcPr>
                <w:p w14:paraId="510FE9D6">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《西安市“十四五”生态环境保护规划》</w:t>
                  </w:r>
                </w:p>
              </w:tc>
              <w:tc>
                <w:tcPr>
                  <w:tcW w:w="2055" w:type="pct"/>
                  <w:vAlign w:val="center"/>
                </w:tcPr>
                <w:p w14:paraId="3A013B1E">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强化VOCs综合整治。将挥发性有机物纳入污染物排放总量控制体系，有效减少重点污染源、全社会挥发性有机物和NOx排放总量。以建材、有色等行业带动工业窑炉的综合整治，从源头上对氮氧化物和挥发性有机物进行控制。</w:t>
                  </w:r>
                </w:p>
              </w:tc>
              <w:tc>
                <w:tcPr>
                  <w:tcW w:w="1492" w:type="pct"/>
                  <w:vAlign w:val="center"/>
                </w:tcPr>
                <w:p w14:paraId="18CC32B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项目采用低</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水性油墨，</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排放实行总量控制；</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印刷</w:t>
                  </w:r>
                  <w:r>
                    <w:rPr>
                      <w:rFonts w:hint="eastAsia" w:cs="Times New Roman"/>
                      <w:color w:val="000000" w:themeColor="text1"/>
                      <w:kern w:val="0"/>
                      <w:sz w:val="21"/>
                      <w:szCs w:val="21"/>
                      <w:highlight w:val="none"/>
                      <w:lang w:val="en-US" w:eastAsia="zh-CN"/>
                      <w14:textFill>
                        <w14:solidFill>
                          <w14:schemeClr w14:val="tx1"/>
                        </w14:solidFill>
                      </w14:textFill>
                    </w:rPr>
                    <w:t>工序</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产生的有机废气（以非甲烷总烃计）采用集气罩进行收集后经1套“两级活性炭”处理后通过15m排气筒排放。</w:t>
                  </w:r>
                </w:p>
              </w:tc>
              <w:tc>
                <w:tcPr>
                  <w:tcW w:w="473" w:type="pct"/>
                  <w:vAlign w:val="center"/>
                </w:tcPr>
                <w:p w14:paraId="1C0F7264">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7A80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restart"/>
                  <w:vAlign w:val="center"/>
                </w:tcPr>
                <w:p w14:paraId="1A68A80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《西安市生态环境局关于加强挥发性有机物活性炭吸附处理设施运行管理工作的通知》（市环发〔2022〕65号）</w:t>
                  </w:r>
                </w:p>
              </w:tc>
              <w:tc>
                <w:tcPr>
                  <w:tcW w:w="2055" w:type="pct"/>
                  <w:vAlign w:val="center"/>
                </w:tcPr>
                <w:p w14:paraId="78B0230C">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规范治理技术。涉气企业根据当前有关VOCs治理的法律法规、技术规范、政策文件等要求，选择合理的治理工艺。除恶臭异味治理外，淘汰单一使用低温等离子、光催化氧化、活性炭吸附棉、水喷淋等低效处理工艺或其组合工艺。原料VOCs浓度高、排放总量较大的生产工艺原则上采用RTO、RCO等高效处理技术。</w:t>
                  </w:r>
                </w:p>
              </w:tc>
              <w:tc>
                <w:tcPr>
                  <w:tcW w:w="1492" w:type="pct"/>
                  <w:vAlign w:val="center"/>
                </w:tcPr>
                <w:p w14:paraId="1001729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印刷工序</w:t>
                  </w:r>
                  <w:r>
                    <w:rPr>
                      <w:rFonts w:hint="eastAsia" w:cs="Times New Roman"/>
                      <w:color w:val="000000" w:themeColor="text1"/>
                      <w:kern w:val="0"/>
                      <w:sz w:val="21"/>
                      <w:szCs w:val="21"/>
                      <w:highlight w:val="none"/>
                      <w:lang w:val="en-US" w:eastAsia="zh-CN"/>
                      <w14:textFill>
                        <w14:solidFill>
                          <w14:schemeClr w14:val="tx1"/>
                        </w14:solidFill>
                      </w14:textFill>
                    </w:rPr>
                    <w:t>采用低</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水性油墨，VOCs排放量较少，</w:t>
                  </w:r>
                  <w:r>
                    <w:rPr>
                      <w:rFonts w:hint="default" w:ascii="Times New Roman" w:hAnsi="Times New Roman" w:eastAsia="宋体" w:cs="Times New Roman"/>
                      <w:color w:val="000000" w:themeColor="text1"/>
                      <w:lang w:val="zh-CN"/>
                      <w14:textFill>
                        <w14:solidFill>
                          <w14:schemeClr w14:val="tx1"/>
                        </w14:solidFill>
                      </w14:textFill>
                    </w:rPr>
                    <w:t>有机废气通过两级活性炭吸附装置处理，不属于淘汰的低效处理工艺。</w:t>
                  </w:r>
                </w:p>
              </w:tc>
              <w:tc>
                <w:tcPr>
                  <w:tcW w:w="473" w:type="pct"/>
                  <w:vAlign w:val="center"/>
                </w:tcPr>
                <w:p w14:paraId="2FE2E4C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610F2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vAlign w:val="center"/>
                </w:tcPr>
                <w:p w14:paraId="762BD39B">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2055" w:type="pct"/>
                  <w:vAlign w:val="center"/>
                </w:tcPr>
                <w:p w14:paraId="14F21584">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LY/T3284）规定的优级活性炭指标要求。</w:t>
                  </w:r>
                </w:p>
              </w:tc>
              <w:tc>
                <w:tcPr>
                  <w:tcW w:w="1492" w:type="pct"/>
                  <w:vMerge w:val="restart"/>
                  <w:vAlign w:val="center"/>
                </w:tcPr>
                <w:p w14:paraId="7AE696F7">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企业在选择活性炭时，采用蜂窝活性炭，碘吸附值不低于600mg/g，四氯化碳吸附率不低于30%，技术指标应符合《工业有机废气净化用活性炭技术指标及试验方法》（LY/T3284）规定的优级活性炭指标要求。净化装置单个活性炭吸附单元活性炭装填量为0.</w:t>
                  </w:r>
                  <w:r>
                    <w:rPr>
                      <w:rFonts w:hint="eastAsia" w:cs="Times New Roman"/>
                      <w:color w:val="000000" w:themeColor="text1"/>
                      <w:lang w:val="en-US" w:eastAsia="zh-CN"/>
                      <w14:textFill>
                        <w14:solidFill>
                          <w14:schemeClr w14:val="tx1"/>
                        </w14:solidFill>
                      </w14:textFill>
                    </w:rPr>
                    <w:t>06</w:t>
                  </w:r>
                  <w:r>
                    <w:rPr>
                      <w:rFonts w:hint="default" w:ascii="Times New Roman" w:hAnsi="Times New Roman" w:eastAsia="宋体" w:cs="Times New Roman"/>
                      <w:color w:val="000000" w:themeColor="text1"/>
                      <w:lang w:val="zh-CN"/>
                      <w14:textFill>
                        <w14:solidFill>
                          <w14:schemeClr w14:val="tx1"/>
                        </w14:solidFill>
                      </w14:textFill>
                    </w:rPr>
                    <w:t>t，至少每</w:t>
                  </w:r>
                  <w:r>
                    <w:rPr>
                      <w:rFonts w:hint="eastAsia" w:cs="Times New Roman"/>
                      <w:color w:val="000000" w:themeColor="text1"/>
                      <w:lang w:val="en-US" w:eastAsia="zh-CN"/>
                      <w14:textFill>
                        <w14:solidFill>
                          <w14:schemeClr w14:val="tx1"/>
                        </w14:solidFill>
                      </w14:textFill>
                    </w:rPr>
                    <w:t>季度</w:t>
                  </w:r>
                  <w:r>
                    <w:rPr>
                      <w:rFonts w:hint="default" w:ascii="Times New Roman" w:hAnsi="Times New Roman" w:eastAsia="宋体" w:cs="Times New Roman"/>
                      <w:color w:val="000000" w:themeColor="text1"/>
                      <w:lang w:val="zh-CN"/>
                      <w14:textFill>
                        <w14:solidFill>
                          <w14:schemeClr w14:val="tx1"/>
                        </w14:solidFill>
                      </w14:textFill>
                    </w:rPr>
                    <w:t>对活性炭进行一次更换。</w:t>
                  </w:r>
                </w:p>
              </w:tc>
              <w:tc>
                <w:tcPr>
                  <w:tcW w:w="473" w:type="pct"/>
                  <w:vAlign w:val="center"/>
                </w:tcPr>
                <w:p w14:paraId="1BAA739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48D59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vAlign w:val="center"/>
                </w:tcPr>
                <w:p w14:paraId="31178AE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2055" w:type="pct"/>
                  <w:vAlign w:val="center"/>
                </w:tcPr>
                <w:p w14:paraId="6A0507F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明确填充量并及时更换。企业应当根据风量和VOCs初始浓度范围，明确活性炭的填充量、填充厚度和更换时间。</w:t>
                  </w:r>
                </w:p>
              </w:tc>
              <w:tc>
                <w:tcPr>
                  <w:tcW w:w="1492" w:type="pct"/>
                  <w:vMerge w:val="continue"/>
                  <w:vAlign w:val="center"/>
                </w:tcPr>
                <w:p w14:paraId="13B196FA">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p>
              </w:tc>
              <w:tc>
                <w:tcPr>
                  <w:tcW w:w="473" w:type="pct"/>
                  <w:vAlign w:val="center"/>
                </w:tcPr>
                <w:p w14:paraId="534AF57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6BBA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restart"/>
                  <w:vAlign w:val="center"/>
                </w:tcPr>
                <w:p w14:paraId="4DDBC9FB">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《西安市挥发性有机物污染整治专项实施方案（2023-2027年）》</w:t>
                  </w:r>
                </w:p>
              </w:tc>
              <w:tc>
                <w:tcPr>
                  <w:tcW w:w="2055" w:type="pct"/>
                  <w:vAlign w:val="center"/>
                </w:tcPr>
                <w:p w14:paraId="418DF211">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低效治理设施升级改造行动。组织开展企业VOCs治理设施排查，对涉及使用低温等离子、光氧化、光催化技术的废气治理设施，非水溶性VOCs废气采用单一喷淋吸收等治理技术，以及有机化工生产企业使用简易低效污染治理设施的，逐一进行排查，2023年6月底前基本完成VOCs治理低效设施升级改造；2024年6月底前，组织开展低温等离子、光氧化、光催化等挥发性有机物低效设施升级改造情况“回头看”，新建项目不得采用上述单一治理工艺或者组合工艺（恶臭异味治理除外）。</w:t>
                  </w:r>
                </w:p>
              </w:tc>
              <w:tc>
                <w:tcPr>
                  <w:tcW w:w="1492" w:type="pct"/>
                  <w:vAlign w:val="center"/>
                </w:tcPr>
                <w:p w14:paraId="4F4911E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印刷工序</w:t>
                  </w:r>
                  <w:r>
                    <w:rPr>
                      <w:rFonts w:hint="eastAsia" w:cs="Times New Roman"/>
                      <w:color w:val="000000" w:themeColor="text1"/>
                      <w:kern w:val="0"/>
                      <w:sz w:val="21"/>
                      <w:szCs w:val="21"/>
                      <w:highlight w:val="none"/>
                      <w:lang w:val="en-US" w:eastAsia="zh-CN"/>
                      <w14:textFill>
                        <w14:solidFill>
                          <w14:schemeClr w14:val="tx1"/>
                        </w14:solidFill>
                      </w14:textFill>
                    </w:rPr>
                    <w:t>采用低</w:t>
                  </w:r>
                  <w:r>
                    <w:rPr>
                      <w:rFonts w:hint="eastAsia" w:cs="Times New Roman"/>
                      <w:color w:val="000000" w:themeColor="text1"/>
                      <w:kern w:val="0"/>
                      <w:sz w:val="21"/>
                      <w:szCs w:val="21"/>
                      <w:highlight w:val="none"/>
                      <w:lang w:eastAsia="zh-CN"/>
                      <w14:textFill>
                        <w14:solidFill>
                          <w14:schemeClr w14:val="tx1"/>
                        </w14:solidFill>
                      </w14:textFill>
                    </w:rPr>
                    <w:t>VOCs</w:t>
                  </w:r>
                  <w:r>
                    <w:rPr>
                      <w:rFonts w:hint="eastAsia" w:cs="Times New Roman"/>
                      <w:color w:val="000000" w:themeColor="text1"/>
                      <w:kern w:val="0"/>
                      <w:sz w:val="21"/>
                      <w:szCs w:val="21"/>
                      <w:highlight w:val="none"/>
                      <w:lang w:val="en-US" w:eastAsia="zh-CN"/>
                      <w14:textFill>
                        <w14:solidFill>
                          <w14:schemeClr w14:val="tx1"/>
                        </w14:solidFill>
                      </w14:textFill>
                    </w:rPr>
                    <w:t>水性油墨，VOCs排放量较少，</w:t>
                  </w:r>
                  <w:r>
                    <w:rPr>
                      <w:rFonts w:hint="default" w:ascii="Times New Roman" w:hAnsi="Times New Roman" w:eastAsia="宋体" w:cs="Times New Roman"/>
                      <w:color w:val="000000" w:themeColor="text1"/>
                      <w:lang w:val="zh-CN"/>
                      <w14:textFill>
                        <w14:solidFill>
                          <w14:schemeClr w14:val="tx1"/>
                        </w14:solidFill>
                      </w14:textFill>
                    </w:rPr>
                    <w:t>有机废气通过两级活性炭吸附装置处理，不属于淘汰的低效处理工艺。</w:t>
                  </w:r>
                </w:p>
              </w:tc>
              <w:tc>
                <w:tcPr>
                  <w:tcW w:w="473" w:type="pct"/>
                  <w:vAlign w:val="center"/>
                </w:tcPr>
                <w:p w14:paraId="5EF68A4C">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49AB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vAlign w:val="center"/>
                </w:tcPr>
                <w:p w14:paraId="55D992F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2055" w:type="pct"/>
                  <w:vAlign w:val="center"/>
                </w:tcPr>
                <w:p w14:paraId="721C2FF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采用活性炭吸附技术的，其中颗粒碳碘吸附值不低于800mg/g或四氯化碳吸附率不低于60%，蜂窝活性炭碘吸附值不低于600mg/g或四氯化碳吸附率不低于30%，按设计要求足量添加、定期更换，动态更新挥发性有机物治理设施台账。</w:t>
                  </w:r>
                </w:p>
              </w:tc>
              <w:tc>
                <w:tcPr>
                  <w:tcW w:w="1492" w:type="pct"/>
                  <w:vAlign w:val="center"/>
                </w:tcPr>
                <w:p w14:paraId="074FB1CB">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环评要求项目采用蜂窝活性炭，碘吸附值不低于600mg/g或四氯化碳吸附率不低于30%，并定期更换，动态更新挥发性有机物治理设施台账。</w:t>
                  </w:r>
                </w:p>
              </w:tc>
              <w:tc>
                <w:tcPr>
                  <w:tcW w:w="473" w:type="pct"/>
                  <w:vAlign w:val="center"/>
                </w:tcPr>
                <w:p w14:paraId="70EDBFC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328A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Align w:val="center"/>
                </w:tcPr>
                <w:p w14:paraId="5830246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西安市人民政府关于印发西安市空气质量达标规划（2023-2030年）的通知</w:t>
                  </w:r>
                </w:p>
              </w:tc>
              <w:tc>
                <w:tcPr>
                  <w:tcW w:w="2055" w:type="pct"/>
                  <w:vAlign w:val="center"/>
                </w:tcPr>
                <w:p w14:paraId="64AA80E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1.加快推进产业结构调整。加快建设先进制造业强市，优化各园区产业定位，促进产业集聚和绿色发展转型，统筹推进产业布局与大气环境质量改善需求相适应，严格落实国家和我省产业规划、产业政策、“三线一单”、规划环评等要求，新改扩建化工、石化、建材、有色等项目的环境影响评价应满足区域和规划环评要求。</w:t>
                  </w:r>
                </w:p>
                <w:p w14:paraId="48F634C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2.新建项目不再采用单一低温等离子、光氧化、光催化等治理技术，非水溶性VOCs废气不再采用单一喷淋吸收方式处理。严格新改扩建涉气重点行业绩效评级限制条件，各区县、开发区范围内新改扩建涉气重点行业企业应达到环保绩效A级、绩效引领性水平，周至县、蓝田县应达到环保绩效B级及以上水平。督促指导企业落实重污染天气重点行业绩效分级技术指南要求。</w:t>
                  </w:r>
                </w:p>
              </w:tc>
              <w:tc>
                <w:tcPr>
                  <w:tcW w:w="1492" w:type="pct"/>
                  <w:vAlign w:val="center"/>
                </w:tcPr>
                <w:p w14:paraId="13C30323">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1、本项目符合国家和陕西省产业规划、产业政策、“三线一单”等要求，不属于新改扩建化工、石化、建材、有色等项目。</w:t>
                  </w:r>
                </w:p>
                <w:p w14:paraId="7C29C95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2、本项目印刷工序采用低VOCs水性油墨，VOCs排放量较少，有机废气通过两级活性炭吸附装置处理</w:t>
                  </w:r>
                  <w:r>
                    <w:rPr>
                      <w:rFonts w:hint="eastAsia" w:cs="Times New Roman"/>
                      <w:color w:val="000000" w:themeColor="text1"/>
                      <w:lang w:val="en-US" w:eastAsia="zh-CN"/>
                      <w14:textFill>
                        <w14:solidFill>
                          <w14:schemeClr w14:val="tx1"/>
                        </w14:solidFill>
                      </w14:textFill>
                    </w:rPr>
                    <w:t>后通过15m排气筒排放</w:t>
                  </w:r>
                  <w:r>
                    <w:rPr>
                      <w:rFonts w:hint="eastAsia" w:cs="Times New Roman"/>
                      <w:color w:val="000000" w:themeColor="text1"/>
                      <w:lang w:val="zh-CN"/>
                      <w14:textFill>
                        <w14:solidFill>
                          <w14:schemeClr w14:val="tx1"/>
                        </w14:solidFill>
                      </w14:textFill>
                    </w:rPr>
                    <w:t>，</w:t>
                  </w:r>
                  <w:r>
                    <w:rPr>
                      <w:rFonts w:hint="default" w:ascii="Times New Roman" w:hAnsi="Times New Roman" w:eastAsia="宋体" w:cs="Times New Roman"/>
                      <w:color w:val="000000" w:themeColor="text1"/>
                      <w:lang w:val="zh-CN"/>
                      <w14:textFill>
                        <w14:solidFill>
                          <w14:schemeClr w14:val="tx1"/>
                        </w14:solidFill>
                      </w14:textFill>
                    </w:rPr>
                    <w:t>不属于单一治理技术。</w:t>
                  </w:r>
                </w:p>
                <w:p w14:paraId="7E66AED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ascii="Times New Roman" w:hAnsi="Times New Roman" w:eastAsia="宋体" w:cs="Times New Roman"/>
                      <w:color w:val="000000" w:themeColor="text1"/>
                      <w:lang w:val="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本项目位于西咸新区沣西新城，涉及印刷工艺，属于涉气重点行业中“包装印刷”，</w:t>
                  </w:r>
                  <w:r>
                    <w:rPr>
                      <w:rFonts w:hint="default" w:ascii="Times New Roman" w:hAnsi="Times New Roman" w:cs="Times New Roman"/>
                      <w:color w:val="000000" w:themeColor="text1"/>
                      <w:sz w:val="21"/>
                      <w:szCs w:val="21"/>
                      <w14:textFill>
                        <w14:solidFill>
                          <w14:schemeClr w14:val="tx1"/>
                        </w14:solidFill>
                      </w14:textFill>
                    </w:rPr>
                    <w:t>应达到环保绩效A级、绩效引领性水平要求</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建设单位已出具</w:t>
                  </w:r>
                  <w:r>
                    <w:rPr>
                      <w:rFonts w:hint="default" w:ascii="Times New Roman" w:hAnsi="Times New Roman" w:cs="Times New Roman"/>
                      <w:color w:val="000000" w:themeColor="text1"/>
                      <w:sz w:val="21"/>
                      <w:szCs w:val="21"/>
                      <w:highlight w:val="none"/>
                      <w14:textFill>
                        <w14:solidFill>
                          <w14:schemeClr w14:val="tx1"/>
                        </w14:solidFill>
                      </w14:textFill>
                    </w:rPr>
                    <w:t>环保绩效达级承诺书</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见附件4</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承诺项目建成后按照主管部门规定的时限内完成环保绩效达级</w:t>
                  </w:r>
                  <w:r>
                    <w:rPr>
                      <w:rFonts w:hint="default" w:ascii="Times New Roman" w:hAnsi="Times New Roman" w:eastAsia="宋体" w:cs="Times New Roman"/>
                      <w:color w:val="000000" w:themeColor="text1"/>
                      <w:lang w:val="zh-CN"/>
                      <w14:textFill>
                        <w14:solidFill>
                          <w14:schemeClr w14:val="tx1"/>
                        </w14:solidFill>
                      </w14:textFill>
                    </w:rPr>
                    <w:t>。</w:t>
                  </w:r>
                </w:p>
              </w:tc>
              <w:tc>
                <w:tcPr>
                  <w:tcW w:w="473" w:type="pct"/>
                  <w:vAlign w:val="center"/>
                </w:tcPr>
                <w:p w14:paraId="26089541">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1BC7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restart"/>
                  <w:vAlign w:val="center"/>
                </w:tcPr>
                <w:p w14:paraId="05BB15F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中共陕西省西咸新区工作委员会 陕西省西咸新区开发建设管理委员会关于印发《西咸新区大气污染治理专项行动方案（2023-2027年）》的通知（陕西咸党发〔2023〕4号）</w:t>
                  </w:r>
                </w:p>
              </w:tc>
              <w:tc>
                <w:tcPr>
                  <w:tcW w:w="2055" w:type="pct"/>
                  <w:vAlign w:val="center"/>
                </w:tcPr>
                <w:p w14:paraId="453DD418">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color w:val="000000" w:themeColor="text1"/>
                      <w:sz w:val="21"/>
                      <w:szCs w:val="21"/>
                      <w14:textFill>
                        <w14:solidFill>
                          <w14:schemeClr w14:val="tx1"/>
                        </w14:solidFill>
                      </w14:textFill>
                    </w:rPr>
                    <w:t>依法依规淘汰落后产能。组织各新城、园办开展落后产能摸排，发现需要淘汰的落后产能及时列入年度计划，依法依规予以淘汰。</w:t>
                  </w:r>
                </w:p>
              </w:tc>
              <w:tc>
                <w:tcPr>
                  <w:tcW w:w="1492" w:type="pct"/>
                  <w:vAlign w:val="center"/>
                </w:tcPr>
                <w:p w14:paraId="4D4C8DF5">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color w:val="000000" w:themeColor="text1"/>
                      <w:sz w:val="21"/>
                      <w:szCs w:val="21"/>
                      <w14:textFill>
                        <w14:solidFill>
                          <w14:schemeClr w14:val="tx1"/>
                        </w14:solidFill>
                      </w14:textFill>
                    </w:rPr>
                    <w:t>本项目属于</w:t>
                  </w:r>
                  <w:r>
                    <w:rPr>
                      <w:rFonts w:hint="eastAsia"/>
                      <w:color w:val="000000" w:themeColor="text1"/>
                      <w:sz w:val="21"/>
                      <w:szCs w:val="21"/>
                      <w14:textFill>
                        <w14:solidFill>
                          <w14:schemeClr w14:val="tx1"/>
                        </w14:solidFill>
                      </w14:textFill>
                    </w:rPr>
                    <w:t>纸制品制造行业</w:t>
                  </w:r>
                  <w:r>
                    <w:rPr>
                      <w:rFonts w:hint="default"/>
                      <w:color w:val="000000" w:themeColor="text1"/>
                      <w:sz w:val="21"/>
                      <w:szCs w:val="21"/>
                      <w14:textFill>
                        <w14:solidFill>
                          <w14:schemeClr w14:val="tx1"/>
                        </w14:solidFill>
                      </w14:textFill>
                    </w:rPr>
                    <w:t>，不属于淘汰落后产能。</w:t>
                  </w:r>
                </w:p>
              </w:tc>
              <w:tc>
                <w:tcPr>
                  <w:tcW w:w="473" w:type="pct"/>
                  <w:vAlign w:val="center"/>
                </w:tcPr>
                <w:p w14:paraId="673F14A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08A3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vMerge w:val="continue"/>
                  <w:vAlign w:val="center"/>
                </w:tcPr>
                <w:p w14:paraId="650376BD">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lang w:eastAsia="zh-CN"/>
                      <w14:textFill>
                        <w14:solidFill>
                          <w14:schemeClr w14:val="tx1"/>
                        </w14:solidFill>
                      </w14:textFill>
                    </w:rPr>
                  </w:pPr>
                </w:p>
              </w:tc>
              <w:tc>
                <w:tcPr>
                  <w:tcW w:w="2055" w:type="pct"/>
                  <w:vAlign w:val="center"/>
                </w:tcPr>
                <w:p w14:paraId="47866EC6">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color w:val="000000" w:themeColor="text1"/>
                      <w:sz w:val="21"/>
                      <w:szCs w:val="21"/>
                      <w14:textFill>
                        <w14:solidFill>
                          <w14:schemeClr w14:val="tx1"/>
                        </w14:solidFill>
                      </w14:textFill>
                    </w:rPr>
                    <w:t>严把锅炉准入关口。全面禁止新建燃煤锅炉，推动燃气锅炉实施低氮燃烧深度改造，鼓励企业将氮氧化物浓度控制在30毫克/立方米以内。</w:t>
                  </w:r>
                </w:p>
              </w:tc>
              <w:tc>
                <w:tcPr>
                  <w:tcW w:w="1492" w:type="pct"/>
                  <w:vAlign w:val="center"/>
                </w:tcPr>
                <w:p w14:paraId="2B3BD7C3">
                  <w:pPr>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lang w:val="zh-CN"/>
                      <w14:textFill>
                        <w14:solidFill>
                          <w14:schemeClr w14:val="tx1"/>
                        </w14:solidFill>
                      </w14:textFill>
                    </w:rPr>
                  </w:pPr>
                  <w:r>
                    <w:rPr>
                      <w:rFonts w:hint="default"/>
                      <w:color w:val="000000" w:themeColor="text1"/>
                      <w:sz w:val="21"/>
                      <w:szCs w:val="21"/>
                      <w14:textFill>
                        <w14:solidFill>
                          <w14:schemeClr w14:val="tx1"/>
                        </w14:solidFill>
                      </w14:textFill>
                    </w:rPr>
                    <w:t>本项目不设置锅炉。</w:t>
                  </w:r>
                </w:p>
              </w:tc>
              <w:tc>
                <w:tcPr>
                  <w:tcW w:w="473" w:type="pct"/>
                  <w:vAlign w:val="center"/>
                </w:tcPr>
                <w:p w14:paraId="1CFADF5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r w14:paraId="442F5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978" w:type="pct"/>
                  <w:vAlign w:val="center"/>
                </w:tcPr>
                <w:p w14:paraId="1E5FB5C9">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eastAsia="zh-CN"/>
                      <w14:textFill>
                        <w14:solidFill>
                          <w14:schemeClr w14:val="tx1"/>
                        </w14:solidFill>
                      </w14:textFill>
                    </w:rPr>
                    <w:t>《西咸新区大气污染治理专项行动2024年工作方案》、《西安市大气污染治理专项行动方案（2023-2027年）》</w:t>
                  </w:r>
                </w:p>
              </w:tc>
              <w:tc>
                <w:tcPr>
                  <w:tcW w:w="2055" w:type="pct"/>
                  <w:vAlign w:val="center"/>
                </w:tcPr>
                <w:p w14:paraId="61826C44">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强化源头管控。严格落实国家、省、市及新区产业规划、产业政策、“三线一单”、规划环评、重点污染物总量控制、污染物排放区域削减等要求，积极推行区域、规划环境影响评价，新、改、扩建化工、石化、建材、有色等项目的环境影响评价应满足区域和规划环评要求。</w:t>
                  </w:r>
                </w:p>
              </w:tc>
              <w:tc>
                <w:tcPr>
                  <w:tcW w:w="1492" w:type="pct"/>
                  <w:vAlign w:val="center"/>
                </w:tcPr>
                <w:p w14:paraId="09ED548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本项目符合《西咸新区沣西新城分区规划(2016~2035年)环境影响报告书》、《产业结构调整指导目录》（2024年本）、“三线一单”等政策要求；不属于新、改、扩建化工、石化、建材、有色等项目。</w:t>
                  </w:r>
                </w:p>
              </w:tc>
              <w:tc>
                <w:tcPr>
                  <w:tcW w:w="473" w:type="pct"/>
                  <w:vAlign w:val="center"/>
                </w:tcPr>
                <w:p w14:paraId="24DE07C8">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color w:val="000000" w:themeColor="text1"/>
                      <w:lang w:val="zh-CN"/>
                      <w14:textFill>
                        <w14:solidFill>
                          <w14:schemeClr w14:val="tx1"/>
                        </w14:solidFill>
                      </w14:textFill>
                    </w:rPr>
                  </w:pPr>
                  <w:r>
                    <w:rPr>
                      <w:rFonts w:hint="default"/>
                      <w:color w:val="000000" w:themeColor="text1"/>
                      <w:lang w:val="zh-CN"/>
                      <w14:textFill>
                        <w14:solidFill>
                          <w14:schemeClr w14:val="tx1"/>
                        </w14:solidFill>
                      </w14:textFill>
                    </w:rPr>
                    <w:t>符合</w:t>
                  </w:r>
                </w:p>
              </w:tc>
            </w:tr>
          </w:tbl>
          <w:p w14:paraId="3D761F30">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4、选址合理性分析</w:t>
            </w:r>
          </w:p>
          <w:p w14:paraId="6145DCC7">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本项目位于</w:t>
            </w:r>
            <w:r>
              <w:rPr>
                <w:rFonts w:hint="eastAsia"/>
                <w:color w:val="000000" w:themeColor="text1"/>
                <w14:textFill>
                  <w14:solidFill>
                    <w14:schemeClr w14:val="tx1"/>
                  </w14:solidFill>
                </w14:textFill>
              </w:rPr>
              <w:t>陕西省西咸新区</w:t>
            </w:r>
            <w:r>
              <w:rPr>
                <w:rFonts w:hint="eastAsia" w:cs="Times New Roman"/>
                <w:color w:val="000000" w:themeColor="text1"/>
                <w:lang w:eastAsia="zh-CN"/>
                <w14:textFill>
                  <w14:solidFill>
                    <w14:schemeClr w14:val="tx1"/>
                  </w14:solidFill>
                </w14:textFill>
              </w:rPr>
              <w:t>沣西新城大王街道</w:t>
            </w:r>
            <w:r>
              <w:rPr>
                <w:rFonts w:hint="eastAsia" w:cs="Times New Roman"/>
                <w:color w:val="000000" w:themeColor="text1"/>
                <w:lang w:val="en-US" w:eastAsia="zh-CN"/>
                <w14:textFill>
                  <w14:solidFill>
                    <w14:schemeClr w14:val="tx1"/>
                  </w14:solidFill>
                </w14:textFill>
              </w:rPr>
              <w:t>宋家村，租赁已建厂房，</w:t>
            </w:r>
            <w:r>
              <w:rPr>
                <w:rFonts w:hint="default" w:ascii="Times New Roman" w:hAnsi="Times New Roman" w:cs="Times New Roman"/>
                <w:color w:val="000000" w:themeColor="text1"/>
                <w:lang w:val="en-US" w:eastAsia="zh-CN"/>
                <w14:textFill>
                  <w14:solidFill>
                    <w14:schemeClr w14:val="tx1"/>
                  </w14:solidFill>
                </w14:textFill>
              </w:rPr>
              <w:t>用地类型为工业用地</w:t>
            </w:r>
            <w:r>
              <w:rPr>
                <w:rFonts w:hint="eastAsia" w:cs="Times New Roman"/>
                <w:color w:val="000000" w:themeColor="text1"/>
                <w:lang w:val="en-US" w:eastAsia="zh-CN"/>
                <w14:textFill>
                  <w14:solidFill>
                    <w14:schemeClr w14:val="tx1"/>
                  </w14:solidFill>
                </w14:textFill>
              </w:rPr>
              <w:t>及物流仓储用地，厂区东临龙台坊东堡耕地，南临史家堡出村路，西邻宋大路，北邻王昆家具厂。</w:t>
            </w: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500m范围内</w:t>
            </w:r>
            <w:r>
              <w:rPr>
                <w:rFonts w:hint="default" w:ascii="Times New Roman" w:hAnsi="Times New Roman" w:cs="Times New Roman"/>
                <w:color w:val="000000" w:themeColor="text1"/>
                <w14:textFill>
                  <w14:solidFill>
                    <w14:schemeClr w14:val="tx1"/>
                  </w14:solidFill>
                </w14:textFill>
              </w:rPr>
              <w:t>无饮用水源保护区、风景名胜区、自然保护区和其他需要特别保护的区域范围内，不存在环境制约因素。在严格落实评价中提出的各项污染防治措施，加强环保设施的运行维护和管理，并落实环境风险防范措施后，项目废气、废水、噪声、固体废物均可长期稳定达标排放或妥善处置，环境风险可接受，对周围环境影响较小，不会改变评价区现有环境功能，对周围环境保护目标的影响可接受，项目选址可行。</w:t>
            </w:r>
          </w:p>
        </w:tc>
      </w:tr>
    </w:tbl>
    <w:p w14:paraId="6FD0B98C">
      <w:pPr>
        <w:spacing w:line="360" w:lineRule="auto"/>
        <w:ind w:firstLine="600"/>
        <w:outlineLvl w:val="0"/>
        <w:rPr>
          <w:rFonts w:hint="default" w:ascii="Times New Roman" w:hAnsi="Times New Roman" w:eastAsia="黑体" w:cs="Times New Roman"/>
          <w:color w:val="000000" w:themeColor="text1"/>
          <w:sz w:val="30"/>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14:paraId="50864238">
      <w:pPr>
        <w:pStyle w:val="18"/>
        <w:keepNext w:val="0"/>
        <w:keepLines w:val="0"/>
        <w:pageBreakBefore w:val="0"/>
        <w:widowControl w:val="0"/>
        <w:kinsoku/>
        <w:wordWrap/>
        <w:overflowPunct/>
        <w:topLinePunct w:val="0"/>
        <w:autoSpaceDE/>
        <w:autoSpaceDN/>
        <w:bidi w:val="0"/>
        <w:adjustRightInd/>
        <w:snapToGrid/>
        <w:ind w:firstLine="600"/>
        <w:jc w:val="center"/>
        <w:textAlignment w:val="auto"/>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二、建设项目工程分析</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8248"/>
      </w:tblGrid>
      <w:tr w14:paraId="688BEA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48" w:type="pct"/>
            <w:vAlign w:val="center"/>
          </w:tcPr>
          <w:p w14:paraId="1390B514">
            <w:pPr>
              <w:pStyle w:val="18"/>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建设内容</w:t>
            </w:r>
          </w:p>
        </w:tc>
        <w:tc>
          <w:tcPr>
            <w:tcW w:w="4551" w:type="pct"/>
          </w:tcPr>
          <w:p w14:paraId="00C53F2E">
            <w:pPr>
              <w:keepNext w:val="0"/>
              <w:keepLines w:val="0"/>
              <w:widowControl/>
              <w:suppressLineNumbers w:val="0"/>
              <w:spacing w:before="0" w:beforeAutospacing="0" w:after="0" w:afterAutospacing="0"/>
              <w:ind w:left="480" w:leftChars="200" w:right="0" w:firstLine="0" w:firstLineChars="0"/>
              <w:jc w:val="left"/>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、项目组成及建设内容</w:t>
            </w:r>
          </w:p>
          <w:p w14:paraId="266A987F">
            <w:pPr>
              <w:keepNext w:val="0"/>
              <w:keepLines w:val="0"/>
              <w:widowControl/>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租赁已建厂房，购置设备，新建纸制品制造生产线。项目</w:t>
            </w:r>
            <w:r>
              <w:rPr>
                <w:rFonts w:hint="default" w:ascii="Times New Roman" w:hAnsi="Times New Roman" w:cs="Times New Roman"/>
                <w:bCs/>
                <w:color w:val="000000" w:themeColor="text1"/>
                <w14:textFill>
                  <w14:solidFill>
                    <w14:schemeClr w14:val="tx1"/>
                  </w14:solidFill>
                </w14:textFill>
              </w:rPr>
              <w:t>建设内容见表2-</w:t>
            </w:r>
            <w:r>
              <w:rPr>
                <w:rFonts w:hint="eastAsia" w:cs="Times New Roman"/>
                <w:bCs/>
                <w:color w:val="000000" w:themeColor="text1"/>
                <w:lang w:val="en-US" w:eastAsia="zh-CN"/>
                <w14:textFill>
                  <w14:solidFill>
                    <w14:schemeClr w14:val="tx1"/>
                  </w14:solidFill>
                </w14:textFill>
              </w:rPr>
              <w:t>1</w:t>
            </w:r>
            <w:r>
              <w:rPr>
                <w:rFonts w:hint="default" w:ascii="Times New Roman" w:hAnsi="Times New Roman" w:cs="Times New Roman"/>
                <w:bCs/>
                <w:color w:val="000000" w:themeColor="text1"/>
                <w14:textFill>
                  <w14:solidFill>
                    <w14:schemeClr w14:val="tx1"/>
                  </w14:solidFill>
                </w14:textFill>
              </w:rPr>
              <w:t>。</w:t>
            </w:r>
          </w:p>
          <w:p w14:paraId="3C6D47EF">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14:textFill>
                  <w14:solidFill>
                    <w14:schemeClr w14:val="tx1"/>
                  </w14:solidFill>
                </w14:textFill>
              </w:rPr>
              <w:t>表</w:t>
            </w:r>
            <w:r>
              <w:rPr>
                <w:rFonts w:hint="default" w:ascii="Times New Roman" w:hAnsi="Times New Roman" w:eastAsia="黑体" w:cs="Times New Roman"/>
                <w:b w:val="0"/>
                <w:bCs w:val="0"/>
                <w:color w:val="000000" w:themeColor="text1"/>
                <w:sz w:val="24"/>
                <w:szCs w:val="24"/>
                <w14:textFill>
                  <w14:solidFill>
                    <w14:schemeClr w14:val="tx1"/>
                  </w14:solidFill>
                </w14:textFill>
              </w:rPr>
              <w:t>2-</w:t>
            </w:r>
            <w:r>
              <w:rPr>
                <w:rFonts w:hint="eastAsia" w:eastAsia="黑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lang w:val="zh-CN"/>
                <w14:textFill>
                  <w14:solidFill>
                    <w14:schemeClr w14:val="tx1"/>
                  </w14:solidFill>
                </w14:textFill>
              </w:rPr>
              <w:t xml:space="preserve">  项目组成及建设内容一览表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361"/>
              <w:gridCol w:w="4972"/>
              <w:gridCol w:w="849"/>
            </w:tblGrid>
            <w:tr w14:paraId="3C71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22" w:type="pct"/>
                  <w:vAlign w:val="center"/>
                </w:tcPr>
                <w:p w14:paraId="0CEB61F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848" w:type="pct"/>
                  <w:vAlign w:val="center"/>
                </w:tcPr>
                <w:p w14:paraId="1426F60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3098" w:type="pct"/>
                  <w:vAlign w:val="center"/>
                </w:tcPr>
                <w:p w14:paraId="0CF8CF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529" w:type="pct"/>
                  <w:vAlign w:val="center"/>
                </w:tcPr>
                <w:p w14:paraId="202A864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14:paraId="1D61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Align w:val="center"/>
                </w:tcPr>
                <w:p w14:paraId="21CB340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主体</w:t>
                  </w:r>
                </w:p>
                <w:p w14:paraId="2C8FE2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848" w:type="pct"/>
                  <w:vAlign w:val="center"/>
                </w:tcPr>
                <w:p w14:paraId="4FCCBC9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cs="Times New Roman"/>
                      <w:color w:val="000000" w:themeColor="text1"/>
                      <w:sz w:val="21"/>
                      <w:szCs w:val="21"/>
                      <w:lang w:val="en-US" w:eastAsia="zh-CN"/>
                      <w14:textFill>
                        <w14:solidFill>
                          <w14:schemeClr w14:val="tx1"/>
                        </w14:solidFill>
                      </w14:textFill>
                    </w:rPr>
                    <w:t>厂房</w:t>
                  </w:r>
                </w:p>
              </w:tc>
              <w:tc>
                <w:tcPr>
                  <w:tcW w:w="3098" w:type="pct"/>
                  <w:vAlign w:val="center"/>
                </w:tcPr>
                <w:p w14:paraId="54FB7A1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租赁已建成厂房，位于厂区东侧，一层钢结构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，高度</w:t>
                  </w:r>
                  <w:r>
                    <w:rPr>
                      <w:rFonts w:hint="eastAsia" w:cs="Times New Roman"/>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m，建筑面积</w:t>
                  </w:r>
                  <w:r>
                    <w:rPr>
                      <w:rFonts w:hint="eastAsia" w:cs="Times New Roman"/>
                      <w:color w:val="000000" w:themeColor="text1"/>
                      <w:sz w:val="21"/>
                      <w:szCs w:val="21"/>
                      <w:lang w:val="en-US" w:eastAsia="zh-CN"/>
                      <w14:textFill>
                        <w14:solidFill>
                          <w14:schemeClr w14:val="tx1"/>
                        </w14:solidFill>
                      </w14:textFill>
                    </w:rPr>
                    <w:t>1200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；内设裱纸机、模切机、粘订一体机、印刷机等设备，新建纸制品制造生产线</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9" w:type="pct"/>
                  <w:vAlign w:val="center"/>
                </w:tcPr>
                <w:p w14:paraId="503CAC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租赁已建厂房</w:t>
                  </w:r>
                </w:p>
              </w:tc>
            </w:tr>
            <w:tr w14:paraId="4DE4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Align w:val="center"/>
                </w:tcPr>
                <w:p w14:paraId="5B39A6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辅助工程</w:t>
                  </w:r>
                </w:p>
              </w:tc>
              <w:tc>
                <w:tcPr>
                  <w:tcW w:w="848" w:type="pct"/>
                  <w:shd w:val="clear" w:color="auto" w:fill="auto"/>
                  <w:vAlign w:val="center"/>
                </w:tcPr>
                <w:p w14:paraId="3F1A2EC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办公室</w:t>
                  </w:r>
                </w:p>
              </w:tc>
              <w:tc>
                <w:tcPr>
                  <w:tcW w:w="3098" w:type="pct"/>
                  <w:shd w:val="clear" w:color="auto" w:fill="auto"/>
                  <w:vAlign w:val="center"/>
                </w:tcPr>
                <w:p w14:paraId="4F581CC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位于生产厂房外西侧，一层砖混结构，高度5m，</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建筑面积</w:t>
                  </w:r>
                  <w:r>
                    <w:rPr>
                      <w:rFonts w:hint="eastAsia" w:cs="Times New Roman"/>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w:t>
                  </w:r>
                  <w:r>
                    <w:rPr>
                      <w:rFonts w:hint="eastAsia" w:cs="Times New Roman"/>
                      <w:color w:val="000000" w:themeColor="text1"/>
                      <w:sz w:val="21"/>
                      <w:szCs w:val="21"/>
                      <w:lang w:val="en-US" w:eastAsia="zh-CN"/>
                      <w14:textFill>
                        <w14:solidFill>
                          <w14:schemeClr w14:val="tx1"/>
                        </w14:solidFill>
                      </w14:textFill>
                    </w:rPr>
                    <w:t>用于日常办公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529" w:type="pct"/>
                  <w:shd w:val="clear" w:color="auto" w:fill="auto"/>
                  <w:vAlign w:val="center"/>
                </w:tcPr>
                <w:p w14:paraId="501B220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租赁</w:t>
                  </w:r>
                </w:p>
              </w:tc>
            </w:tr>
            <w:tr w14:paraId="1645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Align w:val="center"/>
                </w:tcPr>
                <w:p w14:paraId="446426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储运工程</w:t>
                  </w:r>
                </w:p>
              </w:tc>
              <w:tc>
                <w:tcPr>
                  <w:tcW w:w="848" w:type="pct"/>
                  <w:shd w:val="clear" w:color="auto" w:fill="auto"/>
                  <w:vAlign w:val="center"/>
                </w:tcPr>
                <w:p w14:paraId="1400644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库房</w:t>
                  </w:r>
                </w:p>
              </w:tc>
              <w:tc>
                <w:tcPr>
                  <w:tcW w:w="3098" w:type="pct"/>
                  <w:shd w:val="clear" w:color="auto" w:fill="auto"/>
                  <w:vAlign w:val="center"/>
                </w:tcPr>
                <w:p w14:paraId="6A8082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位于厂区西北角，一层钢结构</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，高度</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m，建筑面积</w:t>
                  </w:r>
                  <w:r>
                    <w:rPr>
                      <w:rFonts w:hint="eastAsia" w:cs="Times New Roman"/>
                      <w:color w:val="000000" w:themeColor="text1"/>
                      <w:sz w:val="21"/>
                      <w:szCs w:val="21"/>
                      <w:lang w:val="en-US" w:eastAsia="zh-CN"/>
                      <w14:textFill>
                        <w14:solidFill>
                          <w14:schemeClr w14:val="tx1"/>
                        </w14:solidFill>
                      </w14:textFill>
                    </w:rPr>
                    <w:t>180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cs="Times New Roman"/>
                      <w:color w:val="000000" w:themeColor="text1"/>
                      <w:sz w:val="21"/>
                      <w:szCs w:val="21"/>
                      <w:lang w:val="en-US" w:eastAsia="zh-CN"/>
                      <w14:textFill>
                        <w14:solidFill>
                          <w14:schemeClr w14:val="tx1"/>
                        </w14:solidFill>
                      </w14:textFill>
                    </w:rPr>
                    <w:t>，主要用于原料、工具储存。</w:t>
                  </w:r>
                </w:p>
              </w:tc>
              <w:tc>
                <w:tcPr>
                  <w:tcW w:w="529" w:type="pct"/>
                  <w:shd w:val="clear" w:color="auto" w:fill="auto"/>
                  <w:vAlign w:val="center"/>
                </w:tcPr>
                <w:p w14:paraId="154376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租赁</w:t>
                  </w:r>
                </w:p>
              </w:tc>
            </w:tr>
            <w:tr w14:paraId="07D6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Merge w:val="restart"/>
                  <w:vAlign w:val="center"/>
                </w:tcPr>
                <w:p w14:paraId="0661DC4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w:t>
                  </w:r>
                </w:p>
                <w:p w14:paraId="279D62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w:t>
                  </w:r>
                </w:p>
              </w:tc>
              <w:tc>
                <w:tcPr>
                  <w:tcW w:w="848" w:type="pct"/>
                  <w:vAlign w:val="center"/>
                </w:tcPr>
                <w:p w14:paraId="69AC89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给水</w:t>
                  </w:r>
                </w:p>
              </w:tc>
              <w:tc>
                <w:tcPr>
                  <w:tcW w:w="3098" w:type="pct"/>
                  <w:vAlign w:val="center"/>
                </w:tcPr>
                <w:p w14:paraId="007767E0">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自来水</w:t>
                  </w:r>
                  <w:r>
                    <w:rPr>
                      <w:rFonts w:hint="default" w:ascii="Times New Roman" w:hAnsi="Times New Roman" w:eastAsia="宋体" w:cs="Times New Roman"/>
                      <w:color w:val="000000" w:themeColor="text1"/>
                      <w:sz w:val="21"/>
                      <w:szCs w:val="21"/>
                      <w14:textFill>
                        <w14:solidFill>
                          <w14:schemeClr w14:val="tx1"/>
                        </w14:solidFill>
                      </w14:textFill>
                    </w:rPr>
                    <w:t>由市政供水管网供给。</w:t>
                  </w:r>
                </w:p>
              </w:tc>
              <w:tc>
                <w:tcPr>
                  <w:tcW w:w="529" w:type="pct"/>
                  <w:vAlign w:val="center"/>
                </w:tcPr>
                <w:p w14:paraId="7C0681E9">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p>
              </w:tc>
            </w:tr>
            <w:tr w14:paraId="7478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22" w:type="pct"/>
                  <w:vMerge w:val="continue"/>
                  <w:vAlign w:val="center"/>
                </w:tcPr>
                <w:p w14:paraId="5DE76D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50D9E25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w:t>
                  </w:r>
                </w:p>
              </w:tc>
              <w:tc>
                <w:tcPr>
                  <w:tcW w:w="3098" w:type="pct"/>
                  <w:vAlign w:val="center"/>
                </w:tcPr>
                <w:p w14:paraId="06E19472">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厂区雨水分流，</w:t>
                  </w:r>
                  <w:r>
                    <w:rPr>
                      <w:rFonts w:hint="default" w:ascii="Times New Roman" w:hAnsi="Times New Roman" w:eastAsia="宋体" w:cs="Times New Roman"/>
                      <w:color w:val="000000" w:themeColor="text1"/>
                      <w:sz w:val="21"/>
                      <w:szCs w:val="21"/>
                      <w14:textFill>
                        <w14:solidFill>
                          <w14:schemeClr w14:val="tx1"/>
                        </w14:solidFill>
                      </w14:textFill>
                    </w:rPr>
                    <w:t>生活污水</w:t>
                  </w:r>
                  <w:r>
                    <w:rPr>
                      <w:rFonts w:hint="eastAsia" w:cs="Times New Roman"/>
                      <w:color w:val="000000" w:themeColor="text1"/>
                      <w:sz w:val="21"/>
                      <w:szCs w:val="21"/>
                      <w:lang w:val="en-US" w:eastAsia="zh-CN"/>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入化粪池，最后通过市政污水管网排入</w:t>
                  </w:r>
                  <w:r>
                    <w:rPr>
                      <w:rFonts w:hint="eastAsia" w:cs="Times New Roman"/>
                      <w:color w:val="000000" w:themeColor="text1"/>
                      <w:sz w:val="21"/>
                      <w:szCs w:val="21"/>
                      <w:lang w:eastAsia="zh-CN"/>
                      <w14:textFill>
                        <w14:solidFill>
                          <w14:schemeClr w14:val="tx1"/>
                        </w14:solidFill>
                      </w14:textFill>
                    </w:rPr>
                    <w:t>沣西新城大王污水处理厂</w:t>
                  </w:r>
                  <w:r>
                    <w:rPr>
                      <w:rFonts w:hint="eastAsia" w:cs="Times New Roman"/>
                      <w:color w:val="000000" w:themeColor="text1"/>
                      <w:sz w:val="21"/>
                      <w:szCs w:val="21"/>
                      <w:lang w:val="en-US" w:eastAsia="zh-CN"/>
                      <w14:textFill>
                        <w14:solidFill>
                          <w14:schemeClr w14:val="tx1"/>
                        </w14:solidFill>
                      </w14:textFill>
                    </w:rPr>
                    <w:t>。</w:t>
                  </w:r>
                </w:p>
              </w:tc>
              <w:tc>
                <w:tcPr>
                  <w:tcW w:w="529" w:type="pct"/>
                  <w:vAlign w:val="center"/>
                </w:tcPr>
                <w:p w14:paraId="625FE12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p>
              </w:tc>
            </w:tr>
            <w:tr w14:paraId="188B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14:paraId="0D58D2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7AFA85B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供电</w:t>
                  </w:r>
                </w:p>
              </w:tc>
              <w:tc>
                <w:tcPr>
                  <w:tcW w:w="3098" w:type="pct"/>
                  <w:vAlign w:val="center"/>
                </w:tcPr>
                <w:p w14:paraId="147B02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由市政供电电网供给。</w:t>
                  </w:r>
                </w:p>
              </w:tc>
              <w:tc>
                <w:tcPr>
                  <w:tcW w:w="529" w:type="pct"/>
                  <w:vAlign w:val="center"/>
                </w:tcPr>
                <w:p w14:paraId="48DE6A8B">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p>
              </w:tc>
            </w:tr>
            <w:tr w14:paraId="62086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 w:type="pct"/>
                  <w:vMerge w:val="continue"/>
                  <w:vAlign w:val="center"/>
                </w:tcPr>
                <w:p w14:paraId="1F5B4A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4AEC8D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采暖制冷</w:t>
                  </w:r>
                </w:p>
              </w:tc>
              <w:tc>
                <w:tcPr>
                  <w:tcW w:w="3098" w:type="pct"/>
                  <w:vAlign w:val="center"/>
                </w:tcPr>
                <w:p w14:paraId="6EAC6B8C">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车间无采暖制冷，办公室采用空调进行采暖制冷。</w:t>
                  </w:r>
                </w:p>
              </w:tc>
              <w:tc>
                <w:tcPr>
                  <w:tcW w:w="529" w:type="pct"/>
                  <w:vAlign w:val="center"/>
                </w:tcPr>
                <w:p w14:paraId="2204707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新建</w:t>
                  </w:r>
                </w:p>
              </w:tc>
            </w:tr>
            <w:tr w14:paraId="3CEE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522" w:type="pct"/>
                  <w:vMerge w:val="restart"/>
                  <w:vAlign w:val="center"/>
                </w:tcPr>
                <w:p w14:paraId="4AE232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环保工程</w:t>
                  </w:r>
                </w:p>
              </w:tc>
              <w:tc>
                <w:tcPr>
                  <w:tcW w:w="848" w:type="pct"/>
                  <w:vAlign w:val="center"/>
                </w:tcPr>
                <w:p w14:paraId="5D8BEB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3098" w:type="pct"/>
                  <w:vAlign w:val="center"/>
                </w:tcPr>
                <w:p w14:paraId="37879CF4">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印刷</w:t>
                  </w:r>
                  <w:r>
                    <w:rPr>
                      <w:rFonts w:hint="eastAsia" w:cs="Times New Roman"/>
                      <w:color w:val="000000" w:themeColor="text1"/>
                      <w:sz w:val="21"/>
                      <w:szCs w:val="21"/>
                      <w:lang w:val="en-US" w:eastAsia="zh-CN"/>
                      <w14:textFill>
                        <w14:solidFill>
                          <w14:schemeClr w14:val="tx1"/>
                        </w14:solidFill>
                      </w14:textFill>
                    </w:rPr>
                    <w:t>工序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产生的有机废气</w:t>
                  </w:r>
                  <w:r>
                    <w:rPr>
                      <w:rFonts w:hint="eastAsia" w:eastAsia="宋体" w:cs="Times New Roman"/>
                      <w:color w:val="000000" w:themeColor="text1"/>
                      <w:sz w:val="21"/>
                      <w:szCs w:val="21"/>
                      <w:lang w:val="en-US" w:eastAsia="zh-CN"/>
                      <w14:textFill>
                        <w14:solidFill>
                          <w14:schemeClr w14:val="tx1"/>
                        </w14:solidFill>
                      </w14:textFill>
                    </w:rPr>
                    <w:t>（以非甲烷总烃计）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采用集气罩进行收集后经1套“两级活性炭”处理后通过15m排气筒DA001排放。</w:t>
                  </w:r>
                </w:p>
              </w:tc>
              <w:tc>
                <w:tcPr>
                  <w:tcW w:w="529" w:type="pct"/>
                  <w:vAlign w:val="center"/>
                </w:tcPr>
                <w:p w14:paraId="3B30D355">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新建</w:t>
                  </w:r>
                </w:p>
              </w:tc>
            </w:tr>
            <w:tr w14:paraId="6BD1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22" w:type="pct"/>
                  <w:vMerge w:val="continue"/>
                  <w:vAlign w:val="center"/>
                </w:tcPr>
                <w:p w14:paraId="018B50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097E999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3098" w:type="pct"/>
                  <w:shd w:val="clear" w:color="auto" w:fill="auto"/>
                  <w:vAlign w:val="center"/>
                </w:tcPr>
                <w:p w14:paraId="6BF2C716">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清洗废水桶装收集后暂存于危废贮存库，定期交由有资质单位处置；生活污水经</w:t>
                  </w:r>
                  <w:r>
                    <w:rPr>
                      <w:rFonts w:hint="eastAsia" w:cs="Times New Roman"/>
                      <w:color w:val="000000" w:themeColor="text1"/>
                      <w:sz w:val="21"/>
                      <w:szCs w:val="21"/>
                      <w:lang w:val="en-US" w:eastAsia="zh-CN"/>
                      <w14:textFill>
                        <w14:solidFill>
                          <w14:schemeClr w14:val="tx1"/>
                        </w14:solidFill>
                      </w14:textFill>
                    </w:rPr>
                    <w:t>厂区南侧</w:t>
                  </w:r>
                  <w:r>
                    <w:rPr>
                      <w:rFonts w:hint="default" w:ascii="Times New Roman" w:hAnsi="Times New Roman" w:eastAsia="宋体" w:cs="Times New Roman"/>
                      <w:color w:val="000000" w:themeColor="text1"/>
                      <w:sz w:val="21"/>
                      <w:szCs w:val="21"/>
                      <w14:textFill>
                        <w14:solidFill>
                          <w14:schemeClr w14:val="tx1"/>
                        </w14:solidFill>
                      </w14:textFill>
                    </w:rPr>
                    <w:t>化粪池</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5m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预处理后通过市政污水管网排入沣西新城大王污水处理厂。</w:t>
                  </w:r>
                </w:p>
              </w:tc>
              <w:tc>
                <w:tcPr>
                  <w:tcW w:w="529" w:type="pct"/>
                  <w:shd w:val="clear" w:color="auto" w:fill="auto"/>
                  <w:vAlign w:val="center"/>
                </w:tcPr>
                <w:p w14:paraId="0F3EF7C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依托</w:t>
                  </w:r>
                </w:p>
              </w:tc>
            </w:tr>
            <w:tr w14:paraId="4E91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22" w:type="pct"/>
                  <w:vMerge w:val="continue"/>
                  <w:vAlign w:val="center"/>
                </w:tcPr>
                <w:p w14:paraId="57D83B2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3CDB273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098" w:type="pct"/>
                  <w:vAlign w:val="center"/>
                </w:tcPr>
                <w:p w14:paraId="7407E5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设备噪声通过基础减振、墙体隔声等措施降噪。</w:t>
                  </w:r>
                </w:p>
              </w:tc>
              <w:tc>
                <w:tcPr>
                  <w:tcW w:w="529" w:type="pct"/>
                  <w:vAlign w:val="center"/>
                </w:tcPr>
                <w:p w14:paraId="5EEEE5F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r w14:paraId="27BE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522" w:type="pct"/>
                  <w:vMerge w:val="continue"/>
                  <w:vAlign w:val="center"/>
                </w:tcPr>
                <w:p w14:paraId="7573DA6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848" w:type="pct"/>
                  <w:vAlign w:val="center"/>
                </w:tcPr>
                <w:p w14:paraId="437AF4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3098" w:type="pct"/>
                  <w:vAlign w:val="center"/>
                </w:tcPr>
                <w:p w14:paraId="50AC170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垃圾分类收集，由当地环卫部门定期清运；废边角料、不合格产品、废胶桶等一般固废集中收集后外售综合利用；废油墨桶、清洗废水、废活性炭、废矿物油、废含油抹布等危险废物暂存于危废贮存库，定期交由有资质单位处置。</w:t>
                  </w:r>
                </w:p>
              </w:tc>
              <w:tc>
                <w:tcPr>
                  <w:tcW w:w="529" w:type="pct"/>
                  <w:vAlign w:val="center"/>
                </w:tcPr>
                <w:p w14:paraId="2B2A55C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新建</w:t>
                  </w:r>
                </w:p>
              </w:tc>
            </w:tr>
          </w:tbl>
          <w:p w14:paraId="4576A13A">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val="en-US" w:eastAsia="zh-CN"/>
                <w14:textFill>
                  <w14:solidFill>
                    <w14:schemeClr w14:val="tx1"/>
                  </w14:solidFill>
                </w14:textFill>
              </w:rPr>
              <w:t>、主要</w:t>
            </w:r>
            <w:r>
              <w:rPr>
                <w:rFonts w:hint="default" w:ascii="Times New Roman" w:hAnsi="Times New Roman" w:cs="Times New Roman"/>
                <w:b/>
                <w:bCs/>
                <w:color w:val="000000" w:themeColor="text1"/>
                <w14:textFill>
                  <w14:solidFill>
                    <w14:schemeClr w14:val="tx1"/>
                  </w14:solidFill>
                </w14:textFill>
              </w:rPr>
              <w:t>产品</w:t>
            </w:r>
            <w:r>
              <w:rPr>
                <w:rFonts w:hint="default" w:ascii="Times New Roman" w:hAnsi="Times New Roman" w:cs="Times New Roman"/>
                <w:b/>
                <w:bCs/>
                <w:color w:val="000000" w:themeColor="text1"/>
                <w:lang w:val="en-US" w:eastAsia="zh-CN"/>
                <w14:textFill>
                  <w14:solidFill>
                    <w14:schemeClr w14:val="tx1"/>
                  </w14:solidFill>
                </w14:textFill>
              </w:rPr>
              <w:t>及产能</w:t>
            </w:r>
          </w:p>
          <w:p w14:paraId="6D09C7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本项目主要</w:t>
            </w:r>
            <w:r>
              <w:rPr>
                <w:rFonts w:hint="default" w:ascii="Times New Roman" w:hAnsi="Times New Roman" w:cs="Times New Roman"/>
                <w:color w:val="000000" w:themeColor="text1"/>
                <w:sz w:val="24"/>
                <w:szCs w:val="24"/>
                <w14:textFill>
                  <w14:solidFill>
                    <w14:schemeClr w14:val="tx1"/>
                  </w14:solidFill>
                </w14:textFill>
              </w:rPr>
              <w:t>产品</w:t>
            </w:r>
            <w:r>
              <w:rPr>
                <w:rFonts w:hint="default" w:ascii="Times New Roman" w:hAnsi="Times New Roman" w:cs="Times New Roman"/>
                <w:color w:val="000000" w:themeColor="text1"/>
                <w:sz w:val="24"/>
                <w:szCs w:val="24"/>
                <w:lang w:val="en-US" w:eastAsia="zh-CN"/>
                <w14:textFill>
                  <w14:solidFill>
                    <w14:schemeClr w14:val="tx1"/>
                  </w14:solidFill>
                </w14:textFill>
              </w:rPr>
              <w:t>及产能详</w:t>
            </w:r>
            <w:r>
              <w:rPr>
                <w:rFonts w:hint="default" w:ascii="Times New Roman" w:hAnsi="Times New Roman" w:cs="Times New Roman"/>
                <w:color w:val="000000" w:themeColor="text1"/>
                <w:sz w:val="24"/>
                <w:szCs w:val="24"/>
                <w14:textFill>
                  <w14:solidFill>
                    <w14:schemeClr w14:val="tx1"/>
                  </w14:solidFill>
                </w14:textFill>
              </w:rPr>
              <w:t>见表</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14:paraId="3CEFBB71">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表2-</w:t>
            </w:r>
            <w:r>
              <w:rPr>
                <w:rFonts w:hint="eastAsia" w:eastAsia="黑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项目</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产品产能一览表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747"/>
              <w:gridCol w:w="3482"/>
              <w:gridCol w:w="1863"/>
            </w:tblGrid>
            <w:tr w14:paraId="19EE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578" w:type="pct"/>
                  <w:tcBorders>
                    <w:tl2br w:val="nil"/>
                    <w:tr2bl w:val="nil"/>
                  </w:tcBorders>
                  <w:noWrap w:val="0"/>
                  <w:vAlign w:val="center"/>
                </w:tcPr>
                <w:p w14:paraId="1E44813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序号</w:t>
                  </w:r>
                </w:p>
              </w:tc>
              <w:tc>
                <w:tcPr>
                  <w:tcW w:w="1089" w:type="pct"/>
                  <w:tcBorders>
                    <w:tl2br w:val="nil"/>
                    <w:tr2bl w:val="nil"/>
                  </w:tcBorders>
                  <w:noWrap w:val="0"/>
                  <w:vAlign w:val="center"/>
                </w:tcPr>
                <w:p w14:paraId="0FFB43D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产品名称</w:t>
                  </w:r>
                </w:p>
              </w:tc>
              <w:tc>
                <w:tcPr>
                  <w:tcW w:w="2171" w:type="pct"/>
                  <w:tcBorders>
                    <w:tl2br w:val="nil"/>
                    <w:tr2bl w:val="nil"/>
                  </w:tcBorders>
                  <w:noWrap w:val="0"/>
                  <w:vAlign w:val="center"/>
                </w:tcPr>
                <w:p w14:paraId="054BC30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单位</w:t>
                  </w:r>
                </w:p>
              </w:tc>
              <w:tc>
                <w:tcPr>
                  <w:tcW w:w="1161" w:type="pct"/>
                  <w:tcBorders>
                    <w:tl2br w:val="nil"/>
                    <w:tr2bl w:val="nil"/>
                  </w:tcBorders>
                  <w:noWrap w:val="0"/>
                  <w:vAlign w:val="center"/>
                </w:tcPr>
                <w:p w14:paraId="2C569DA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产能</w:t>
                  </w:r>
                </w:p>
              </w:tc>
            </w:tr>
            <w:tr w14:paraId="1EED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78" w:type="pct"/>
                  <w:tcBorders>
                    <w:tl2br w:val="nil"/>
                    <w:tr2bl w:val="nil"/>
                  </w:tcBorders>
                  <w:shd w:val="clear" w:color="auto" w:fill="auto"/>
                  <w:noWrap w:val="0"/>
                  <w:vAlign w:val="center"/>
                </w:tcPr>
                <w:p w14:paraId="7DFB03C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1089" w:type="pct"/>
                  <w:tcBorders>
                    <w:tl2br w:val="nil"/>
                    <w:tr2bl w:val="nil"/>
                  </w:tcBorders>
                  <w:shd w:val="clear" w:color="auto" w:fill="auto"/>
                  <w:noWrap w:val="0"/>
                  <w:vAlign w:val="center"/>
                </w:tcPr>
                <w:p w14:paraId="63FA8E8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印刷</w:t>
                  </w:r>
                  <w:r>
                    <w:rPr>
                      <w:rFonts w:hint="eastAsia" w:cs="Times New Roman"/>
                      <w:color w:val="000000" w:themeColor="text1"/>
                      <w:sz w:val="21"/>
                      <w:szCs w:val="21"/>
                      <w:lang w:val="en-US" w:eastAsia="zh-CN"/>
                      <w14:textFill>
                        <w14:solidFill>
                          <w14:schemeClr w14:val="tx1"/>
                        </w14:solidFill>
                      </w14:textFill>
                    </w:rPr>
                    <w:t>纸箱</w:t>
                  </w:r>
                </w:p>
              </w:tc>
              <w:tc>
                <w:tcPr>
                  <w:tcW w:w="2171" w:type="pct"/>
                  <w:tcBorders>
                    <w:tl2br w:val="nil"/>
                    <w:tr2bl w:val="nil"/>
                  </w:tcBorders>
                  <w:shd w:val="clear" w:color="auto" w:fill="auto"/>
                  <w:noWrap w:val="0"/>
                  <w:vAlign w:val="center"/>
                </w:tcPr>
                <w:p w14:paraId="1426745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万m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/a</w:t>
                  </w:r>
                </w:p>
              </w:tc>
              <w:tc>
                <w:tcPr>
                  <w:tcW w:w="1161" w:type="pct"/>
                  <w:tcBorders>
                    <w:tl2br w:val="nil"/>
                    <w:tr2bl w:val="nil"/>
                  </w:tcBorders>
                  <w:shd w:val="clear" w:color="auto" w:fill="auto"/>
                  <w:noWrap w:val="0"/>
                  <w:vAlign w:val="center"/>
                </w:tcPr>
                <w:p w14:paraId="5A42C36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25</w:t>
                  </w:r>
                </w:p>
              </w:tc>
            </w:tr>
            <w:tr w14:paraId="45C6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578" w:type="pct"/>
                  <w:tcBorders>
                    <w:tl2br w:val="nil"/>
                    <w:tr2bl w:val="nil"/>
                  </w:tcBorders>
                  <w:shd w:val="clear" w:color="auto" w:fill="auto"/>
                  <w:noWrap w:val="0"/>
                  <w:vAlign w:val="center"/>
                </w:tcPr>
                <w:p w14:paraId="3331EEF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089" w:type="pct"/>
                  <w:tcBorders>
                    <w:tl2br w:val="nil"/>
                    <w:tr2bl w:val="nil"/>
                  </w:tcBorders>
                  <w:shd w:val="clear" w:color="auto" w:fill="auto"/>
                  <w:noWrap w:val="0"/>
                  <w:vAlign w:val="center"/>
                </w:tcPr>
                <w:p w14:paraId="66B41FE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裱纸纸箱</w:t>
                  </w:r>
                </w:p>
              </w:tc>
              <w:tc>
                <w:tcPr>
                  <w:tcW w:w="2171" w:type="pct"/>
                  <w:tcBorders>
                    <w:tl2br w:val="nil"/>
                    <w:tr2bl w:val="nil"/>
                  </w:tcBorders>
                  <w:shd w:val="clear" w:color="auto" w:fill="auto"/>
                  <w:noWrap w:val="0"/>
                  <w:vAlign w:val="center"/>
                </w:tcPr>
                <w:p w14:paraId="62824AE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万个/a</w:t>
                  </w:r>
                </w:p>
              </w:tc>
              <w:tc>
                <w:tcPr>
                  <w:tcW w:w="1161" w:type="pct"/>
                  <w:tcBorders>
                    <w:tl2br w:val="nil"/>
                    <w:tr2bl w:val="nil"/>
                  </w:tcBorders>
                  <w:shd w:val="clear" w:color="auto" w:fill="auto"/>
                  <w:noWrap w:val="0"/>
                  <w:vAlign w:val="center"/>
                </w:tcPr>
                <w:p w14:paraId="063D7D6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r>
          </w:tbl>
          <w:p w14:paraId="25F5E53D">
            <w:pPr>
              <w:keepNext w:val="0"/>
              <w:keepLines w:val="0"/>
              <w:pageBreakBefore w:val="0"/>
              <w:widowControl w:val="0"/>
              <w:suppressLineNumbers w:val="0"/>
              <w:tabs>
                <w:tab w:val="left" w:pos="615"/>
                <w:tab w:val="left" w:pos="3615"/>
              </w:tabs>
              <w:kinsoku/>
              <w:wordWrap/>
              <w:overflowPunct/>
              <w:topLinePunct w:val="0"/>
              <w:autoSpaceDE/>
              <w:autoSpaceDN/>
              <w:bidi w:val="0"/>
              <w:adjustRightInd/>
              <w:snapToGrid/>
              <w:spacing w:before="0" w:beforeAutospacing="0" w:after="0" w:afterAutospacing="0" w:line="520" w:lineRule="exact"/>
              <w:ind w:left="0" w:right="0" w:firstLine="482" w:firstLineChars="200"/>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、主要原辅材料</w:t>
            </w:r>
          </w:p>
          <w:p w14:paraId="4734F1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本项目主要原辅材料见表</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w:t>
            </w:r>
          </w:p>
          <w:p w14:paraId="5AF2AE62">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表2-</w:t>
            </w:r>
            <w:r>
              <w:rPr>
                <w:rFonts w:hint="eastAsia" w:eastAsia="黑体" w:cs="Times New Roman"/>
                <w:b w:val="0"/>
                <w:bCs w:val="0"/>
                <w:color w:val="000000" w:themeColor="text1"/>
                <w:sz w:val="24"/>
                <w:szCs w:val="24"/>
                <w:lang w:val="en-US"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项目主要原辅材料一览表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810"/>
              <w:gridCol w:w="905"/>
              <w:gridCol w:w="845"/>
              <w:gridCol w:w="882"/>
              <w:gridCol w:w="1335"/>
              <w:gridCol w:w="1559"/>
            </w:tblGrid>
            <w:tr w14:paraId="12E59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noWrap w:val="0"/>
                  <w:vAlign w:val="center"/>
                </w:tcPr>
                <w:p w14:paraId="36F0555E">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序号</w:t>
                  </w:r>
                </w:p>
              </w:tc>
              <w:tc>
                <w:tcPr>
                  <w:tcW w:w="1128" w:type="pct"/>
                  <w:tcBorders>
                    <w:tl2br w:val="nil"/>
                    <w:tr2bl w:val="nil"/>
                  </w:tcBorders>
                  <w:noWrap w:val="0"/>
                  <w:vAlign w:val="center"/>
                </w:tcPr>
                <w:p w14:paraId="571857F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原辅材料名称</w:t>
                  </w:r>
                </w:p>
              </w:tc>
              <w:tc>
                <w:tcPr>
                  <w:tcW w:w="564" w:type="pct"/>
                  <w:tcBorders>
                    <w:tl2br w:val="nil"/>
                    <w:tr2bl w:val="nil"/>
                  </w:tcBorders>
                  <w:noWrap w:val="0"/>
                  <w:vAlign w:val="center"/>
                </w:tcPr>
                <w:p w14:paraId="6DD3D033">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单位</w:t>
                  </w:r>
                </w:p>
              </w:tc>
              <w:tc>
                <w:tcPr>
                  <w:tcW w:w="527" w:type="pct"/>
                  <w:tcBorders>
                    <w:tl2br w:val="nil"/>
                    <w:tr2bl w:val="nil"/>
                  </w:tcBorders>
                  <w:noWrap w:val="0"/>
                  <w:vAlign w:val="center"/>
                </w:tcPr>
                <w:p w14:paraId="18C1BC9D">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用量</w:t>
                  </w:r>
                </w:p>
              </w:tc>
              <w:tc>
                <w:tcPr>
                  <w:tcW w:w="550" w:type="pct"/>
                  <w:tcBorders>
                    <w:tl2br w:val="nil"/>
                    <w:tr2bl w:val="nil"/>
                  </w:tcBorders>
                  <w:noWrap w:val="0"/>
                  <w:vAlign w:val="center"/>
                </w:tcPr>
                <w:p w14:paraId="27ADCD5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最大储存量</w:t>
                  </w:r>
                </w:p>
              </w:tc>
              <w:tc>
                <w:tcPr>
                  <w:tcW w:w="832" w:type="pct"/>
                  <w:tcBorders>
                    <w:tl2br w:val="nil"/>
                    <w:tr2bl w:val="nil"/>
                  </w:tcBorders>
                  <w:noWrap w:val="0"/>
                  <w:vAlign w:val="center"/>
                </w:tcPr>
                <w:p w14:paraId="3574D701">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包装及存储方式</w:t>
                  </w:r>
                </w:p>
              </w:tc>
              <w:tc>
                <w:tcPr>
                  <w:tcW w:w="972" w:type="pct"/>
                  <w:tcBorders>
                    <w:tl2br w:val="nil"/>
                    <w:tr2bl w:val="nil"/>
                  </w:tcBorders>
                  <w:noWrap w:val="0"/>
                  <w:vAlign w:val="center"/>
                </w:tcPr>
                <w:p w14:paraId="61BD89B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备注</w:t>
                  </w:r>
                </w:p>
              </w:tc>
            </w:tr>
            <w:tr w14:paraId="79F38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noWrap w:val="0"/>
                  <w:vAlign w:val="center"/>
                </w:tcPr>
                <w:p w14:paraId="400D395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28" w:type="pct"/>
                  <w:tcBorders>
                    <w:tl2br w:val="nil"/>
                    <w:tr2bl w:val="nil"/>
                  </w:tcBorders>
                  <w:shd w:val="clear" w:color="auto" w:fill="auto"/>
                  <w:noWrap w:val="0"/>
                  <w:vAlign w:val="center"/>
                </w:tcPr>
                <w:p w14:paraId="54AF4834">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面纸</w:t>
                  </w:r>
                </w:p>
              </w:tc>
              <w:tc>
                <w:tcPr>
                  <w:tcW w:w="564" w:type="pct"/>
                  <w:tcBorders>
                    <w:tl2br w:val="nil"/>
                    <w:tr2bl w:val="nil"/>
                  </w:tcBorders>
                  <w:shd w:val="clear" w:color="auto" w:fill="auto"/>
                  <w:noWrap w:val="0"/>
                  <w:vAlign w:val="center"/>
                </w:tcPr>
                <w:p w14:paraId="10695B55">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7A792625">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30万</w:t>
                  </w:r>
                </w:p>
              </w:tc>
              <w:tc>
                <w:tcPr>
                  <w:tcW w:w="550" w:type="pct"/>
                  <w:tcBorders>
                    <w:tl2br w:val="nil"/>
                    <w:tr2bl w:val="nil"/>
                  </w:tcBorders>
                  <w:noWrap w:val="0"/>
                  <w:vAlign w:val="center"/>
                </w:tcPr>
                <w:p w14:paraId="650FF959">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832" w:type="pct"/>
                  <w:vMerge w:val="restart"/>
                  <w:tcBorders>
                    <w:tl2br w:val="nil"/>
                    <w:tr2bl w:val="nil"/>
                  </w:tcBorders>
                  <w:noWrap w:val="0"/>
                  <w:vAlign w:val="center"/>
                </w:tcPr>
                <w:p w14:paraId="49DA6B0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生产</w:t>
                  </w:r>
                  <w:r>
                    <w:rPr>
                      <w:rFonts w:hint="eastAsia" w:cs="Times New Roman"/>
                      <w:color w:val="000000" w:themeColor="text1"/>
                      <w:sz w:val="21"/>
                      <w:szCs w:val="21"/>
                      <w:lang w:val="en-US" w:eastAsia="zh-CN"/>
                      <w14:textFill>
                        <w14:solidFill>
                          <w14:schemeClr w14:val="tx1"/>
                        </w14:solidFill>
                      </w14:textFill>
                    </w:rPr>
                    <w:t>厂房</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内</w:t>
                  </w:r>
                  <w:r>
                    <w:rPr>
                      <w:rFonts w:hint="eastAsia" w:cs="Times New Roman"/>
                      <w:color w:val="000000" w:themeColor="text1"/>
                      <w:sz w:val="21"/>
                      <w:szCs w:val="21"/>
                      <w:lang w:val="en-US" w:eastAsia="zh-CN"/>
                      <w14:textFill>
                        <w14:solidFill>
                          <w14:schemeClr w14:val="tx1"/>
                        </w14:solidFill>
                      </w14:textFill>
                    </w:rPr>
                    <w:t>原料区</w:t>
                  </w:r>
                </w:p>
              </w:tc>
              <w:tc>
                <w:tcPr>
                  <w:tcW w:w="972" w:type="pct"/>
                  <w:tcBorders>
                    <w:tl2br w:val="nil"/>
                    <w:tr2bl w:val="nil"/>
                  </w:tcBorders>
                  <w:noWrap w:val="0"/>
                  <w:vAlign w:val="center"/>
                </w:tcPr>
                <w:p w14:paraId="52823C9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54C87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495D65C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28" w:type="pct"/>
                  <w:tcBorders>
                    <w:tl2br w:val="nil"/>
                    <w:tr2bl w:val="nil"/>
                  </w:tcBorders>
                  <w:shd w:val="clear" w:color="auto" w:fill="auto"/>
                  <w:noWrap w:val="0"/>
                  <w:vAlign w:val="center"/>
                </w:tcPr>
                <w:p w14:paraId="18B5BCAA">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瓦楞纸板</w:t>
                  </w:r>
                </w:p>
              </w:tc>
              <w:tc>
                <w:tcPr>
                  <w:tcW w:w="564" w:type="pct"/>
                  <w:tcBorders>
                    <w:tl2br w:val="nil"/>
                    <w:tr2bl w:val="nil"/>
                  </w:tcBorders>
                  <w:shd w:val="clear" w:color="auto" w:fill="auto"/>
                  <w:noWrap w:val="0"/>
                  <w:vAlign w:val="center"/>
                </w:tcPr>
                <w:p w14:paraId="73AD044C">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2107796D">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550" w:type="pct"/>
                  <w:tcBorders>
                    <w:tl2br w:val="nil"/>
                    <w:tr2bl w:val="nil"/>
                  </w:tcBorders>
                  <w:noWrap w:val="0"/>
                  <w:vAlign w:val="center"/>
                </w:tcPr>
                <w:p w14:paraId="6431C06C">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万</w:t>
                  </w:r>
                </w:p>
              </w:tc>
              <w:tc>
                <w:tcPr>
                  <w:tcW w:w="832" w:type="pct"/>
                  <w:vMerge w:val="continue"/>
                  <w:tcBorders>
                    <w:tl2br w:val="nil"/>
                    <w:tr2bl w:val="nil"/>
                  </w:tcBorders>
                  <w:noWrap w:val="0"/>
                  <w:vAlign w:val="center"/>
                </w:tcPr>
                <w:p w14:paraId="773D37D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72" w:type="pct"/>
                  <w:tcBorders>
                    <w:tl2br w:val="nil"/>
                    <w:tr2bl w:val="nil"/>
                  </w:tcBorders>
                  <w:shd w:val="clear" w:color="auto" w:fill="auto"/>
                  <w:noWrap w:val="0"/>
                  <w:vAlign w:val="center"/>
                </w:tcPr>
                <w:p w14:paraId="53ACE5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24FB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2EC2F16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128" w:type="pct"/>
                  <w:tcBorders>
                    <w:tl2br w:val="nil"/>
                    <w:tr2bl w:val="nil"/>
                  </w:tcBorders>
                  <w:shd w:val="clear" w:color="auto" w:fill="auto"/>
                  <w:noWrap w:val="0"/>
                  <w:vAlign w:val="center"/>
                </w:tcPr>
                <w:p w14:paraId="57B774AA">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玉米淀粉胶</w:t>
                  </w:r>
                </w:p>
              </w:tc>
              <w:tc>
                <w:tcPr>
                  <w:tcW w:w="564" w:type="pct"/>
                  <w:tcBorders>
                    <w:tl2br w:val="nil"/>
                    <w:tr2bl w:val="nil"/>
                  </w:tcBorders>
                  <w:shd w:val="clear" w:color="auto" w:fill="auto"/>
                  <w:noWrap w:val="0"/>
                  <w:vAlign w:val="center"/>
                </w:tcPr>
                <w:p w14:paraId="02A7C4B0">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6936206A">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550" w:type="pct"/>
                  <w:tcBorders>
                    <w:tl2br w:val="nil"/>
                    <w:tr2bl w:val="nil"/>
                  </w:tcBorders>
                  <w:noWrap w:val="0"/>
                  <w:vAlign w:val="center"/>
                </w:tcPr>
                <w:p w14:paraId="3BDF9A9F">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832" w:type="pct"/>
                  <w:tcBorders>
                    <w:tl2br w:val="nil"/>
                    <w:tr2bl w:val="nil"/>
                  </w:tcBorders>
                  <w:noWrap w:val="0"/>
                  <w:vAlign w:val="center"/>
                </w:tcPr>
                <w:p w14:paraId="1101641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桶装，库房</w:t>
                  </w:r>
                </w:p>
              </w:tc>
              <w:tc>
                <w:tcPr>
                  <w:tcW w:w="972" w:type="pct"/>
                  <w:tcBorders>
                    <w:tl2br w:val="nil"/>
                    <w:tr2bl w:val="nil"/>
                  </w:tcBorders>
                  <w:shd w:val="clear" w:color="auto" w:fill="auto"/>
                  <w:noWrap w:val="0"/>
                  <w:vAlign w:val="center"/>
                </w:tcPr>
                <w:p w14:paraId="15D08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7A51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4E6E7A0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28" w:type="pct"/>
                  <w:tcBorders>
                    <w:tl2br w:val="nil"/>
                    <w:tr2bl w:val="nil"/>
                  </w:tcBorders>
                  <w:shd w:val="clear" w:color="auto" w:fill="auto"/>
                  <w:noWrap w:val="0"/>
                  <w:vAlign w:val="center"/>
                </w:tcPr>
                <w:p w14:paraId="4B2E105A">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水性油墨</w:t>
                  </w:r>
                </w:p>
              </w:tc>
              <w:tc>
                <w:tcPr>
                  <w:tcW w:w="564" w:type="pct"/>
                  <w:tcBorders>
                    <w:tl2br w:val="nil"/>
                    <w:tr2bl w:val="nil"/>
                  </w:tcBorders>
                  <w:shd w:val="clear" w:color="auto" w:fill="auto"/>
                  <w:noWrap w:val="0"/>
                  <w:vAlign w:val="center"/>
                </w:tcPr>
                <w:p w14:paraId="646D3CA7">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5170AADF">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550" w:type="pct"/>
                  <w:tcBorders>
                    <w:tl2br w:val="nil"/>
                    <w:tr2bl w:val="nil"/>
                  </w:tcBorders>
                  <w:noWrap w:val="0"/>
                  <w:vAlign w:val="center"/>
                </w:tcPr>
                <w:p w14:paraId="4A19A134">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32" w:type="pct"/>
                  <w:tcBorders>
                    <w:tl2br w:val="nil"/>
                    <w:tr2bl w:val="nil"/>
                  </w:tcBorders>
                  <w:noWrap w:val="0"/>
                  <w:vAlign w:val="center"/>
                </w:tcPr>
                <w:p w14:paraId="0855C90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桶装，库房</w:t>
                  </w:r>
                </w:p>
              </w:tc>
              <w:tc>
                <w:tcPr>
                  <w:tcW w:w="972" w:type="pct"/>
                  <w:tcBorders>
                    <w:tl2br w:val="nil"/>
                    <w:tr2bl w:val="nil"/>
                  </w:tcBorders>
                  <w:shd w:val="clear" w:color="auto" w:fill="auto"/>
                  <w:noWrap w:val="0"/>
                  <w:vAlign w:val="center"/>
                </w:tcPr>
                <w:p w14:paraId="744B9B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66AC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7607588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28" w:type="pct"/>
                  <w:tcBorders>
                    <w:tl2br w:val="nil"/>
                    <w:tr2bl w:val="nil"/>
                  </w:tcBorders>
                  <w:shd w:val="clear" w:color="auto" w:fill="auto"/>
                  <w:noWrap w:val="0"/>
                  <w:vAlign w:val="center"/>
                </w:tcPr>
                <w:p w14:paraId="34883245">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钉针</w:t>
                  </w:r>
                </w:p>
              </w:tc>
              <w:tc>
                <w:tcPr>
                  <w:tcW w:w="564" w:type="pct"/>
                  <w:tcBorders>
                    <w:tl2br w:val="nil"/>
                    <w:tr2bl w:val="nil"/>
                  </w:tcBorders>
                  <w:shd w:val="clear" w:color="auto" w:fill="auto"/>
                  <w:noWrap w:val="0"/>
                  <w:vAlign w:val="center"/>
                </w:tcPr>
                <w:p w14:paraId="50A10EC6">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5B3F6422">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550" w:type="pct"/>
                  <w:tcBorders>
                    <w:tl2br w:val="nil"/>
                    <w:tr2bl w:val="nil"/>
                  </w:tcBorders>
                  <w:noWrap w:val="0"/>
                  <w:vAlign w:val="center"/>
                </w:tcPr>
                <w:p w14:paraId="4B3DF579">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832" w:type="pct"/>
                  <w:tcBorders>
                    <w:tl2br w:val="nil"/>
                    <w:tr2bl w:val="nil"/>
                  </w:tcBorders>
                  <w:noWrap w:val="0"/>
                  <w:vAlign w:val="center"/>
                </w:tcPr>
                <w:p w14:paraId="7C0E3AB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桶装，库房</w:t>
                  </w:r>
                </w:p>
              </w:tc>
              <w:tc>
                <w:tcPr>
                  <w:tcW w:w="972" w:type="pct"/>
                  <w:tcBorders>
                    <w:tl2br w:val="nil"/>
                    <w:tr2bl w:val="nil"/>
                  </w:tcBorders>
                  <w:shd w:val="clear" w:color="auto" w:fill="auto"/>
                  <w:noWrap w:val="0"/>
                  <w:vAlign w:val="center"/>
                </w:tcPr>
                <w:p w14:paraId="00EE3F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1A29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2325345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128" w:type="pct"/>
                  <w:tcBorders>
                    <w:tl2br w:val="nil"/>
                    <w:tr2bl w:val="nil"/>
                  </w:tcBorders>
                  <w:shd w:val="clear" w:color="auto" w:fill="auto"/>
                  <w:noWrap w:val="0"/>
                  <w:vAlign w:val="center"/>
                </w:tcPr>
                <w:p w14:paraId="7CB11976">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机油</w:t>
                  </w:r>
                </w:p>
              </w:tc>
              <w:tc>
                <w:tcPr>
                  <w:tcW w:w="564" w:type="pct"/>
                  <w:tcBorders>
                    <w:tl2br w:val="nil"/>
                    <w:tr2bl w:val="nil"/>
                  </w:tcBorders>
                  <w:shd w:val="clear" w:color="auto" w:fill="auto"/>
                  <w:noWrap w:val="0"/>
                  <w:vAlign w:val="center"/>
                </w:tcPr>
                <w:p w14:paraId="173797B5">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/a</w:t>
                  </w:r>
                </w:p>
              </w:tc>
              <w:tc>
                <w:tcPr>
                  <w:tcW w:w="527" w:type="pct"/>
                  <w:tcBorders>
                    <w:tl2br w:val="nil"/>
                    <w:tr2bl w:val="nil"/>
                  </w:tcBorders>
                  <w:shd w:val="clear" w:color="auto" w:fill="auto"/>
                  <w:noWrap w:val="0"/>
                  <w:vAlign w:val="center"/>
                </w:tcPr>
                <w:p w14:paraId="674C966B">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p>
              </w:tc>
              <w:tc>
                <w:tcPr>
                  <w:tcW w:w="550" w:type="pct"/>
                  <w:tcBorders>
                    <w:tl2br w:val="nil"/>
                    <w:tr2bl w:val="nil"/>
                  </w:tcBorders>
                  <w:shd w:val="clear" w:color="auto" w:fill="auto"/>
                  <w:noWrap w:val="0"/>
                  <w:vAlign w:val="center"/>
                </w:tcPr>
                <w:p w14:paraId="0FA59124">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w:t>
                  </w:r>
                </w:p>
              </w:tc>
              <w:tc>
                <w:tcPr>
                  <w:tcW w:w="832" w:type="pct"/>
                  <w:tcBorders>
                    <w:tl2br w:val="nil"/>
                    <w:tr2bl w:val="nil"/>
                  </w:tcBorders>
                  <w:shd w:val="clear" w:color="auto" w:fill="auto"/>
                  <w:noWrap w:val="0"/>
                  <w:vAlign w:val="center"/>
                </w:tcPr>
                <w:p w14:paraId="1A745C4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桶装，库房</w:t>
                  </w:r>
                </w:p>
              </w:tc>
              <w:tc>
                <w:tcPr>
                  <w:tcW w:w="972" w:type="pct"/>
                  <w:tcBorders>
                    <w:tl2br w:val="nil"/>
                    <w:tr2bl w:val="nil"/>
                  </w:tcBorders>
                  <w:shd w:val="clear" w:color="auto" w:fill="auto"/>
                  <w:noWrap w:val="0"/>
                  <w:vAlign w:val="center"/>
                </w:tcPr>
                <w:p w14:paraId="2BB78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外购</w:t>
                  </w:r>
                </w:p>
              </w:tc>
            </w:tr>
            <w:tr w14:paraId="5350D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246689F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128" w:type="pct"/>
                  <w:tcBorders>
                    <w:tl2br w:val="nil"/>
                    <w:tr2bl w:val="nil"/>
                  </w:tcBorders>
                  <w:shd w:val="clear" w:color="auto" w:fill="auto"/>
                  <w:noWrap w:val="0"/>
                  <w:vAlign w:val="center"/>
                </w:tcPr>
                <w:p w14:paraId="511D81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新鲜水</w:t>
                  </w:r>
                </w:p>
              </w:tc>
              <w:tc>
                <w:tcPr>
                  <w:tcW w:w="564" w:type="pct"/>
                  <w:tcBorders>
                    <w:tl2br w:val="nil"/>
                    <w:tr2bl w:val="nil"/>
                  </w:tcBorders>
                  <w:shd w:val="clear" w:color="auto" w:fill="auto"/>
                  <w:noWrap w:val="0"/>
                  <w:vAlign w:val="center"/>
                </w:tcPr>
                <w:p w14:paraId="76BCFA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/a</w:t>
                  </w:r>
                </w:p>
              </w:tc>
              <w:tc>
                <w:tcPr>
                  <w:tcW w:w="527" w:type="pct"/>
                  <w:tcBorders>
                    <w:tl2br w:val="nil"/>
                    <w:tr2bl w:val="nil"/>
                  </w:tcBorders>
                  <w:shd w:val="clear" w:color="auto" w:fill="auto"/>
                  <w:noWrap w:val="0"/>
                  <w:vAlign w:val="center"/>
                </w:tcPr>
                <w:p w14:paraId="3A6FB3C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eastAsia="宋体" w:cs="Times New Roman"/>
                      <w:color w:val="000000" w:themeColor="text1"/>
                      <w:kern w:val="2"/>
                      <w:sz w:val="21"/>
                      <w:szCs w:val="21"/>
                      <w:highlight w:val="none"/>
                      <w:lang w:val="en-US" w:eastAsia="zh-CN" w:bidi="ar-SA"/>
                      <w14:textFill>
                        <w14:solidFill>
                          <w14:schemeClr w14:val="tx1"/>
                        </w14:solidFill>
                      </w14:textFill>
                    </w:rPr>
                    <w:t>52.5</w:t>
                  </w:r>
                </w:p>
              </w:tc>
              <w:tc>
                <w:tcPr>
                  <w:tcW w:w="550" w:type="pct"/>
                  <w:tcBorders>
                    <w:tl2br w:val="nil"/>
                    <w:tr2bl w:val="nil"/>
                  </w:tcBorders>
                  <w:shd w:val="clear" w:color="auto" w:fill="auto"/>
                  <w:noWrap w:val="0"/>
                  <w:vAlign w:val="center"/>
                </w:tcPr>
                <w:p w14:paraId="2B66FC6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32" w:type="pct"/>
                  <w:tcBorders>
                    <w:tl2br w:val="nil"/>
                    <w:tr2bl w:val="nil"/>
                  </w:tcBorders>
                  <w:shd w:val="clear" w:color="auto" w:fill="auto"/>
                  <w:noWrap w:val="0"/>
                  <w:vAlign w:val="center"/>
                </w:tcPr>
                <w:p w14:paraId="064E0AD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72" w:type="pct"/>
                  <w:tcBorders>
                    <w:tl2br w:val="nil"/>
                    <w:tr2bl w:val="nil"/>
                  </w:tcBorders>
                  <w:shd w:val="clear" w:color="auto" w:fill="auto"/>
                  <w:noWrap w:val="0"/>
                  <w:vAlign w:val="center"/>
                </w:tcPr>
                <w:p w14:paraId="4E3A3F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市政给水管网</w:t>
                  </w:r>
                </w:p>
              </w:tc>
            </w:tr>
            <w:tr w14:paraId="1D65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4" w:type="pct"/>
                  <w:tcBorders>
                    <w:tl2br w:val="nil"/>
                    <w:tr2bl w:val="nil"/>
                  </w:tcBorders>
                  <w:shd w:val="clear" w:color="auto" w:fill="auto"/>
                  <w:noWrap w:val="0"/>
                  <w:vAlign w:val="center"/>
                </w:tcPr>
                <w:p w14:paraId="39D2852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128" w:type="pct"/>
                  <w:tcBorders>
                    <w:tl2br w:val="nil"/>
                    <w:tr2bl w:val="nil"/>
                  </w:tcBorders>
                  <w:shd w:val="clear" w:color="auto" w:fill="auto"/>
                  <w:noWrap w:val="0"/>
                  <w:vAlign w:val="center"/>
                </w:tcPr>
                <w:p w14:paraId="7AE8C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电</w:t>
                  </w:r>
                </w:p>
              </w:tc>
              <w:tc>
                <w:tcPr>
                  <w:tcW w:w="564" w:type="pct"/>
                  <w:tcBorders>
                    <w:tl2br w:val="nil"/>
                    <w:tr2bl w:val="nil"/>
                  </w:tcBorders>
                  <w:shd w:val="clear" w:color="auto" w:fill="auto"/>
                  <w:noWrap w:val="0"/>
                  <w:vAlign w:val="center"/>
                </w:tcPr>
                <w:p w14:paraId="25EB0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kW·h</w:t>
                  </w:r>
                </w:p>
              </w:tc>
              <w:tc>
                <w:tcPr>
                  <w:tcW w:w="527" w:type="pct"/>
                  <w:tcBorders>
                    <w:tl2br w:val="nil"/>
                    <w:tr2bl w:val="nil"/>
                  </w:tcBorders>
                  <w:shd w:val="clear" w:color="auto" w:fill="auto"/>
                  <w:noWrap w:val="0"/>
                  <w:vAlign w:val="center"/>
                </w:tcPr>
                <w:p w14:paraId="06EC28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万</w:t>
                  </w:r>
                </w:p>
              </w:tc>
              <w:tc>
                <w:tcPr>
                  <w:tcW w:w="550" w:type="pct"/>
                  <w:tcBorders>
                    <w:tl2br w:val="nil"/>
                    <w:tr2bl w:val="nil"/>
                  </w:tcBorders>
                  <w:shd w:val="clear" w:color="auto" w:fill="auto"/>
                  <w:noWrap w:val="0"/>
                  <w:vAlign w:val="center"/>
                </w:tcPr>
                <w:p w14:paraId="69FC958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tc>
              <w:tc>
                <w:tcPr>
                  <w:tcW w:w="832" w:type="pct"/>
                  <w:tcBorders>
                    <w:tl2br w:val="nil"/>
                    <w:tr2bl w:val="nil"/>
                  </w:tcBorders>
                  <w:shd w:val="clear" w:color="auto" w:fill="auto"/>
                  <w:noWrap w:val="0"/>
                  <w:vAlign w:val="center"/>
                </w:tcPr>
                <w:p w14:paraId="5685448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972" w:type="pct"/>
                  <w:tcBorders>
                    <w:tl2br w:val="nil"/>
                    <w:tr2bl w:val="nil"/>
                  </w:tcBorders>
                  <w:shd w:val="clear" w:color="auto" w:fill="auto"/>
                  <w:noWrap w:val="0"/>
                  <w:vAlign w:val="center"/>
                </w:tcPr>
                <w:p w14:paraId="57118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国家电网</w:t>
                  </w:r>
                </w:p>
              </w:tc>
            </w:tr>
          </w:tbl>
          <w:p w14:paraId="3419C1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玉米淀粉胶：由玉米淀粉、硼砂、烧碱按比例混合制成，具有粘合性，多用于包装行业。</w:t>
            </w:r>
          </w:p>
          <w:p w14:paraId="03242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水性油墨：由丙烯酸乳液50%，有机颜料48%，水性蜡1.8%，消泡剂0.2%组成。水性油墨具有显著的环保安全特点：安全、无毒无害、不燃不爆，VOCs含量为2.8%（检测报告见附件</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挥发性气体产生量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较少</w:t>
            </w:r>
            <w:r>
              <w:rPr>
                <w:rFonts w:hint="eastAsia" w:cs="Times New Roman"/>
                <w:color w:val="000000" w:themeColor="text1"/>
                <w:sz w:val="24"/>
                <w:szCs w:val="24"/>
                <w:lang w:val="en-US" w:eastAsia="zh-CN"/>
                <w14:textFill>
                  <w14:solidFill>
                    <w14:schemeClr w14:val="tx1"/>
                  </w14:solidFill>
                </w14:textFill>
              </w:rPr>
              <w:t>。</w:t>
            </w:r>
          </w:p>
          <w:p w14:paraId="16E049AD">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4</w:t>
            </w:r>
            <w:r>
              <w:rPr>
                <w:rFonts w:hint="default" w:ascii="Times New Roman" w:hAnsi="Times New Roman" w:cs="Times New Roman"/>
                <w:b/>
                <w:bCs/>
                <w:color w:val="000000" w:themeColor="text1"/>
                <w14:textFill>
                  <w14:solidFill>
                    <w14:schemeClr w14:val="tx1"/>
                  </w14:solidFill>
                </w14:textFill>
              </w:rPr>
              <w:t>、主要生产设施及设施参数</w:t>
            </w:r>
          </w:p>
          <w:p w14:paraId="7511B6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本项目主要</w:t>
            </w:r>
            <w:r>
              <w:rPr>
                <w:rFonts w:hint="default" w:ascii="Times New Roman" w:hAnsi="Times New Roman" w:eastAsia="宋体" w:cs="Times New Roman"/>
                <w:color w:val="000000" w:themeColor="text1"/>
                <w:sz w:val="24"/>
                <w:szCs w:val="24"/>
                <w14:textFill>
                  <w14:solidFill>
                    <w14:schemeClr w14:val="tx1"/>
                  </w14:solidFill>
                </w14:textFill>
              </w:rPr>
              <w:t>生产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设施详</w:t>
            </w:r>
            <w:r>
              <w:rPr>
                <w:rFonts w:hint="default" w:ascii="Times New Roman" w:hAnsi="Times New Roman" w:eastAsia="宋体" w:cs="Times New Roman"/>
                <w:color w:val="000000" w:themeColor="text1"/>
                <w:sz w:val="24"/>
                <w:szCs w:val="24"/>
                <w14:textFill>
                  <w14:solidFill>
                    <w14:schemeClr w14:val="tx1"/>
                  </w14:solidFill>
                </w14:textFill>
              </w:rPr>
              <w:t>见表2-</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p w14:paraId="72B7BCEB">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表</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2-</w:t>
            </w:r>
            <w:r>
              <w:rPr>
                <w:rFonts w:hint="eastAsia" w:eastAsia="黑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 xml:space="preserve">  项目设备情况一览表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2925"/>
              <w:gridCol w:w="2474"/>
              <w:gridCol w:w="1730"/>
            </w:tblGrid>
            <w:tr w14:paraId="4CB4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pct"/>
                  <w:noWrap w:val="0"/>
                  <w:vAlign w:val="center"/>
                </w:tcPr>
                <w:p w14:paraId="3EBB9F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823" w:type="pct"/>
                  <w:noWrap w:val="0"/>
                  <w:vAlign w:val="center"/>
                </w:tcPr>
                <w:p w14:paraId="623683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1542" w:type="pct"/>
                  <w:noWrap w:val="0"/>
                  <w:vAlign w:val="center"/>
                </w:tcPr>
                <w:p w14:paraId="3D984F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型号</w:t>
                  </w:r>
                </w:p>
              </w:tc>
              <w:tc>
                <w:tcPr>
                  <w:tcW w:w="1078" w:type="pct"/>
                  <w:noWrap w:val="0"/>
                  <w:vAlign w:val="center"/>
                </w:tcPr>
                <w:p w14:paraId="7CBE0E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数量（台/套）</w:t>
                  </w:r>
                </w:p>
              </w:tc>
            </w:tr>
            <w:tr w14:paraId="0BC3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pct"/>
                  <w:shd w:val="clear" w:color="auto" w:fill="auto"/>
                  <w:noWrap w:val="0"/>
                  <w:vAlign w:val="center"/>
                </w:tcPr>
                <w:p w14:paraId="167E9E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823" w:type="pct"/>
                  <w:shd w:val="clear" w:color="auto" w:fill="auto"/>
                  <w:noWrap w:val="0"/>
                  <w:vAlign w:val="center"/>
                </w:tcPr>
                <w:p w14:paraId="2BF819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裱纸机</w:t>
                  </w:r>
                </w:p>
              </w:tc>
              <w:tc>
                <w:tcPr>
                  <w:tcW w:w="1542" w:type="pct"/>
                  <w:shd w:val="clear" w:color="auto" w:fill="auto"/>
                  <w:noWrap w:val="0"/>
                  <w:vAlign w:val="center"/>
                </w:tcPr>
                <w:p w14:paraId="6E766B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145</w:t>
                  </w:r>
                </w:p>
              </w:tc>
              <w:tc>
                <w:tcPr>
                  <w:tcW w:w="1078" w:type="pct"/>
                  <w:shd w:val="clear" w:color="auto" w:fill="auto"/>
                  <w:noWrap w:val="0"/>
                  <w:vAlign w:val="center"/>
                </w:tcPr>
                <w:p w14:paraId="24B3D8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14:paraId="7B68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pct"/>
                  <w:shd w:val="clear" w:color="auto" w:fill="auto"/>
                  <w:noWrap w:val="0"/>
                  <w:vAlign w:val="center"/>
                </w:tcPr>
                <w:p w14:paraId="3B2E46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823" w:type="pct"/>
                  <w:shd w:val="clear" w:color="auto" w:fill="auto"/>
                  <w:noWrap w:val="0"/>
                  <w:vAlign w:val="center"/>
                </w:tcPr>
                <w:p w14:paraId="283C4E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模切机</w:t>
                  </w:r>
                </w:p>
              </w:tc>
              <w:tc>
                <w:tcPr>
                  <w:tcW w:w="1542" w:type="pct"/>
                  <w:shd w:val="clear" w:color="auto" w:fill="auto"/>
                  <w:noWrap w:val="0"/>
                  <w:vAlign w:val="center"/>
                </w:tcPr>
                <w:p w14:paraId="285469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MFF-1480</w:t>
                  </w:r>
                </w:p>
              </w:tc>
              <w:tc>
                <w:tcPr>
                  <w:tcW w:w="1078" w:type="pct"/>
                  <w:shd w:val="clear" w:color="auto" w:fill="auto"/>
                  <w:noWrap w:val="0"/>
                  <w:vAlign w:val="center"/>
                </w:tcPr>
                <w:p w14:paraId="6B910B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14:paraId="39F4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5" w:type="pct"/>
                  <w:shd w:val="clear" w:color="auto" w:fill="auto"/>
                  <w:noWrap w:val="0"/>
                  <w:vAlign w:val="center"/>
                </w:tcPr>
                <w:p w14:paraId="408089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823" w:type="pct"/>
                  <w:shd w:val="clear" w:color="auto" w:fill="auto"/>
                  <w:noWrap w:val="0"/>
                  <w:vAlign w:val="center"/>
                </w:tcPr>
                <w:p w14:paraId="416FC5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印刷机</w:t>
                  </w:r>
                </w:p>
              </w:tc>
              <w:tc>
                <w:tcPr>
                  <w:tcW w:w="1542" w:type="pct"/>
                  <w:shd w:val="clear" w:color="auto" w:fill="auto"/>
                  <w:noWrap w:val="0"/>
                  <w:vAlign w:val="center"/>
                </w:tcPr>
                <w:p w14:paraId="0137D5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VM1224</w:t>
                  </w:r>
                </w:p>
              </w:tc>
              <w:tc>
                <w:tcPr>
                  <w:tcW w:w="1078" w:type="pct"/>
                  <w:shd w:val="clear" w:color="auto" w:fill="auto"/>
                  <w:noWrap w:val="0"/>
                  <w:vAlign w:val="center"/>
                </w:tcPr>
                <w:p w14:paraId="5AD47E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14:paraId="0262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555" w:type="pct"/>
                  <w:shd w:val="clear" w:color="auto" w:fill="auto"/>
                  <w:noWrap w:val="0"/>
                  <w:vAlign w:val="center"/>
                </w:tcPr>
                <w:p w14:paraId="3BA54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823" w:type="pct"/>
                  <w:shd w:val="clear" w:color="auto" w:fill="auto"/>
                  <w:noWrap w:val="0"/>
                  <w:vAlign w:val="center"/>
                </w:tcPr>
                <w:p w14:paraId="7500E1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粘钉一体机</w:t>
                  </w:r>
                </w:p>
              </w:tc>
              <w:tc>
                <w:tcPr>
                  <w:tcW w:w="1542" w:type="pct"/>
                  <w:shd w:val="clear" w:color="auto" w:fill="auto"/>
                  <w:noWrap w:val="0"/>
                  <w:vAlign w:val="center"/>
                </w:tcPr>
                <w:p w14:paraId="136491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SP-G2DJ2800</w:t>
                  </w:r>
                </w:p>
              </w:tc>
              <w:tc>
                <w:tcPr>
                  <w:tcW w:w="1078" w:type="pct"/>
                  <w:shd w:val="clear" w:color="auto" w:fill="auto"/>
                  <w:noWrap w:val="0"/>
                  <w:vAlign w:val="center"/>
                </w:tcPr>
                <w:p w14:paraId="3A3990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r w14:paraId="35CAC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pct"/>
                  <w:shd w:val="clear" w:color="auto" w:fill="auto"/>
                  <w:noWrap w:val="0"/>
                  <w:vAlign w:val="center"/>
                </w:tcPr>
                <w:p w14:paraId="472548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823" w:type="pct"/>
                  <w:shd w:val="clear" w:color="auto" w:fill="auto"/>
                  <w:noWrap w:val="0"/>
                  <w:vAlign w:val="center"/>
                </w:tcPr>
                <w:p w14:paraId="7602CE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订箱</w:t>
                  </w:r>
                  <w:r>
                    <w:rPr>
                      <w:rFonts w:hint="eastAsia" w:ascii="Times New Roman" w:hAnsi="Times New Roman" w:eastAsia="宋体" w:cs="Times New Roman"/>
                      <w:color w:val="000000" w:themeColor="text1"/>
                      <w:sz w:val="21"/>
                      <w:szCs w:val="21"/>
                      <w14:textFill>
                        <w14:solidFill>
                          <w14:schemeClr w14:val="tx1"/>
                        </w14:solidFill>
                      </w14:textFill>
                    </w:rPr>
                    <w:t>机</w:t>
                  </w:r>
                </w:p>
              </w:tc>
              <w:tc>
                <w:tcPr>
                  <w:tcW w:w="1542" w:type="pct"/>
                  <w:shd w:val="clear" w:color="auto" w:fill="auto"/>
                  <w:noWrap w:val="0"/>
                  <w:vAlign w:val="center"/>
                </w:tcPr>
                <w:p w14:paraId="1EBC83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青岛1.2m</w:t>
                  </w:r>
                </w:p>
              </w:tc>
              <w:tc>
                <w:tcPr>
                  <w:tcW w:w="1078" w:type="pct"/>
                  <w:shd w:val="clear" w:color="auto" w:fill="auto"/>
                  <w:noWrap w:val="0"/>
                  <w:vAlign w:val="center"/>
                </w:tcPr>
                <w:p w14:paraId="3AD1BB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2DC9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55" w:type="pct"/>
                  <w:shd w:val="clear" w:color="auto" w:fill="auto"/>
                  <w:noWrap w:val="0"/>
                  <w:vAlign w:val="center"/>
                </w:tcPr>
                <w:p w14:paraId="733A26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823" w:type="pct"/>
                  <w:shd w:val="clear" w:color="auto" w:fill="auto"/>
                  <w:noWrap w:val="0"/>
                  <w:vAlign w:val="center"/>
                </w:tcPr>
                <w:p w14:paraId="0F9F1B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印刷</w:t>
                  </w:r>
                  <w:r>
                    <w:rPr>
                      <w:rFonts w:hint="eastAsia" w:ascii="Times New Roman" w:hAnsi="Times New Roman" w:eastAsia="宋体" w:cs="Times New Roman"/>
                      <w:color w:val="000000" w:themeColor="text1"/>
                      <w:sz w:val="21"/>
                      <w:szCs w:val="21"/>
                      <w14:textFill>
                        <w14:solidFill>
                          <w14:schemeClr w14:val="tx1"/>
                        </w14:solidFill>
                      </w14:textFill>
                    </w:rPr>
                    <w:t>废气处理设施</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含风机</w:t>
                  </w:r>
                  <w:r>
                    <w:rPr>
                      <w:rFonts w:hint="eastAsia" w:cs="Times New Roman"/>
                      <w:color w:val="000000" w:themeColor="text1"/>
                      <w:sz w:val="21"/>
                      <w:szCs w:val="21"/>
                      <w:lang w:eastAsia="zh-CN"/>
                      <w14:textFill>
                        <w14:solidFill>
                          <w14:schemeClr w14:val="tx1"/>
                        </w14:solidFill>
                      </w14:textFill>
                    </w:rPr>
                    <w:t>）</w:t>
                  </w:r>
                </w:p>
              </w:tc>
              <w:tc>
                <w:tcPr>
                  <w:tcW w:w="1542" w:type="pct"/>
                  <w:shd w:val="clear" w:color="auto" w:fill="auto"/>
                  <w:noWrap w:val="0"/>
                  <w:vAlign w:val="center"/>
                </w:tcPr>
                <w:p w14:paraId="73ED18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1078" w:type="pct"/>
                  <w:shd w:val="clear" w:color="auto" w:fill="auto"/>
                  <w:noWrap w:val="0"/>
                  <w:vAlign w:val="center"/>
                </w:tcPr>
                <w:p w14:paraId="7EAB40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p>
              </w:tc>
            </w:tr>
          </w:tbl>
          <w:p w14:paraId="071E0959">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、劳动定员及工作制度</w:t>
            </w:r>
          </w:p>
          <w:p w14:paraId="0D47E456">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本项目劳动定</w:t>
            </w:r>
            <w:r>
              <w:rPr>
                <w:rFonts w:hint="default" w:ascii="Times New Roman" w:hAnsi="Times New Roman" w:cs="Times New Roman"/>
                <w:color w:val="000000" w:themeColor="text1"/>
                <w14:textFill>
                  <w14:solidFill>
                    <w14:schemeClr w14:val="tx1"/>
                  </w14:solidFill>
                </w14:textFill>
              </w:rPr>
              <w:t>员</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人，</w:t>
            </w:r>
            <w:r>
              <w:rPr>
                <w:rFonts w:hint="eastAsia"/>
                <w:color w:val="000000" w:themeColor="text1"/>
                <w:lang w:val="en-US" w:eastAsia="zh-CN"/>
                <w14:textFill>
                  <w14:solidFill>
                    <w14:schemeClr w14:val="tx1"/>
                  </w14:solidFill>
                </w14:textFill>
              </w:rPr>
              <w:t>厂内不提供食宿。</w:t>
            </w:r>
            <w:r>
              <w:rPr>
                <w:rFonts w:hint="eastAsia"/>
                <w:color w:val="000000" w:themeColor="text1"/>
                <w14:textFill>
                  <w14:solidFill>
                    <w14:schemeClr w14:val="tx1"/>
                  </w14:solidFill>
                </w14:textFill>
              </w:rPr>
              <w:t>每天工作8小时，年工作时间为</w:t>
            </w:r>
            <w:r>
              <w:rPr>
                <w:rFonts w:hint="eastAsia"/>
                <w:color w:val="000000" w:themeColor="text1"/>
                <w:lang w:val="en-US" w:eastAsia="zh-CN"/>
                <w14:textFill>
                  <w14:solidFill>
                    <w14:schemeClr w14:val="tx1"/>
                  </w14:solidFill>
                </w14:textFill>
              </w:rPr>
              <w:t>250</w:t>
            </w:r>
            <w:r>
              <w:rPr>
                <w:rFonts w:hint="eastAsia"/>
                <w:color w:val="000000" w:themeColor="text1"/>
                <w14:textFill>
                  <w14:solidFill>
                    <w14:schemeClr w14:val="tx1"/>
                  </w14:solidFill>
                </w14:textFill>
              </w:rPr>
              <w:t>天，一班制，夜间不生产。</w:t>
            </w:r>
          </w:p>
          <w:p w14:paraId="431897ED">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6</w:t>
            </w:r>
            <w:r>
              <w:rPr>
                <w:rFonts w:hint="default" w:ascii="Times New Roman" w:hAnsi="Times New Roman" w:cs="Times New Roman"/>
                <w:b/>
                <w:bCs/>
                <w:color w:val="000000" w:themeColor="text1"/>
                <w14:textFill>
                  <w14:solidFill>
                    <w14:schemeClr w14:val="tx1"/>
                  </w14:solidFill>
                </w14:textFill>
              </w:rPr>
              <w:t>、项目水平衡</w:t>
            </w:r>
          </w:p>
          <w:p w14:paraId="6479B44A">
            <w:pPr>
              <w:pStyle w:val="20"/>
              <w:keepNext w:val="0"/>
              <w:keepLines w:val="0"/>
              <w:suppressLineNumbers w:val="0"/>
              <w:spacing w:before="0" w:beforeAutospacing="0" w:after="0" w:afterAutospacing="0"/>
              <w:ind w:left="0" w:right="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w:t>
            </w:r>
            <w:r>
              <w:rPr>
                <w:rFonts w:hint="eastAsia"/>
                <w:color w:val="000000" w:themeColor="text1"/>
                <w:lang w:val="en-US" w:eastAsia="zh-CN"/>
                <w14:textFill>
                  <w14:solidFill>
                    <w14:schemeClr w14:val="tx1"/>
                  </w14:solidFill>
                </w14:textFill>
              </w:rPr>
              <w:t>厂区</w:t>
            </w:r>
            <w:r>
              <w:rPr>
                <w:rFonts w:hint="eastAsia"/>
                <w:color w:val="000000" w:themeColor="text1"/>
                <w14:textFill>
                  <w14:solidFill>
                    <w14:schemeClr w14:val="tx1"/>
                  </w14:solidFill>
                </w14:textFill>
              </w:rPr>
              <w:t>采取雨污分流，雨水经雨水管道排入雨水管网；</w:t>
            </w:r>
            <w:r>
              <w:rPr>
                <w:rFonts w:hint="default"/>
                <w:color w:val="000000" w:themeColor="text1"/>
                <w14:textFill>
                  <w14:solidFill>
                    <w14:schemeClr w14:val="tx1"/>
                  </w14:solidFill>
                </w14:textFill>
              </w:rPr>
              <w:t>用水由市政自来水管网供给</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污水经</w:t>
            </w:r>
            <w:r>
              <w:rPr>
                <w:rFonts w:hint="default" w:ascii="Times New Roman" w:hAnsi="Times New Roman" w:cs="Times New Roman"/>
                <w:color w:val="000000" w:themeColor="text1"/>
                <w:lang w:val="en-US" w:eastAsia="zh-CN"/>
                <w14:textFill>
                  <w14:solidFill>
                    <w14:schemeClr w14:val="tx1"/>
                  </w14:solidFill>
                </w14:textFill>
              </w:rPr>
              <w:t>市政污水管网排入</w:t>
            </w:r>
            <w:r>
              <w:rPr>
                <w:rFonts w:hint="eastAsia" w:cs="Times New Roman"/>
                <w:color w:val="000000" w:themeColor="text1"/>
                <w:lang w:val="en-US" w:eastAsia="zh-CN"/>
                <w14:textFill>
                  <w14:solidFill>
                    <w14:schemeClr w14:val="tx1"/>
                  </w14:solidFill>
                </w14:textFill>
              </w:rPr>
              <w:t>沣西新城大王污水处理厂。</w:t>
            </w:r>
          </w:p>
          <w:p w14:paraId="7E7A600A">
            <w:pPr>
              <w:keepNext w:val="0"/>
              <w:keepLines w:val="0"/>
              <w:suppressLineNumbers w:val="0"/>
              <w:spacing w:before="0" w:beforeAutospacing="0" w:after="0" w:afterAutospacing="0"/>
              <w:ind w:left="0" w:right="0" w:firstLine="480" w:firstLineChars="20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办公人员用排水</w:t>
            </w:r>
          </w:p>
          <w:p w14:paraId="2FC46D1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color w:val="000000" w:themeColor="text1"/>
                <w14:textFill>
                  <w14:solidFill>
                    <w14:schemeClr w14:val="tx1"/>
                  </w14:solidFill>
                </w14:textFill>
              </w:rPr>
            </w:pPr>
            <w:r>
              <w:rPr>
                <w:rFonts w:hint="default"/>
                <w:color w:val="000000" w:themeColor="text1"/>
                <w:lang w:val="en-GB" w:eastAsia="zh-TW"/>
                <w14:textFill>
                  <w14:solidFill>
                    <w14:schemeClr w14:val="tx1"/>
                  </w14:solidFill>
                </w14:textFill>
              </w:rPr>
              <w:t>本项目劳动定员</w:t>
            </w:r>
            <w:r>
              <w:rPr>
                <w:rFonts w:hint="eastAsia"/>
                <w:color w:val="000000" w:themeColor="text1"/>
                <w:lang w:val="en-US" w:eastAsia="zh-CN"/>
                <w14:textFill>
                  <w14:solidFill>
                    <w14:schemeClr w14:val="tx1"/>
                  </w14:solidFill>
                </w14:textFill>
              </w:rPr>
              <w:t>5</w:t>
            </w:r>
            <w:r>
              <w:rPr>
                <w:rFonts w:hint="default"/>
                <w:color w:val="000000" w:themeColor="text1"/>
                <w:lang w:val="en-GB" w:eastAsia="zh-TW"/>
                <w14:textFill>
                  <w14:solidFill>
                    <w14:schemeClr w14:val="tx1"/>
                  </w14:solidFill>
                </w14:textFill>
              </w:rPr>
              <w:t>人，</w:t>
            </w:r>
            <w:r>
              <w:rPr>
                <w:rFonts w:hint="eastAsia"/>
                <w:bCs/>
                <w:color w:val="000000" w:themeColor="text1"/>
                <w:lang w:val="en-US" w:eastAsia="zh-CN"/>
                <w14:textFill>
                  <w14:solidFill>
                    <w14:schemeClr w14:val="tx1"/>
                  </w14:solidFill>
                </w14:textFill>
              </w:rPr>
              <w:t>厂</w:t>
            </w:r>
            <w:r>
              <w:rPr>
                <w:rFonts w:hint="default"/>
                <w:bCs/>
                <w:color w:val="000000" w:themeColor="text1"/>
                <w:lang w:val="en-GB"/>
                <w14:textFill>
                  <w14:solidFill>
                    <w14:schemeClr w14:val="tx1"/>
                  </w14:solidFill>
                </w14:textFill>
              </w:rPr>
              <w:t>内</w:t>
            </w:r>
            <w:r>
              <w:rPr>
                <w:rFonts w:hint="eastAsia"/>
                <w:bCs/>
                <w:color w:val="000000" w:themeColor="text1"/>
                <w:lang w:val="en-US" w:eastAsia="zh-CN"/>
                <w14:textFill>
                  <w14:solidFill>
                    <w14:schemeClr w14:val="tx1"/>
                  </w14:solidFill>
                </w14:textFill>
              </w:rPr>
              <w:t>不设</w:t>
            </w:r>
            <w:r>
              <w:rPr>
                <w:rFonts w:hint="default"/>
                <w:bCs/>
                <w:color w:val="000000" w:themeColor="text1"/>
                <w:lang w:val="en-GB" w:eastAsia="zh-TW"/>
                <w14:textFill>
                  <w14:solidFill>
                    <w14:schemeClr w14:val="tx1"/>
                  </w14:solidFill>
                </w14:textFill>
              </w:rPr>
              <w:t>食堂</w:t>
            </w:r>
            <w:r>
              <w:rPr>
                <w:rFonts w:hint="default"/>
                <w:bCs/>
                <w:color w:val="000000" w:themeColor="text1"/>
                <w:lang w:val="en-GB"/>
                <w14:textFill>
                  <w14:solidFill>
                    <w14:schemeClr w14:val="tx1"/>
                  </w14:solidFill>
                </w14:textFill>
              </w:rPr>
              <w:t>、宿舍</w:t>
            </w:r>
            <w:r>
              <w:rPr>
                <w:rFonts w:hint="eastAsia"/>
                <w:bCs/>
                <w:color w:val="000000" w:themeColor="text1"/>
                <w:lang w:val="en-US" w:eastAsia="zh-CN"/>
                <w14:textFill>
                  <w14:solidFill>
                    <w14:schemeClr w14:val="tx1"/>
                  </w14:solidFill>
                </w14:textFill>
              </w:rPr>
              <w:t>。</w:t>
            </w:r>
            <w:r>
              <w:rPr>
                <w:rFonts w:hint="default"/>
                <w:color w:val="000000" w:themeColor="text1"/>
                <w:lang w:val="en-GB" w:eastAsia="zh-TW"/>
                <w14:textFill>
                  <w14:solidFill>
                    <w14:schemeClr w14:val="tx1"/>
                  </w14:solidFill>
                </w14:textFill>
              </w:rPr>
              <w:t>参照《行业用水定额》（DB61/T943-20</w:t>
            </w:r>
            <w:r>
              <w:rPr>
                <w:rFonts w:hint="default"/>
                <w:color w:val="000000" w:themeColor="text1"/>
                <w14:textFill>
                  <w14:solidFill>
                    <w14:schemeClr w14:val="tx1"/>
                  </w14:solidFill>
                </w14:textFill>
              </w:rPr>
              <w:t>20</w:t>
            </w:r>
            <w:r>
              <w:rPr>
                <w:rFonts w:hint="default"/>
                <w:color w:val="000000" w:themeColor="text1"/>
                <w:lang w:val="en-GB" w:eastAsia="zh-TW"/>
                <w14:textFill>
                  <w14:solidFill>
                    <w14:schemeClr w14:val="tx1"/>
                  </w14:solidFill>
                </w14:textFill>
              </w:rPr>
              <w:t>）</w:t>
            </w:r>
            <w:r>
              <w:rPr>
                <w:rFonts w:hint="default"/>
                <w:color w:val="000000" w:themeColor="text1"/>
                <w:lang w:val="en-GB"/>
                <w14:textFill>
                  <w14:solidFill>
                    <w14:schemeClr w14:val="tx1"/>
                  </w14:solidFill>
                </w14:textFill>
              </w:rPr>
              <w:t>，</w:t>
            </w:r>
            <w:r>
              <w:rPr>
                <w:rFonts w:hint="eastAsia"/>
                <w:color w:val="000000" w:themeColor="text1"/>
                <w:lang w:val="en-US" w:eastAsia="zh-CN"/>
                <w14:textFill>
                  <w14:solidFill>
                    <w14:schemeClr w14:val="tx1"/>
                  </w14:solidFill>
                </w14:textFill>
              </w:rPr>
              <w:t>办公</w:t>
            </w:r>
            <w:r>
              <w:rPr>
                <w:rFonts w:hint="default"/>
                <w:color w:val="000000" w:themeColor="text1"/>
                <w14:textFill>
                  <w14:solidFill>
                    <w14:schemeClr w14:val="tx1"/>
                  </w14:solidFill>
                </w14:textFill>
              </w:rPr>
              <w:t>人员用水</w:t>
            </w:r>
            <w:r>
              <w:rPr>
                <w:rFonts w:hint="eastAsia"/>
                <w:color w:val="000000" w:themeColor="text1"/>
                <w:lang w:val="en-US" w:eastAsia="zh-CN"/>
                <w14:textFill>
                  <w14:solidFill>
                    <w14:schemeClr w14:val="tx1"/>
                  </w14:solidFill>
                </w14:textFill>
              </w:rPr>
              <w:t>定</w:t>
            </w:r>
            <w:r>
              <w:rPr>
                <w:rFonts w:hint="default"/>
                <w:color w:val="000000" w:themeColor="text1"/>
                <w:lang w:val="en-GB" w:eastAsia="zh-TW"/>
                <w14:textFill>
                  <w14:solidFill>
                    <w14:schemeClr w14:val="tx1"/>
                  </w14:solidFill>
                </w14:textFill>
              </w:rPr>
              <w:t>额取</w:t>
            </w:r>
            <w:r>
              <w:rPr>
                <w:rFonts w:hint="eastAsia"/>
                <w:color w:val="000000" w:themeColor="text1"/>
                <w:lang w:val="en-US" w:eastAsia="zh-CN"/>
                <w14:textFill>
                  <w14:solidFill>
                    <w14:schemeClr w14:val="tx1"/>
                  </w14:solidFill>
                </w14:textFill>
              </w:rPr>
              <w:t>10</w:t>
            </w:r>
            <w:r>
              <w:rPr>
                <w:rFonts w:hint="eastAsia" w:ascii="Times New Roman" w:eastAsia="宋体"/>
                <w:color w:val="000000" w:themeColor="text1"/>
                <w:lang w:val="en-US" w:eastAsia="zh-CN"/>
                <w14:textFill>
                  <w14:solidFill>
                    <w14:schemeClr w14:val="tx1"/>
                  </w14:solidFill>
                </w14:textFill>
              </w:rPr>
              <w:t>m</w:t>
            </w:r>
            <w:r>
              <w:rPr>
                <w:rFonts w:hint="eastAsia" w:ascii="Times New Roman" w:eastAsia="宋体"/>
                <w:color w:val="000000" w:themeColor="text1"/>
                <w:vertAlign w:val="superscript"/>
                <w:lang w:val="en-US" w:eastAsia="zh-CN"/>
                <w14:textFill>
                  <w14:solidFill>
                    <w14:schemeClr w14:val="tx1"/>
                  </w14:solidFill>
                </w14:textFill>
              </w:rPr>
              <w:t>3</w:t>
            </w:r>
            <w:r>
              <w:rPr>
                <w:rFonts w:hint="default"/>
                <w:color w:val="000000" w:themeColor="text1"/>
                <w:lang w:val="en-GB" w:eastAsia="zh-TW"/>
                <w14:textFill>
                  <w14:solidFill>
                    <w14:schemeClr w14:val="tx1"/>
                  </w14:solidFill>
                </w14:textFill>
              </w:rPr>
              <w:t>/(人·</w:t>
            </w:r>
            <w:r>
              <w:rPr>
                <w:rFonts w:hint="eastAsia"/>
                <w:color w:val="000000" w:themeColor="text1"/>
                <w:lang w:val="en-US" w:eastAsia="zh-CN"/>
                <w14:textFill>
                  <w14:solidFill>
                    <w14:schemeClr w14:val="tx1"/>
                  </w14:solidFill>
                </w14:textFill>
              </w:rPr>
              <w:t>a</w:t>
            </w:r>
            <w:r>
              <w:rPr>
                <w:rFonts w:hint="default"/>
                <w:color w:val="000000" w:themeColor="text1"/>
                <w:lang w:val="en-GB" w:eastAsia="zh-TW"/>
                <w14:textFill>
                  <w14:solidFill>
                    <w14:schemeClr w14:val="tx1"/>
                  </w14:solidFill>
                </w14:textFill>
              </w:rPr>
              <w:t>)</w:t>
            </w:r>
            <w:r>
              <w:rPr>
                <w:rFonts w:hint="default"/>
                <w:color w:val="000000" w:themeColor="text1"/>
                <w:lang w:val="en-GB"/>
                <w14:textFill>
                  <w14:solidFill>
                    <w14:schemeClr w14:val="tx1"/>
                  </w14:solidFill>
                </w14:textFill>
              </w:rPr>
              <w:t>，</w:t>
            </w:r>
            <w:r>
              <w:rPr>
                <w:rFonts w:hint="default"/>
                <w:color w:val="000000" w:themeColor="text1"/>
                <w14:textFill>
                  <w14:solidFill>
                    <w14:schemeClr w14:val="tx1"/>
                  </w14:solidFill>
                </w14:textFill>
              </w:rPr>
              <w:t>项目年运行</w:t>
            </w:r>
            <w:r>
              <w:rPr>
                <w:rFonts w:hint="eastAsia"/>
                <w:color w:val="000000" w:themeColor="text1"/>
                <w:lang w:val="en-US" w:eastAsia="zh-CN"/>
                <w14:textFill>
                  <w14:solidFill>
                    <w14:schemeClr w14:val="tx1"/>
                  </w14:solidFill>
                </w14:textFill>
              </w:rPr>
              <w:t>250</w:t>
            </w:r>
            <w:r>
              <w:rPr>
                <w:rFonts w:hint="default"/>
                <w:color w:val="000000" w:themeColor="text1"/>
                <w14:textFill>
                  <w14:solidFill>
                    <w14:schemeClr w14:val="tx1"/>
                  </w14:solidFill>
                </w14:textFill>
              </w:rPr>
              <w:t>d，</w:t>
            </w:r>
            <w:r>
              <w:rPr>
                <w:rFonts w:hint="default"/>
                <w:color w:val="000000" w:themeColor="text1"/>
                <w:lang w:val="en-GB" w:eastAsia="zh-TW"/>
                <w14:textFill>
                  <w14:solidFill>
                    <w14:schemeClr w14:val="tx1"/>
                  </w14:solidFill>
                </w14:textFill>
              </w:rPr>
              <w:t>用水量为</w:t>
            </w:r>
            <w:r>
              <w:rPr>
                <w:rFonts w:hint="eastAsia"/>
                <w:color w:val="000000" w:themeColor="text1"/>
                <w:lang w:val="en-US" w:eastAsia="zh-CN"/>
                <w14:textFill>
                  <w14:solidFill>
                    <w14:schemeClr w14:val="tx1"/>
                  </w14:solidFill>
                </w14:textFill>
              </w:rPr>
              <w:t>0.20</w:t>
            </w:r>
            <w:r>
              <w:rPr>
                <w:rFonts w:hint="default"/>
                <w:color w:val="000000" w:themeColor="text1"/>
                <w:lang w:val="en-GB" w:eastAsia="zh-TW"/>
                <w14:textFill>
                  <w14:solidFill>
                    <w14:schemeClr w14:val="tx1"/>
                  </w14:solidFill>
                </w14:textFill>
              </w:rPr>
              <w:t>m</w:t>
            </w:r>
            <w:r>
              <w:rPr>
                <w:rFonts w:hint="default"/>
                <w:color w:val="000000" w:themeColor="text1"/>
                <w:highlight w:val="none"/>
                <w:vertAlign w:val="superscript"/>
                <w:lang w:val="en-GB" w:eastAsia="zh-TW"/>
                <w14:textFill>
                  <w14:solidFill>
                    <w14:schemeClr w14:val="tx1"/>
                  </w14:solidFill>
                </w14:textFill>
              </w:rPr>
              <w:t>3</w:t>
            </w:r>
            <w:r>
              <w:rPr>
                <w:rFonts w:hint="default"/>
                <w:color w:val="000000" w:themeColor="text1"/>
                <w:highlight w:val="none"/>
                <w:lang w:val="en-GB" w:eastAsia="zh-TW"/>
                <w14:textFill>
                  <w14:solidFill>
                    <w14:schemeClr w14:val="tx1"/>
                  </w14:solidFill>
                </w14:textFill>
              </w:rPr>
              <w:t>/d</w:t>
            </w:r>
            <w:r>
              <w:rPr>
                <w:rFonts w:hint="eastAsia" w:ascii="Times New Roman" w:eastAsia="宋体"/>
                <w:color w:val="000000" w:themeColor="text1"/>
                <w:highlight w:val="none"/>
                <w:lang w:val="en-GB"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default"/>
                <w:color w:val="000000" w:themeColor="text1"/>
                <w:highlight w:val="none"/>
                <w:lang w:val="en-GB" w:eastAsia="zh-TW"/>
                <w14:textFill>
                  <w14:solidFill>
                    <w14:schemeClr w14:val="tx1"/>
                  </w14:solidFill>
                </w14:textFill>
              </w:rPr>
              <w:t>m</w:t>
            </w:r>
            <w:r>
              <w:rPr>
                <w:rFonts w:hint="default"/>
                <w:color w:val="000000" w:themeColor="text1"/>
                <w:highlight w:val="none"/>
                <w:vertAlign w:val="superscript"/>
                <w:lang w:val="en-GB" w:eastAsia="zh-TW"/>
                <w14:textFill>
                  <w14:solidFill>
                    <w14:schemeClr w14:val="tx1"/>
                  </w14:solidFill>
                </w14:textFill>
              </w:rPr>
              <w:t>3</w:t>
            </w:r>
            <w:r>
              <w:rPr>
                <w:rFonts w:hint="default"/>
                <w:color w:val="000000" w:themeColor="text1"/>
                <w:highlight w:val="none"/>
                <w:lang w:val="en-GB" w:eastAsia="zh-TW"/>
                <w14:textFill>
                  <w14:solidFill>
                    <w14:schemeClr w14:val="tx1"/>
                  </w14:solidFill>
                </w14:textFill>
              </w:rPr>
              <w:t>/a</w:t>
            </w:r>
            <w:r>
              <w:rPr>
                <w:rFonts w:hint="eastAsia" w:ascii="Times New Roman" w:eastAsia="宋体"/>
                <w:color w:val="000000" w:themeColor="text1"/>
                <w:highlight w:val="none"/>
                <w:lang w:val="en-GB" w:eastAsia="zh-CN"/>
                <w14:textFill>
                  <w14:solidFill>
                    <w14:schemeClr w14:val="tx1"/>
                  </w14:solidFill>
                </w14:textFill>
              </w:rPr>
              <w:t>）</w:t>
            </w:r>
            <w:r>
              <w:rPr>
                <w:rFonts w:hint="default"/>
                <w:color w:val="000000" w:themeColor="text1"/>
                <w:highlight w:val="none"/>
                <w:lang w:val="en-GB"/>
                <w14:textFill>
                  <w14:solidFill>
                    <w14:schemeClr w14:val="tx1"/>
                  </w14:solidFill>
                </w14:textFill>
              </w:rPr>
              <w:t>。</w:t>
            </w:r>
            <w:r>
              <w:rPr>
                <w:rFonts w:hint="eastAsia"/>
                <w:color w:val="000000" w:themeColor="text1"/>
                <w:highlight w:val="none"/>
                <w14:textFill>
                  <w14:solidFill>
                    <w14:schemeClr w14:val="tx1"/>
                  </w14:solidFill>
                </w14:textFill>
              </w:rPr>
              <w:t>生活污水产生系数按用水量的80%计算，则生活污水产生量约为</w:t>
            </w:r>
            <w:r>
              <w:rPr>
                <w:rFonts w:hint="eastAsia"/>
                <w:color w:val="000000" w:themeColor="text1"/>
                <w:highlight w:val="none"/>
                <w:lang w:val="en-US" w:eastAsia="zh-CN"/>
                <w14:textFill>
                  <w14:solidFill>
                    <w14:schemeClr w14:val="tx1"/>
                  </w14:solidFill>
                </w14:textFill>
              </w:rPr>
              <w:t>0.16</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40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/a）。</w:t>
            </w:r>
            <w:r>
              <w:rPr>
                <w:rFonts w:hint="eastAsia"/>
                <w:color w:val="000000" w:themeColor="text1"/>
                <w14:textFill>
                  <w14:solidFill>
                    <w14:schemeClr w14:val="tx1"/>
                  </w14:solidFill>
                </w14:textFill>
              </w:rPr>
              <w:t>生活污水</w:t>
            </w:r>
            <w:r>
              <w:rPr>
                <w:rFonts w:hint="eastAsia"/>
                <w:color w:val="000000" w:themeColor="text1"/>
                <w:lang w:val="en-US" w:eastAsia="zh-CN"/>
                <w14:textFill>
                  <w14:solidFill>
                    <w14:schemeClr w14:val="tx1"/>
                  </w14:solidFill>
                </w14:textFill>
              </w:rPr>
              <w:t>经</w:t>
            </w:r>
            <w:r>
              <w:rPr>
                <w:rFonts w:hint="eastAsia"/>
                <w:color w:val="000000" w:themeColor="text1"/>
                <w14:textFill>
                  <w14:solidFill>
                    <w14:schemeClr w14:val="tx1"/>
                  </w14:solidFill>
                </w14:textFill>
              </w:rPr>
              <w:t>化粪池</w:t>
            </w:r>
            <w:r>
              <w:rPr>
                <w:rFonts w:hint="eastAsia"/>
                <w:color w:val="000000" w:themeColor="text1"/>
                <w:lang w:val="en-US" w:eastAsia="zh-CN"/>
                <w14:textFill>
                  <w14:solidFill>
                    <w14:schemeClr w14:val="tx1"/>
                  </w14:solidFill>
                </w14:textFill>
              </w:rPr>
              <w:t>收集</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最后</w:t>
            </w:r>
            <w:r>
              <w:rPr>
                <w:rFonts w:hint="eastAsia"/>
                <w:color w:val="000000" w:themeColor="text1"/>
                <w14:textFill>
                  <w14:solidFill>
                    <w14:schemeClr w14:val="tx1"/>
                  </w14:solidFill>
                </w14:textFill>
              </w:rPr>
              <w:t>通过市政污水管网排入</w:t>
            </w:r>
            <w:r>
              <w:rPr>
                <w:rFonts w:hint="eastAsia" w:cs="Times New Roman"/>
                <w:color w:val="000000" w:themeColor="text1"/>
                <w:sz w:val="24"/>
                <w:lang w:eastAsia="zh-CN"/>
                <w14:textFill>
                  <w14:solidFill>
                    <w14:schemeClr w14:val="tx1"/>
                  </w14:solidFill>
                </w14:textFill>
              </w:rPr>
              <w:t>沣西新城大王污水处理厂</w:t>
            </w:r>
            <w:r>
              <w:rPr>
                <w:rFonts w:hint="eastAsia"/>
                <w:color w:val="000000" w:themeColor="text1"/>
                <w14:textFill>
                  <w14:solidFill>
                    <w14:schemeClr w14:val="tx1"/>
                  </w14:solidFill>
                </w14:textFill>
              </w:rPr>
              <w:t>。</w:t>
            </w:r>
          </w:p>
          <w:p w14:paraId="6C90814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eastAsia" w:ascii="Times New Roman" w:hAnsi="Times New Roman" w:cs="Times New Roman"/>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清洗</w:t>
            </w:r>
            <w:r>
              <w:rPr>
                <w:rFonts w:hint="eastAsia" w:ascii="Times New Roman" w:hAnsi="Times New Roman" w:cs="Times New Roman"/>
                <w:color w:val="000000" w:themeColor="text1"/>
                <w:lang w:val="en-US" w:eastAsia="zh-CN"/>
                <w14:textFill>
                  <w14:solidFill>
                    <w14:schemeClr w14:val="tx1"/>
                  </w14:solidFill>
                </w14:textFill>
              </w:rPr>
              <w:t>用水</w:t>
            </w:r>
          </w:p>
          <w:p w14:paraId="77D52FE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ind w:left="0" w:right="0" w:firstLine="480" w:firstLineChars="200"/>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印刷机墨辊需每天进行清洗，项目所用油墨为水性油墨，印刷机墨辊可用</w:t>
            </w:r>
            <w:r>
              <w:rPr>
                <w:rFonts w:hint="eastAsia" w:cs="Times New Roman"/>
                <w:color w:val="000000" w:themeColor="text1"/>
                <w:lang w:val="en-US" w:eastAsia="zh-CN"/>
                <w14:textFill>
                  <w14:solidFill>
                    <w14:schemeClr w14:val="tx1"/>
                  </w14:solidFill>
                </w14:textFill>
              </w:rPr>
              <w:t>自来水</w:t>
            </w:r>
            <w:r>
              <w:rPr>
                <w:rFonts w:hint="default" w:ascii="Times New Roman" w:hAnsi="Times New Roman" w:cs="Times New Roman"/>
                <w:color w:val="000000" w:themeColor="text1"/>
                <w:lang w:val="en-US" w:eastAsia="zh-CN"/>
                <w14:textFill>
                  <w14:solidFill>
                    <w14:schemeClr w14:val="tx1"/>
                  </w14:solidFill>
                </w14:textFill>
              </w:rPr>
              <w:t>直接清洗。</w:t>
            </w:r>
            <w:r>
              <w:rPr>
                <w:rFonts w:hint="eastAsia" w:cs="Times New Roman"/>
                <w:color w:val="000000" w:themeColor="text1"/>
                <w:lang w:val="en-US" w:eastAsia="zh-CN"/>
                <w14:textFill>
                  <w14:solidFill>
                    <w14:schemeClr w14:val="tx1"/>
                  </w14:solidFill>
                </w14:textFill>
              </w:rPr>
              <w:t>清洗用水量约0.01m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vertAlign w:val="baseline"/>
                <w:lang w:val="en-US" w:eastAsia="zh-CN"/>
                <w14:textFill>
                  <w14:solidFill>
                    <w14:schemeClr w14:val="tx1"/>
                  </w14:solidFill>
                </w14:textFill>
              </w:rPr>
              <w:t>/d</w:t>
            </w:r>
            <w:r>
              <w:rPr>
                <w:rFonts w:hint="eastAsia" w:ascii="Times New Roman" w:eastAsia="宋体"/>
                <w:color w:val="000000" w:themeColor="text1"/>
                <w:highlight w:val="none"/>
                <w:lang w:val="en-GB"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2.5</w:t>
            </w:r>
            <w:r>
              <w:rPr>
                <w:rFonts w:hint="default"/>
                <w:color w:val="000000" w:themeColor="text1"/>
                <w:highlight w:val="none"/>
                <w:lang w:val="en-GB" w:eastAsia="zh-TW"/>
                <w14:textFill>
                  <w14:solidFill>
                    <w14:schemeClr w14:val="tx1"/>
                  </w14:solidFill>
                </w14:textFill>
              </w:rPr>
              <w:t>m</w:t>
            </w:r>
            <w:r>
              <w:rPr>
                <w:rFonts w:hint="default"/>
                <w:color w:val="000000" w:themeColor="text1"/>
                <w:highlight w:val="none"/>
                <w:vertAlign w:val="superscript"/>
                <w:lang w:val="en-GB" w:eastAsia="zh-TW"/>
                <w14:textFill>
                  <w14:solidFill>
                    <w14:schemeClr w14:val="tx1"/>
                  </w14:solidFill>
                </w14:textFill>
              </w:rPr>
              <w:t>3</w:t>
            </w:r>
            <w:r>
              <w:rPr>
                <w:rFonts w:hint="default"/>
                <w:color w:val="000000" w:themeColor="text1"/>
                <w:highlight w:val="none"/>
                <w:lang w:val="en-GB" w:eastAsia="zh-TW"/>
                <w14:textFill>
                  <w14:solidFill>
                    <w14:schemeClr w14:val="tx1"/>
                  </w14:solidFill>
                </w14:textFill>
              </w:rPr>
              <w:t>/a</w:t>
            </w:r>
            <w:r>
              <w:rPr>
                <w:rFonts w:hint="eastAsia" w:ascii="Times New Roman" w:eastAsia="宋体"/>
                <w:color w:val="000000" w:themeColor="text1"/>
                <w:highlight w:val="none"/>
                <w:lang w:val="en-GB" w:eastAsia="zh-CN"/>
                <w14:textFill>
                  <w14:solidFill>
                    <w14:schemeClr w14:val="tx1"/>
                  </w14:solidFill>
                </w14:textFill>
              </w:rPr>
              <w:t>）</w:t>
            </w:r>
            <w:r>
              <w:rPr>
                <w:rFonts w:hint="eastAsia" w:cs="Times New Roman"/>
                <w:color w:val="000000" w:themeColor="text1"/>
                <w:vertAlign w:val="baseline"/>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清洗废水产生量按用水量9</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计</w:t>
            </w:r>
            <w:r>
              <w:rPr>
                <w:rFonts w:hint="default" w:ascii="Times New Roman" w:hAnsi="Times New Roman" w:cs="Times New Roman"/>
                <w:color w:val="000000" w:themeColor="text1"/>
                <w:lang w:val="en-US" w:eastAsia="zh-CN"/>
                <w14:textFill>
                  <w14:solidFill>
                    <w14:schemeClr w14:val="tx1"/>
                  </w14:solidFill>
                </w14:textFill>
              </w:rPr>
              <w:t>，则清洗</w:t>
            </w:r>
            <w:r>
              <w:rPr>
                <w:rFonts w:hint="eastAsia" w:cs="Times New Roman"/>
                <w:color w:val="000000" w:themeColor="text1"/>
                <w:lang w:val="en-US" w:eastAsia="zh-CN"/>
                <w14:textFill>
                  <w14:solidFill>
                    <w14:schemeClr w14:val="tx1"/>
                  </w14:solidFill>
                </w14:textFill>
              </w:rPr>
              <w:t>废水产生</w:t>
            </w:r>
            <w:r>
              <w:rPr>
                <w:rFonts w:hint="default" w:ascii="Times New Roman" w:hAnsi="Times New Roman" w:cs="Times New Roman"/>
                <w:color w:val="000000" w:themeColor="text1"/>
                <w:lang w:val="en-US" w:eastAsia="zh-CN"/>
                <w14:textFill>
                  <w14:solidFill>
                    <w14:schemeClr w14:val="tx1"/>
                  </w14:solidFill>
                </w14:textFill>
              </w:rPr>
              <w:t>量为0.0</w:t>
            </w:r>
            <w:r>
              <w:rPr>
                <w:rFonts w:hint="eastAsia" w:cs="Times New Roman"/>
                <w:color w:val="000000" w:themeColor="text1"/>
                <w:lang w:val="en-US" w:eastAsia="zh-CN"/>
                <w14:textFill>
                  <w14:solidFill>
                    <w14:schemeClr w14:val="tx1"/>
                  </w14:solidFill>
                </w14:textFill>
              </w:rPr>
              <w:t>09</w:t>
            </w:r>
            <w:r>
              <w:rPr>
                <w:rFonts w:hint="default" w:ascii="Times New Roman" w:hAnsi="Times New Roman" w:cs="Times New Roman"/>
                <w:color w:val="000000" w:themeColor="text1"/>
                <w:lang w:val="en-US" w:eastAsia="zh-CN"/>
                <w14:textFill>
                  <w14:solidFill>
                    <w14:schemeClr w14:val="tx1"/>
                  </w14:solidFill>
                </w14:textFill>
              </w:rPr>
              <w:t>t/d</w:t>
            </w:r>
            <w:r>
              <w:rPr>
                <w:rFonts w:hint="eastAsia" w:ascii="Times New Roman" w:eastAsia="宋体"/>
                <w:color w:val="000000" w:themeColor="text1"/>
                <w:highlight w:val="none"/>
                <w:lang w:val="en-GB"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2.25</w:t>
            </w:r>
            <w:r>
              <w:rPr>
                <w:rFonts w:hint="default"/>
                <w:color w:val="000000" w:themeColor="text1"/>
                <w:highlight w:val="none"/>
                <w:lang w:val="en-GB" w:eastAsia="zh-TW"/>
                <w14:textFill>
                  <w14:solidFill>
                    <w14:schemeClr w14:val="tx1"/>
                  </w14:solidFill>
                </w14:textFill>
              </w:rPr>
              <w:t>m</w:t>
            </w:r>
            <w:r>
              <w:rPr>
                <w:rFonts w:hint="default"/>
                <w:color w:val="000000" w:themeColor="text1"/>
                <w:highlight w:val="none"/>
                <w:vertAlign w:val="superscript"/>
                <w:lang w:val="en-GB" w:eastAsia="zh-TW"/>
                <w14:textFill>
                  <w14:solidFill>
                    <w14:schemeClr w14:val="tx1"/>
                  </w14:solidFill>
                </w14:textFill>
              </w:rPr>
              <w:t>3</w:t>
            </w:r>
            <w:r>
              <w:rPr>
                <w:rFonts w:hint="default"/>
                <w:color w:val="000000" w:themeColor="text1"/>
                <w:highlight w:val="none"/>
                <w:lang w:val="en-GB" w:eastAsia="zh-TW"/>
                <w14:textFill>
                  <w14:solidFill>
                    <w14:schemeClr w14:val="tx1"/>
                  </w14:solidFill>
                </w14:textFill>
              </w:rPr>
              <w:t>/a</w:t>
            </w:r>
            <w:r>
              <w:rPr>
                <w:rFonts w:hint="eastAsia" w:ascii="Times New Roman" w:eastAsia="宋体"/>
                <w:color w:val="000000" w:themeColor="text1"/>
                <w:highlight w:val="none"/>
                <w:lang w:val="en-GB"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清洗废水桶装收集后暂存于危废贮存库，定期交由有资质单位处置。</w:t>
            </w:r>
          </w:p>
          <w:p w14:paraId="163EBAA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综上，本项目新鲜水用水量为</w:t>
            </w:r>
            <w:r>
              <w:rPr>
                <w:rFonts w:hint="eastAsia" w:cs="Times New Roman"/>
                <w:color w:val="000000" w:themeColor="text1"/>
                <w:lang w:val="en-US" w:eastAsia="zh-CN"/>
                <w14:textFill>
                  <w14:solidFill>
                    <w14:schemeClr w14:val="tx1"/>
                  </w14:solidFill>
                </w14:textFill>
              </w:rPr>
              <w:t>0.21</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52.5</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清洗废水桶装收集后暂存于危废贮存库，定期交由有资质单位处置；外排废水仅为生活污水，生活污水</w:t>
            </w:r>
            <w:r>
              <w:rPr>
                <w:rFonts w:hint="default" w:ascii="Times New Roman" w:hAnsi="Times New Roman" w:cs="Times New Roman"/>
                <w:color w:val="000000" w:themeColor="text1"/>
                <w:lang w:val="en-US" w:eastAsia="zh-CN"/>
                <w14:textFill>
                  <w14:solidFill>
                    <w14:schemeClr w14:val="tx1"/>
                  </w14:solidFill>
                </w14:textFill>
              </w:rPr>
              <w:t>排放量为</w:t>
            </w:r>
            <w:r>
              <w:rPr>
                <w:rFonts w:hint="eastAsia" w:cs="Times New Roman"/>
                <w:color w:val="000000" w:themeColor="text1"/>
                <w:lang w:val="en-US" w:eastAsia="zh-CN"/>
                <w14:textFill>
                  <w14:solidFill>
                    <w14:schemeClr w14:val="tx1"/>
                  </w14:solidFill>
                </w14:textFill>
              </w:rPr>
              <w:t>0.16</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eastAsia"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生活污水经化粪池预处理后通过市政污水管网排入沣西新城大王污水处理厂</w:t>
            </w:r>
            <w:r>
              <w:rPr>
                <w:rFonts w:hint="default" w:ascii="Times New Roman" w:hAnsi="Times New Roman" w:cs="Times New Roman"/>
                <w:color w:val="000000" w:themeColor="text1"/>
                <w:lang w:val="en-US" w:eastAsia="zh-CN"/>
                <w14:textFill>
                  <w14:solidFill>
                    <w14:schemeClr w14:val="tx1"/>
                  </w14:solidFill>
                </w14:textFill>
              </w:rPr>
              <w:t>。</w:t>
            </w:r>
          </w:p>
          <w:p w14:paraId="74A4C23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本项目用、排水情况见表2-5，水平衡图见图2-1。</w:t>
            </w:r>
          </w:p>
          <w:p w14:paraId="5E69E8BE">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表2-</w:t>
            </w:r>
            <w:r>
              <w:rPr>
                <w:rFonts w:hint="eastAsia" w:eastAsia="黑体" w:cs="Times New Roman"/>
                <w:b w:val="0"/>
                <w:bCs w:val="0"/>
                <w:color w:val="000000" w:themeColor="text1"/>
                <w:sz w:val="24"/>
                <w:szCs w:val="24"/>
                <w:lang w:val="en-US" w:eastAsia="zh-CN"/>
                <w14:textFill>
                  <w14:solidFill>
                    <w14:schemeClr w14:val="tx1"/>
                  </w14:solidFill>
                </w14:textFill>
              </w:rPr>
              <w:t>5</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eastAsia"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本项目用、排水情况统计一览表</w:t>
            </w:r>
            <w:r>
              <w:rPr>
                <w:rFonts w:hint="eastAsia" w:eastAsia="黑体" w:cs="Times New Roman"/>
                <w:b w:val="0"/>
                <w:bCs w:val="0"/>
                <w:color w:val="000000" w:themeColor="text1"/>
                <w:sz w:val="24"/>
                <w:szCs w:val="24"/>
                <w:lang w:val="en-US" w:eastAsia="zh-CN"/>
                <w14:textFill>
                  <w14:solidFill>
                    <w14:schemeClr w14:val="tx1"/>
                  </w14:solidFill>
                </w14:textFill>
              </w:rPr>
              <w:t xml:space="preserve">  单位</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m³/d</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
              <w:gridCol w:w="1338"/>
              <w:gridCol w:w="981"/>
              <w:gridCol w:w="887"/>
              <w:gridCol w:w="3380"/>
            </w:tblGrid>
            <w:tr w14:paraId="7C55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vAlign w:val="center"/>
                </w:tcPr>
                <w:p w14:paraId="1FFCE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用水单元</w:t>
                  </w:r>
                </w:p>
              </w:tc>
              <w:tc>
                <w:tcPr>
                  <w:tcW w:w="834" w:type="pct"/>
                  <w:vAlign w:val="center"/>
                </w:tcPr>
                <w:p w14:paraId="1646A6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新鲜</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水用量</w:t>
                  </w:r>
                </w:p>
              </w:tc>
              <w:tc>
                <w:tcPr>
                  <w:tcW w:w="611" w:type="pct"/>
                  <w:vAlign w:val="center"/>
                </w:tcPr>
                <w:p w14:paraId="4E9EF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损耗量</w:t>
                  </w:r>
                </w:p>
              </w:tc>
              <w:tc>
                <w:tcPr>
                  <w:tcW w:w="553" w:type="pct"/>
                  <w:vAlign w:val="center"/>
                </w:tcPr>
                <w:p w14:paraId="294402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排放</w:t>
                  </w: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量</w:t>
                  </w:r>
                </w:p>
              </w:tc>
              <w:tc>
                <w:tcPr>
                  <w:tcW w:w="2106" w:type="pct"/>
                  <w:vAlign w:val="center"/>
                </w:tcPr>
                <w:p w14:paraId="75B068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cs="Times New Roman"/>
                      <w:b/>
                      <w:bCs/>
                      <w:color w:val="000000" w:themeColor="text1"/>
                      <w:kern w:val="2"/>
                      <w:sz w:val="21"/>
                      <w:szCs w:val="21"/>
                      <w:lang w:val="en-US" w:eastAsia="zh-CN" w:bidi="ar-SA"/>
                      <w14:textFill>
                        <w14:solidFill>
                          <w14:schemeClr w14:val="tx1"/>
                        </w14:solidFill>
                      </w14:textFill>
                    </w:rPr>
                    <w:t>备注</w:t>
                  </w:r>
                </w:p>
              </w:tc>
            </w:tr>
            <w:tr w14:paraId="19CE1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vAlign w:val="center"/>
                </w:tcPr>
                <w:p w14:paraId="482B8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办公人员</w:t>
                  </w:r>
                </w:p>
              </w:tc>
              <w:tc>
                <w:tcPr>
                  <w:tcW w:w="834" w:type="pct"/>
                  <w:vAlign w:val="center"/>
                </w:tcPr>
                <w:p w14:paraId="0DD81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0.20</w:t>
                  </w:r>
                </w:p>
              </w:tc>
              <w:tc>
                <w:tcPr>
                  <w:tcW w:w="611" w:type="pct"/>
                  <w:vAlign w:val="center"/>
                </w:tcPr>
                <w:p w14:paraId="0734EB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0.04</w:t>
                  </w:r>
                </w:p>
              </w:tc>
              <w:tc>
                <w:tcPr>
                  <w:tcW w:w="553" w:type="pct"/>
                  <w:vAlign w:val="center"/>
                </w:tcPr>
                <w:p w14:paraId="518471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0.16</w:t>
                  </w:r>
                </w:p>
              </w:tc>
              <w:tc>
                <w:tcPr>
                  <w:tcW w:w="2106" w:type="pct"/>
                  <w:vAlign w:val="center"/>
                </w:tcPr>
                <w:p w14:paraId="1950B3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化粪池→沣西新城大王污水处理厂</w:t>
                  </w:r>
                </w:p>
              </w:tc>
            </w:tr>
            <w:tr w14:paraId="00CE8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vAlign w:val="center"/>
                </w:tcPr>
                <w:p w14:paraId="56819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清洗用水</w:t>
                  </w:r>
                </w:p>
              </w:tc>
              <w:tc>
                <w:tcPr>
                  <w:tcW w:w="834" w:type="pct"/>
                  <w:vAlign w:val="center"/>
                </w:tcPr>
                <w:p w14:paraId="317B25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0.01</w:t>
                  </w:r>
                </w:p>
              </w:tc>
              <w:tc>
                <w:tcPr>
                  <w:tcW w:w="611" w:type="pct"/>
                  <w:vAlign w:val="center"/>
                </w:tcPr>
                <w:p w14:paraId="7DA83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0.001</w:t>
                  </w:r>
                </w:p>
              </w:tc>
              <w:tc>
                <w:tcPr>
                  <w:tcW w:w="553" w:type="pct"/>
                  <w:vAlign w:val="center"/>
                </w:tcPr>
                <w:p w14:paraId="3F16B6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0.009</w:t>
                  </w:r>
                </w:p>
              </w:tc>
              <w:tc>
                <w:tcPr>
                  <w:tcW w:w="2106" w:type="pct"/>
                  <w:vAlign w:val="center"/>
                </w:tcPr>
                <w:p w14:paraId="09783D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桶装收集后暂存于危废贮存库，定期交由有资质单位处置</w:t>
                  </w:r>
                  <w:r>
                    <w:rPr>
                      <w:rFonts w:hint="eastAsia" w:cs="Times New Roman"/>
                      <w:color w:val="000000" w:themeColor="text1"/>
                      <w:kern w:val="2"/>
                      <w:sz w:val="21"/>
                      <w:szCs w:val="21"/>
                      <w:lang w:val="en-US" w:eastAsia="zh-CN" w:bidi="ar-SA"/>
                      <w14:textFill>
                        <w14:solidFill>
                          <w14:schemeClr w14:val="tx1"/>
                        </w14:solidFill>
                      </w14:textFill>
                    </w:rPr>
                    <w:t>，不外排。</w:t>
                  </w:r>
                </w:p>
              </w:tc>
            </w:tr>
            <w:tr w14:paraId="329A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3" w:type="pct"/>
                  <w:vAlign w:val="center"/>
                </w:tcPr>
                <w:p w14:paraId="71A9A5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总计</w:t>
                  </w:r>
                </w:p>
              </w:tc>
              <w:tc>
                <w:tcPr>
                  <w:tcW w:w="834" w:type="pct"/>
                  <w:vAlign w:val="center"/>
                </w:tcPr>
                <w:p w14:paraId="6602B9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0.21</w:t>
                  </w:r>
                </w:p>
              </w:tc>
              <w:tc>
                <w:tcPr>
                  <w:tcW w:w="611" w:type="pct"/>
                  <w:vAlign w:val="center"/>
                </w:tcPr>
                <w:p w14:paraId="3AAA0B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0.041</w:t>
                  </w:r>
                </w:p>
              </w:tc>
              <w:tc>
                <w:tcPr>
                  <w:tcW w:w="553" w:type="pct"/>
                  <w:vAlign w:val="center"/>
                </w:tcPr>
                <w:p w14:paraId="40C542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0.169</w:t>
                  </w:r>
                </w:p>
              </w:tc>
              <w:tc>
                <w:tcPr>
                  <w:tcW w:w="2106" w:type="pct"/>
                  <w:vAlign w:val="center"/>
                </w:tcPr>
                <w:p w14:paraId="5A2064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r>
          </w:tbl>
          <w:p w14:paraId="3D57BC3C">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object>
                <v:shape id="_x0000_i1025" o:spt="75" type="#_x0000_t75" style="height:100.25pt;width:401.6pt;" o:ole="t" filled="f" o:preferrelative="t" stroked="f" coordsize="21600,21600">
                  <v:path/>
                  <v:fill on="f" focussize="0,0"/>
                  <v:stroke on="f"/>
                  <v:imagedata r:id="rId17" o:title=""/>
                  <o:lock v:ext="edit" aspectratio="f"/>
                  <w10:wrap type="none"/>
                  <w10:anchorlock/>
                </v:shape>
                <o:OLEObject Type="Embed" ProgID="Visio.Drawing.15" ShapeID="_x0000_i1025" DrawAspect="Content" ObjectID="_1468075725" r:id="rId16">
                  <o:LockedField>false</o:LockedField>
                </o:OLEObject>
              </w:objec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图</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2-</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 xml:space="preserve">1  </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水平衡图（m</w:t>
            </w:r>
            <w:r>
              <w:rPr>
                <w:rFonts w:hint="default" w:ascii="Times New Roman" w:hAnsi="Times New Roman" w:eastAsia="黑体" w:cs="Times New Roman"/>
                <w:b w:val="0"/>
                <w:bCs w:val="0"/>
                <w:color w:val="000000" w:themeColor="text1"/>
                <w:sz w:val="24"/>
                <w:szCs w:val="24"/>
                <w:vertAlign w:val="superscript"/>
                <w:lang w:val="zh-CN" w:eastAsia="zh-CN"/>
                <w14:textFill>
                  <w14:solidFill>
                    <w14:schemeClr w14:val="tx1"/>
                  </w14:solidFill>
                </w14:textFill>
              </w:rPr>
              <w:t>3</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/d）</w:t>
            </w:r>
          </w:p>
          <w:p w14:paraId="6EFED9A2">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7</w:t>
            </w:r>
            <w:r>
              <w:rPr>
                <w:rFonts w:hint="default" w:ascii="Times New Roman" w:hAnsi="Times New Roman" w:cs="Times New Roman"/>
                <w:b/>
                <w:bCs/>
                <w:color w:val="000000" w:themeColor="text1"/>
                <w14:textFill>
                  <w14:solidFill>
                    <w14:schemeClr w14:val="tx1"/>
                  </w14:solidFill>
                </w14:textFill>
              </w:rPr>
              <w:t>、项目总平面布置</w:t>
            </w:r>
          </w:p>
          <w:p w14:paraId="3B58D80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租赁厂房及办公用房，生产厂房位于厂区东侧，主要分为原料、成品存放区、生产区、装卸区，生产区布设有粘订一体机、模切机、裱纸机、印刷机、订箱机等设备；库房位于厂区西北角，内设危废贮存库；办公室位于厂区西侧；厂区出入口位于西侧，紧邻宋大路。各建（构）筑物之间留有足够的间距，以满足运输、消防的要求；各功能区衔接适当，物流顺畅，厂区平面布置基本合理。</w:t>
            </w:r>
            <w:r>
              <w:rPr>
                <w:rFonts w:hint="default" w:ascii="Times New Roman" w:hAnsi="Times New Roman" w:cs="Times New Roman"/>
                <w:color w:val="000000" w:themeColor="text1"/>
                <w:lang w:val="en-US" w:eastAsia="zh-CN"/>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厂区</w:t>
            </w:r>
            <w:r>
              <w:rPr>
                <w:rFonts w:hint="default" w:ascii="Times New Roman" w:hAnsi="Times New Roman" w:cs="Times New Roman"/>
                <w:color w:val="000000" w:themeColor="text1"/>
                <w:lang w:val="en-US" w:eastAsia="zh-CN"/>
                <w14:textFill>
                  <w14:solidFill>
                    <w14:schemeClr w14:val="tx1"/>
                  </w14:solidFill>
                </w14:textFill>
              </w:rPr>
              <w:t>总平面图详见附图</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w:t>
            </w:r>
          </w:p>
        </w:tc>
      </w:tr>
      <w:tr w14:paraId="1C9253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3" w:hRule="atLeast"/>
          <w:jc w:val="center"/>
        </w:trPr>
        <w:tc>
          <w:tcPr>
            <w:tcW w:w="448" w:type="pct"/>
            <w:vAlign w:val="center"/>
          </w:tcPr>
          <w:p w14:paraId="34EDA7FE">
            <w:pPr>
              <w:pStyle w:val="18"/>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工艺流程和产排污环节</w:t>
            </w:r>
          </w:p>
        </w:tc>
        <w:tc>
          <w:tcPr>
            <w:tcW w:w="4551" w:type="pct"/>
          </w:tcPr>
          <w:p w14:paraId="0A606803">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一</w:t>
            </w: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施工</w:t>
            </w:r>
            <w:r>
              <w:rPr>
                <w:rFonts w:hint="default" w:ascii="Times New Roman" w:hAnsi="Times New Roman" w:cs="Times New Roman"/>
                <w:b/>
                <w:bCs/>
                <w:color w:val="000000" w:themeColor="text1"/>
                <w14:textFill>
                  <w14:solidFill>
                    <w14:schemeClr w14:val="tx1"/>
                  </w14:solidFill>
                </w14:textFill>
              </w:rPr>
              <w:t>期工艺流程</w:t>
            </w:r>
          </w:p>
          <w:p w14:paraId="7C65600B">
            <w:pPr>
              <w:keepNext w:val="0"/>
              <w:keepLines w:val="0"/>
              <w:suppressLineNumbers w:val="0"/>
              <w:spacing w:before="0" w:beforeAutospacing="0" w:after="0" w:afterAutospacing="0"/>
              <w:ind w:left="0" w:right="0" w:firstLine="482"/>
              <w:rPr>
                <w:rFonts w:hint="eastAsia" w:ascii="Times New Roman" w:hAnsi="Times New Roman" w:eastAsia="宋体" w:cs="Times New Roman"/>
                <w:b w:val="0"/>
                <w:bCs w:val="0"/>
                <w:color w:val="000000" w:themeColor="text1"/>
                <w:lang w:val="en-US" w:eastAsia="zh-CN"/>
                <w14:textFill>
                  <w14:solidFill>
                    <w14:schemeClr w14:val="tx1"/>
                  </w14:solidFill>
                </w14:textFill>
              </w:rPr>
            </w:pPr>
            <w:r>
              <w:rPr>
                <w:rFonts w:hint="eastAsia" w:ascii="Times New Roman" w:hAnsi="Times New Roman" w:eastAsia="宋体" w:cs="Times New Roman"/>
                <w:b w:val="0"/>
                <w:bCs w:val="0"/>
                <w:color w:val="000000" w:themeColor="text1"/>
                <w:lang w:val="en-US" w:eastAsia="zh-CN"/>
                <w14:textFill>
                  <w14:solidFill>
                    <w14:schemeClr w14:val="tx1"/>
                  </w14:solidFill>
                </w14:textFill>
              </w:rPr>
              <w:t>本项目租赁已建厂房，施工期主要</w:t>
            </w:r>
            <w:r>
              <w:rPr>
                <w:rFonts w:hint="eastAsia" w:cs="Times New Roman"/>
                <w:b w:val="0"/>
                <w:bCs w:val="0"/>
                <w:color w:val="000000" w:themeColor="text1"/>
                <w:lang w:val="en-US" w:eastAsia="zh-CN"/>
                <w14:textFill>
                  <w14:solidFill>
                    <w14:schemeClr w14:val="tx1"/>
                  </w14:solidFill>
                </w14:textFill>
              </w:rPr>
              <w:t>为设备安装</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，不涉及土建工程，施工期主要污染为</w:t>
            </w:r>
            <w:r>
              <w:rPr>
                <w:rFonts w:hint="eastAsia" w:cs="Times New Roman"/>
                <w:b w:val="0"/>
                <w:bCs w:val="0"/>
                <w:color w:val="000000" w:themeColor="text1"/>
                <w:lang w:val="en-US" w:eastAsia="zh-CN"/>
                <w14:textFill>
                  <w14:solidFill>
                    <w14:schemeClr w14:val="tx1"/>
                  </w14:solidFill>
                </w14:textFill>
              </w:rPr>
              <w:t>设备安装过程产生的</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噪声</w:t>
            </w:r>
            <w:r>
              <w:rPr>
                <w:rFonts w:hint="eastAsia" w:cs="Times New Roman"/>
                <w:b w:val="0"/>
                <w:bCs w:val="0"/>
                <w:color w:val="000000" w:themeColor="text1"/>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固废</w:t>
            </w:r>
            <w:r>
              <w:rPr>
                <w:rFonts w:hint="eastAsia" w:cs="Times New Roman"/>
                <w:b w:val="0"/>
                <w:bCs w:val="0"/>
                <w:color w:val="000000" w:themeColor="text1"/>
                <w:lang w:val="en-US" w:eastAsia="zh-CN"/>
                <w14:textFill>
                  <w14:solidFill>
                    <w14:schemeClr w14:val="tx1"/>
                  </w14:solidFill>
                </w14:textFill>
              </w:rPr>
              <w:t>以及施工人员生活污水</w:t>
            </w:r>
            <w:r>
              <w:rPr>
                <w:rFonts w:hint="eastAsia" w:ascii="Times New Roman" w:hAnsi="Times New Roman" w:eastAsia="宋体" w:cs="Times New Roman"/>
                <w:b w:val="0"/>
                <w:bCs w:val="0"/>
                <w:color w:val="000000" w:themeColor="text1"/>
                <w:lang w:val="en-US" w:eastAsia="zh-CN"/>
                <w14:textFill>
                  <w14:solidFill>
                    <w14:schemeClr w14:val="tx1"/>
                  </w14:solidFill>
                </w14:textFill>
              </w:rPr>
              <w:t>，对周边环境的影响随着施工期的结束而消失，故本次评价不对施工期工艺流程和产排污环节进行分析。</w:t>
            </w:r>
          </w:p>
          <w:p w14:paraId="2E1CE9B5">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二</w:t>
            </w:r>
            <w:r>
              <w:rPr>
                <w:rFonts w:hint="default" w:ascii="Times New Roman" w:hAnsi="Times New Roman" w:cs="Times New Roman"/>
                <w:b/>
                <w:bCs/>
                <w:color w:val="000000" w:themeColor="text1"/>
                <w14:textFill>
                  <w14:solidFill>
                    <w14:schemeClr w14:val="tx1"/>
                  </w14:solidFill>
                </w14:textFill>
              </w:rPr>
              <w:t>、</w:t>
            </w:r>
            <w:r>
              <w:rPr>
                <w:rFonts w:hint="eastAsia" w:cs="Times New Roman"/>
                <w:b/>
                <w:bCs/>
                <w:color w:val="000000" w:themeColor="text1"/>
                <w:lang w:val="en-US" w:eastAsia="zh-CN"/>
                <w14:textFill>
                  <w14:solidFill>
                    <w14:schemeClr w14:val="tx1"/>
                  </w14:solidFill>
                </w14:textFill>
              </w:rPr>
              <w:t>运营</w:t>
            </w:r>
            <w:r>
              <w:rPr>
                <w:rFonts w:hint="default" w:ascii="Times New Roman" w:hAnsi="Times New Roman" w:cs="Times New Roman"/>
                <w:b/>
                <w:bCs/>
                <w:color w:val="000000" w:themeColor="text1"/>
                <w14:textFill>
                  <w14:solidFill>
                    <w14:schemeClr w14:val="tx1"/>
                  </w14:solidFill>
                </w14:textFill>
              </w:rPr>
              <w:t>期工艺流程</w:t>
            </w:r>
          </w:p>
          <w:p w14:paraId="5EA8B9B7">
            <w:pPr>
              <w:keepNext w:val="0"/>
              <w:keepLines w:val="0"/>
              <w:suppressLineNumbers w:val="0"/>
              <w:spacing w:before="0" w:beforeAutospacing="0" w:after="0" w:afterAutospacing="0"/>
              <w:ind w:left="0" w:right="0"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14:textFill>
                  <w14:solidFill>
                    <w14:schemeClr w14:val="tx1"/>
                  </w14:solidFill>
                </w14:textFill>
              </w:rPr>
              <w:t>裱纸</w:t>
            </w:r>
            <w:r>
              <w:rPr>
                <w:rFonts w:hint="eastAsia"/>
                <w:color w:val="000000" w:themeColor="text1"/>
                <w:lang w:val="en-US" w:eastAsia="zh-CN"/>
                <w14:textFill>
                  <w14:solidFill>
                    <w14:schemeClr w14:val="tx1"/>
                  </w14:solidFill>
                </w14:textFill>
              </w:rPr>
              <w:t>纸箱</w:t>
            </w:r>
            <w:r>
              <w:rPr>
                <w:rFonts w:hint="eastAsia"/>
                <w:color w:val="000000" w:themeColor="text1"/>
                <w14:textFill>
                  <w14:solidFill>
                    <w14:schemeClr w14:val="tx1"/>
                  </w14:solidFill>
                </w14:textFill>
              </w:rPr>
              <w:t>生产工艺流程</w:t>
            </w:r>
            <w:r>
              <w:rPr>
                <w:rFonts w:hint="eastAsia"/>
                <w:color w:val="000000" w:themeColor="text1"/>
                <w:lang w:val="en-US" w:eastAsia="zh-CN"/>
                <w14:textFill>
                  <w14:solidFill>
                    <w14:schemeClr w14:val="tx1"/>
                  </w14:solidFill>
                </w14:textFill>
              </w:rPr>
              <w:t>图见图2-2。</w:t>
            </w:r>
          </w:p>
          <w:p w14:paraId="0ADC9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object>
                <v:shape id="_x0000_i1026" o:spt="75" type="#_x0000_t75" style="height:268.5pt;width:225.75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7873E331">
            <w:pPr>
              <w:keepNext w:val="0"/>
              <w:keepLines w:val="0"/>
              <w:suppressLineNumbers w:val="0"/>
              <w:spacing w:before="0" w:beforeAutospacing="0" w:after="0" w:afterAutospacing="0"/>
              <w:ind w:left="0" w:right="0" w:firstLine="480"/>
              <w:jc w:val="center"/>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图</w:t>
            </w:r>
            <w:r>
              <w:rPr>
                <w:rFonts w:hint="eastAsia" w:ascii="黑体" w:hAnsi="黑体" w:eastAsia="黑体" w:cs="黑体"/>
                <w:color w:val="000000" w:themeColor="text1"/>
                <w:lang w:val="en-US" w:eastAsia="zh-CN"/>
                <w14:textFill>
                  <w14:solidFill>
                    <w14:schemeClr w14:val="tx1"/>
                  </w14:solidFill>
                </w14:textFill>
              </w:rPr>
              <w:t>2-2</w:t>
            </w:r>
            <w:r>
              <w:rPr>
                <w:rFonts w:hint="eastAsia" w:ascii="黑体" w:hAnsi="黑体" w:eastAsia="黑体" w:cs="黑体"/>
                <w:color w:val="000000" w:themeColor="text1"/>
                <w14:textFill>
                  <w14:solidFill>
                    <w14:schemeClr w14:val="tx1"/>
                  </w14:solidFill>
                </w14:textFill>
              </w:rPr>
              <w:t xml:space="preserve">  裱纸</w:t>
            </w:r>
            <w:r>
              <w:rPr>
                <w:rFonts w:hint="eastAsia" w:ascii="黑体" w:hAnsi="黑体" w:eastAsia="黑体" w:cs="黑体"/>
                <w:color w:val="000000" w:themeColor="text1"/>
                <w:lang w:val="en-US" w:eastAsia="zh-CN"/>
                <w14:textFill>
                  <w14:solidFill>
                    <w14:schemeClr w14:val="tx1"/>
                  </w14:solidFill>
                </w14:textFill>
              </w:rPr>
              <w:t>纸箱</w:t>
            </w:r>
            <w:r>
              <w:rPr>
                <w:rFonts w:hint="eastAsia" w:ascii="黑体" w:hAnsi="黑体" w:eastAsia="黑体" w:cs="黑体"/>
                <w:color w:val="000000" w:themeColor="text1"/>
                <w14:textFill>
                  <w14:solidFill>
                    <w14:schemeClr w14:val="tx1"/>
                  </w14:solidFill>
                </w14:textFill>
              </w:rPr>
              <w:t>生产线工艺流程及产污</w:t>
            </w:r>
            <w:r>
              <w:rPr>
                <w:rFonts w:hint="eastAsia" w:ascii="黑体" w:hAnsi="黑体" w:eastAsia="黑体" w:cs="黑体"/>
                <w:color w:val="000000" w:themeColor="text1"/>
                <w:lang w:val="en-US" w:eastAsia="zh-CN"/>
                <w14:textFill>
                  <w14:solidFill>
                    <w14:schemeClr w14:val="tx1"/>
                  </w14:solidFill>
                </w14:textFill>
              </w:rPr>
              <w:t>环节</w:t>
            </w:r>
            <w:r>
              <w:rPr>
                <w:rFonts w:hint="eastAsia" w:ascii="黑体" w:hAnsi="黑体" w:eastAsia="黑体" w:cs="黑体"/>
                <w:color w:val="000000" w:themeColor="text1"/>
                <w14:textFill>
                  <w14:solidFill>
                    <w14:schemeClr w14:val="tx1"/>
                  </w14:solidFill>
                </w14:textFill>
              </w:rPr>
              <w:t>图</w:t>
            </w:r>
          </w:p>
          <w:p w14:paraId="03BA4D41">
            <w:pPr>
              <w:keepNext w:val="0"/>
              <w:keepLines w:val="0"/>
              <w:suppressLineNumbers w:val="0"/>
              <w:spacing w:before="0" w:beforeAutospacing="0" w:after="0" w:afterAutospacing="0"/>
              <w:ind w:left="0" w:right="0" w:firstLine="482"/>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工艺</w:t>
            </w:r>
            <w:r>
              <w:rPr>
                <w:rFonts w:hint="eastAsia"/>
                <w:b/>
                <w:bCs/>
                <w:color w:val="000000" w:themeColor="text1"/>
                <w:lang w:val="en-US" w:eastAsia="zh-CN"/>
                <w14:textFill>
                  <w14:solidFill>
                    <w14:schemeClr w14:val="tx1"/>
                  </w14:solidFill>
                </w14:textFill>
              </w:rPr>
              <w:t>流程及产污环节</w:t>
            </w:r>
            <w:r>
              <w:rPr>
                <w:rFonts w:hint="eastAsia"/>
                <w:b/>
                <w:bCs/>
                <w:color w:val="000000" w:themeColor="text1"/>
                <w14:textFill>
                  <w14:solidFill>
                    <w14:schemeClr w14:val="tx1"/>
                  </w14:solidFill>
                </w14:textFill>
              </w:rPr>
              <w:t>简述：</w:t>
            </w:r>
          </w:p>
          <w:p w14:paraId="0BA25445">
            <w:pPr>
              <w:pStyle w:val="8"/>
              <w:keepNext w:val="0"/>
              <w:keepLines w:val="0"/>
              <w:numPr>
                <w:ilvl w:val="0"/>
                <w:numId w:val="3"/>
              </w:numPr>
              <w:suppressLineNumbers w:val="0"/>
              <w:spacing w:before="0" w:beforeAutospacing="0" w:after="0" w:afterAutospacing="0"/>
              <w:ind w:left="0" w:right="0" w:firstLine="480"/>
              <w:rPr>
                <w:rFonts w:hint="eastAsia"/>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裱纸：</w:t>
            </w:r>
            <w:r>
              <w:rPr>
                <w:rFonts w:hint="default"/>
                <w:color w:val="000000" w:themeColor="text1"/>
                <w14:textFill>
                  <w14:solidFill>
                    <w14:schemeClr w14:val="tx1"/>
                  </w14:solidFill>
                </w14:textFill>
              </w:rPr>
              <w:t>采用全自动</w:t>
            </w:r>
            <w:r>
              <w:rPr>
                <w:rFonts w:hint="eastAsia"/>
                <w:color w:val="000000" w:themeColor="text1"/>
                <w14:textFill>
                  <w14:solidFill>
                    <w14:schemeClr w14:val="tx1"/>
                  </w14:solidFill>
                </w14:textFill>
              </w:rPr>
              <w:t>裱纸机</w:t>
            </w:r>
            <w:r>
              <w:rPr>
                <w:rFonts w:hint="default"/>
                <w:color w:val="000000" w:themeColor="text1"/>
                <w14:textFill>
                  <w14:solidFill>
                    <w14:schemeClr w14:val="tx1"/>
                  </w14:solidFill>
                </w14:textFill>
              </w:rPr>
              <w:t>，使用</w:t>
            </w:r>
            <w:r>
              <w:rPr>
                <w:rFonts w:hint="eastAsia"/>
                <w:color w:val="000000" w:themeColor="text1"/>
                <w14:textFill>
                  <w14:solidFill>
                    <w14:schemeClr w14:val="tx1"/>
                  </w14:solidFill>
                </w14:textFill>
              </w:rPr>
              <w:t>外购成品</w:t>
            </w:r>
            <w:r>
              <w:rPr>
                <w:rFonts w:hint="default"/>
                <w:color w:val="000000" w:themeColor="text1"/>
                <w14:textFill>
                  <w14:solidFill>
                    <w14:schemeClr w14:val="tx1"/>
                  </w14:solidFill>
                </w14:textFill>
              </w:rPr>
              <w:t>玉米淀粉胶将外购的彩</w:t>
            </w:r>
            <w:r>
              <w:rPr>
                <w:rFonts w:hint="eastAsia"/>
                <w:color w:val="000000" w:themeColor="text1"/>
                <w14:textFill>
                  <w14:solidFill>
                    <w14:schemeClr w14:val="tx1"/>
                  </w14:solidFill>
                </w14:textFill>
              </w:rPr>
              <w:t>色面纸</w:t>
            </w:r>
            <w:r>
              <w:rPr>
                <w:rFonts w:hint="default"/>
                <w:color w:val="000000" w:themeColor="text1"/>
                <w14:textFill>
                  <w14:solidFill>
                    <w14:schemeClr w14:val="tx1"/>
                  </w14:solidFill>
                </w14:textFill>
              </w:rPr>
              <w:t>与瓦楞纸</w:t>
            </w:r>
            <w:r>
              <w:rPr>
                <w:rFonts w:hint="eastAsia"/>
                <w:color w:val="000000" w:themeColor="text1"/>
                <w14:textFill>
                  <w14:solidFill>
                    <w14:schemeClr w14:val="tx1"/>
                  </w14:solidFill>
                </w14:textFill>
              </w:rPr>
              <w:t>板</w:t>
            </w:r>
            <w:r>
              <w:rPr>
                <w:rFonts w:hint="default"/>
                <w:color w:val="000000" w:themeColor="text1"/>
                <w14:textFill>
                  <w14:solidFill>
                    <w14:schemeClr w14:val="tx1"/>
                  </w14:solidFill>
                </w14:textFill>
              </w:rPr>
              <w:t>裱合在一起</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此工序产生的污染物主要为设备噪声、玉米淀粉胶用完后产生的废胶桶。</w:t>
            </w:r>
          </w:p>
          <w:p w14:paraId="2EECAD32">
            <w:pPr>
              <w:pStyle w:val="8"/>
              <w:keepNext w:val="0"/>
              <w:keepLines w:val="0"/>
              <w:numPr>
                <w:ilvl w:val="0"/>
                <w:numId w:val="3"/>
              </w:numPr>
              <w:suppressLineNumbers w:val="0"/>
              <w:spacing w:before="0" w:beforeAutospacing="0" w:after="0" w:afterAutospacing="0"/>
              <w:ind w:left="0" w:right="0"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模切：</w:t>
            </w:r>
            <w:r>
              <w:rPr>
                <w:rFonts w:hint="eastAsia"/>
                <w:color w:val="000000" w:themeColor="text1"/>
                <w14:textFill>
                  <w14:solidFill>
                    <w14:schemeClr w14:val="tx1"/>
                  </w14:solidFill>
                </w14:textFill>
              </w:rPr>
              <w:t>经裱合的瓦楞纸板进入模切机按照订单要求进行裁切及压痕</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此工序产生的污染物主要为粉尘、设备噪声及废边角料</w:t>
            </w:r>
            <w:r>
              <w:rPr>
                <w:rFonts w:hint="eastAsia"/>
                <w:color w:val="000000" w:themeColor="text1"/>
                <w14:textFill>
                  <w14:solidFill>
                    <w14:schemeClr w14:val="tx1"/>
                  </w14:solidFill>
                </w14:textFill>
              </w:rPr>
              <w:t>。</w:t>
            </w:r>
          </w:p>
          <w:p w14:paraId="79EE5BC5">
            <w:pPr>
              <w:pStyle w:val="8"/>
              <w:keepNext w:val="0"/>
              <w:keepLines w:val="0"/>
              <w:numPr>
                <w:ilvl w:val="0"/>
                <w:numId w:val="3"/>
              </w:numPr>
              <w:suppressLineNumbers w:val="0"/>
              <w:spacing w:before="0" w:beforeAutospacing="0" w:after="0" w:afterAutospacing="0"/>
              <w:ind w:left="0" w:right="0"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粘/钉箱：</w:t>
            </w:r>
            <w:r>
              <w:rPr>
                <w:rFonts w:hint="eastAsia"/>
                <w:color w:val="000000" w:themeColor="text1"/>
                <w14:textFill>
                  <w14:solidFill>
                    <w14:schemeClr w14:val="tx1"/>
                  </w14:solidFill>
                </w14:textFill>
              </w:rPr>
              <w:t>根据客户要求</w:t>
            </w:r>
            <w:r>
              <w:rPr>
                <w:rFonts w:hint="eastAsia"/>
                <w:color w:val="000000" w:themeColor="text1"/>
                <w:lang w:val="en-US" w:eastAsia="zh-CN"/>
                <w14:textFill>
                  <w14:solidFill>
                    <w14:schemeClr w14:val="tx1"/>
                  </w14:solidFill>
                </w14:textFill>
              </w:rPr>
              <w:t>采用淀粉胶或钉针</w:t>
            </w:r>
            <w:r>
              <w:rPr>
                <w:rFonts w:hint="eastAsia"/>
                <w:color w:val="000000" w:themeColor="text1"/>
                <w14:textFill>
                  <w14:solidFill>
                    <w14:schemeClr w14:val="tx1"/>
                  </w14:solidFill>
                </w14:textFill>
              </w:rPr>
              <w:t>进行粘箱或钉箱后制成成品纸箱</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此工序产生的污染物主要为设备噪声。</w:t>
            </w:r>
          </w:p>
          <w:p w14:paraId="1AB30E65">
            <w:pPr>
              <w:pStyle w:val="8"/>
              <w:keepNext w:val="0"/>
              <w:keepLines w:val="0"/>
              <w:numPr>
                <w:ilvl w:val="0"/>
                <w:numId w:val="3"/>
              </w:numPr>
              <w:suppressLineNumbers w:val="0"/>
              <w:spacing w:before="0" w:beforeAutospacing="0" w:after="0" w:afterAutospacing="0"/>
              <w:ind w:left="0" w:right="0" w:firstLine="48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检验：人工对纸箱进行外观检验；此工序产生的污染物主要为不合格产品。</w:t>
            </w:r>
          </w:p>
          <w:p w14:paraId="0EC097BB">
            <w:pPr>
              <w:keepNext w:val="0"/>
              <w:keepLines w:val="0"/>
              <w:suppressLineNumbers w:val="0"/>
              <w:spacing w:before="0" w:beforeAutospacing="0" w:after="0" w:afterAutospacing="0"/>
              <w:ind w:left="0" w:right="0" w:firstLine="48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2、印刷</w:t>
            </w:r>
            <w:r>
              <w:rPr>
                <w:rFonts w:hint="default"/>
                <w:color w:val="000000" w:themeColor="text1"/>
                <w14:textFill>
                  <w14:solidFill>
                    <w14:schemeClr w14:val="tx1"/>
                  </w14:solidFill>
                </w14:textFill>
              </w:rPr>
              <w:t>纸</w:t>
            </w:r>
            <w:r>
              <w:rPr>
                <w:rFonts w:hint="eastAsia"/>
                <w:color w:val="000000" w:themeColor="text1"/>
                <w:lang w:val="en-US" w:eastAsia="zh-CN"/>
                <w14:textFill>
                  <w14:solidFill>
                    <w14:schemeClr w14:val="tx1"/>
                  </w14:solidFill>
                </w14:textFill>
              </w:rPr>
              <w:t>箱</w:t>
            </w:r>
            <w:r>
              <w:rPr>
                <w:rFonts w:hint="eastAsia"/>
                <w:color w:val="000000" w:themeColor="text1"/>
                <w14:textFill>
                  <w14:solidFill>
                    <w14:schemeClr w14:val="tx1"/>
                  </w14:solidFill>
                </w14:textFill>
              </w:rPr>
              <w:t>生产工艺流程</w:t>
            </w:r>
            <w:r>
              <w:rPr>
                <w:rFonts w:hint="eastAsia"/>
                <w:color w:val="000000" w:themeColor="text1"/>
                <w:lang w:val="en-US" w:eastAsia="zh-CN"/>
                <w14:textFill>
                  <w14:solidFill>
                    <w14:schemeClr w14:val="tx1"/>
                  </w14:solidFill>
                </w14:textFill>
              </w:rPr>
              <w:t>图见图2-3。</w:t>
            </w:r>
          </w:p>
          <w:p w14:paraId="3CA8F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jc w:val="center"/>
              <w:textAlignment w:val="auto"/>
              <w:rPr>
                <w:rFonts w:hint="eastAsia"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object>
                <v:shape id="_x0000_i1027" o:spt="75" type="#_x0000_t75" style="height:267.75pt;width:234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4A9DE3B7">
            <w:pPr>
              <w:keepNext w:val="0"/>
              <w:keepLines w:val="0"/>
              <w:suppressLineNumbers w:val="0"/>
              <w:spacing w:before="0" w:beforeAutospacing="0" w:after="0" w:afterAutospacing="0"/>
              <w:ind w:left="0" w:right="0" w:firstLine="480"/>
              <w:jc w:val="center"/>
              <w:rPr>
                <w:rFonts w:hint="default" w:ascii="黑体" w:hAnsi="黑体" w:eastAsia="黑体" w:cs="黑体"/>
                <w:color w:val="000000" w:themeColor="text1"/>
                <w14:textFill>
                  <w14:solidFill>
                    <w14:schemeClr w14:val="tx1"/>
                  </w14:solidFill>
                </w14:textFill>
              </w:rPr>
            </w:pPr>
            <w:r>
              <w:rPr>
                <w:rFonts w:hint="eastAsia" w:ascii="黑体" w:hAnsi="黑体" w:eastAsia="黑体" w:cs="黑体"/>
                <w:color w:val="000000" w:themeColor="text1"/>
                <w14:textFill>
                  <w14:solidFill>
                    <w14:schemeClr w14:val="tx1"/>
                  </w14:solidFill>
                </w14:textFill>
              </w:rPr>
              <w:t>图</w:t>
            </w:r>
            <w:r>
              <w:rPr>
                <w:rFonts w:hint="eastAsia" w:ascii="黑体" w:hAnsi="黑体" w:eastAsia="黑体" w:cs="黑体"/>
                <w:color w:val="000000" w:themeColor="text1"/>
                <w:lang w:val="en-US" w:eastAsia="zh-CN"/>
                <w14:textFill>
                  <w14:solidFill>
                    <w14:schemeClr w14:val="tx1"/>
                  </w14:solidFill>
                </w14:textFill>
              </w:rPr>
              <w:t>2-3</w:t>
            </w:r>
            <w:r>
              <w:rPr>
                <w:rFonts w:hint="eastAsia" w:ascii="黑体" w:hAnsi="黑体" w:eastAsia="黑体" w:cs="黑体"/>
                <w:color w:val="000000" w:themeColor="text1"/>
                <w14:textFill>
                  <w14:solidFill>
                    <w14:schemeClr w14:val="tx1"/>
                  </w14:solidFill>
                </w14:textFill>
              </w:rPr>
              <w:t xml:space="preserve">  印刷</w:t>
            </w:r>
            <w:r>
              <w:rPr>
                <w:rFonts w:hint="eastAsia" w:ascii="黑体" w:hAnsi="黑体" w:eastAsia="黑体" w:cs="黑体"/>
                <w:color w:val="000000" w:themeColor="text1"/>
                <w:lang w:val="en-US" w:eastAsia="zh-CN"/>
                <w14:textFill>
                  <w14:solidFill>
                    <w14:schemeClr w14:val="tx1"/>
                  </w14:solidFill>
                </w14:textFill>
              </w:rPr>
              <w:t>纸箱</w:t>
            </w:r>
            <w:r>
              <w:rPr>
                <w:rFonts w:hint="eastAsia" w:ascii="黑体" w:hAnsi="黑体" w:eastAsia="黑体" w:cs="黑体"/>
                <w:color w:val="000000" w:themeColor="text1"/>
                <w14:textFill>
                  <w14:solidFill>
                    <w14:schemeClr w14:val="tx1"/>
                  </w14:solidFill>
                </w14:textFill>
              </w:rPr>
              <w:t>生产线工艺流程及产污</w:t>
            </w:r>
            <w:r>
              <w:rPr>
                <w:rFonts w:hint="eastAsia" w:ascii="黑体" w:hAnsi="黑体" w:eastAsia="黑体" w:cs="黑体"/>
                <w:color w:val="000000" w:themeColor="text1"/>
                <w:lang w:val="en-US" w:eastAsia="zh-CN"/>
                <w14:textFill>
                  <w14:solidFill>
                    <w14:schemeClr w14:val="tx1"/>
                  </w14:solidFill>
                </w14:textFill>
              </w:rPr>
              <w:t>环节</w:t>
            </w:r>
            <w:r>
              <w:rPr>
                <w:rFonts w:hint="eastAsia" w:ascii="黑体" w:hAnsi="黑体" w:eastAsia="黑体" w:cs="黑体"/>
                <w:color w:val="000000" w:themeColor="text1"/>
                <w14:textFill>
                  <w14:solidFill>
                    <w14:schemeClr w14:val="tx1"/>
                  </w14:solidFill>
                </w14:textFill>
              </w:rPr>
              <w:t>图</w:t>
            </w:r>
          </w:p>
          <w:p w14:paraId="7BEDA21E">
            <w:pPr>
              <w:keepNext w:val="0"/>
              <w:keepLines w:val="0"/>
              <w:suppressLineNumbers w:val="0"/>
              <w:spacing w:before="0" w:beforeAutospacing="0" w:after="0" w:afterAutospacing="0"/>
              <w:ind w:left="0" w:right="0" w:firstLine="482"/>
              <w:rPr>
                <w:rFonts w:hint="default"/>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工艺</w:t>
            </w:r>
            <w:r>
              <w:rPr>
                <w:rFonts w:hint="eastAsia"/>
                <w:b/>
                <w:bCs/>
                <w:color w:val="000000" w:themeColor="text1"/>
                <w:lang w:val="en-US" w:eastAsia="zh-CN"/>
                <w14:textFill>
                  <w14:solidFill>
                    <w14:schemeClr w14:val="tx1"/>
                  </w14:solidFill>
                </w14:textFill>
              </w:rPr>
              <w:t>流程及产污环节</w:t>
            </w:r>
            <w:r>
              <w:rPr>
                <w:rFonts w:hint="eastAsia"/>
                <w:b/>
                <w:bCs/>
                <w:color w:val="000000" w:themeColor="text1"/>
                <w14:textFill>
                  <w14:solidFill>
                    <w14:schemeClr w14:val="tx1"/>
                  </w14:solidFill>
                </w14:textFill>
              </w:rPr>
              <w:t>简述：</w:t>
            </w:r>
          </w:p>
          <w:p w14:paraId="52B52E9A">
            <w:pPr>
              <w:keepNext w:val="0"/>
              <w:keepLines w:val="0"/>
              <w:suppressLineNumbers w:val="0"/>
              <w:spacing w:before="0" w:beforeAutospacing="0" w:after="0" w:afterAutospacing="0"/>
              <w:ind w:left="0" w:right="0"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印刷：将油墨加入印刷机内，利用外购成品柔版进行凸印，</w:t>
            </w:r>
            <w:r>
              <w:rPr>
                <w:rFonts w:hint="default"/>
                <w:color w:val="000000" w:themeColor="text1"/>
                <w14:textFill>
                  <w14:solidFill>
                    <w14:schemeClr w14:val="tx1"/>
                  </w14:solidFill>
                </w14:textFill>
              </w:rPr>
              <w:t>印刷机将</w:t>
            </w:r>
            <w:r>
              <w:rPr>
                <w:rFonts w:hint="eastAsia"/>
                <w:color w:val="000000" w:themeColor="text1"/>
                <w:lang w:val="en-US" w:eastAsia="zh-CN"/>
                <w14:textFill>
                  <w14:solidFill>
                    <w14:schemeClr w14:val="tx1"/>
                  </w14:solidFill>
                </w14:textFill>
              </w:rPr>
              <w:t>柔版上的图文</w:t>
            </w:r>
            <w:r>
              <w:rPr>
                <w:rFonts w:hint="default"/>
                <w:color w:val="000000" w:themeColor="text1"/>
                <w14:textFill>
                  <w14:solidFill>
                    <w14:schemeClr w14:val="tx1"/>
                  </w14:solidFill>
                </w14:textFill>
              </w:rPr>
              <w:t>直接成像于瓦楞纸</w:t>
            </w:r>
            <w:r>
              <w:rPr>
                <w:rFonts w:hint="eastAsia"/>
                <w:color w:val="000000" w:themeColor="text1"/>
                <w:lang w:val="en-US" w:eastAsia="zh-CN"/>
                <w14:textFill>
                  <w14:solidFill>
                    <w14:schemeClr w14:val="tx1"/>
                  </w14:solidFill>
                </w14:textFill>
              </w:rPr>
              <w:t>板；此工序产生的污染物主要为非甲烷总烃、设备噪声、清洗废水以及废油墨桶。</w:t>
            </w:r>
          </w:p>
          <w:p w14:paraId="005FAD7B">
            <w:pPr>
              <w:keepNext w:val="0"/>
              <w:keepLines w:val="0"/>
              <w:suppressLineNumbers w:val="0"/>
              <w:spacing w:before="0" w:beforeAutospacing="0" w:after="0" w:afterAutospacing="0"/>
              <w:ind w:left="0" w:right="0"/>
              <w:rPr>
                <w:rFonts w:hint="default"/>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模切、粘/钉箱</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检验工艺与裱纸纸箱生产工艺一致。</w:t>
            </w:r>
          </w:p>
          <w:p w14:paraId="6DDFEA2F">
            <w:pPr>
              <w:keepNext w:val="0"/>
              <w:keepLines w:val="0"/>
              <w:suppressLineNumbers w:val="0"/>
              <w:spacing w:before="0" w:beforeAutospacing="0" w:after="0" w:afterAutospacing="0"/>
              <w:ind w:left="0" w:right="0" w:firstLine="48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3、其他辅助工程的产污环节</w:t>
            </w:r>
          </w:p>
          <w:p w14:paraId="54E5A78D">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1</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员工日常生活：员工日常生活中会产生生活垃圾及生活污水。</w:t>
            </w:r>
          </w:p>
          <w:p w14:paraId="3520ACA2">
            <w:pPr>
              <w:keepNext w:val="0"/>
              <w:keepLines w:val="0"/>
              <w:suppressLineNumbers w:val="0"/>
              <w:spacing w:before="0" w:beforeAutospacing="0" w:after="0" w:afterAutospacing="0"/>
              <w:ind w:left="0" w:right="0" w:firstLine="480"/>
              <w:rPr>
                <w:rFonts w:hint="eastAsia"/>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设备维修：设备检修过程中会产生</w:t>
            </w:r>
            <w:r>
              <w:rPr>
                <w:rFonts w:hint="eastAsia"/>
                <w:color w:val="000000" w:themeColor="text1"/>
                <w:lang w:val="en-US" w:eastAsia="zh-CN"/>
                <w14:textFill>
                  <w14:solidFill>
                    <w14:schemeClr w14:val="tx1"/>
                  </w14:solidFill>
                </w14:textFill>
              </w:rPr>
              <w:t>废矿物油、废</w:t>
            </w:r>
            <w:r>
              <w:rPr>
                <w:rFonts w:hint="eastAsia"/>
                <w:color w:val="000000" w:themeColor="text1"/>
                <w14:textFill>
                  <w14:solidFill>
                    <w14:schemeClr w14:val="tx1"/>
                  </w14:solidFill>
                </w14:textFill>
              </w:rPr>
              <w:t>含油抹布。</w:t>
            </w:r>
          </w:p>
          <w:p w14:paraId="3BC5D7D8">
            <w:pPr>
              <w:keepNext w:val="0"/>
              <w:keepLines w:val="0"/>
              <w:suppressLineNumbers w:val="0"/>
              <w:spacing w:before="0" w:beforeAutospacing="0" w:after="0" w:afterAutospacing="0"/>
              <w:ind w:left="0" w:right="0" w:firstLine="480"/>
              <w:rPr>
                <w:rFonts w:hint="default" w:eastAsia="宋体"/>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废气处理：印刷废气处理过程会产生废活性炭。</w:t>
            </w:r>
          </w:p>
          <w:p w14:paraId="61564E2F">
            <w:pPr>
              <w:keepNext w:val="0"/>
              <w:keepLines w:val="0"/>
              <w:suppressLineNumbers w:val="0"/>
              <w:spacing w:before="0" w:beforeAutospacing="0" w:after="0" w:afterAutospacing="0"/>
              <w:ind w:left="0" w:right="0" w:firstLine="480"/>
              <w:rPr>
                <w:rFonts w:hint="default" w:cs="Times New Roman"/>
                <w:b w:val="0"/>
                <w:bCs w:val="0"/>
                <w:color w:val="000000" w:themeColor="text1"/>
                <w:lang w:val="en-US" w:eastAsia="zh-CN"/>
                <w14:textFill>
                  <w14:solidFill>
                    <w14:schemeClr w14:val="tx1"/>
                  </w14:solidFill>
                </w14:textFill>
              </w:rPr>
            </w:pPr>
            <w:r>
              <w:rPr>
                <w:rFonts w:hint="eastAsia" w:cs="Times New Roman"/>
                <w:b w:val="0"/>
                <w:bCs w:val="0"/>
                <w:color w:val="000000" w:themeColor="text1"/>
                <w:lang w:val="en-US" w:eastAsia="zh-CN"/>
                <w14:textFill>
                  <w14:solidFill>
                    <w14:schemeClr w14:val="tx1"/>
                  </w14:solidFill>
                </w14:textFill>
              </w:rPr>
              <w:t>项目产污环节一览表详见表2-6。</w:t>
            </w:r>
          </w:p>
          <w:p w14:paraId="64D23D20">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表2-</w:t>
            </w:r>
            <w:r>
              <w:rPr>
                <w:rFonts w:hint="eastAsia" w:eastAsia="黑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项目产污环节一览表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3119"/>
              <w:gridCol w:w="4142"/>
            </w:tblGrid>
            <w:tr w14:paraId="0E34A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473" w:type="pct"/>
                  <w:tcBorders>
                    <w:tl2br w:val="nil"/>
                    <w:tr2bl w:val="nil"/>
                  </w:tcBorders>
                  <w:noWrap w:val="0"/>
                  <w:vAlign w:val="center"/>
                </w:tcPr>
                <w:p w14:paraId="373A25C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项目</w:t>
                  </w:r>
                </w:p>
              </w:tc>
              <w:tc>
                <w:tcPr>
                  <w:tcW w:w="1944" w:type="pct"/>
                  <w:tcBorders>
                    <w:tl2br w:val="nil"/>
                    <w:tr2bl w:val="nil"/>
                  </w:tcBorders>
                  <w:noWrap w:val="0"/>
                  <w:vAlign w:val="center"/>
                </w:tcPr>
                <w:p w14:paraId="20D7ACD2">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污染因子</w:t>
                  </w:r>
                </w:p>
              </w:tc>
              <w:tc>
                <w:tcPr>
                  <w:tcW w:w="2582" w:type="pct"/>
                  <w:tcBorders>
                    <w:tl2br w:val="nil"/>
                    <w:tr2bl w:val="nil"/>
                  </w:tcBorders>
                  <w:noWrap w:val="0"/>
                  <w:vAlign w:val="center"/>
                </w:tcPr>
                <w:p w14:paraId="0286354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kern w:val="0"/>
                      <w:sz w:val="21"/>
                      <w:szCs w:val="21"/>
                      <w:lang w:val="en-US" w:eastAsia="zh-CN" w:bidi="ar-SA"/>
                      <w14:textFill>
                        <w14:solidFill>
                          <w14:schemeClr w14:val="tx1"/>
                        </w14:solidFill>
                      </w14:textFill>
                    </w:rPr>
                    <w:t>污染源</w:t>
                  </w:r>
                </w:p>
              </w:tc>
            </w:tr>
            <w:tr w14:paraId="4376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restart"/>
                  <w:tcBorders>
                    <w:tl2br w:val="nil"/>
                    <w:tr2bl w:val="nil"/>
                  </w:tcBorders>
                  <w:noWrap w:val="0"/>
                  <w:vAlign w:val="center"/>
                </w:tcPr>
                <w:p w14:paraId="3A8B5F9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w:t>
                  </w:r>
                </w:p>
              </w:tc>
              <w:tc>
                <w:tcPr>
                  <w:tcW w:w="1944" w:type="pct"/>
                  <w:tcBorders>
                    <w:tl2br w:val="nil"/>
                    <w:tr2bl w:val="nil"/>
                  </w:tcBorders>
                  <w:shd w:val="clear" w:color="auto" w:fill="auto"/>
                  <w:noWrap w:val="0"/>
                  <w:vAlign w:val="center"/>
                </w:tcPr>
                <w:p w14:paraId="115B79B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2582" w:type="pct"/>
                  <w:tcBorders>
                    <w:tl2br w:val="nil"/>
                    <w:tr2bl w:val="nil"/>
                  </w:tcBorders>
                  <w:shd w:val="clear" w:color="auto" w:fill="auto"/>
                  <w:noWrap w:val="0"/>
                  <w:vAlign w:val="center"/>
                </w:tcPr>
                <w:p w14:paraId="3BA568A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印刷</w:t>
                  </w:r>
                </w:p>
              </w:tc>
            </w:tr>
            <w:tr w14:paraId="7F228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754CDB6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4886FB0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2582" w:type="pct"/>
                  <w:tcBorders>
                    <w:tl2br w:val="nil"/>
                    <w:tr2bl w:val="nil"/>
                  </w:tcBorders>
                  <w:shd w:val="clear" w:color="auto" w:fill="auto"/>
                  <w:noWrap w:val="0"/>
                  <w:vAlign w:val="center"/>
                </w:tcPr>
                <w:p w14:paraId="4952DCCC">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模切</w:t>
                  </w:r>
                </w:p>
              </w:tc>
            </w:tr>
            <w:tr w14:paraId="6CBE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tcBorders>
                    <w:tl2br w:val="nil"/>
                    <w:tr2bl w:val="nil"/>
                  </w:tcBorders>
                  <w:noWrap w:val="0"/>
                  <w:vAlign w:val="center"/>
                </w:tcPr>
                <w:p w14:paraId="2AA0EB7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废水</w:t>
                  </w:r>
                </w:p>
              </w:tc>
              <w:tc>
                <w:tcPr>
                  <w:tcW w:w="1944" w:type="pct"/>
                  <w:tcBorders>
                    <w:tl2br w:val="nil"/>
                    <w:tr2bl w:val="nil"/>
                  </w:tcBorders>
                  <w:noWrap w:val="0"/>
                  <w:vAlign w:val="center"/>
                </w:tcPr>
                <w:p w14:paraId="3486639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pH、</w:t>
                  </w:r>
                  <w:r>
                    <w:rPr>
                      <w:rFonts w:hint="default" w:cs="Times New Roman"/>
                      <w:color w:val="000000" w:themeColor="text1"/>
                      <w:sz w:val="21"/>
                      <w:szCs w:val="21"/>
                      <w:lang w:val="en-US" w:eastAsia="zh-CN"/>
                      <w14:textFill>
                        <w14:solidFill>
                          <w14:schemeClr w14:val="tx1"/>
                        </w14:solidFill>
                      </w14:textFill>
                    </w:rPr>
                    <w:t>COD、BOD</w:t>
                  </w:r>
                  <w:r>
                    <w:rPr>
                      <w:rFonts w:hint="default" w:cs="Times New Roman"/>
                      <w:color w:val="000000" w:themeColor="text1"/>
                      <w:sz w:val="21"/>
                      <w:szCs w:val="21"/>
                      <w:vertAlign w:val="subscript"/>
                      <w:lang w:val="en-US" w:eastAsia="zh-CN"/>
                      <w14:textFill>
                        <w14:solidFill>
                          <w14:schemeClr w14:val="tx1"/>
                        </w14:solidFill>
                      </w14:textFill>
                    </w:rPr>
                    <w:t>5</w:t>
                  </w:r>
                  <w:r>
                    <w:rPr>
                      <w:rFonts w:hint="default" w:cs="Times New Roman"/>
                      <w:color w:val="000000" w:themeColor="text1"/>
                      <w:sz w:val="21"/>
                      <w:szCs w:val="21"/>
                      <w:lang w:val="en-US" w:eastAsia="zh-CN"/>
                      <w14:textFill>
                        <w14:solidFill>
                          <w14:schemeClr w14:val="tx1"/>
                        </w14:solidFill>
                      </w14:textFill>
                    </w:rPr>
                    <w:t>、SS、氨氮、总磷、总氮</w:t>
                  </w:r>
                </w:p>
              </w:tc>
              <w:tc>
                <w:tcPr>
                  <w:tcW w:w="2582" w:type="pct"/>
                  <w:tcBorders>
                    <w:tl2br w:val="nil"/>
                    <w:tr2bl w:val="nil"/>
                  </w:tcBorders>
                  <w:noWrap w:val="0"/>
                  <w:vAlign w:val="center"/>
                </w:tcPr>
                <w:p w14:paraId="380457F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生活污水</w:t>
                  </w:r>
                </w:p>
              </w:tc>
            </w:tr>
            <w:tr w14:paraId="2F9D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tcBorders>
                    <w:tl2br w:val="nil"/>
                    <w:tr2bl w:val="nil"/>
                  </w:tcBorders>
                  <w:noWrap w:val="0"/>
                  <w:vAlign w:val="center"/>
                </w:tcPr>
                <w:p w14:paraId="7EDB0D67">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噪声</w:t>
                  </w:r>
                </w:p>
              </w:tc>
              <w:tc>
                <w:tcPr>
                  <w:tcW w:w="1944" w:type="pct"/>
                  <w:tcBorders>
                    <w:tl2br w:val="nil"/>
                    <w:tr2bl w:val="nil"/>
                  </w:tcBorders>
                  <w:noWrap w:val="0"/>
                  <w:vAlign w:val="center"/>
                </w:tcPr>
                <w:p w14:paraId="4BB3988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设备噪声</w:t>
                  </w:r>
                </w:p>
              </w:tc>
              <w:tc>
                <w:tcPr>
                  <w:tcW w:w="2582" w:type="pct"/>
                  <w:tcBorders>
                    <w:tl2br w:val="nil"/>
                    <w:tr2bl w:val="nil"/>
                  </w:tcBorders>
                  <w:noWrap w:val="0"/>
                  <w:vAlign w:val="center"/>
                </w:tcPr>
                <w:p w14:paraId="38823A8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裱纸机、模切机、印刷机、</w:t>
                  </w:r>
                  <w:r>
                    <w:rPr>
                      <w:rFonts w:hint="eastAsia" w:cs="Times New Roman"/>
                      <w:color w:val="000000" w:themeColor="text1"/>
                      <w:sz w:val="21"/>
                      <w:szCs w:val="21"/>
                      <w:lang w:val="en-US" w:eastAsia="zh-CN"/>
                      <w14:textFill>
                        <w14:solidFill>
                          <w14:schemeClr w14:val="tx1"/>
                        </w14:solidFill>
                      </w14:textFill>
                    </w:rPr>
                    <w:t>订</w:t>
                  </w:r>
                  <w:r>
                    <w:rPr>
                      <w:rFonts w:hint="eastAsia" w:ascii="Times New Roman" w:hAnsi="Times New Roman" w:cs="Times New Roman"/>
                      <w:color w:val="000000" w:themeColor="text1"/>
                      <w:sz w:val="21"/>
                      <w:szCs w:val="21"/>
                      <w:lang w:val="en-US" w:eastAsia="zh-CN"/>
                      <w14:textFill>
                        <w14:solidFill>
                          <w14:schemeClr w14:val="tx1"/>
                        </w14:solidFill>
                      </w14:textFill>
                    </w:rPr>
                    <w:t>箱机、粘钉一体机等</w:t>
                  </w:r>
                </w:p>
              </w:tc>
            </w:tr>
            <w:tr w14:paraId="0892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restart"/>
                  <w:tcBorders>
                    <w:tl2br w:val="nil"/>
                    <w:tr2bl w:val="nil"/>
                  </w:tcBorders>
                  <w:noWrap w:val="0"/>
                  <w:vAlign w:val="center"/>
                </w:tcPr>
                <w:p w14:paraId="1C74648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固体废物</w:t>
                  </w:r>
                </w:p>
              </w:tc>
              <w:tc>
                <w:tcPr>
                  <w:tcW w:w="1944" w:type="pct"/>
                  <w:tcBorders>
                    <w:tl2br w:val="nil"/>
                    <w:tr2bl w:val="nil"/>
                  </w:tcBorders>
                  <w:shd w:val="clear" w:color="auto" w:fill="auto"/>
                  <w:noWrap w:val="0"/>
                  <w:vAlign w:val="center"/>
                </w:tcPr>
                <w:p w14:paraId="126A9AF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生活垃圾</w:t>
                  </w:r>
                </w:p>
              </w:tc>
              <w:tc>
                <w:tcPr>
                  <w:tcW w:w="2582" w:type="pct"/>
                  <w:tcBorders>
                    <w:tl2br w:val="nil"/>
                    <w:tr2bl w:val="nil"/>
                  </w:tcBorders>
                  <w:shd w:val="clear" w:color="auto" w:fill="auto"/>
                  <w:noWrap w:val="0"/>
                  <w:vAlign w:val="center"/>
                </w:tcPr>
                <w:p w14:paraId="16B0A78D">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员工办公</w:t>
                  </w:r>
                </w:p>
              </w:tc>
            </w:tr>
            <w:tr w14:paraId="401B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5FF9F4E8">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692F894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废边角料</w:t>
                  </w:r>
                </w:p>
              </w:tc>
              <w:tc>
                <w:tcPr>
                  <w:tcW w:w="2582" w:type="pct"/>
                  <w:tcBorders>
                    <w:tl2br w:val="nil"/>
                    <w:tr2bl w:val="nil"/>
                  </w:tcBorders>
                  <w:shd w:val="clear" w:color="auto" w:fill="auto"/>
                  <w:noWrap w:val="0"/>
                  <w:vAlign w:val="center"/>
                </w:tcPr>
                <w:p w14:paraId="3017821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模切</w:t>
                  </w:r>
                </w:p>
              </w:tc>
            </w:tr>
            <w:tr w14:paraId="6E9B1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7CFC24E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7BA9CA12">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不合格产品</w:t>
                  </w:r>
                </w:p>
              </w:tc>
              <w:tc>
                <w:tcPr>
                  <w:tcW w:w="2582" w:type="pct"/>
                  <w:tcBorders>
                    <w:tl2br w:val="nil"/>
                    <w:tr2bl w:val="nil"/>
                  </w:tcBorders>
                  <w:shd w:val="clear" w:color="auto" w:fill="auto"/>
                  <w:noWrap w:val="0"/>
                  <w:vAlign w:val="center"/>
                </w:tcPr>
                <w:p w14:paraId="3248F39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检验</w:t>
                  </w:r>
                </w:p>
              </w:tc>
            </w:tr>
            <w:tr w14:paraId="6F26E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2CF294BB">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6BA3E91E">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废胶桶</w:t>
                  </w:r>
                </w:p>
              </w:tc>
              <w:tc>
                <w:tcPr>
                  <w:tcW w:w="2582" w:type="pct"/>
                  <w:tcBorders>
                    <w:tl2br w:val="nil"/>
                    <w:tr2bl w:val="nil"/>
                  </w:tcBorders>
                  <w:shd w:val="clear" w:color="auto" w:fill="auto"/>
                  <w:noWrap w:val="0"/>
                  <w:vAlign w:val="center"/>
                </w:tcPr>
                <w:p w14:paraId="09C1AF9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裱纸</w:t>
                  </w:r>
                </w:p>
              </w:tc>
            </w:tr>
            <w:tr w14:paraId="36E0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2899179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38A25949">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废油墨桶</w:t>
                  </w:r>
                </w:p>
              </w:tc>
              <w:tc>
                <w:tcPr>
                  <w:tcW w:w="2582" w:type="pct"/>
                  <w:vMerge w:val="restart"/>
                  <w:tcBorders>
                    <w:tl2br w:val="nil"/>
                    <w:tr2bl w:val="nil"/>
                  </w:tcBorders>
                  <w:shd w:val="clear" w:color="auto" w:fill="auto"/>
                  <w:noWrap w:val="0"/>
                  <w:vAlign w:val="center"/>
                </w:tcPr>
                <w:p w14:paraId="51E1392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印刷</w:t>
                  </w:r>
                </w:p>
              </w:tc>
            </w:tr>
            <w:tr w14:paraId="6034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61014975">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090BFE26">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清洗废水</w:t>
                  </w:r>
                </w:p>
              </w:tc>
              <w:tc>
                <w:tcPr>
                  <w:tcW w:w="2582" w:type="pct"/>
                  <w:vMerge w:val="continue"/>
                  <w:tcBorders>
                    <w:tl2br w:val="nil"/>
                    <w:tr2bl w:val="nil"/>
                  </w:tcBorders>
                  <w:shd w:val="clear" w:color="auto" w:fill="auto"/>
                  <w:noWrap w:val="0"/>
                  <w:vAlign w:val="center"/>
                </w:tcPr>
                <w:p w14:paraId="5D90B4F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kern w:val="2"/>
                      <w:sz w:val="21"/>
                      <w:szCs w:val="21"/>
                      <w:lang w:val="en-US" w:eastAsia="zh-CN" w:bidi="ar-SA"/>
                      <w14:textFill>
                        <w14:solidFill>
                          <w14:schemeClr w14:val="tx1"/>
                        </w14:solidFill>
                      </w14:textFill>
                    </w:rPr>
                  </w:pPr>
                </w:p>
              </w:tc>
            </w:tr>
            <w:tr w14:paraId="5A402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27A595C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3273C5E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废活性炭</w:t>
                  </w:r>
                </w:p>
              </w:tc>
              <w:tc>
                <w:tcPr>
                  <w:tcW w:w="2582" w:type="pct"/>
                  <w:tcBorders>
                    <w:tl2br w:val="nil"/>
                    <w:tr2bl w:val="nil"/>
                  </w:tcBorders>
                  <w:shd w:val="clear" w:color="auto" w:fill="auto"/>
                  <w:noWrap w:val="0"/>
                  <w:vAlign w:val="center"/>
                </w:tcPr>
                <w:p w14:paraId="7F77CA8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废气处理</w:t>
                  </w:r>
                </w:p>
              </w:tc>
            </w:tr>
            <w:tr w14:paraId="3EA2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59FFC751">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21705913">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废矿物油</w:t>
                  </w:r>
                </w:p>
              </w:tc>
              <w:tc>
                <w:tcPr>
                  <w:tcW w:w="2582" w:type="pct"/>
                  <w:vMerge w:val="restart"/>
                  <w:tcBorders>
                    <w:tl2br w:val="nil"/>
                    <w:tr2bl w:val="nil"/>
                  </w:tcBorders>
                  <w:shd w:val="clear" w:color="auto" w:fill="auto"/>
                  <w:noWrap w:val="0"/>
                  <w:vAlign w:val="center"/>
                </w:tcPr>
                <w:p w14:paraId="6FD88EEF">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设备维修</w:t>
                  </w:r>
                </w:p>
              </w:tc>
            </w:tr>
            <w:tr w14:paraId="022A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3" w:type="pct"/>
                  <w:vMerge w:val="continue"/>
                  <w:tcBorders>
                    <w:tl2br w:val="nil"/>
                    <w:tr2bl w:val="nil"/>
                  </w:tcBorders>
                  <w:noWrap w:val="0"/>
                  <w:vAlign w:val="center"/>
                </w:tcPr>
                <w:p w14:paraId="50F7B304">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p>
              </w:tc>
              <w:tc>
                <w:tcPr>
                  <w:tcW w:w="1944" w:type="pct"/>
                  <w:tcBorders>
                    <w:tl2br w:val="nil"/>
                    <w:tr2bl w:val="nil"/>
                  </w:tcBorders>
                  <w:shd w:val="clear" w:color="auto" w:fill="auto"/>
                  <w:noWrap w:val="0"/>
                  <w:vAlign w:val="center"/>
                </w:tcPr>
                <w:p w14:paraId="43F6F84A">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废含油抹布</w:t>
                  </w:r>
                </w:p>
              </w:tc>
              <w:tc>
                <w:tcPr>
                  <w:tcW w:w="2582" w:type="pct"/>
                  <w:vMerge w:val="continue"/>
                  <w:tcBorders>
                    <w:tl2br w:val="nil"/>
                    <w:tr2bl w:val="nil"/>
                  </w:tcBorders>
                  <w:shd w:val="clear" w:color="auto" w:fill="auto"/>
                  <w:noWrap w:val="0"/>
                  <w:vAlign w:val="center"/>
                </w:tcPr>
                <w:p w14:paraId="680FDFD0">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bl>
          <w:p w14:paraId="1F53C048">
            <w:pPr>
              <w:keepNext w:val="0"/>
              <w:keepLines w:val="0"/>
              <w:suppressLineNumbers w:val="0"/>
              <w:spacing w:before="0" w:beforeAutospacing="0" w:after="0" w:afterAutospacing="0"/>
              <w:ind w:left="0" w:leftChars="0" w:right="0" w:firstLine="0" w:firstLineChars="0"/>
              <w:rPr>
                <w:rFonts w:hint="default" w:cs="Times New Roman"/>
                <w:b w:val="0"/>
                <w:bCs w:val="0"/>
                <w:color w:val="000000" w:themeColor="text1"/>
                <w:lang w:val="en-US" w:eastAsia="zh-CN"/>
                <w14:textFill>
                  <w14:solidFill>
                    <w14:schemeClr w14:val="tx1"/>
                  </w14:solidFill>
                </w14:textFill>
              </w:rPr>
            </w:pPr>
          </w:p>
        </w:tc>
      </w:tr>
      <w:tr w14:paraId="25231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2" w:hRule="atLeast"/>
          <w:jc w:val="center"/>
        </w:trPr>
        <w:tc>
          <w:tcPr>
            <w:tcW w:w="448" w:type="pct"/>
            <w:vAlign w:val="center"/>
          </w:tcPr>
          <w:p w14:paraId="183F2259">
            <w:pPr>
              <w:pStyle w:val="18"/>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kern w:val="2"/>
                <w:szCs w:val="24"/>
                <w14:textFill>
                  <w14:solidFill>
                    <w14:schemeClr w14:val="tx1"/>
                  </w14:solidFill>
                </w14:textFill>
              </w:rPr>
            </w:pPr>
            <w:r>
              <w:rPr>
                <w:rFonts w:hint="default" w:ascii="Times New Roman" w:hAnsi="Times New Roman" w:cs="Times New Roman"/>
                <w:bCs/>
                <w:color w:val="000000" w:themeColor="text1"/>
                <w:kern w:val="2"/>
                <w:szCs w:val="24"/>
                <w14:textFill>
                  <w14:solidFill>
                    <w14:schemeClr w14:val="tx1"/>
                  </w14:solidFill>
                </w14:textFill>
              </w:rPr>
              <w:t>与项目有关的原有环境污染问题</w:t>
            </w:r>
          </w:p>
        </w:tc>
        <w:tc>
          <w:tcPr>
            <w:tcW w:w="4551" w:type="pct"/>
            <w:vAlign w:val="center"/>
          </w:tcPr>
          <w:p w14:paraId="2CA3EE69">
            <w:pPr>
              <w:pStyle w:val="30"/>
              <w:keepNext w:val="0"/>
              <w:keepLines w:val="0"/>
              <w:suppressLineNumbers w:val="0"/>
              <w:spacing w:before="0" w:beforeAutospacing="0" w:after="0" w:afterAutospacing="0"/>
              <w:ind w:left="0" w:leftChars="0" w:right="0" w:firstLine="0" w:firstLineChars="0"/>
              <w:jc w:val="center"/>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无</w:t>
            </w:r>
          </w:p>
        </w:tc>
      </w:tr>
    </w:tbl>
    <w:p w14:paraId="0218D4A9">
      <w:pPr>
        <w:pStyle w:val="18"/>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2D6D1D27">
      <w:pPr>
        <w:pStyle w:val="18"/>
        <w:adjustRightInd w:val="0"/>
        <w:snapToGrid w:val="0"/>
        <w:spacing w:before="0" w:beforeAutospacing="0" w:after="0" w:afterAutospacing="0" w:line="14" w:lineRule="auto"/>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p>
    <w:p w14:paraId="380F2EAF">
      <w:pPr>
        <w:pStyle w:val="18"/>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3"/>
        <w:gridCol w:w="8108"/>
      </w:tblGrid>
      <w:tr w14:paraId="7F564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89" w:hRule="atLeast"/>
          <w:jc w:val="center"/>
        </w:trPr>
        <w:tc>
          <w:tcPr>
            <w:tcW w:w="526" w:type="pct"/>
            <w:vAlign w:val="center"/>
          </w:tcPr>
          <w:p w14:paraId="0952C9CD">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区域</w:t>
            </w:r>
          </w:p>
          <w:p w14:paraId="07D32F8B">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环境</w:t>
            </w:r>
          </w:p>
          <w:p w14:paraId="41C046D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质量</w:t>
            </w:r>
          </w:p>
          <w:p w14:paraId="2A9E16F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现状</w:t>
            </w:r>
          </w:p>
        </w:tc>
        <w:tc>
          <w:tcPr>
            <w:tcW w:w="4473" w:type="pct"/>
            <w:vAlign w:val="center"/>
          </w:tcPr>
          <w:p w14:paraId="32FAFF3E">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一、环境空气质量现状</w:t>
            </w:r>
          </w:p>
          <w:p w14:paraId="65CAC14B">
            <w:pPr>
              <w:keepNext w:val="0"/>
              <w:keepLines w:val="0"/>
              <w:suppressLineNumbers w:val="0"/>
              <w:tabs>
                <w:tab w:val="left" w:pos="8607"/>
              </w:tabs>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（1）常规污染物</w:t>
            </w:r>
          </w:p>
          <w:p w14:paraId="316A2BFD">
            <w:pPr>
              <w:keepNext w:val="0"/>
              <w:keepLines w:val="0"/>
              <w:suppressLineNumbers w:val="0"/>
              <w:tabs>
                <w:tab w:val="left" w:pos="8607"/>
              </w:tabs>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本项目位于</w:t>
            </w:r>
            <w:r>
              <w:rPr>
                <w:rFonts w:hint="eastAsia" w:cs="Times New Roman"/>
                <w:color w:val="000000" w:themeColor="text1"/>
                <w:lang w:val="en-US" w:eastAsia="zh-CN"/>
                <w14:textFill>
                  <w14:solidFill>
                    <w14:schemeClr w14:val="tx1"/>
                  </w14:solidFill>
                </w14:textFill>
              </w:rPr>
              <w:t>西咸新区沣西新城</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根据陕西省生态环境厅办公室发布的《202</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年12月及1~12月全省环境空气质量状况》，202</w:t>
            </w:r>
            <w:r>
              <w:rPr>
                <w:rFonts w:hint="eastAsia"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年1~12月</w:t>
            </w:r>
            <w:r>
              <w:rPr>
                <w:rFonts w:hint="eastAsia" w:cs="Times New Roman"/>
                <w:color w:val="000000" w:themeColor="text1"/>
                <w:lang w:val="en-US" w:eastAsia="zh-CN"/>
                <w14:textFill>
                  <w14:solidFill>
                    <w14:schemeClr w14:val="tx1"/>
                  </w14:solidFill>
                </w14:textFill>
              </w:rPr>
              <w:t>西咸新区</w:t>
            </w:r>
            <w:r>
              <w:rPr>
                <w:rFonts w:hint="default" w:ascii="Times New Roman" w:hAnsi="Times New Roman" w:cs="Times New Roman"/>
                <w:color w:val="000000" w:themeColor="text1"/>
                <w14:textFill>
                  <w14:solidFill>
                    <w14:schemeClr w14:val="tx1"/>
                  </w14:solidFill>
                </w14:textFill>
              </w:rPr>
              <w:t>空气质量状况统计数据</w:t>
            </w:r>
            <w:r>
              <w:rPr>
                <w:rFonts w:hint="default" w:ascii="Times New Roman" w:hAnsi="Times New Roman" w:cs="Times New Roman"/>
                <w:color w:val="000000" w:themeColor="text1"/>
                <w:lang w:val="en-US" w:eastAsia="zh-CN"/>
                <w14:textFill>
                  <w14:solidFill>
                    <w14:schemeClr w14:val="tx1"/>
                  </w14:solidFill>
                </w14:textFill>
              </w:rPr>
              <w:t>详见</w:t>
            </w:r>
            <w:r>
              <w:rPr>
                <w:rFonts w:hint="default" w:ascii="Times New Roman" w:hAnsi="Times New Roman" w:cs="Times New Roman"/>
                <w:color w:val="000000" w:themeColor="text1"/>
                <w14:textFill>
                  <w14:solidFill>
                    <w14:schemeClr w14:val="tx1"/>
                  </w14:solidFill>
                </w14:textFill>
              </w:rPr>
              <w:t>表3-1。</w:t>
            </w:r>
          </w:p>
          <w:p w14:paraId="28F09B27">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表3-1  </w:t>
            </w:r>
            <w:r>
              <w:rPr>
                <w:rFonts w:hint="eastAsia" w:eastAsia="黑体" w:cs="Times New Roman"/>
                <w:b w:val="0"/>
                <w:bCs w:val="0"/>
                <w:color w:val="000000" w:themeColor="text1"/>
                <w:sz w:val="24"/>
                <w:szCs w:val="24"/>
                <w:lang w:eastAsia="zh-CN"/>
                <w14:textFill>
                  <w14:solidFill>
                    <w14:schemeClr w14:val="tx1"/>
                  </w14:solidFill>
                </w14:textFill>
              </w:rPr>
              <w:t>西咸新区</w:t>
            </w:r>
            <w:r>
              <w:rPr>
                <w:rFonts w:hint="default" w:ascii="Times New Roman" w:hAnsi="Times New Roman" w:eastAsia="黑体" w:cs="Times New Roman"/>
                <w:b w:val="0"/>
                <w:bCs w:val="0"/>
                <w:color w:val="000000" w:themeColor="text1"/>
                <w:sz w:val="24"/>
                <w:szCs w:val="24"/>
                <w14:textFill>
                  <w14:solidFill>
                    <w14:schemeClr w14:val="tx1"/>
                  </w14:solidFill>
                </w14:textFill>
              </w:rPr>
              <w:t>空气质量现状评价表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3"/>
              <w:gridCol w:w="1889"/>
              <w:gridCol w:w="762"/>
              <w:gridCol w:w="1127"/>
              <w:gridCol w:w="878"/>
              <w:gridCol w:w="1127"/>
              <w:gridCol w:w="1133"/>
            </w:tblGrid>
            <w:tr w14:paraId="558B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5296AF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198" w:type="pct"/>
                  <w:vAlign w:val="center"/>
                </w:tcPr>
                <w:p w14:paraId="3754DCC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评价指标</w:t>
                  </w:r>
                </w:p>
              </w:tc>
              <w:tc>
                <w:tcPr>
                  <w:tcW w:w="483" w:type="pct"/>
                  <w:vAlign w:val="center"/>
                </w:tcPr>
                <w:p w14:paraId="694BA6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715" w:type="pct"/>
                  <w:vAlign w:val="center"/>
                </w:tcPr>
                <w:p w14:paraId="6F812E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现状浓度</w:t>
                  </w:r>
                </w:p>
              </w:tc>
              <w:tc>
                <w:tcPr>
                  <w:tcW w:w="557" w:type="pct"/>
                  <w:vAlign w:val="center"/>
                </w:tcPr>
                <w:p w14:paraId="70DDAA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715" w:type="pct"/>
                  <w:vAlign w:val="center"/>
                </w:tcPr>
                <w:p w14:paraId="34E7AE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占标率</w:t>
                  </w:r>
                </w:p>
              </w:tc>
              <w:tc>
                <w:tcPr>
                  <w:tcW w:w="718" w:type="pct"/>
                  <w:vAlign w:val="center"/>
                </w:tcPr>
                <w:p w14:paraId="5835AB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14:paraId="7451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461513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p>
              </w:tc>
              <w:tc>
                <w:tcPr>
                  <w:tcW w:w="1198" w:type="pct"/>
                  <w:vAlign w:val="center"/>
                </w:tcPr>
                <w:p w14:paraId="0851D8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483" w:type="pct"/>
                  <w:vAlign w:val="center"/>
                </w:tcPr>
                <w:p w14:paraId="0C676D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6F6148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82</w:t>
                  </w:r>
                </w:p>
              </w:tc>
              <w:tc>
                <w:tcPr>
                  <w:tcW w:w="557" w:type="pct"/>
                  <w:vAlign w:val="center"/>
                </w:tcPr>
                <w:p w14:paraId="38E341F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1160" w:type="dxa"/>
                  <w:vAlign w:val="center"/>
                </w:tcPr>
                <w:p w14:paraId="705E1B6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117.1%</w:t>
                  </w:r>
                </w:p>
              </w:tc>
              <w:tc>
                <w:tcPr>
                  <w:tcW w:w="718" w:type="pct"/>
                  <w:vAlign w:val="center"/>
                </w:tcPr>
                <w:p w14:paraId="4960D17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w:t>
                  </w:r>
                </w:p>
              </w:tc>
            </w:tr>
            <w:tr w14:paraId="06994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2D6233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p>
              </w:tc>
              <w:tc>
                <w:tcPr>
                  <w:tcW w:w="1198" w:type="pct"/>
                  <w:vAlign w:val="center"/>
                </w:tcPr>
                <w:p w14:paraId="72DA1B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483" w:type="pct"/>
                  <w:vAlign w:val="center"/>
                </w:tcPr>
                <w:p w14:paraId="4CE296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7EDC54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w:t>
                  </w:r>
                </w:p>
              </w:tc>
              <w:tc>
                <w:tcPr>
                  <w:tcW w:w="557" w:type="pct"/>
                  <w:vAlign w:val="center"/>
                </w:tcPr>
                <w:p w14:paraId="1B33298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1160" w:type="dxa"/>
                  <w:vAlign w:val="center"/>
                </w:tcPr>
                <w:p w14:paraId="337368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137.1%</w:t>
                  </w:r>
                </w:p>
              </w:tc>
              <w:tc>
                <w:tcPr>
                  <w:tcW w:w="718" w:type="pct"/>
                  <w:vAlign w:val="center"/>
                </w:tcPr>
                <w:p w14:paraId="6EB340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w:t>
                  </w:r>
                </w:p>
              </w:tc>
            </w:tr>
            <w:tr w14:paraId="4DC3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30AB14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98" w:type="pct"/>
                  <w:vAlign w:val="center"/>
                </w:tcPr>
                <w:p w14:paraId="52C1F5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483" w:type="pct"/>
                  <w:vAlign w:val="center"/>
                </w:tcPr>
                <w:p w14:paraId="145AFE9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5D9AE3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557" w:type="pct"/>
                  <w:vAlign w:val="center"/>
                </w:tcPr>
                <w:p w14:paraId="4DADC40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1160" w:type="dxa"/>
                  <w:vAlign w:val="center"/>
                </w:tcPr>
                <w:p w14:paraId="3E1E0B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11.7%</w:t>
                  </w:r>
                </w:p>
              </w:tc>
              <w:tc>
                <w:tcPr>
                  <w:tcW w:w="718" w:type="pct"/>
                  <w:vAlign w:val="center"/>
                </w:tcPr>
                <w:p w14:paraId="04AE56A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13D9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5D5A4C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p>
              </w:tc>
              <w:tc>
                <w:tcPr>
                  <w:tcW w:w="1198" w:type="pct"/>
                  <w:vAlign w:val="center"/>
                </w:tcPr>
                <w:p w14:paraId="45295E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年平均质量浓度</w:t>
                  </w:r>
                </w:p>
              </w:tc>
              <w:tc>
                <w:tcPr>
                  <w:tcW w:w="483" w:type="pct"/>
                  <w:vAlign w:val="center"/>
                </w:tcPr>
                <w:p w14:paraId="505AAFC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58B919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37</w:t>
                  </w:r>
                </w:p>
              </w:tc>
              <w:tc>
                <w:tcPr>
                  <w:tcW w:w="557" w:type="pct"/>
                  <w:vAlign w:val="center"/>
                </w:tcPr>
                <w:p w14:paraId="547150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1160" w:type="dxa"/>
                  <w:vAlign w:val="center"/>
                </w:tcPr>
                <w:p w14:paraId="46B4B0C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92.5%</w:t>
                  </w:r>
                </w:p>
              </w:tc>
              <w:tc>
                <w:tcPr>
                  <w:tcW w:w="718" w:type="pct"/>
                  <w:vAlign w:val="center"/>
                </w:tcPr>
                <w:p w14:paraId="3AE4263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344F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2D2F3C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p>
              </w:tc>
              <w:tc>
                <w:tcPr>
                  <w:tcW w:w="1198" w:type="pct"/>
                  <w:vAlign w:val="center"/>
                </w:tcPr>
                <w:p w14:paraId="3453D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24h平均第95百分位浓度</w:t>
                  </w:r>
                </w:p>
              </w:tc>
              <w:tc>
                <w:tcPr>
                  <w:tcW w:w="483" w:type="pct"/>
                  <w:vAlign w:val="center"/>
                </w:tcPr>
                <w:p w14:paraId="6F5498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0FB6C3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1300</w:t>
                  </w:r>
                </w:p>
              </w:tc>
              <w:tc>
                <w:tcPr>
                  <w:tcW w:w="557" w:type="pct"/>
                  <w:vAlign w:val="center"/>
                </w:tcPr>
                <w:p w14:paraId="19B04B5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4000</w:t>
                  </w:r>
                </w:p>
              </w:tc>
              <w:tc>
                <w:tcPr>
                  <w:tcW w:w="1160" w:type="dxa"/>
                  <w:vAlign w:val="center"/>
                </w:tcPr>
                <w:p w14:paraId="37A4A29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32.5%</w:t>
                  </w:r>
                </w:p>
              </w:tc>
              <w:tc>
                <w:tcPr>
                  <w:tcW w:w="718" w:type="pct"/>
                  <w:vAlign w:val="center"/>
                </w:tcPr>
                <w:p w14:paraId="46A2349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109E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1" w:type="pct"/>
                  <w:vAlign w:val="center"/>
                </w:tcPr>
                <w:p w14:paraId="29CB2E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198" w:type="pct"/>
                  <w:vAlign w:val="center"/>
                </w:tcPr>
                <w:p w14:paraId="1622C5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日最大8小时平均第90百分位浓度</w:t>
                  </w:r>
                </w:p>
              </w:tc>
              <w:tc>
                <w:tcPr>
                  <w:tcW w:w="483" w:type="pct"/>
                  <w:vAlign w:val="center"/>
                </w:tcPr>
                <w:p w14:paraId="6BCC1A0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μg/m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c>
                <w:tcPr>
                  <w:tcW w:w="715" w:type="pct"/>
                  <w:vAlign w:val="center"/>
                </w:tcPr>
                <w:p w14:paraId="0574FD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163</w:t>
                  </w:r>
                </w:p>
              </w:tc>
              <w:tc>
                <w:tcPr>
                  <w:tcW w:w="557" w:type="pct"/>
                  <w:vAlign w:val="center"/>
                </w:tcPr>
                <w:p w14:paraId="335A4F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1160" w:type="dxa"/>
                  <w:vAlign w:val="center"/>
                </w:tcPr>
                <w:p w14:paraId="13D5C72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101.9%</w:t>
                  </w:r>
                </w:p>
              </w:tc>
              <w:tc>
                <w:tcPr>
                  <w:tcW w:w="718" w:type="pct"/>
                  <w:vAlign w:val="center"/>
                </w:tcPr>
                <w:p w14:paraId="56F2708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超标</w:t>
                  </w:r>
                </w:p>
              </w:tc>
            </w:tr>
          </w:tbl>
          <w:p w14:paraId="3D98A1F4">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根据以上监测结果可知，</w:t>
            </w:r>
            <w:r>
              <w:rPr>
                <w:rFonts w:hint="eastAsia" w:cs="Times New Roman"/>
                <w:color w:val="000000" w:themeColor="text1"/>
                <w:lang w:val="en-US" w:eastAsia="zh-CN"/>
                <w14:textFill>
                  <w14:solidFill>
                    <w14:schemeClr w14:val="tx1"/>
                  </w14:solidFill>
                </w14:textFill>
              </w:rPr>
              <w:t>西咸新区</w:t>
            </w:r>
            <w:r>
              <w:rPr>
                <w:rFonts w:hint="default" w:ascii="Times New Roman" w:hAnsi="Times New Roman" w:cs="Times New Roman"/>
                <w:color w:val="000000" w:themeColor="text1"/>
                <w14:textFill>
                  <w14:solidFill>
                    <w14:schemeClr w14:val="tx1"/>
                  </w14:solidFill>
                </w14:textFill>
              </w:rPr>
              <w:t>SO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NO</w:t>
            </w:r>
            <w:r>
              <w:rPr>
                <w:rFonts w:hint="default" w:ascii="Times New Roman" w:hAnsi="Times New Roman" w:cs="Times New Roman"/>
                <w:color w:val="000000" w:themeColor="text1"/>
                <w:vertAlign w:val="sub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年平均质量浓度值和CO的24小时平均第95百分位浓度值均达到《环境空气质量标准》（GB3095-2012）及其修改单（公告2018年第29号）中二级标准限值要求；PM</w:t>
            </w:r>
            <w:r>
              <w:rPr>
                <w:rFonts w:hint="default" w:ascii="Times New Roman" w:hAnsi="Times New Roman" w:cs="Times New Roman"/>
                <w:color w:val="000000" w:themeColor="text1"/>
                <w:vertAlign w:val="subscript"/>
                <w14:textFill>
                  <w14:solidFill>
                    <w14:schemeClr w14:val="tx1"/>
                  </w14:solidFill>
                </w14:textFill>
              </w:rPr>
              <w:t>10</w:t>
            </w:r>
            <w:r>
              <w:rPr>
                <w:rFonts w:hint="default" w:ascii="Times New Roman" w:hAnsi="Times New Roman" w:cs="Times New Roman"/>
                <w:color w:val="000000" w:themeColor="text1"/>
                <w14:textFill>
                  <w14:solidFill>
                    <w14:schemeClr w14:val="tx1"/>
                  </w14:solidFill>
                </w14:textFill>
              </w:rPr>
              <w:t>、PM</w:t>
            </w:r>
            <w:r>
              <w:rPr>
                <w:rFonts w:hint="default" w:ascii="Times New Roman" w:hAnsi="Times New Roman" w:cs="Times New Roman"/>
                <w:color w:val="000000" w:themeColor="text1"/>
                <w:vertAlign w:val="subscript"/>
                <w14:textFill>
                  <w14:solidFill>
                    <w14:schemeClr w14:val="tx1"/>
                  </w14:solidFill>
                </w14:textFill>
              </w:rPr>
              <w:t>2.5</w:t>
            </w:r>
            <w:r>
              <w:rPr>
                <w:rFonts w:hint="default" w:ascii="Times New Roman" w:hAnsi="Times New Roman" w:cs="Times New Roman"/>
                <w:color w:val="000000" w:themeColor="text1"/>
                <w14:textFill>
                  <w14:solidFill>
                    <w14:schemeClr w14:val="tx1"/>
                  </w14:solidFill>
                </w14:textFill>
              </w:rPr>
              <w:t>年平均质量浓度值</w:t>
            </w:r>
            <w:r>
              <w:rPr>
                <w:rFonts w:hint="eastAsia" w:cs="Times New Roman"/>
                <w:color w:val="000000" w:themeColor="text1"/>
                <w:lang w:val="en-US" w:eastAsia="zh-CN"/>
                <w14:textFill>
                  <w14:solidFill>
                    <w14:schemeClr w14:val="tx1"/>
                  </w14:solidFill>
                </w14:textFill>
              </w:rPr>
              <w:t>和</w:t>
            </w:r>
            <w:r>
              <w:rPr>
                <w:rFonts w:hint="default" w:ascii="Times New Roman" w:hAnsi="Times New Roman" w:cs="Times New Roman"/>
                <w:color w:val="000000" w:themeColor="text1"/>
                <w14:textFill>
                  <w14:solidFill>
                    <w14:schemeClr w14:val="tx1"/>
                  </w14:solidFill>
                </w14:textFill>
              </w:rPr>
              <w:t>O</w:t>
            </w:r>
            <w:r>
              <w:rPr>
                <w:rFonts w:hint="default" w:ascii="Times New Roman" w:hAnsi="Times New Roman" w:cs="Times New Roman"/>
                <w:color w:val="000000" w:themeColor="text1"/>
                <w:vertAlign w:val="sub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日最大8小时平均第90百分位浓度值均超过《环境空气质量标准》（GB3095-2012）及其修改单（公告2018年第29号）中二级标准限值要求。</w:t>
            </w:r>
          </w:p>
          <w:p w14:paraId="21A9ECBB">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2</w:t>
            </w:r>
            <w:r>
              <w:rPr>
                <w:rFonts w:hint="eastAsia" w:ascii="Times New Roman" w:hAnsi="Times New Roman" w:eastAsia="宋体" w:cs="Times New Roman"/>
                <w:color w:val="000000" w:themeColor="text1"/>
                <w:lang w:eastAsia="zh-CN"/>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特征污染物</w:t>
            </w:r>
          </w:p>
          <w:p w14:paraId="0041BC2D">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特征污染物TSP、非甲烷总烃监测数据引用《西安市户县大王胜利热镀厂金属表面热处理及热处理加工项目环境质量现状监测报告》（泽希检测（现）202211058号）的监测数据，监测时间为2022年9月28日~2022年9月30日，监测因子为TSP、非甲烷总烃</w:t>
            </w:r>
            <w:r>
              <w:rPr>
                <w:rFonts w:hint="default" w:ascii="Times New Roman" w:hAnsi="Times New Roman" w:eastAsia="宋体" w:cs="Times New Roman"/>
                <w:color w:val="000000" w:themeColor="text1"/>
                <w14:textFill>
                  <w14:solidFill>
                    <w14:schemeClr w14:val="tx1"/>
                  </w14:solidFill>
                </w14:textFill>
              </w:rPr>
              <w:t>，引用</w:t>
            </w:r>
            <w:r>
              <w:rPr>
                <w:rFonts w:hint="eastAsia" w:cs="Times New Roman"/>
                <w:color w:val="000000" w:themeColor="text1"/>
                <w:lang w:val="en-US" w:eastAsia="zh-CN"/>
                <w14:textFill>
                  <w14:solidFill>
                    <w14:schemeClr w14:val="tx1"/>
                  </w14:solidFill>
                </w14:textFill>
              </w:rPr>
              <w:t>的</w:t>
            </w:r>
            <w:r>
              <w:rPr>
                <w:rFonts w:hint="default" w:ascii="Times New Roman" w:hAnsi="Times New Roman" w:eastAsia="宋体" w:cs="Times New Roman"/>
                <w:color w:val="000000" w:themeColor="text1"/>
                <w14:textFill>
                  <w14:solidFill>
                    <w14:schemeClr w14:val="tx1"/>
                  </w14:solidFill>
                </w14:textFill>
              </w:rPr>
              <w:t>监测点位于本项目东南侧2km</w:t>
            </w:r>
            <w:r>
              <w:rPr>
                <w:rFonts w:hint="eastAsia" w:cs="Times New Roman"/>
                <w:color w:val="000000" w:themeColor="text1"/>
                <w:sz w:val="24"/>
                <w:lang w:val="en-US" w:eastAsia="zh-CN"/>
                <w14:textFill>
                  <w14:solidFill>
                    <w14:schemeClr w14:val="tx1"/>
                  </w14:solidFill>
                </w14:textFill>
              </w:rPr>
              <w:t>（引用监测点位见附图5）</w:t>
            </w:r>
            <w:r>
              <w:rPr>
                <w:rFonts w:hint="default" w:ascii="Times New Roman" w:hAnsi="Times New Roman" w:eastAsia="宋体" w:cs="Times New Roman"/>
                <w:color w:val="000000" w:themeColor="text1"/>
                <w14:textFill>
                  <w14:solidFill>
                    <w14:schemeClr w14:val="tx1"/>
                  </w14:solidFill>
                </w14:textFill>
              </w:rPr>
              <w:t>，位于周边5km范围内，且监测时间在近三年内，故引用监测数据有效。监测结果见表</w:t>
            </w:r>
            <w:r>
              <w:rPr>
                <w:rFonts w:hint="eastAsia" w:ascii="Times New Roman" w:hAnsi="Times New Roman" w:eastAsia="宋体" w:cs="Times New Roman"/>
                <w:color w:val="000000" w:themeColor="text1"/>
                <w:lang w:val="en-US" w:eastAsia="zh-CN"/>
                <w14:textFill>
                  <w14:solidFill>
                    <w14:schemeClr w14:val="tx1"/>
                  </w14:solidFill>
                </w14:textFill>
              </w:rPr>
              <w:t>3-2</w:t>
            </w:r>
            <w:r>
              <w:rPr>
                <w:rFonts w:hint="default" w:ascii="Times New Roman" w:hAnsi="Times New Roman" w:eastAsia="宋体" w:cs="Times New Roman"/>
                <w:color w:val="000000" w:themeColor="text1"/>
                <w14:textFill>
                  <w14:solidFill>
                    <w14:schemeClr w14:val="tx1"/>
                  </w14:solidFill>
                </w14:textFill>
              </w:rPr>
              <w:t>。</w:t>
            </w:r>
          </w:p>
          <w:p w14:paraId="700720FF">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 xml:space="preserve">表3-2  </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TSP、非甲烷总烃引用监测点位基本信息一览表</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1204"/>
              <w:gridCol w:w="1100"/>
              <w:gridCol w:w="1121"/>
              <w:gridCol w:w="2057"/>
              <w:gridCol w:w="684"/>
              <w:gridCol w:w="789"/>
            </w:tblGrid>
            <w:tr w14:paraId="6F0ED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588" w:type="pct"/>
                  <w:vMerge w:val="restart"/>
                  <w:tcBorders>
                    <w:tl2br w:val="nil"/>
                    <w:tr2bl w:val="nil"/>
                  </w:tcBorders>
                  <w:noWrap w:val="0"/>
                  <w:vAlign w:val="center"/>
                </w:tcPr>
                <w:p w14:paraId="16BD89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监测点名称</w:t>
                  </w:r>
                </w:p>
              </w:tc>
              <w:tc>
                <w:tcPr>
                  <w:tcW w:w="1462" w:type="pct"/>
                  <w:gridSpan w:val="2"/>
                  <w:tcBorders>
                    <w:tl2br w:val="nil"/>
                    <w:tr2bl w:val="nil"/>
                  </w:tcBorders>
                  <w:noWrap w:val="0"/>
                  <w:vAlign w:val="center"/>
                </w:tcPr>
                <w:p w14:paraId="57D312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监测点坐标/°</w:t>
                  </w:r>
                </w:p>
              </w:tc>
              <w:tc>
                <w:tcPr>
                  <w:tcW w:w="711" w:type="pct"/>
                  <w:vMerge w:val="restart"/>
                  <w:tcBorders>
                    <w:tl2br w:val="nil"/>
                    <w:tr2bl w:val="nil"/>
                  </w:tcBorders>
                  <w:noWrap w:val="0"/>
                  <w:vAlign w:val="center"/>
                </w:tcPr>
                <w:p w14:paraId="5C6974C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监测因子</w:t>
                  </w:r>
                </w:p>
              </w:tc>
              <w:tc>
                <w:tcPr>
                  <w:tcW w:w="1305" w:type="pct"/>
                  <w:vMerge w:val="restart"/>
                  <w:tcBorders>
                    <w:tl2br w:val="nil"/>
                    <w:tr2bl w:val="nil"/>
                  </w:tcBorders>
                  <w:noWrap w:val="0"/>
                  <w:vAlign w:val="center"/>
                </w:tcPr>
                <w:p w14:paraId="18105CF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监测时段</w:t>
                  </w:r>
                </w:p>
              </w:tc>
              <w:tc>
                <w:tcPr>
                  <w:tcW w:w="434" w:type="pct"/>
                  <w:vMerge w:val="restart"/>
                  <w:tcBorders>
                    <w:tl2br w:val="nil"/>
                    <w:tr2bl w:val="nil"/>
                  </w:tcBorders>
                  <w:noWrap w:val="0"/>
                  <w:vAlign w:val="center"/>
                </w:tcPr>
                <w:p w14:paraId="0AE66F9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相对厂址方位</w:t>
                  </w:r>
                </w:p>
              </w:tc>
              <w:tc>
                <w:tcPr>
                  <w:tcW w:w="500" w:type="pct"/>
                  <w:vMerge w:val="restart"/>
                  <w:tcBorders>
                    <w:tl2br w:val="nil"/>
                    <w:tr2bl w:val="nil"/>
                  </w:tcBorders>
                  <w:noWrap w:val="0"/>
                  <w:vAlign w:val="center"/>
                </w:tcPr>
                <w:p w14:paraId="708C575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相对厂界距离/m</w:t>
                  </w:r>
                </w:p>
              </w:tc>
            </w:tr>
            <w:tr w14:paraId="744E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88" w:type="pct"/>
                  <w:vMerge w:val="continue"/>
                  <w:tcBorders>
                    <w:tl2br w:val="nil"/>
                    <w:tr2bl w:val="nil"/>
                  </w:tcBorders>
                  <w:noWrap w:val="0"/>
                  <w:vAlign w:val="center"/>
                </w:tcPr>
                <w:p w14:paraId="08C335C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64" w:type="pct"/>
                  <w:tcBorders>
                    <w:tl2br w:val="nil"/>
                    <w:tr2bl w:val="nil"/>
                  </w:tcBorders>
                  <w:noWrap w:val="0"/>
                  <w:vAlign w:val="center"/>
                </w:tcPr>
                <w:p w14:paraId="2461B2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经度</w:t>
                  </w:r>
                </w:p>
              </w:tc>
              <w:tc>
                <w:tcPr>
                  <w:tcW w:w="698" w:type="pct"/>
                  <w:tcBorders>
                    <w:tl2br w:val="nil"/>
                    <w:tr2bl w:val="nil"/>
                  </w:tcBorders>
                  <w:noWrap w:val="0"/>
                  <w:vAlign w:val="center"/>
                </w:tcPr>
                <w:p w14:paraId="70656AA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纬度</w:t>
                  </w:r>
                </w:p>
              </w:tc>
              <w:tc>
                <w:tcPr>
                  <w:tcW w:w="711" w:type="pct"/>
                  <w:vMerge w:val="continue"/>
                  <w:tcBorders>
                    <w:tl2br w:val="nil"/>
                    <w:tr2bl w:val="nil"/>
                  </w:tcBorders>
                  <w:noWrap w:val="0"/>
                  <w:vAlign w:val="center"/>
                </w:tcPr>
                <w:p w14:paraId="01365E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1305" w:type="pct"/>
                  <w:vMerge w:val="continue"/>
                  <w:tcBorders>
                    <w:tl2br w:val="nil"/>
                    <w:tr2bl w:val="nil"/>
                  </w:tcBorders>
                  <w:noWrap w:val="0"/>
                  <w:vAlign w:val="center"/>
                </w:tcPr>
                <w:p w14:paraId="4F221C5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34" w:type="pct"/>
                  <w:vMerge w:val="continue"/>
                  <w:tcBorders>
                    <w:tl2br w:val="nil"/>
                    <w:tr2bl w:val="nil"/>
                  </w:tcBorders>
                  <w:noWrap w:val="0"/>
                  <w:vAlign w:val="center"/>
                </w:tcPr>
                <w:p w14:paraId="77BF96D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500" w:type="pct"/>
                  <w:vMerge w:val="continue"/>
                  <w:tcBorders>
                    <w:tl2br w:val="nil"/>
                    <w:tr2bl w:val="nil"/>
                  </w:tcBorders>
                  <w:noWrap w:val="0"/>
                  <w:vAlign w:val="center"/>
                </w:tcPr>
                <w:p w14:paraId="661931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r>
            <w:tr w14:paraId="69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8" w:type="pct"/>
                  <w:tcBorders>
                    <w:tl2br w:val="nil"/>
                    <w:tr2bl w:val="nil"/>
                  </w:tcBorders>
                  <w:noWrap w:val="0"/>
                  <w:vAlign w:val="center"/>
                </w:tcPr>
                <w:p w14:paraId="50B219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大王胜利热镀厂下风向</w:t>
                  </w:r>
                </w:p>
              </w:tc>
              <w:tc>
                <w:tcPr>
                  <w:tcW w:w="764" w:type="pct"/>
                  <w:tcBorders>
                    <w:tl2br w:val="nil"/>
                    <w:tr2bl w:val="nil"/>
                  </w:tcBorders>
                  <w:noWrap w:val="0"/>
                  <w:vAlign w:val="center"/>
                </w:tcPr>
                <w:p w14:paraId="7E4BEDA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108.66138</w:t>
                  </w:r>
                  <w:r>
                    <w:rPr>
                      <w:rFonts w:hint="eastAsia" w:ascii="Times New Roman" w:hAnsi="Times New Roman" w:cs="Times New Roman"/>
                      <w:bCs/>
                      <w:color w:val="000000" w:themeColor="text1"/>
                      <w:sz w:val="21"/>
                      <w:szCs w:val="21"/>
                      <w14:textFill>
                        <w14:solidFill>
                          <w14:schemeClr w14:val="tx1"/>
                        </w14:solidFill>
                      </w14:textFill>
                    </w:rPr>
                    <w:t>9</w:t>
                  </w:r>
                </w:p>
              </w:tc>
              <w:tc>
                <w:tcPr>
                  <w:tcW w:w="698" w:type="pct"/>
                  <w:tcBorders>
                    <w:tl2br w:val="nil"/>
                    <w:tr2bl w:val="nil"/>
                  </w:tcBorders>
                  <w:noWrap w:val="0"/>
                  <w:vAlign w:val="center"/>
                </w:tcPr>
                <w:p w14:paraId="56D74A1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34.209444</w:t>
                  </w:r>
                </w:p>
              </w:tc>
              <w:tc>
                <w:tcPr>
                  <w:tcW w:w="711" w:type="pct"/>
                  <w:tcBorders>
                    <w:tl2br w:val="nil"/>
                    <w:tr2bl w:val="nil"/>
                  </w:tcBorders>
                  <w:noWrap w:val="0"/>
                  <w:vAlign w:val="center"/>
                </w:tcPr>
                <w:p w14:paraId="43A7180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TSP、</w:t>
                  </w:r>
                  <w:r>
                    <w:rPr>
                      <w:rFonts w:hint="default" w:ascii="Times New Roman" w:hAnsi="Times New Roman" w:cs="Times New Roman"/>
                      <w:color w:val="000000" w:themeColor="text1"/>
                      <w:sz w:val="21"/>
                      <w:szCs w:val="21"/>
                      <w14:textFill>
                        <w14:solidFill>
                          <w14:schemeClr w14:val="tx1"/>
                        </w14:solidFill>
                      </w14:textFill>
                    </w:rPr>
                    <w:t>非甲烷总烃</w:t>
                  </w:r>
                </w:p>
              </w:tc>
              <w:tc>
                <w:tcPr>
                  <w:tcW w:w="1305" w:type="pct"/>
                  <w:tcBorders>
                    <w:tl2br w:val="nil"/>
                    <w:tr2bl w:val="nil"/>
                  </w:tcBorders>
                  <w:noWrap w:val="0"/>
                  <w:vAlign w:val="center"/>
                </w:tcPr>
                <w:p w14:paraId="5DF86B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pacing w:val="-11"/>
                      <w:sz w:val="21"/>
                      <w:szCs w:val="21"/>
                      <w14:textFill>
                        <w14:solidFill>
                          <w14:schemeClr w14:val="tx1"/>
                        </w14:solidFill>
                      </w14:textFill>
                    </w:rPr>
                    <w:t>2022.</w:t>
                  </w:r>
                  <w:r>
                    <w:rPr>
                      <w:rFonts w:hint="eastAsia" w:ascii="Times New Roman" w:hAnsi="Times New Roman" w:cs="Times New Roman"/>
                      <w:color w:val="000000" w:themeColor="text1"/>
                      <w:spacing w:val="-11"/>
                      <w:sz w:val="21"/>
                      <w:szCs w:val="21"/>
                      <w14:textFill>
                        <w14:solidFill>
                          <w14:schemeClr w14:val="tx1"/>
                        </w14:solidFill>
                      </w14:textFill>
                    </w:rPr>
                    <w:t>9.28</w:t>
                  </w:r>
                  <w:r>
                    <w:rPr>
                      <w:rFonts w:hint="default" w:ascii="Times New Roman" w:hAnsi="Times New Roman" w:cs="Times New Roman"/>
                      <w:color w:val="000000" w:themeColor="text1"/>
                      <w:spacing w:val="-11"/>
                      <w:sz w:val="21"/>
                      <w:szCs w:val="21"/>
                      <w14:textFill>
                        <w14:solidFill>
                          <w14:schemeClr w14:val="tx1"/>
                        </w14:solidFill>
                      </w14:textFill>
                    </w:rPr>
                    <w:t>~2022.</w:t>
                  </w:r>
                  <w:r>
                    <w:rPr>
                      <w:rFonts w:hint="eastAsia" w:ascii="Times New Roman" w:hAnsi="Times New Roman" w:cs="Times New Roman"/>
                      <w:color w:val="000000" w:themeColor="text1"/>
                      <w:spacing w:val="-11"/>
                      <w:sz w:val="21"/>
                      <w:szCs w:val="21"/>
                      <w14:textFill>
                        <w14:solidFill>
                          <w14:schemeClr w14:val="tx1"/>
                        </w14:solidFill>
                      </w14:textFill>
                    </w:rPr>
                    <w:t>9.30</w:t>
                  </w:r>
                </w:p>
              </w:tc>
              <w:tc>
                <w:tcPr>
                  <w:tcW w:w="434" w:type="pct"/>
                  <w:tcBorders>
                    <w:tl2br w:val="nil"/>
                    <w:tr2bl w:val="nil"/>
                  </w:tcBorders>
                  <w:noWrap w:val="0"/>
                  <w:vAlign w:val="center"/>
                </w:tcPr>
                <w:p w14:paraId="2169BC7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SE</w:t>
                  </w:r>
                </w:p>
              </w:tc>
              <w:tc>
                <w:tcPr>
                  <w:tcW w:w="500" w:type="pct"/>
                  <w:tcBorders>
                    <w:tl2br w:val="nil"/>
                    <w:tr2bl w:val="nil"/>
                  </w:tcBorders>
                  <w:noWrap w:val="0"/>
                  <w:vAlign w:val="center"/>
                </w:tcPr>
                <w:p w14:paraId="03A9693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2000</w:t>
                  </w:r>
                </w:p>
              </w:tc>
            </w:tr>
          </w:tbl>
          <w:p w14:paraId="05486CA0">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表3-3  TSP、非甲烷总烃环境质量监测结果一览表</w:t>
            </w:r>
          </w:p>
          <w:tbl>
            <w:tblPr>
              <w:tblStyle w:val="21"/>
              <w:tblW w:w="500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006"/>
              <w:gridCol w:w="947"/>
              <w:gridCol w:w="886"/>
              <w:gridCol w:w="549"/>
              <w:gridCol w:w="870"/>
              <w:gridCol w:w="1149"/>
              <w:gridCol w:w="774"/>
              <w:gridCol w:w="481"/>
              <w:gridCol w:w="424"/>
            </w:tblGrid>
            <w:tr w14:paraId="0E42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05" w:type="pct"/>
                  <w:vMerge w:val="restart"/>
                  <w:tcBorders>
                    <w:tl2br w:val="nil"/>
                    <w:tr2bl w:val="nil"/>
                  </w:tcBorders>
                  <w:noWrap w:val="0"/>
                  <w:vAlign w:val="center"/>
                </w:tcPr>
                <w:p w14:paraId="79BF4D6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1239" w:type="pct"/>
                  <w:gridSpan w:val="2"/>
                  <w:tcBorders>
                    <w:tl2br w:val="nil"/>
                    <w:tr2bl w:val="nil"/>
                  </w:tcBorders>
                  <w:noWrap w:val="0"/>
                  <w:vAlign w:val="center"/>
                </w:tcPr>
                <w:p w14:paraId="6523BE0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监测点位坐标/°</w:t>
                  </w:r>
                </w:p>
              </w:tc>
              <w:tc>
                <w:tcPr>
                  <w:tcW w:w="562" w:type="pct"/>
                  <w:vMerge w:val="restart"/>
                  <w:tcBorders>
                    <w:tl2br w:val="nil"/>
                    <w:tr2bl w:val="nil"/>
                  </w:tcBorders>
                  <w:noWrap w:val="0"/>
                  <w:vAlign w:val="center"/>
                </w:tcPr>
                <w:p w14:paraId="038AA32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348" w:type="pct"/>
                  <w:vMerge w:val="restart"/>
                  <w:tcBorders>
                    <w:tl2br w:val="nil"/>
                    <w:tr2bl w:val="nil"/>
                  </w:tcBorders>
                  <w:noWrap w:val="0"/>
                  <w:vAlign w:val="center"/>
                </w:tcPr>
                <w:p w14:paraId="1052394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平均时间</w:t>
                  </w:r>
                </w:p>
              </w:tc>
              <w:tc>
                <w:tcPr>
                  <w:tcW w:w="552" w:type="pct"/>
                  <w:vMerge w:val="restart"/>
                  <w:tcBorders>
                    <w:tl2br w:val="nil"/>
                    <w:tr2bl w:val="nil"/>
                  </w:tcBorders>
                  <w:noWrap w:val="0"/>
                  <w:vAlign w:val="center"/>
                </w:tcPr>
                <w:p w14:paraId="253F09E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评价</w:t>
                  </w:r>
                </w:p>
                <w:p w14:paraId="362D7C9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w:t>
                  </w:r>
                  <w:r>
                    <w:rPr>
                      <w:rFonts w:hint="default" w:ascii="Times New Roman" w:hAnsi="Times New Roman" w:cs="Times New Roman"/>
                      <w:b/>
                      <w:color w:val="000000" w:themeColor="text1"/>
                      <w:sz w:val="21"/>
                      <w:szCs w:val="21"/>
                      <w14:textFill>
                        <w14:solidFill>
                          <w14:schemeClr w14:val="tx1"/>
                        </w14:solidFill>
                      </w14:textFill>
                    </w:rPr>
                    <w:t>(μg/m³)</w:t>
                  </w:r>
                </w:p>
              </w:tc>
              <w:tc>
                <w:tcPr>
                  <w:tcW w:w="729" w:type="pct"/>
                  <w:vMerge w:val="restart"/>
                  <w:tcBorders>
                    <w:tl2br w:val="nil"/>
                    <w:tr2bl w:val="nil"/>
                  </w:tcBorders>
                  <w:noWrap w:val="0"/>
                  <w:vAlign w:val="center"/>
                </w:tcPr>
                <w:p w14:paraId="26A96A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监测浓度范围/</w:t>
                  </w:r>
                  <w:r>
                    <w:rPr>
                      <w:rFonts w:hint="default" w:ascii="Times New Roman" w:hAnsi="Times New Roman" w:cs="Times New Roman"/>
                      <w:b/>
                      <w:color w:val="000000" w:themeColor="text1"/>
                      <w:sz w:val="21"/>
                      <w:szCs w:val="21"/>
                      <w14:textFill>
                        <w14:solidFill>
                          <w14:schemeClr w14:val="tx1"/>
                        </w14:solidFill>
                      </w14:textFill>
                    </w:rPr>
                    <w:t>（μg/m³）</w:t>
                  </w:r>
                </w:p>
              </w:tc>
              <w:tc>
                <w:tcPr>
                  <w:tcW w:w="491" w:type="pct"/>
                  <w:vMerge w:val="restart"/>
                  <w:tcBorders>
                    <w:tl2br w:val="nil"/>
                    <w:tr2bl w:val="nil"/>
                  </w:tcBorders>
                  <w:noWrap w:val="0"/>
                  <w:vAlign w:val="center"/>
                </w:tcPr>
                <w:p w14:paraId="2C1BEE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最大浓度占标率/%</w:t>
                  </w:r>
                </w:p>
              </w:tc>
              <w:tc>
                <w:tcPr>
                  <w:tcW w:w="305" w:type="pct"/>
                  <w:vMerge w:val="restart"/>
                  <w:tcBorders>
                    <w:tl2br w:val="nil"/>
                    <w:tr2bl w:val="nil"/>
                  </w:tcBorders>
                  <w:noWrap w:val="0"/>
                  <w:vAlign w:val="center"/>
                </w:tcPr>
                <w:p w14:paraId="6CB9D51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超标率/%</w:t>
                  </w:r>
                </w:p>
              </w:tc>
              <w:tc>
                <w:tcPr>
                  <w:tcW w:w="269" w:type="pct"/>
                  <w:vMerge w:val="restart"/>
                  <w:tcBorders>
                    <w:tl2br w:val="nil"/>
                    <w:tr2bl w:val="nil"/>
                  </w:tcBorders>
                  <w:noWrap w:val="0"/>
                  <w:vAlign w:val="center"/>
                </w:tcPr>
                <w:p w14:paraId="1FCC5F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达标情况</w:t>
                  </w:r>
                </w:p>
              </w:tc>
            </w:tr>
            <w:tr w14:paraId="0755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5" w:type="pct"/>
                  <w:vMerge w:val="continue"/>
                  <w:tcBorders>
                    <w:tl2br w:val="nil"/>
                    <w:tr2bl w:val="nil"/>
                  </w:tcBorders>
                  <w:noWrap w:val="0"/>
                  <w:vAlign w:val="center"/>
                </w:tcPr>
                <w:p w14:paraId="47D245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38" w:type="pct"/>
                  <w:tcBorders>
                    <w:tl2br w:val="nil"/>
                    <w:tr2bl w:val="nil"/>
                  </w:tcBorders>
                  <w:noWrap w:val="0"/>
                  <w:vAlign w:val="center"/>
                </w:tcPr>
                <w:p w14:paraId="0D0DB2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经度</w:t>
                  </w:r>
                </w:p>
              </w:tc>
              <w:tc>
                <w:tcPr>
                  <w:tcW w:w="601" w:type="pct"/>
                  <w:tcBorders>
                    <w:tl2br w:val="nil"/>
                    <w:tr2bl w:val="nil"/>
                  </w:tcBorders>
                  <w:noWrap w:val="0"/>
                  <w:vAlign w:val="center"/>
                </w:tcPr>
                <w:p w14:paraId="360C8D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纬度</w:t>
                  </w:r>
                </w:p>
              </w:tc>
              <w:tc>
                <w:tcPr>
                  <w:tcW w:w="562" w:type="pct"/>
                  <w:vMerge w:val="continue"/>
                  <w:tcBorders>
                    <w:tl2br w:val="nil"/>
                    <w:tr2bl w:val="nil"/>
                  </w:tcBorders>
                  <w:noWrap w:val="0"/>
                  <w:vAlign w:val="center"/>
                </w:tcPr>
                <w:p w14:paraId="7492446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48" w:type="pct"/>
                  <w:vMerge w:val="continue"/>
                  <w:tcBorders>
                    <w:tl2br w:val="nil"/>
                    <w:tr2bl w:val="nil"/>
                  </w:tcBorders>
                  <w:noWrap w:val="0"/>
                  <w:vAlign w:val="center"/>
                </w:tcPr>
                <w:p w14:paraId="541635A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552" w:type="pct"/>
                  <w:vMerge w:val="continue"/>
                  <w:tcBorders>
                    <w:tl2br w:val="nil"/>
                    <w:tr2bl w:val="nil"/>
                  </w:tcBorders>
                  <w:noWrap w:val="0"/>
                  <w:vAlign w:val="center"/>
                </w:tcPr>
                <w:p w14:paraId="5C4B305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29" w:type="pct"/>
                  <w:vMerge w:val="continue"/>
                  <w:tcBorders>
                    <w:tl2br w:val="nil"/>
                    <w:tr2bl w:val="nil"/>
                  </w:tcBorders>
                  <w:noWrap w:val="0"/>
                  <w:vAlign w:val="center"/>
                </w:tcPr>
                <w:p w14:paraId="5BB8D8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91" w:type="pct"/>
                  <w:vMerge w:val="continue"/>
                  <w:tcBorders>
                    <w:tl2br w:val="nil"/>
                    <w:tr2bl w:val="nil"/>
                  </w:tcBorders>
                  <w:noWrap w:val="0"/>
                  <w:vAlign w:val="center"/>
                </w:tcPr>
                <w:p w14:paraId="4722D25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05" w:type="pct"/>
                  <w:vMerge w:val="continue"/>
                  <w:tcBorders>
                    <w:tl2br w:val="nil"/>
                    <w:tr2bl w:val="nil"/>
                  </w:tcBorders>
                  <w:noWrap w:val="0"/>
                  <w:vAlign w:val="center"/>
                </w:tcPr>
                <w:p w14:paraId="618A1F4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69" w:type="pct"/>
                  <w:vMerge w:val="continue"/>
                  <w:tcBorders>
                    <w:tl2br w:val="nil"/>
                    <w:tr2bl w:val="nil"/>
                  </w:tcBorders>
                  <w:noWrap w:val="0"/>
                  <w:vAlign w:val="center"/>
                </w:tcPr>
                <w:p w14:paraId="528480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r>
            <w:tr w14:paraId="1072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505" w:type="pct"/>
                  <w:vMerge w:val="restart"/>
                  <w:tcBorders>
                    <w:tl2br w:val="nil"/>
                    <w:tr2bl w:val="nil"/>
                  </w:tcBorders>
                  <w:noWrap w:val="0"/>
                  <w:vAlign w:val="center"/>
                </w:tcPr>
                <w:p w14:paraId="51ED923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大王胜利热镀厂下风向</w:t>
                  </w:r>
                </w:p>
              </w:tc>
              <w:tc>
                <w:tcPr>
                  <w:tcW w:w="638" w:type="pct"/>
                  <w:vMerge w:val="restart"/>
                  <w:tcBorders>
                    <w:tl2br w:val="nil"/>
                    <w:tr2bl w:val="nil"/>
                  </w:tcBorders>
                  <w:noWrap w:val="0"/>
                  <w:vAlign w:val="center"/>
                </w:tcPr>
                <w:p w14:paraId="31A3E1D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pacing w:val="-20"/>
                      <w:sz w:val="21"/>
                      <w:szCs w:val="21"/>
                      <w14:textFill>
                        <w14:solidFill>
                          <w14:schemeClr w14:val="tx1"/>
                        </w14:solidFill>
                      </w14:textFill>
                    </w:rPr>
                  </w:pPr>
                  <w:r>
                    <w:rPr>
                      <w:rFonts w:hint="default" w:ascii="Times New Roman" w:hAnsi="Times New Roman" w:cs="Times New Roman"/>
                      <w:bCs/>
                      <w:color w:val="000000" w:themeColor="text1"/>
                      <w:spacing w:val="-20"/>
                      <w:sz w:val="21"/>
                      <w:szCs w:val="21"/>
                      <w14:textFill>
                        <w14:solidFill>
                          <w14:schemeClr w14:val="tx1"/>
                        </w14:solidFill>
                      </w14:textFill>
                    </w:rPr>
                    <w:t>108.66138</w:t>
                  </w:r>
                  <w:r>
                    <w:rPr>
                      <w:rFonts w:hint="eastAsia" w:ascii="Times New Roman" w:hAnsi="Times New Roman" w:cs="Times New Roman"/>
                      <w:bCs/>
                      <w:color w:val="000000" w:themeColor="text1"/>
                      <w:spacing w:val="-20"/>
                      <w:sz w:val="21"/>
                      <w:szCs w:val="21"/>
                      <w14:textFill>
                        <w14:solidFill>
                          <w14:schemeClr w14:val="tx1"/>
                        </w14:solidFill>
                      </w14:textFill>
                    </w:rPr>
                    <w:t>9</w:t>
                  </w:r>
                </w:p>
              </w:tc>
              <w:tc>
                <w:tcPr>
                  <w:tcW w:w="601" w:type="pct"/>
                  <w:vMerge w:val="restart"/>
                  <w:tcBorders>
                    <w:tl2br w:val="nil"/>
                    <w:tr2bl w:val="nil"/>
                  </w:tcBorders>
                  <w:noWrap w:val="0"/>
                  <w:vAlign w:val="center"/>
                </w:tcPr>
                <w:p w14:paraId="53DA06A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pacing w:val="-20"/>
                      <w:sz w:val="21"/>
                      <w:szCs w:val="21"/>
                      <w14:textFill>
                        <w14:solidFill>
                          <w14:schemeClr w14:val="tx1"/>
                        </w14:solidFill>
                      </w14:textFill>
                    </w:rPr>
                  </w:pPr>
                  <w:r>
                    <w:rPr>
                      <w:rFonts w:hint="default" w:ascii="Times New Roman" w:hAnsi="Times New Roman" w:cs="Times New Roman"/>
                      <w:bCs/>
                      <w:color w:val="000000" w:themeColor="text1"/>
                      <w:spacing w:val="-20"/>
                      <w:sz w:val="21"/>
                      <w:szCs w:val="21"/>
                      <w14:textFill>
                        <w14:solidFill>
                          <w14:schemeClr w14:val="tx1"/>
                        </w14:solidFill>
                      </w14:textFill>
                    </w:rPr>
                    <w:t>34.209444</w:t>
                  </w:r>
                </w:p>
              </w:tc>
              <w:tc>
                <w:tcPr>
                  <w:tcW w:w="562" w:type="pct"/>
                  <w:tcBorders>
                    <w:tl2br w:val="nil"/>
                    <w:tr2bl w:val="nil"/>
                  </w:tcBorders>
                  <w:noWrap w:val="0"/>
                  <w:vAlign w:val="center"/>
                </w:tcPr>
                <w:p w14:paraId="2B8A16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TSP</w:t>
                  </w:r>
                </w:p>
              </w:tc>
              <w:tc>
                <w:tcPr>
                  <w:tcW w:w="348" w:type="pct"/>
                  <w:tcBorders>
                    <w:tl2br w:val="nil"/>
                    <w:tr2bl w:val="nil"/>
                  </w:tcBorders>
                  <w:noWrap w:val="0"/>
                  <w:vAlign w:val="center"/>
                </w:tcPr>
                <w:p w14:paraId="660463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24h</w:t>
                  </w:r>
                </w:p>
              </w:tc>
              <w:tc>
                <w:tcPr>
                  <w:tcW w:w="552" w:type="pct"/>
                  <w:tcBorders>
                    <w:tl2br w:val="nil"/>
                    <w:tr2bl w:val="nil"/>
                  </w:tcBorders>
                  <w:noWrap w:val="0"/>
                  <w:vAlign w:val="center"/>
                </w:tcPr>
                <w:p w14:paraId="463C8ED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729" w:type="pct"/>
                  <w:tcBorders>
                    <w:tl2br w:val="nil"/>
                    <w:tr2bl w:val="nil"/>
                  </w:tcBorders>
                  <w:noWrap w:val="0"/>
                  <w:vAlign w:val="center"/>
                </w:tcPr>
                <w:p w14:paraId="488244F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48</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104</w:t>
                  </w:r>
                </w:p>
              </w:tc>
              <w:tc>
                <w:tcPr>
                  <w:tcW w:w="491" w:type="pct"/>
                  <w:tcBorders>
                    <w:tl2br w:val="nil"/>
                    <w:tr2bl w:val="nil"/>
                  </w:tcBorders>
                  <w:noWrap w:val="0"/>
                  <w:vAlign w:val="center"/>
                </w:tcPr>
                <w:p w14:paraId="69EBD6C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34.7</w:t>
                  </w:r>
                </w:p>
              </w:tc>
              <w:tc>
                <w:tcPr>
                  <w:tcW w:w="305" w:type="pct"/>
                  <w:tcBorders>
                    <w:tl2br w:val="nil"/>
                    <w:tr2bl w:val="nil"/>
                  </w:tcBorders>
                  <w:noWrap w:val="0"/>
                  <w:vAlign w:val="center"/>
                </w:tcPr>
                <w:p w14:paraId="025D0A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269" w:type="pct"/>
                  <w:tcBorders>
                    <w:tl2br w:val="nil"/>
                    <w:tr2bl w:val="nil"/>
                  </w:tcBorders>
                  <w:noWrap w:val="0"/>
                  <w:vAlign w:val="center"/>
                </w:tcPr>
                <w:p w14:paraId="0FBA99F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2E5F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vMerge w:val="continue"/>
                  <w:tcBorders>
                    <w:tl2br w:val="nil"/>
                    <w:tr2bl w:val="nil"/>
                  </w:tcBorders>
                  <w:noWrap w:val="0"/>
                  <w:vAlign w:val="center"/>
                </w:tcPr>
                <w:p w14:paraId="2C6A3C1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38" w:type="pct"/>
                  <w:vMerge w:val="continue"/>
                  <w:tcBorders>
                    <w:tl2br w:val="nil"/>
                    <w:tr2bl w:val="nil"/>
                  </w:tcBorders>
                  <w:noWrap w:val="0"/>
                  <w:vAlign w:val="center"/>
                </w:tcPr>
                <w:p w14:paraId="1B938E9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01" w:type="pct"/>
                  <w:vMerge w:val="continue"/>
                  <w:tcBorders>
                    <w:tl2br w:val="nil"/>
                    <w:tr2bl w:val="nil"/>
                  </w:tcBorders>
                  <w:noWrap w:val="0"/>
                  <w:vAlign w:val="center"/>
                </w:tcPr>
                <w:p w14:paraId="53BD2F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562" w:type="pct"/>
                  <w:tcBorders>
                    <w:tl2br w:val="nil"/>
                    <w:tr2bl w:val="nil"/>
                  </w:tcBorders>
                  <w:noWrap w:val="0"/>
                  <w:vAlign w:val="center"/>
                </w:tcPr>
                <w:p w14:paraId="1916FD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348" w:type="pct"/>
                  <w:tcBorders>
                    <w:tl2br w:val="nil"/>
                    <w:tr2bl w:val="nil"/>
                  </w:tcBorders>
                  <w:noWrap w:val="0"/>
                  <w:vAlign w:val="center"/>
                </w:tcPr>
                <w:p w14:paraId="752B3BC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1h</w:t>
                  </w:r>
                </w:p>
              </w:tc>
              <w:tc>
                <w:tcPr>
                  <w:tcW w:w="552" w:type="pct"/>
                  <w:tcBorders>
                    <w:tl2br w:val="nil"/>
                    <w:tr2bl w:val="nil"/>
                  </w:tcBorders>
                  <w:noWrap w:val="0"/>
                  <w:vAlign w:val="center"/>
                </w:tcPr>
                <w:p w14:paraId="23411C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2000</w:t>
                  </w:r>
                </w:p>
              </w:tc>
              <w:tc>
                <w:tcPr>
                  <w:tcW w:w="729" w:type="pct"/>
                  <w:tcBorders>
                    <w:tl2br w:val="nil"/>
                    <w:tr2bl w:val="nil"/>
                  </w:tcBorders>
                  <w:noWrap w:val="0"/>
                  <w:vAlign w:val="center"/>
                </w:tcPr>
                <w:p w14:paraId="10E34B3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68</w:t>
                  </w:r>
                  <w:r>
                    <w:rPr>
                      <w:rFonts w:hint="default" w:ascii="Times New Roman" w:hAnsi="Times New Roman" w:cs="Times New Roman"/>
                      <w:color w:val="000000" w:themeColor="text1"/>
                      <w:sz w:val="21"/>
                      <w:szCs w:val="21"/>
                      <w14:textFill>
                        <w14:solidFill>
                          <w14:schemeClr w14:val="tx1"/>
                        </w14:solidFill>
                      </w14:textFill>
                    </w:rPr>
                    <w:t>0~</w:t>
                  </w:r>
                  <w:r>
                    <w:rPr>
                      <w:rFonts w:hint="eastAsia" w:ascii="Times New Roman" w:hAnsi="Times New Roman" w:cs="Times New Roman"/>
                      <w:color w:val="000000" w:themeColor="text1"/>
                      <w:sz w:val="21"/>
                      <w:szCs w:val="21"/>
                      <w14:textFill>
                        <w14:solidFill>
                          <w14:schemeClr w14:val="tx1"/>
                        </w14:solidFill>
                      </w14:textFill>
                    </w:rPr>
                    <w:t>75</w:t>
                  </w:r>
                  <w:r>
                    <w:rPr>
                      <w:rFonts w:hint="default" w:ascii="Times New Roman" w:hAnsi="Times New Roman" w:cs="Times New Roman"/>
                      <w:color w:val="000000" w:themeColor="text1"/>
                      <w:sz w:val="21"/>
                      <w:szCs w:val="21"/>
                      <w14:textFill>
                        <w14:solidFill>
                          <w14:schemeClr w14:val="tx1"/>
                        </w14:solidFill>
                      </w14:textFill>
                    </w:rPr>
                    <w:t>0</w:t>
                  </w:r>
                </w:p>
              </w:tc>
              <w:tc>
                <w:tcPr>
                  <w:tcW w:w="491" w:type="pct"/>
                  <w:tcBorders>
                    <w:tl2br w:val="nil"/>
                    <w:tr2bl w:val="nil"/>
                  </w:tcBorders>
                  <w:noWrap w:val="0"/>
                  <w:vAlign w:val="center"/>
                </w:tcPr>
                <w:p w14:paraId="198836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.5</w:t>
                  </w:r>
                </w:p>
              </w:tc>
              <w:tc>
                <w:tcPr>
                  <w:tcW w:w="305" w:type="pct"/>
                  <w:tcBorders>
                    <w:tl2br w:val="nil"/>
                    <w:tr2bl w:val="nil"/>
                  </w:tcBorders>
                  <w:noWrap w:val="0"/>
                  <w:vAlign w:val="center"/>
                </w:tcPr>
                <w:p w14:paraId="1268BD3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p>
              </w:tc>
              <w:tc>
                <w:tcPr>
                  <w:tcW w:w="269" w:type="pct"/>
                  <w:tcBorders>
                    <w:tl2br w:val="nil"/>
                    <w:tr2bl w:val="nil"/>
                  </w:tcBorders>
                  <w:noWrap w:val="0"/>
                  <w:vAlign w:val="center"/>
                </w:tcPr>
                <w:p w14:paraId="7F9846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bl>
          <w:p w14:paraId="40AA2B4A">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根据引用的监测结果可知，本项目区域环境空气中TSP环境质量浓度满足《环境空气质量标准》（GB3095-2012）中的二级标准要求，非甲烷总烃环境质量浓度满足《大气污染物综合排放标准详解》中的标准限值要求。</w:t>
            </w:r>
          </w:p>
          <w:p w14:paraId="04939A21">
            <w:pPr>
              <w:keepNext w:val="0"/>
              <w:keepLines w:val="0"/>
              <w:suppressLineNumbers w:val="0"/>
              <w:bidi w:val="0"/>
              <w:spacing w:before="0" w:beforeAutospacing="0" w:after="0" w:afterAutospacing="0"/>
              <w:ind w:left="0" w:right="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二、声环境质量现状</w:t>
            </w:r>
          </w:p>
          <w:p w14:paraId="44B2D42F">
            <w:pPr>
              <w:keepNext w:val="0"/>
              <w:keepLines w:val="0"/>
              <w:suppressLineNumbers w:val="0"/>
              <w:spacing w:before="0" w:beforeAutospacing="0" w:after="0" w:afterAutospacing="0"/>
              <w:ind w:left="0" w:right="0" w:firstLine="48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根据</w:t>
            </w:r>
            <w:r>
              <w:rPr>
                <w:rFonts w:hint="eastAsia" w:ascii="Times New Roman" w:hAnsi="Times New Roman" w:eastAsia="宋体" w:cs="Times New Roman"/>
                <w:color w:val="000000" w:themeColor="text1"/>
                <w:sz w:val="24"/>
                <w:lang w:val="en-US" w:eastAsia="zh-CN"/>
                <w14:textFill>
                  <w14:solidFill>
                    <w14:schemeClr w14:val="tx1"/>
                  </w14:solidFill>
                </w14:textFill>
              </w:rPr>
              <w:t>现场调查，厂界50m范围内存在声环境保护目标，</w:t>
            </w:r>
            <w:r>
              <w:rPr>
                <w:rFonts w:hint="eastAsia" w:cs="Times New Roman"/>
                <w:color w:val="000000" w:themeColor="text1"/>
                <w:sz w:val="24"/>
                <w:lang w:val="en-US" w:eastAsia="zh-CN"/>
                <w14:textFill>
                  <w14:solidFill>
                    <w14:schemeClr w14:val="tx1"/>
                  </w14:solidFill>
                </w14:textFill>
              </w:rPr>
              <w:t>位于厂区西侧10m处，本项目夜间不生产，</w:t>
            </w:r>
            <w:r>
              <w:rPr>
                <w:rFonts w:hint="eastAsia" w:ascii="Times New Roman" w:hAnsi="Times New Roman" w:eastAsia="宋体" w:cs="Times New Roman"/>
                <w:color w:val="000000" w:themeColor="text1"/>
                <w:sz w:val="24"/>
                <w:lang w:val="en-US" w:eastAsia="zh-CN"/>
                <w14:textFill>
                  <w14:solidFill>
                    <w14:schemeClr w14:val="tx1"/>
                  </w14:solidFill>
                </w14:textFill>
              </w:rPr>
              <w:t>因此对声环境保护目标昼间</w:t>
            </w:r>
            <w:r>
              <w:rPr>
                <w:rFonts w:hint="eastAsia" w:cs="Times New Roman"/>
                <w:color w:val="000000" w:themeColor="text1"/>
                <w:sz w:val="24"/>
                <w:lang w:val="en-US" w:eastAsia="zh-CN"/>
                <w14:textFill>
                  <w14:solidFill>
                    <w14:schemeClr w14:val="tx1"/>
                  </w14:solidFill>
                </w14:textFill>
              </w:rPr>
              <w:t>声环境质量</w:t>
            </w:r>
            <w:r>
              <w:rPr>
                <w:rFonts w:hint="eastAsia" w:ascii="Times New Roman" w:hAnsi="Times New Roman" w:eastAsia="宋体" w:cs="Times New Roman"/>
                <w:color w:val="000000" w:themeColor="text1"/>
                <w:sz w:val="24"/>
                <w:lang w:val="en-US" w:eastAsia="zh-CN"/>
                <w14:textFill>
                  <w14:solidFill>
                    <w14:schemeClr w14:val="tx1"/>
                  </w14:solidFill>
                </w14:textFill>
              </w:rPr>
              <w:t>进行了监测</w:t>
            </w:r>
            <w:r>
              <w:rPr>
                <w:rFonts w:hint="eastAsia" w:cs="Times New Roman"/>
                <w:color w:val="000000" w:themeColor="text1"/>
                <w:sz w:val="24"/>
                <w:lang w:val="en-US" w:eastAsia="zh-CN"/>
                <w14:textFill>
                  <w14:solidFill>
                    <w14:schemeClr w14:val="tx1"/>
                  </w14:solidFill>
                </w14:textFill>
              </w:rPr>
              <w:t>，并出具了《西咸新区轩牧联包装材料有限公司纸制品加工项目环境现状检测报告》（云开(ZS)字[2024]第10002号），监测报告见附件8</w:t>
            </w:r>
            <w:r>
              <w:rPr>
                <w:rFonts w:hint="eastAsia" w:ascii="Times New Roman" w:hAnsi="Times New Roman" w:eastAsia="宋体" w:cs="Times New Roman"/>
                <w:color w:val="000000" w:themeColor="text1"/>
                <w:sz w:val="24"/>
                <w:lang w:val="en-US"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监测点位见附图5，</w:t>
            </w:r>
            <w:r>
              <w:rPr>
                <w:rFonts w:hint="eastAsia" w:ascii="Times New Roman" w:hAnsi="Times New Roman" w:eastAsia="宋体" w:cs="Times New Roman"/>
                <w:color w:val="000000" w:themeColor="text1"/>
                <w:sz w:val="24"/>
                <w:lang w:val="en-US" w:eastAsia="zh-CN"/>
                <w14:textFill>
                  <w14:solidFill>
                    <w14:schemeClr w14:val="tx1"/>
                  </w14:solidFill>
                </w14:textFill>
              </w:rPr>
              <w:t>监测结果见表3-4。</w:t>
            </w:r>
          </w:p>
          <w:p w14:paraId="0D35FC11">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表</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3-4</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 xml:space="preserve">  </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环境噪声监测结果统计表</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40"/>
              <w:gridCol w:w="1840"/>
              <w:gridCol w:w="1967"/>
              <w:gridCol w:w="1432"/>
            </w:tblGrid>
            <w:tr w14:paraId="05A03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675" w:type="pct"/>
                  <w:vMerge w:val="restart"/>
                  <w:tcBorders>
                    <w:tl2br w:val="nil"/>
                    <w:tr2bl w:val="nil"/>
                  </w:tcBorders>
                  <w:noWrap w:val="0"/>
                  <w:vAlign w:val="center"/>
                </w:tcPr>
                <w:p w14:paraId="75E48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eastAsia="zh-CN"/>
                      <w14:textFill>
                        <w14:solidFill>
                          <w14:schemeClr w14:val="tx1"/>
                        </w14:solidFill>
                      </w14:textFill>
                    </w:rPr>
                    <w:t>监测点位</w:t>
                  </w:r>
                  <w:r>
                    <w:rPr>
                      <w:rFonts w:hint="eastAsia" w:ascii="Times New Roman" w:hAnsi="Times New Roman"/>
                      <w:b/>
                      <w:bCs/>
                      <w:color w:val="000000" w:themeColor="text1"/>
                      <w:sz w:val="21"/>
                      <w:szCs w:val="21"/>
                      <w:highlight w:val="none"/>
                      <w:lang w:val="en-US" w:eastAsia="zh-CN"/>
                      <w14:textFill>
                        <w14:solidFill>
                          <w14:schemeClr w14:val="tx1"/>
                        </w14:solidFill>
                      </w14:textFill>
                    </w:rPr>
                    <w:t>/编号</w:t>
                  </w:r>
                </w:p>
              </w:tc>
              <w:tc>
                <w:tcPr>
                  <w:tcW w:w="1167" w:type="pct"/>
                  <w:tcBorders>
                    <w:tl2br w:val="nil"/>
                    <w:tr2bl w:val="nil"/>
                  </w:tcBorders>
                  <w:noWrap w:val="0"/>
                  <w:vAlign w:val="center"/>
                </w:tcPr>
                <w:p w14:paraId="441135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themeColor="text1"/>
                      <w:kern w:val="0"/>
                      <w:sz w:val="21"/>
                      <w:szCs w:val="21"/>
                      <w:highlight w:val="none"/>
                      <w:lang w:val="en-US" w:eastAsia="zh-CN"/>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监测结果</w:t>
                  </w:r>
                </w:p>
              </w:tc>
              <w:tc>
                <w:tcPr>
                  <w:tcW w:w="1248" w:type="pct"/>
                  <w:tcBorders>
                    <w:tl2br w:val="nil"/>
                    <w:tr2bl w:val="nil"/>
                  </w:tcBorders>
                  <w:noWrap w:val="0"/>
                  <w:vAlign w:val="center"/>
                </w:tcPr>
                <w:p w14:paraId="56B06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color w:val="000000" w:themeColor="text1"/>
                      <w:kern w:val="2"/>
                      <w:sz w:val="21"/>
                      <w:szCs w:val="21"/>
                      <w:highlight w:val="none"/>
                      <w:lang w:val="en-US" w:eastAsia="zh-CN" w:bidi="ar-SA"/>
                      <w14:textFill>
                        <w14:solidFill>
                          <w14:schemeClr w14:val="tx1"/>
                        </w14:solidFill>
                      </w14:textFill>
                    </w:rPr>
                  </w:pPr>
                  <w:r>
                    <w:rPr>
                      <w:rFonts w:hint="eastAsia" w:cs="宋体"/>
                      <w:b/>
                      <w:bCs/>
                      <w:color w:val="000000" w:themeColor="text1"/>
                      <w:kern w:val="2"/>
                      <w:sz w:val="21"/>
                      <w:szCs w:val="21"/>
                      <w:highlight w:val="none"/>
                      <w:lang w:val="en-US" w:eastAsia="zh-CN" w:bidi="ar-SA"/>
                      <w14:textFill>
                        <w14:solidFill>
                          <w14:schemeClr w14:val="tx1"/>
                        </w14:solidFill>
                      </w14:textFill>
                    </w:rPr>
                    <w:t>标准值</w:t>
                  </w:r>
                </w:p>
              </w:tc>
              <w:tc>
                <w:tcPr>
                  <w:tcW w:w="908" w:type="pct"/>
                  <w:vMerge w:val="restart"/>
                  <w:tcBorders>
                    <w:tl2br w:val="nil"/>
                    <w:tr2bl w:val="nil"/>
                  </w:tcBorders>
                  <w:noWrap w:val="0"/>
                  <w:vAlign w:val="center"/>
                </w:tcPr>
                <w:p w14:paraId="14D85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宋体"/>
                      <w:b/>
                      <w:bCs/>
                      <w:color w:val="000000" w:themeColor="text1"/>
                      <w:kern w:val="2"/>
                      <w:sz w:val="21"/>
                      <w:szCs w:val="21"/>
                      <w:highlight w:val="none"/>
                      <w:lang w:val="en-US" w:eastAsia="zh-CN" w:bidi="ar-SA"/>
                      <w14:textFill>
                        <w14:solidFill>
                          <w14:schemeClr w14:val="tx1"/>
                        </w14:solidFill>
                      </w14:textFill>
                    </w:rPr>
                  </w:pPr>
                  <w:r>
                    <w:rPr>
                      <w:rFonts w:hint="eastAsia" w:cs="宋体"/>
                      <w:b/>
                      <w:bCs/>
                      <w:color w:val="000000" w:themeColor="text1"/>
                      <w:kern w:val="2"/>
                      <w:sz w:val="21"/>
                      <w:szCs w:val="21"/>
                      <w:highlight w:val="none"/>
                      <w:lang w:val="en-US" w:eastAsia="zh-CN" w:bidi="ar-SA"/>
                      <w14:textFill>
                        <w14:solidFill>
                          <w14:schemeClr w14:val="tx1"/>
                        </w14:solidFill>
                      </w14:textFill>
                    </w:rPr>
                    <w:t>达标情况</w:t>
                  </w:r>
                </w:p>
              </w:tc>
            </w:tr>
            <w:tr w14:paraId="1C2F8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675" w:type="pct"/>
                  <w:vMerge w:val="continue"/>
                  <w:tcBorders>
                    <w:tl2br w:val="nil"/>
                    <w:tr2bl w:val="nil"/>
                  </w:tcBorders>
                  <w:noWrap w:val="0"/>
                  <w:vAlign w:val="center"/>
                </w:tcPr>
                <w:p w14:paraId="2347F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themeColor="text1"/>
                      <w:sz w:val="21"/>
                      <w:szCs w:val="21"/>
                      <w:highlight w:val="none"/>
                      <w14:textFill>
                        <w14:solidFill>
                          <w14:schemeClr w14:val="tx1"/>
                        </w14:solidFill>
                      </w14:textFill>
                    </w:rPr>
                  </w:pPr>
                </w:p>
              </w:tc>
              <w:tc>
                <w:tcPr>
                  <w:tcW w:w="1167" w:type="pct"/>
                  <w:tcBorders>
                    <w:tl2br w:val="nil"/>
                    <w:tr2bl w:val="nil"/>
                  </w:tcBorders>
                  <w:noWrap w:val="0"/>
                  <w:vAlign w:val="center"/>
                </w:tcPr>
                <w:p w14:paraId="5E1115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1248" w:type="pct"/>
                  <w:tcBorders>
                    <w:tl2br w:val="nil"/>
                    <w:tr2bl w:val="nil"/>
                  </w:tcBorders>
                  <w:noWrap w:val="0"/>
                  <w:vAlign w:val="center"/>
                </w:tcPr>
                <w:p w14:paraId="67C35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908" w:type="pct"/>
                  <w:vMerge w:val="continue"/>
                  <w:tcBorders>
                    <w:tl2br w:val="nil"/>
                    <w:tr2bl w:val="nil"/>
                  </w:tcBorders>
                  <w:noWrap w:val="0"/>
                  <w:vAlign w:val="center"/>
                </w:tcPr>
                <w:p w14:paraId="51E3A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31A3D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1675" w:type="pct"/>
                  <w:tcBorders>
                    <w:tl2br w:val="nil"/>
                    <w:tr2bl w:val="nil"/>
                  </w:tcBorders>
                  <w:noWrap w:val="0"/>
                  <w:vAlign w:val="center"/>
                </w:tcPr>
                <w:p w14:paraId="6B36BE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宋家村N1#</w:t>
                  </w:r>
                </w:p>
              </w:tc>
              <w:tc>
                <w:tcPr>
                  <w:tcW w:w="1167" w:type="pct"/>
                  <w:tcBorders>
                    <w:tl2br w:val="nil"/>
                    <w:tr2bl w:val="nil"/>
                  </w:tcBorders>
                  <w:noWrap w:val="0"/>
                  <w:vAlign w:val="center"/>
                </w:tcPr>
                <w:p w14:paraId="0290E6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1248" w:type="pct"/>
                  <w:tcBorders>
                    <w:tl2br w:val="nil"/>
                    <w:tr2bl w:val="nil"/>
                  </w:tcBorders>
                  <w:noWrap w:val="0"/>
                  <w:vAlign w:val="center"/>
                </w:tcPr>
                <w:p w14:paraId="170F50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908" w:type="pct"/>
                  <w:tcBorders>
                    <w:tl2br w:val="nil"/>
                    <w:tr2bl w:val="nil"/>
                  </w:tcBorders>
                  <w:noWrap w:val="0"/>
                  <w:vAlign w:val="center"/>
                </w:tcPr>
                <w:p w14:paraId="028F90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bl>
          <w:p w14:paraId="4F229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由表3-4可知，本项目声环境保护目标处</w:t>
            </w:r>
            <w:r>
              <w:rPr>
                <w:rFonts w:hint="eastAsia" w:cs="Times New Roman"/>
                <w:color w:val="000000" w:themeColor="text1"/>
                <w:sz w:val="24"/>
                <w:lang w:val="en-US" w:eastAsia="zh-CN"/>
                <w14:textFill>
                  <w14:solidFill>
                    <w14:schemeClr w14:val="tx1"/>
                  </w14:solidFill>
                </w14:textFill>
              </w:rPr>
              <w:t>昼间</w:t>
            </w:r>
            <w:r>
              <w:rPr>
                <w:rFonts w:hint="eastAsia" w:ascii="Times New Roman" w:hAnsi="Times New Roman" w:eastAsia="宋体" w:cs="Times New Roman"/>
                <w:color w:val="000000" w:themeColor="text1"/>
                <w:sz w:val="24"/>
                <w:lang w:val="en-US" w:eastAsia="zh-CN"/>
                <w14:textFill>
                  <w14:solidFill>
                    <w14:schemeClr w14:val="tx1"/>
                  </w14:solidFill>
                </w14:textFill>
              </w:rPr>
              <w:t>声环境质量满足《声环境质量标准》（</w:t>
            </w:r>
            <w:r>
              <w:rPr>
                <w:rFonts w:hint="default" w:ascii="Times New Roman" w:hAnsi="Times New Roman" w:eastAsia="宋体" w:cs="Times New Roman"/>
                <w:color w:val="000000" w:themeColor="text1"/>
                <w:sz w:val="24"/>
                <w:lang w:val="en-US" w:eastAsia="zh-CN"/>
                <w14:textFill>
                  <w14:solidFill>
                    <w14:schemeClr w14:val="tx1"/>
                  </w14:solidFill>
                </w14:textFill>
              </w:rPr>
              <w:t>GB 3096-2008</w:t>
            </w:r>
            <w:r>
              <w:rPr>
                <w:rFonts w:hint="eastAsia" w:ascii="Times New Roman" w:hAnsi="Times New Roman" w:eastAsia="宋体" w:cs="Times New Roman"/>
                <w:color w:val="000000" w:themeColor="text1"/>
                <w:sz w:val="24"/>
                <w:lang w:val="en-US" w:eastAsia="zh-CN"/>
                <w14:textFill>
                  <w14:solidFill>
                    <w14:schemeClr w14:val="tx1"/>
                  </w14:solidFill>
                </w14:textFill>
              </w:rPr>
              <w:t>）中</w:t>
            </w: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eastAsia" w:ascii="Times New Roman" w:hAnsi="Times New Roman" w:eastAsia="宋体" w:cs="Times New Roman"/>
                <w:color w:val="000000" w:themeColor="text1"/>
                <w:sz w:val="24"/>
                <w:lang w:val="en-US" w:eastAsia="zh-CN"/>
                <w14:textFill>
                  <w14:solidFill>
                    <w14:schemeClr w14:val="tx1"/>
                  </w14:solidFill>
                </w14:textFill>
              </w:rPr>
              <w:t>类标准要求。</w:t>
            </w:r>
          </w:p>
          <w:p w14:paraId="16F511E0">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b/>
                <w:bCs/>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三、生态环境</w:t>
            </w:r>
          </w:p>
          <w:p w14:paraId="2606660A">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000000" w:themeColor="text1"/>
                <w:kern w:val="0"/>
                <w:lang w:val="en-US" w:eastAsia="zh-CN"/>
                <w14:textFill>
                  <w14:solidFill>
                    <w14:schemeClr w14:val="tx1"/>
                  </w14:solidFill>
                </w14:textFill>
              </w:rPr>
            </w:pPr>
            <w:r>
              <w:rPr>
                <w:rFonts w:hint="default" w:ascii="Times New Roman" w:hAnsi="Times New Roman" w:cs="Times New Roman"/>
                <w:color w:val="000000" w:themeColor="text1"/>
                <w:kern w:val="0"/>
                <w:lang w:val="en-US" w:eastAsia="zh-CN"/>
                <w14:textFill>
                  <w14:solidFill>
                    <w14:schemeClr w14:val="tx1"/>
                  </w14:solidFill>
                </w14:textFill>
              </w:rPr>
              <w:t>本项目</w:t>
            </w:r>
            <w:r>
              <w:rPr>
                <w:rFonts w:hint="eastAsia" w:cs="Times New Roman"/>
                <w:color w:val="000000" w:themeColor="text1"/>
                <w:kern w:val="0"/>
                <w:lang w:val="en-US" w:eastAsia="zh-CN"/>
                <w14:textFill>
                  <w14:solidFill>
                    <w14:schemeClr w14:val="tx1"/>
                  </w14:solidFill>
                </w14:textFill>
              </w:rPr>
              <w:t>租赁已建成厂房</w:t>
            </w:r>
            <w:r>
              <w:rPr>
                <w:rFonts w:hint="default" w:ascii="Times New Roman" w:hAnsi="Times New Roman" w:cs="Times New Roman"/>
                <w:color w:val="000000" w:themeColor="text1"/>
                <w:kern w:val="0"/>
                <w:lang w:val="en-US" w:eastAsia="zh-CN"/>
                <w14:textFill>
                  <w14:solidFill>
                    <w14:schemeClr w14:val="tx1"/>
                  </w14:solidFill>
                </w14:textFill>
              </w:rPr>
              <w:t>，</w:t>
            </w:r>
            <w:r>
              <w:rPr>
                <w:rFonts w:hint="eastAsia" w:cs="Times New Roman"/>
                <w:color w:val="000000" w:themeColor="text1"/>
                <w:kern w:val="0"/>
                <w:lang w:val="en-US" w:eastAsia="zh-CN"/>
                <w14:textFill>
                  <w14:solidFill>
                    <w14:schemeClr w14:val="tx1"/>
                  </w14:solidFill>
                </w14:textFill>
              </w:rPr>
              <w:t>未新增用地</w:t>
            </w:r>
            <w:r>
              <w:rPr>
                <w:rFonts w:hint="default" w:ascii="Times New Roman" w:hAnsi="Times New Roman" w:cs="Times New Roman"/>
                <w:color w:val="000000" w:themeColor="text1"/>
                <w:kern w:val="0"/>
                <w:lang w:val="en-US" w:eastAsia="zh-CN"/>
                <w14:textFill>
                  <w14:solidFill>
                    <w14:schemeClr w14:val="tx1"/>
                  </w14:solidFill>
                </w14:textFill>
              </w:rPr>
              <w:t>，无需进行生态现状调查</w:t>
            </w:r>
            <w:r>
              <w:rPr>
                <w:rFonts w:hint="eastAsia" w:cs="Times New Roman"/>
                <w:color w:val="000000" w:themeColor="text1"/>
                <w:kern w:val="0"/>
                <w:lang w:val="en-US" w:eastAsia="zh-CN"/>
                <w14:textFill>
                  <w14:solidFill>
                    <w14:schemeClr w14:val="tx1"/>
                  </w14:solidFill>
                </w14:textFill>
              </w:rPr>
              <w:t>。</w:t>
            </w:r>
          </w:p>
          <w:p w14:paraId="7182404A">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b/>
                <w:bCs/>
                <w:color w:val="000000" w:themeColor="text1"/>
                <w:kern w:val="0"/>
                <w:lang w:val="en-US" w:eastAsia="zh-CN"/>
                <w14:textFill>
                  <w14:solidFill>
                    <w14:schemeClr w14:val="tx1"/>
                  </w14:solidFill>
                </w14:textFill>
              </w:rPr>
            </w:pPr>
            <w:r>
              <w:rPr>
                <w:rFonts w:hint="eastAsia" w:cs="Times New Roman"/>
                <w:b/>
                <w:bCs/>
                <w:color w:val="000000" w:themeColor="text1"/>
                <w:kern w:val="0"/>
                <w:lang w:val="en-US" w:eastAsia="zh-CN"/>
                <w14:textFill>
                  <w14:solidFill>
                    <w14:schemeClr w14:val="tx1"/>
                  </w14:solidFill>
                </w14:textFill>
              </w:rPr>
              <w:t>四、</w:t>
            </w:r>
            <w:r>
              <w:rPr>
                <w:rFonts w:hint="default" w:ascii="Times New Roman" w:hAnsi="Times New Roman" w:cs="Times New Roman"/>
                <w:b/>
                <w:bCs/>
                <w:color w:val="000000" w:themeColor="text1"/>
                <w:kern w:val="0"/>
                <w:lang w:val="en-US" w:eastAsia="zh-CN"/>
                <w14:textFill>
                  <w14:solidFill>
                    <w14:schemeClr w14:val="tx1"/>
                  </w14:solidFill>
                </w14:textFill>
              </w:rPr>
              <w:t>土壤、地下水</w:t>
            </w:r>
          </w:p>
          <w:p w14:paraId="0E1E59D1">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影响报告表编制技术指南》（污染影响类）中表述：“原则上不开展地下水、土壤环境质量现状调查。建设项目存在土壤、地下水环境污染途径的，应结合污染源、保护目标分布情况开展现状调查以留作背景值”。</w:t>
            </w:r>
          </w:p>
          <w:p w14:paraId="064E94E0">
            <w:pPr>
              <w:keepNext w:val="0"/>
              <w:keepLines w:val="0"/>
              <w:suppressLineNumbers w:val="0"/>
              <w:adjustRightInd w:val="0"/>
              <w:snapToGrid w:val="0"/>
              <w:spacing w:before="0" w:beforeAutospacing="0" w:after="0" w:afterAutospacing="0"/>
              <w:ind w:left="0" w:right="0" w:firstLine="480"/>
              <w:rPr>
                <w:rFonts w:hint="default"/>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租赁已建成</w:t>
            </w:r>
            <w:r>
              <w:rPr>
                <w:rFonts w:hint="default" w:ascii="Times New Roman" w:hAnsi="Times New Roman" w:cs="Times New Roman"/>
                <w:color w:val="000000" w:themeColor="text1"/>
                <w14:textFill>
                  <w14:solidFill>
                    <w14:schemeClr w14:val="tx1"/>
                  </w14:solidFill>
                </w14:textFill>
              </w:rPr>
              <w:t>厂房</w:t>
            </w:r>
            <w:r>
              <w:rPr>
                <w:rFonts w:hint="eastAsia"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目前</w:t>
            </w:r>
            <w:r>
              <w:rPr>
                <w:rFonts w:hint="default" w:ascii="Times New Roman" w:hAnsi="Times New Roman" w:cs="Times New Roman"/>
                <w:color w:val="000000" w:themeColor="text1"/>
                <w14:textFill>
                  <w14:solidFill>
                    <w14:schemeClr w14:val="tx1"/>
                  </w14:solidFill>
                </w14:textFill>
              </w:rPr>
              <w:t>厂房</w:t>
            </w:r>
            <w:r>
              <w:rPr>
                <w:rFonts w:hint="eastAsia" w:cs="Times New Roman"/>
                <w:color w:val="000000" w:themeColor="text1"/>
                <w:lang w:val="en-US" w:eastAsia="zh-CN"/>
                <w14:textFill>
                  <w14:solidFill>
                    <w14:schemeClr w14:val="tx1"/>
                  </w14:solidFill>
                </w14:textFill>
              </w:rPr>
              <w:t>地面已</w:t>
            </w:r>
            <w:r>
              <w:rPr>
                <w:rFonts w:hint="default" w:ascii="Times New Roman" w:hAnsi="Times New Roman" w:cs="Times New Roman"/>
                <w:color w:val="000000" w:themeColor="text1"/>
                <w14:textFill>
                  <w14:solidFill>
                    <w14:schemeClr w14:val="tx1"/>
                  </w14:solidFill>
                </w14:textFill>
              </w:rPr>
              <w:t>硬化处理；</w:t>
            </w:r>
            <w:r>
              <w:rPr>
                <w:rFonts w:hint="eastAsia" w:cs="Times New Roman"/>
                <w:color w:val="000000" w:themeColor="text1"/>
                <w:lang w:eastAsia="zh-CN"/>
                <w14:textFill>
                  <w14:solidFill>
                    <w14:schemeClr w14:val="tx1"/>
                  </w14:solidFill>
                </w14:textFill>
              </w:rPr>
              <w:t>危废贮存库</w:t>
            </w:r>
            <w:r>
              <w:rPr>
                <w:rFonts w:hint="eastAsia" w:cs="Times New Roman"/>
                <w:color w:val="000000" w:themeColor="text1"/>
                <w:lang w:val="en-US" w:eastAsia="zh-CN"/>
                <w14:textFill>
                  <w14:solidFill>
                    <w14:schemeClr w14:val="tx1"/>
                  </w14:solidFill>
                </w14:textFill>
              </w:rPr>
              <w:t>地面</w:t>
            </w:r>
            <w:r>
              <w:rPr>
                <w:rFonts w:hint="default" w:ascii="Times New Roman" w:hAnsi="Times New Roman" w:cs="Times New Roman"/>
                <w:color w:val="000000" w:themeColor="text1"/>
                <w14:textFill>
                  <w14:solidFill>
                    <w14:schemeClr w14:val="tx1"/>
                  </w14:solidFill>
                </w14:textFill>
              </w:rPr>
              <w:t>后期按要求进行防渗</w:t>
            </w:r>
            <w:r>
              <w:rPr>
                <w:rFonts w:hint="eastAsia" w:cs="Times New Roman"/>
                <w:color w:val="000000" w:themeColor="text1"/>
                <w:lang w:val="en-US" w:eastAsia="zh-CN"/>
                <w14:textFill>
                  <w14:solidFill>
                    <w14:schemeClr w14:val="tx1"/>
                  </w14:solidFill>
                </w14:textFill>
              </w:rPr>
              <w:t>处理</w:t>
            </w:r>
            <w:r>
              <w:rPr>
                <w:rFonts w:hint="default" w:ascii="Times New Roman" w:hAnsi="Times New Roman" w:cs="Times New Roman"/>
                <w:color w:val="000000" w:themeColor="text1"/>
                <w14:textFill>
                  <w14:solidFill>
                    <w14:schemeClr w14:val="tx1"/>
                  </w14:solidFill>
                </w14:textFill>
              </w:rPr>
              <w:t>，建设项目不存在土壤、地下水环境污染途径，因此，可不开展地下水、土壤监测。</w:t>
            </w:r>
          </w:p>
        </w:tc>
      </w:tr>
      <w:tr w14:paraId="14E9D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68" w:hRule="atLeast"/>
          <w:jc w:val="center"/>
        </w:trPr>
        <w:tc>
          <w:tcPr>
            <w:tcW w:w="526" w:type="pct"/>
            <w:vAlign w:val="center"/>
          </w:tcPr>
          <w:p w14:paraId="76BDFD7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环境</w:t>
            </w:r>
          </w:p>
          <w:p w14:paraId="6FDA737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保护</w:t>
            </w:r>
          </w:p>
          <w:p w14:paraId="366DAE4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目标</w:t>
            </w:r>
          </w:p>
        </w:tc>
        <w:tc>
          <w:tcPr>
            <w:tcW w:w="4473" w:type="pct"/>
            <w:vAlign w:val="center"/>
          </w:tcPr>
          <w:p w14:paraId="62CD3409">
            <w:pPr>
              <w:keepNext w:val="0"/>
              <w:keepLines w:val="0"/>
              <w:suppressLineNumbers w:val="0"/>
              <w:adjustRightInd w:val="0"/>
              <w:snapToGrid w:val="0"/>
              <w:spacing w:before="0" w:beforeAutospacing="0" w:after="0" w:afterAutospacing="0"/>
              <w:ind w:left="0" w:right="0" w:firstLine="48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根据环境现状调查和建设项目污染特征，确定本项目的主要环境保护目标及保护级别见表</w:t>
            </w:r>
            <w:r>
              <w:rPr>
                <w:rFonts w:hint="eastAsia" w:ascii="Times New Roman" w:hAnsi="Times New Roman" w:eastAsia="宋体" w:cs="Times New Roman"/>
                <w:color w:val="000000" w:themeColor="text1"/>
                <w:lang w:val="en-US" w:eastAsia="zh-CN"/>
                <w14:textFill>
                  <w14:solidFill>
                    <w14:schemeClr w14:val="tx1"/>
                  </w14:solidFill>
                </w14:textFill>
              </w:rPr>
              <w:t>3-5</w:t>
            </w:r>
            <w:r>
              <w:rPr>
                <w:rFonts w:hint="eastAsia" w:ascii="Times New Roman" w:hAnsi="Times New Roman" w:eastAsia="宋体" w:cs="Times New Roman"/>
                <w:color w:val="000000" w:themeColor="text1"/>
                <w14:textFill>
                  <w14:solidFill>
                    <w14:schemeClr w14:val="tx1"/>
                  </w14:solidFill>
                </w14:textFill>
              </w:rPr>
              <w:t>及附图6。</w:t>
            </w:r>
          </w:p>
          <w:p w14:paraId="4E536B48">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表3-</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5</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 xml:space="preserve">  环境保护目标</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161"/>
              <w:gridCol w:w="1223"/>
              <w:gridCol w:w="1155"/>
              <w:gridCol w:w="679"/>
              <w:gridCol w:w="778"/>
              <w:gridCol w:w="736"/>
              <w:gridCol w:w="687"/>
              <w:gridCol w:w="685"/>
            </w:tblGrid>
            <w:tr w14:paraId="05EB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0" w:type="pct"/>
                  <w:vMerge w:val="restart"/>
                  <w:tcBorders>
                    <w:tl2br w:val="nil"/>
                    <w:tr2bl w:val="nil"/>
                  </w:tcBorders>
                  <w:noWrap w:val="0"/>
                  <w:vAlign w:val="center"/>
                </w:tcPr>
                <w:p w14:paraId="05494B8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eastAsia" w:ascii="Times New Roman" w:hAnsi="Times New Roman" w:cs="Times New Roman"/>
                      <w:b/>
                      <w:color w:val="000000" w:themeColor="text1"/>
                      <w:sz w:val="21"/>
                      <w:szCs w:val="21"/>
                      <w:lang w:val="en-US" w:eastAsia="zh-CN"/>
                      <w14:textFill>
                        <w14:solidFill>
                          <w14:schemeClr w14:val="tx1"/>
                        </w14:solidFill>
                      </w14:textFill>
                    </w:rPr>
                    <w:t>环境要素</w:t>
                  </w:r>
                </w:p>
              </w:tc>
              <w:tc>
                <w:tcPr>
                  <w:tcW w:w="737" w:type="pct"/>
                  <w:vMerge w:val="restart"/>
                  <w:tcBorders>
                    <w:tl2br w:val="nil"/>
                    <w:tr2bl w:val="nil"/>
                  </w:tcBorders>
                  <w:noWrap w:val="0"/>
                  <w:vAlign w:val="center"/>
                </w:tcPr>
                <w:p w14:paraId="44B9486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名称</w:t>
                  </w:r>
                </w:p>
              </w:tc>
              <w:tc>
                <w:tcPr>
                  <w:tcW w:w="1509" w:type="pct"/>
                  <w:gridSpan w:val="2"/>
                  <w:tcBorders>
                    <w:tl2br w:val="nil"/>
                    <w:tr2bl w:val="nil"/>
                  </w:tcBorders>
                  <w:noWrap w:val="0"/>
                  <w:vAlign w:val="center"/>
                </w:tcPr>
                <w:p w14:paraId="5DAA4EE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坐标</w:t>
                  </w:r>
                </w:p>
              </w:tc>
              <w:tc>
                <w:tcPr>
                  <w:tcW w:w="431" w:type="pct"/>
                  <w:vMerge w:val="restart"/>
                  <w:tcBorders>
                    <w:tl2br w:val="nil"/>
                    <w:tr2bl w:val="nil"/>
                  </w:tcBorders>
                  <w:noWrap w:val="0"/>
                  <w:vAlign w:val="center"/>
                </w:tcPr>
                <w:p w14:paraId="70BA2E0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保护对象</w:t>
                  </w:r>
                </w:p>
              </w:tc>
              <w:tc>
                <w:tcPr>
                  <w:tcW w:w="494" w:type="pct"/>
                  <w:vMerge w:val="restart"/>
                  <w:tcBorders>
                    <w:tl2br w:val="nil"/>
                    <w:tr2bl w:val="nil"/>
                  </w:tcBorders>
                  <w:noWrap w:val="0"/>
                  <w:vAlign w:val="center"/>
                </w:tcPr>
                <w:p w14:paraId="385093E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保护</w:t>
                  </w:r>
                </w:p>
                <w:p w14:paraId="6F9DD90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内容</w:t>
                  </w:r>
                </w:p>
              </w:tc>
              <w:tc>
                <w:tcPr>
                  <w:tcW w:w="467" w:type="pct"/>
                  <w:vMerge w:val="restart"/>
                  <w:tcBorders>
                    <w:tl2br w:val="nil"/>
                    <w:tr2bl w:val="nil"/>
                  </w:tcBorders>
                  <w:noWrap w:val="0"/>
                  <w:vAlign w:val="center"/>
                </w:tcPr>
                <w:p w14:paraId="0837249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环境功能区</w:t>
                  </w:r>
                </w:p>
              </w:tc>
              <w:tc>
                <w:tcPr>
                  <w:tcW w:w="436" w:type="pct"/>
                  <w:vMerge w:val="restart"/>
                  <w:tcBorders>
                    <w:tl2br w:val="nil"/>
                    <w:tr2bl w:val="nil"/>
                  </w:tcBorders>
                  <w:noWrap w:val="0"/>
                  <w:vAlign w:val="center"/>
                </w:tcPr>
                <w:p w14:paraId="45328E5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相对厂址方位</w:t>
                  </w:r>
                </w:p>
              </w:tc>
              <w:tc>
                <w:tcPr>
                  <w:tcW w:w="432" w:type="pct"/>
                  <w:vMerge w:val="restart"/>
                  <w:tcBorders>
                    <w:tl2br w:val="nil"/>
                    <w:tr2bl w:val="nil"/>
                  </w:tcBorders>
                  <w:noWrap w:val="0"/>
                  <w:vAlign w:val="center"/>
                </w:tcPr>
                <w:p w14:paraId="604CB96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相对厂界距离/m</w:t>
                  </w:r>
                </w:p>
              </w:tc>
            </w:tr>
            <w:tr w14:paraId="2B66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tcBorders>
                    <w:tl2br w:val="nil"/>
                    <w:tr2bl w:val="nil"/>
                  </w:tcBorders>
                  <w:noWrap w:val="0"/>
                  <w:vAlign w:val="center"/>
                </w:tcPr>
                <w:p w14:paraId="00C30A0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37" w:type="pct"/>
                  <w:vMerge w:val="continue"/>
                  <w:tcBorders>
                    <w:tl2br w:val="nil"/>
                    <w:tr2bl w:val="nil"/>
                  </w:tcBorders>
                  <w:noWrap w:val="0"/>
                  <w:vAlign w:val="center"/>
                </w:tcPr>
                <w:p w14:paraId="03A92FC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76" w:type="pct"/>
                  <w:tcBorders>
                    <w:tl2br w:val="nil"/>
                    <w:tr2bl w:val="nil"/>
                  </w:tcBorders>
                  <w:noWrap w:val="0"/>
                  <w:vAlign w:val="center"/>
                </w:tcPr>
                <w:p w14:paraId="539CF872">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经度°</w:t>
                  </w:r>
                </w:p>
              </w:tc>
              <w:tc>
                <w:tcPr>
                  <w:tcW w:w="733" w:type="pct"/>
                  <w:tcBorders>
                    <w:tl2br w:val="nil"/>
                    <w:tr2bl w:val="nil"/>
                  </w:tcBorders>
                  <w:noWrap w:val="0"/>
                  <w:vAlign w:val="center"/>
                </w:tcPr>
                <w:p w14:paraId="62846E1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纬度°</w:t>
                  </w:r>
                </w:p>
              </w:tc>
              <w:tc>
                <w:tcPr>
                  <w:tcW w:w="431" w:type="pct"/>
                  <w:vMerge w:val="continue"/>
                  <w:tcBorders>
                    <w:tl2br w:val="nil"/>
                    <w:tr2bl w:val="nil"/>
                  </w:tcBorders>
                  <w:noWrap w:val="0"/>
                  <w:vAlign w:val="center"/>
                </w:tcPr>
                <w:p w14:paraId="71A1DA6A">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94" w:type="pct"/>
                  <w:vMerge w:val="continue"/>
                  <w:tcBorders>
                    <w:tl2br w:val="nil"/>
                    <w:tr2bl w:val="nil"/>
                  </w:tcBorders>
                  <w:noWrap w:val="0"/>
                  <w:vAlign w:val="center"/>
                </w:tcPr>
                <w:p w14:paraId="43D201C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vMerge w:val="continue"/>
                  <w:tcBorders>
                    <w:tl2br w:val="nil"/>
                    <w:tr2bl w:val="nil"/>
                  </w:tcBorders>
                  <w:noWrap w:val="0"/>
                  <w:vAlign w:val="center"/>
                </w:tcPr>
                <w:p w14:paraId="64AA180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36" w:type="pct"/>
                  <w:vMerge w:val="continue"/>
                  <w:tcBorders>
                    <w:tl2br w:val="nil"/>
                    <w:tr2bl w:val="nil"/>
                  </w:tcBorders>
                  <w:noWrap w:val="0"/>
                  <w:vAlign w:val="center"/>
                </w:tcPr>
                <w:p w14:paraId="0B0EAAA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32" w:type="pct"/>
                  <w:vMerge w:val="continue"/>
                  <w:tcBorders>
                    <w:tl2br w:val="nil"/>
                    <w:tr2bl w:val="nil"/>
                  </w:tcBorders>
                  <w:noWrap w:val="0"/>
                  <w:vAlign w:val="center"/>
                </w:tcPr>
                <w:p w14:paraId="37D6BD8C">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23B3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tcBorders>
                    <w:tl2br w:val="nil"/>
                    <w:tr2bl w:val="nil"/>
                  </w:tcBorders>
                  <w:shd w:val="clear" w:color="auto" w:fill="auto"/>
                  <w:noWrap w:val="0"/>
                  <w:vAlign w:val="center"/>
                </w:tcPr>
                <w:p w14:paraId="5404B6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声环境</w:t>
                  </w:r>
                </w:p>
              </w:tc>
              <w:tc>
                <w:tcPr>
                  <w:tcW w:w="737" w:type="pct"/>
                  <w:tcBorders>
                    <w:tl2br w:val="nil"/>
                    <w:tr2bl w:val="nil"/>
                  </w:tcBorders>
                  <w:shd w:val="clear" w:color="auto" w:fill="auto"/>
                  <w:noWrap w:val="0"/>
                  <w:vAlign w:val="center"/>
                </w:tcPr>
                <w:p w14:paraId="74A093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leftChars="0" w:right="0" w:rightChars="0" w:firstLine="0" w:firstLineChars="0"/>
                    <w:jc w:val="center"/>
                    <w:textAlignment w:val="auto"/>
                    <w:rPr>
                      <w:rFonts w:hint="eastAsia" w:ascii="Times New Roman" w:hAnsi="Times New Roman" w:eastAsia="宋体" w:cs="Times New Roman"/>
                      <w:i w:val="0"/>
                      <w:color w:val="000000" w:themeColor="text1"/>
                      <w:kern w:val="0"/>
                      <w:sz w:val="21"/>
                      <w:szCs w:val="21"/>
                      <w:highlight w:val="none"/>
                      <w:u w:val="none"/>
                      <w:lang w:val="en-US" w:eastAsia="zh-CN" w:bidi="ar"/>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宋家村</w:t>
                  </w:r>
                </w:p>
              </w:tc>
              <w:tc>
                <w:tcPr>
                  <w:tcW w:w="776" w:type="pct"/>
                  <w:tcBorders>
                    <w:tl2br w:val="nil"/>
                    <w:tr2bl w:val="nil"/>
                  </w:tcBorders>
                  <w:shd w:val="clear" w:color="auto" w:fill="auto"/>
                  <w:noWrap w:val="0"/>
                  <w:vAlign w:val="center"/>
                </w:tcPr>
                <w:p w14:paraId="4F1A52F4">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108.6402</w:t>
                  </w:r>
                  <w:r>
                    <w:rPr>
                      <w:rFonts w:hint="eastAsia" w:cs="Times New Roman"/>
                      <w:color w:val="000000" w:themeColor="text1"/>
                      <w:kern w:val="2"/>
                      <w:sz w:val="21"/>
                      <w:szCs w:val="21"/>
                      <w:lang w:val="en-US" w:eastAsia="zh-CN" w:bidi="ar-SA"/>
                      <w14:textFill>
                        <w14:solidFill>
                          <w14:schemeClr w14:val="tx1"/>
                        </w14:solidFill>
                      </w14:textFill>
                    </w:rPr>
                    <w:t>64</w:t>
                  </w:r>
                </w:p>
              </w:tc>
              <w:tc>
                <w:tcPr>
                  <w:tcW w:w="733" w:type="pct"/>
                  <w:tcBorders>
                    <w:tl2br w:val="nil"/>
                    <w:tr2bl w:val="nil"/>
                  </w:tcBorders>
                  <w:shd w:val="clear" w:color="auto" w:fill="auto"/>
                  <w:noWrap w:val="0"/>
                  <w:vAlign w:val="center"/>
                </w:tcPr>
                <w:p w14:paraId="6CAE2198">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34.21871</w:t>
                  </w:r>
                  <w:r>
                    <w:rPr>
                      <w:rFonts w:hint="eastAsia" w:cs="Times New Roman"/>
                      <w:color w:val="000000" w:themeColor="text1"/>
                      <w:kern w:val="2"/>
                      <w:sz w:val="21"/>
                      <w:szCs w:val="21"/>
                      <w:lang w:val="en-US" w:eastAsia="zh-CN" w:bidi="ar-SA"/>
                      <w14:textFill>
                        <w14:solidFill>
                          <w14:schemeClr w14:val="tx1"/>
                        </w14:solidFill>
                      </w14:textFill>
                    </w:rPr>
                    <w:t>2</w:t>
                  </w:r>
                </w:p>
              </w:tc>
              <w:tc>
                <w:tcPr>
                  <w:tcW w:w="431" w:type="pct"/>
                  <w:tcBorders>
                    <w:tl2br w:val="nil"/>
                    <w:tr2bl w:val="nil"/>
                  </w:tcBorders>
                  <w:noWrap w:val="0"/>
                  <w:vAlign w:val="center"/>
                </w:tcPr>
                <w:p w14:paraId="7564F12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居民</w:t>
                  </w:r>
                </w:p>
              </w:tc>
              <w:tc>
                <w:tcPr>
                  <w:tcW w:w="494" w:type="pct"/>
                  <w:tcBorders>
                    <w:tl2br w:val="nil"/>
                    <w:tr2bl w:val="nil"/>
                  </w:tcBorders>
                  <w:noWrap w:val="0"/>
                  <w:vAlign w:val="center"/>
                </w:tcPr>
                <w:p w14:paraId="4B736D8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15人</w:t>
                  </w:r>
                </w:p>
              </w:tc>
              <w:tc>
                <w:tcPr>
                  <w:tcW w:w="467" w:type="pct"/>
                  <w:tcBorders>
                    <w:tl2br w:val="nil"/>
                    <w:tr2bl w:val="nil"/>
                  </w:tcBorders>
                  <w:noWrap w:val="0"/>
                  <w:vAlign w:val="center"/>
                </w:tcPr>
                <w:p w14:paraId="43F9922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2类</w:t>
                  </w:r>
                </w:p>
              </w:tc>
              <w:tc>
                <w:tcPr>
                  <w:tcW w:w="436" w:type="pct"/>
                  <w:tcBorders>
                    <w:tl2br w:val="nil"/>
                    <w:tr2bl w:val="nil"/>
                  </w:tcBorders>
                  <w:noWrap w:val="0"/>
                  <w:vAlign w:val="center"/>
                </w:tcPr>
                <w:p w14:paraId="257AA0B3">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N、W</w:t>
                  </w:r>
                </w:p>
              </w:tc>
              <w:tc>
                <w:tcPr>
                  <w:tcW w:w="432" w:type="pct"/>
                  <w:tcBorders>
                    <w:tl2br w:val="nil"/>
                    <w:tr2bl w:val="nil"/>
                  </w:tcBorders>
                  <w:noWrap w:val="0"/>
                  <w:vAlign w:val="center"/>
                </w:tcPr>
                <w:p w14:paraId="21A25F12">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5583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restart"/>
                  <w:tcBorders>
                    <w:tl2br w:val="nil"/>
                    <w:tr2bl w:val="nil"/>
                  </w:tcBorders>
                  <w:noWrap w:val="0"/>
                  <w:vAlign w:val="center"/>
                </w:tcPr>
                <w:p w14:paraId="707AEE5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环境空气</w:t>
                  </w:r>
                </w:p>
              </w:tc>
              <w:tc>
                <w:tcPr>
                  <w:tcW w:w="737" w:type="pct"/>
                  <w:tcBorders>
                    <w:tl2br w:val="nil"/>
                    <w:tr2bl w:val="nil"/>
                  </w:tcBorders>
                  <w:noWrap w:val="0"/>
                  <w:vAlign w:val="center"/>
                </w:tcPr>
                <w:p w14:paraId="3F0E51C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宋家村</w:t>
                  </w:r>
                </w:p>
              </w:tc>
              <w:tc>
                <w:tcPr>
                  <w:tcW w:w="776" w:type="pct"/>
                  <w:tcBorders>
                    <w:tl2br w:val="nil"/>
                    <w:tr2bl w:val="nil"/>
                  </w:tcBorders>
                  <w:noWrap w:val="0"/>
                  <w:vAlign w:val="center"/>
                </w:tcPr>
                <w:p w14:paraId="7E7BE8D1">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108.6402</w:t>
                  </w:r>
                  <w:r>
                    <w:rPr>
                      <w:rFonts w:hint="eastAsia" w:cs="Times New Roman"/>
                      <w:color w:val="000000" w:themeColor="text1"/>
                      <w:kern w:val="2"/>
                      <w:sz w:val="21"/>
                      <w:szCs w:val="21"/>
                      <w:lang w:val="en-US" w:eastAsia="zh-CN" w:bidi="ar-SA"/>
                      <w14:textFill>
                        <w14:solidFill>
                          <w14:schemeClr w14:val="tx1"/>
                        </w14:solidFill>
                      </w14:textFill>
                    </w:rPr>
                    <w:t>63</w:t>
                  </w:r>
                </w:p>
              </w:tc>
              <w:tc>
                <w:tcPr>
                  <w:tcW w:w="733" w:type="pct"/>
                  <w:tcBorders>
                    <w:tl2br w:val="nil"/>
                    <w:tr2bl w:val="nil"/>
                  </w:tcBorders>
                  <w:noWrap w:val="0"/>
                  <w:vAlign w:val="center"/>
                </w:tcPr>
                <w:p w14:paraId="266F3217">
                  <w:pPr>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34.21871</w:t>
                  </w:r>
                  <w:r>
                    <w:rPr>
                      <w:rFonts w:hint="eastAsia" w:cs="Times New Roman"/>
                      <w:color w:val="000000" w:themeColor="text1"/>
                      <w:kern w:val="2"/>
                      <w:sz w:val="21"/>
                      <w:szCs w:val="21"/>
                      <w:lang w:val="en-US" w:eastAsia="zh-CN" w:bidi="ar-SA"/>
                      <w14:textFill>
                        <w14:solidFill>
                          <w14:schemeClr w14:val="tx1"/>
                        </w14:solidFill>
                      </w14:textFill>
                    </w:rPr>
                    <w:t>0</w:t>
                  </w:r>
                </w:p>
              </w:tc>
              <w:tc>
                <w:tcPr>
                  <w:tcW w:w="431" w:type="pct"/>
                  <w:vMerge w:val="restart"/>
                  <w:tcBorders>
                    <w:tl2br w:val="nil"/>
                    <w:tr2bl w:val="nil"/>
                  </w:tcBorders>
                  <w:noWrap w:val="0"/>
                  <w:vAlign w:val="center"/>
                </w:tcPr>
                <w:p w14:paraId="69A2953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居民</w:t>
                  </w:r>
                </w:p>
              </w:tc>
              <w:tc>
                <w:tcPr>
                  <w:tcW w:w="494" w:type="pct"/>
                  <w:vMerge w:val="restart"/>
                  <w:tcBorders>
                    <w:tl2br w:val="nil"/>
                    <w:tr2bl w:val="nil"/>
                  </w:tcBorders>
                  <w:noWrap w:val="0"/>
                  <w:vAlign w:val="center"/>
                </w:tcPr>
                <w:p w14:paraId="25502E3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800人</w:t>
                  </w:r>
                </w:p>
              </w:tc>
              <w:tc>
                <w:tcPr>
                  <w:tcW w:w="467" w:type="pct"/>
                  <w:vMerge w:val="restart"/>
                  <w:tcBorders>
                    <w:tl2br w:val="nil"/>
                    <w:tr2bl w:val="nil"/>
                  </w:tcBorders>
                  <w:noWrap w:val="0"/>
                  <w:vAlign w:val="center"/>
                </w:tcPr>
                <w:p w14:paraId="5E2FE8B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二类</w:t>
                  </w:r>
                </w:p>
              </w:tc>
              <w:tc>
                <w:tcPr>
                  <w:tcW w:w="436" w:type="pct"/>
                  <w:tcBorders>
                    <w:tl2br w:val="nil"/>
                    <w:tr2bl w:val="nil"/>
                  </w:tcBorders>
                  <w:noWrap w:val="0"/>
                  <w:vAlign w:val="center"/>
                </w:tcPr>
                <w:p w14:paraId="47F1244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N、W</w:t>
                  </w:r>
                </w:p>
              </w:tc>
              <w:tc>
                <w:tcPr>
                  <w:tcW w:w="432" w:type="pct"/>
                  <w:tcBorders>
                    <w:tl2br w:val="nil"/>
                    <w:tr2bl w:val="nil"/>
                  </w:tcBorders>
                  <w:noWrap w:val="0"/>
                  <w:vAlign w:val="center"/>
                </w:tcPr>
                <w:p w14:paraId="79102D83">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r>
            <w:tr w14:paraId="7457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tcBorders>
                    <w:tl2br w:val="nil"/>
                    <w:tr2bl w:val="nil"/>
                  </w:tcBorders>
                  <w:noWrap w:val="0"/>
                  <w:vAlign w:val="center"/>
                </w:tcPr>
                <w:p w14:paraId="43A51CA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37" w:type="pct"/>
                  <w:tcBorders>
                    <w:tl2br w:val="nil"/>
                    <w:tr2bl w:val="nil"/>
                  </w:tcBorders>
                  <w:noWrap w:val="0"/>
                  <w:vAlign w:val="center"/>
                </w:tcPr>
                <w:p w14:paraId="195DBA1E">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龙台坊东堡村</w:t>
                  </w:r>
                </w:p>
              </w:tc>
              <w:tc>
                <w:tcPr>
                  <w:tcW w:w="776" w:type="pct"/>
                  <w:tcBorders>
                    <w:tl2br w:val="nil"/>
                    <w:tr2bl w:val="nil"/>
                  </w:tcBorders>
                  <w:noWrap w:val="0"/>
                  <w:vAlign w:val="center"/>
                </w:tcPr>
                <w:p w14:paraId="287311F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108.64179</w:t>
                  </w:r>
                  <w:r>
                    <w:rPr>
                      <w:rFonts w:hint="eastAsia" w:cs="Times New Roman"/>
                      <w:color w:val="000000" w:themeColor="text1"/>
                      <w:sz w:val="21"/>
                      <w:szCs w:val="21"/>
                      <w:lang w:val="en-US" w:eastAsia="zh-CN"/>
                      <w14:textFill>
                        <w14:solidFill>
                          <w14:schemeClr w14:val="tx1"/>
                        </w14:solidFill>
                      </w14:textFill>
                    </w:rPr>
                    <w:t>1</w:t>
                  </w:r>
                </w:p>
              </w:tc>
              <w:tc>
                <w:tcPr>
                  <w:tcW w:w="733" w:type="pct"/>
                  <w:tcBorders>
                    <w:tl2br w:val="nil"/>
                    <w:tr2bl w:val="nil"/>
                  </w:tcBorders>
                  <w:noWrap w:val="0"/>
                  <w:vAlign w:val="center"/>
                </w:tcPr>
                <w:p w14:paraId="4023867E">
                  <w:pPr>
                    <w:keepNext w:val="0"/>
                    <w:keepLines w:val="0"/>
                    <w:suppressLineNumbers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14:textFill>
                        <w14:solidFill>
                          <w14:schemeClr w14:val="tx1"/>
                        </w14:solidFill>
                      </w14:textFill>
                    </w:rPr>
                    <w:t>34.21775</w:t>
                  </w:r>
                  <w:r>
                    <w:rPr>
                      <w:rFonts w:hint="eastAsia" w:cs="Times New Roman"/>
                      <w:color w:val="000000" w:themeColor="text1"/>
                      <w:sz w:val="21"/>
                      <w:szCs w:val="21"/>
                      <w:lang w:val="en-US" w:eastAsia="zh-CN"/>
                      <w14:textFill>
                        <w14:solidFill>
                          <w14:schemeClr w14:val="tx1"/>
                        </w14:solidFill>
                      </w14:textFill>
                    </w:rPr>
                    <w:t>0</w:t>
                  </w:r>
                </w:p>
              </w:tc>
              <w:tc>
                <w:tcPr>
                  <w:tcW w:w="431" w:type="pct"/>
                  <w:vMerge w:val="continue"/>
                  <w:tcBorders>
                    <w:tl2br w:val="nil"/>
                    <w:tr2bl w:val="nil"/>
                  </w:tcBorders>
                  <w:noWrap w:val="0"/>
                  <w:vAlign w:val="center"/>
                </w:tcPr>
                <w:p w14:paraId="531C057D">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94" w:type="pct"/>
                  <w:vMerge w:val="continue"/>
                  <w:tcBorders>
                    <w:tl2br w:val="nil"/>
                    <w:tr2bl w:val="nil"/>
                  </w:tcBorders>
                  <w:noWrap w:val="0"/>
                  <w:vAlign w:val="center"/>
                </w:tcPr>
                <w:p w14:paraId="6D02854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vMerge w:val="continue"/>
                  <w:tcBorders>
                    <w:tl2br w:val="nil"/>
                    <w:tr2bl w:val="nil"/>
                  </w:tcBorders>
                  <w:noWrap w:val="0"/>
                  <w:vAlign w:val="center"/>
                </w:tcPr>
                <w:p w14:paraId="635BEE7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36" w:type="pct"/>
                  <w:tcBorders>
                    <w:tl2br w:val="nil"/>
                    <w:tr2bl w:val="nil"/>
                  </w:tcBorders>
                  <w:noWrap w:val="0"/>
                  <w:vAlign w:val="center"/>
                </w:tcPr>
                <w:p w14:paraId="397EFBA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E</w:t>
                  </w:r>
                </w:p>
              </w:tc>
              <w:tc>
                <w:tcPr>
                  <w:tcW w:w="432" w:type="pct"/>
                  <w:tcBorders>
                    <w:tl2br w:val="nil"/>
                    <w:tr2bl w:val="nil"/>
                  </w:tcBorders>
                  <w:noWrap w:val="0"/>
                  <w:vAlign w:val="center"/>
                </w:tcPr>
                <w:p w14:paraId="7F3C0409">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w:t>
                  </w:r>
                </w:p>
              </w:tc>
            </w:tr>
            <w:tr w14:paraId="4BA32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tcBorders>
                    <w:tl2br w:val="nil"/>
                    <w:tr2bl w:val="nil"/>
                  </w:tcBorders>
                  <w:noWrap w:val="0"/>
                  <w:vAlign w:val="center"/>
                </w:tcPr>
                <w:p w14:paraId="3E005D6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37" w:type="pct"/>
                  <w:tcBorders>
                    <w:tl2br w:val="nil"/>
                    <w:tr2bl w:val="nil"/>
                  </w:tcBorders>
                  <w:noWrap w:val="0"/>
                  <w:vAlign w:val="center"/>
                </w:tcPr>
                <w:p w14:paraId="0AB5C8AC">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史家堡村</w:t>
                  </w:r>
                </w:p>
              </w:tc>
              <w:tc>
                <w:tcPr>
                  <w:tcW w:w="776" w:type="pct"/>
                  <w:tcBorders>
                    <w:tl2br w:val="nil"/>
                    <w:tr2bl w:val="nil"/>
                  </w:tcBorders>
                  <w:noWrap w:val="0"/>
                  <w:vAlign w:val="center"/>
                </w:tcPr>
                <w:p w14:paraId="2B83448F">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108.64245</w:t>
                  </w:r>
                  <w:r>
                    <w:rPr>
                      <w:rFonts w:hint="eastAsia" w:cs="Times New Roman"/>
                      <w:color w:val="000000" w:themeColor="text1"/>
                      <w:sz w:val="21"/>
                      <w:szCs w:val="21"/>
                      <w:lang w:val="en-US" w:eastAsia="zh-CN"/>
                      <w14:textFill>
                        <w14:solidFill>
                          <w14:schemeClr w14:val="tx1"/>
                        </w14:solidFill>
                      </w14:textFill>
                    </w:rPr>
                    <w:t>0</w:t>
                  </w:r>
                </w:p>
              </w:tc>
              <w:tc>
                <w:tcPr>
                  <w:tcW w:w="733" w:type="pct"/>
                  <w:tcBorders>
                    <w:tl2br w:val="nil"/>
                    <w:tr2bl w:val="nil"/>
                  </w:tcBorders>
                  <w:noWrap w:val="0"/>
                  <w:vAlign w:val="center"/>
                </w:tcPr>
                <w:p w14:paraId="6E759E6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34.21955</w:t>
                  </w:r>
                  <w:r>
                    <w:rPr>
                      <w:rFonts w:hint="eastAsia" w:cs="Times New Roman"/>
                      <w:color w:val="000000" w:themeColor="text1"/>
                      <w:sz w:val="21"/>
                      <w:szCs w:val="21"/>
                      <w:lang w:val="en-US" w:eastAsia="zh-CN"/>
                      <w14:textFill>
                        <w14:solidFill>
                          <w14:schemeClr w14:val="tx1"/>
                        </w14:solidFill>
                      </w14:textFill>
                    </w:rPr>
                    <w:t>2</w:t>
                  </w:r>
                </w:p>
              </w:tc>
              <w:tc>
                <w:tcPr>
                  <w:tcW w:w="431" w:type="pct"/>
                  <w:vMerge w:val="continue"/>
                  <w:tcBorders>
                    <w:tl2br w:val="nil"/>
                    <w:tr2bl w:val="nil"/>
                  </w:tcBorders>
                  <w:noWrap w:val="0"/>
                  <w:vAlign w:val="center"/>
                </w:tcPr>
                <w:p w14:paraId="25E16821">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94" w:type="pct"/>
                  <w:vMerge w:val="continue"/>
                  <w:tcBorders>
                    <w:tl2br w:val="nil"/>
                    <w:tr2bl w:val="nil"/>
                  </w:tcBorders>
                  <w:noWrap w:val="0"/>
                  <w:vAlign w:val="center"/>
                </w:tcPr>
                <w:p w14:paraId="36C848D4">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vMerge w:val="continue"/>
                  <w:tcBorders>
                    <w:tl2br w:val="nil"/>
                    <w:tr2bl w:val="nil"/>
                  </w:tcBorders>
                  <w:noWrap w:val="0"/>
                  <w:vAlign w:val="center"/>
                </w:tcPr>
                <w:p w14:paraId="597A0C65">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36" w:type="pct"/>
                  <w:tcBorders>
                    <w:tl2br w:val="nil"/>
                    <w:tr2bl w:val="nil"/>
                  </w:tcBorders>
                  <w:noWrap w:val="0"/>
                  <w:vAlign w:val="center"/>
                </w:tcPr>
                <w:p w14:paraId="072EAAB2">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NE</w:t>
                  </w:r>
                </w:p>
              </w:tc>
              <w:tc>
                <w:tcPr>
                  <w:tcW w:w="432" w:type="pct"/>
                  <w:tcBorders>
                    <w:tl2br w:val="nil"/>
                    <w:tr2bl w:val="nil"/>
                  </w:tcBorders>
                  <w:noWrap w:val="0"/>
                  <w:vAlign w:val="center"/>
                </w:tcPr>
                <w:p w14:paraId="77AE05EA">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180</w:t>
                  </w:r>
                </w:p>
              </w:tc>
            </w:tr>
            <w:tr w14:paraId="3408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vMerge w:val="continue"/>
                  <w:tcBorders>
                    <w:tl2br w:val="nil"/>
                    <w:tr2bl w:val="nil"/>
                  </w:tcBorders>
                  <w:noWrap w:val="0"/>
                  <w:vAlign w:val="center"/>
                </w:tcPr>
                <w:p w14:paraId="3B01A2E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737" w:type="pct"/>
                  <w:tcBorders>
                    <w:tl2br w:val="nil"/>
                    <w:tr2bl w:val="nil"/>
                  </w:tcBorders>
                  <w:noWrap w:val="0"/>
                  <w:vAlign w:val="center"/>
                </w:tcPr>
                <w:p w14:paraId="1B6BEB45">
                  <w:pPr>
                    <w:keepNext w:val="0"/>
                    <w:keepLines w:val="0"/>
                    <w:suppressLineNumbers w:val="0"/>
                    <w:snapToGrid w:val="0"/>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龙台坊西堡村</w:t>
                  </w:r>
                </w:p>
              </w:tc>
              <w:tc>
                <w:tcPr>
                  <w:tcW w:w="776" w:type="pct"/>
                  <w:tcBorders>
                    <w:tl2br w:val="nil"/>
                    <w:tr2bl w:val="nil"/>
                  </w:tcBorders>
                  <w:noWrap w:val="0"/>
                  <w:vAlign w:val="center"/>
                </w:tcPr>
                <w:p w14:paraId="3E96B9C8">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108.63607</w:t>
                  </w:r>
                  <w:r>
                    <w:rPr>
                      <w:rFonts w:hint="eastAsia" w:cs="Times New Roman"/>
                      <w:color w:val="000000" w:themeColor="text1"/>
                      <w:sz w:val="21"/>
                      <w:szCs w:val="21"/>
                      <w:lang w:val="en-US" w:eastAsia="zh-CN"/>
                      <w14:textFill>
                        <w14:solidFill>
                          <w14:schemeClr w14:val="tx1"/>
                        </w14:solidFill>
                      </w14:textFill>
                    </w:rPr>
                    <w:t>2</w:t>
                  </w:r>
                </w:p>
              </w:tc>
              <w:tc>
                <w:tcPr>
                  <w:tcW w:w="733" w:type="pct"/>
                  <w:tcBorders>
                    <w:tl2br w:val="nil"/>
                    <w:tr2bl w:val="nil"/>
                  </w:tcBorders>
                  <w:noWrap w:val="0"/>
                  <w:vAlign w:val="center"/>
                </w:tcPr>
                <w:p w14:paraId="16E15380">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34.22043</w:t>
                  </w:r>
                  <w:r>
                    <w:rPr>
                      <w:rFonts w:hint="eastAsia" w:cs="Times New Roman"/>
                      <w:color w:val="000000" w:themeColor="text1"/>
                      <w:sz w:val="21"/>
                      <w:szCs w:val="21"/>
                      <w:lang w:val="en-US" w:eastAsia="zh-CN"/>
                      <w14:textFill>
                        <w14:solidFill>
                          <w14:schemeClr w14:val="tx1"/>
                        </w14:solidFill>
                      </w14:textFill>
                    </w:rPr>
                    <w:t>0</w:t>
                  </w:r>
                </w:p>
              </w:tc>
              <w:tc>
                <w:tcPr>
                  <w:tcW w:w="431" w:type="pct"/>
                  <w:vMerge w:val="continue"/>
                  <w:tcBorders>
                    <w:tl2br w:val="nil"/>
                    <w:tr2bl w:val="nil"/>
                  </w:tcBorders>
                  <w:noWrap w:val="0"/>
                  <w:vAlign w:val="center"/>
                </w:tcPr>
                <w:p w14:paraId="09B76946">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94" w:type="pct"/>
                  <w:vMerge w:val="continue"/>
                  <w:tcBorders>
                    <w:tl2br w:val="nil"/>
                    <w:tr2bl w:val="nil"/>
                  </w:tcBorders>
                  <w:noWrap w:val="0"/>
                  <w:vAlign w:val="center"/>
                </w:tcPr>
                <w:p w14:paraId="55513C87">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67" w:type="pct"/>
                  <w:vMerge w:val="continue"/>
                  <w:tcBorders>
                    <w:tl2br w:val="nil"/>
                    <w:tr2bl w:val="nil"/>
                  </w:tcBorders>
                  <w:noWrap w:val="0"/>
                  <w:vAlign w:val="center"/>
                </w:tcPr>
                <w:p w14:paraId="64475AFB">
                  <w:pPr>
                    <w:keepNext w:val="0"/>
                    <w:keepLines w:val="0"/>
                    <w:suppressLineNumbers w:val="0"/>
                    <w:snapToGrid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436" w:type="pct"/>
                  <w:tcBorders>
                    <w:tl2br w:val="nil"/>
                    <w:tr2bl w:val="nil"/>
                  </w:tcBorders>
                  <w:noWrap w:val="0"/>
                  <w:vAlign w:val="center"/>
                </w:tcPr>
                <w:p w14:paraId="1E393C09">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NW</w:t>
                  </w:r>
                </w:p>
              </w:tc>
              <w:tc>
                <w:tcPr>
                  <w:tcW w:w="432" w:type="pct"/>
                  <w:tcBorders>
                    <w:tl2br w:val="nil"/>
                    <w:tr2bl w:val="nil"/>
                  </w:tcBorders>
                  <w:noWrap w:val="0"/>
                  <w:vAlign w:val="center"/>
                </w:tcPr>
                <w:p w14:paraId="49E372EC">
                  <w:pPr>
                    <w:keepNext w:val="0"/>
                    <w:keepLines w:val="0"/>
                    <w:suppressLineNumbers w:val="0"/>
                    <w:snapToGrid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470</w:t>
                  </w:r>
                </w:p>
              </w:tc>
            </w:tr>
            <w:tr w14:paraId="34D7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tcBorders>
                    <w:tl2br w:val="nil"/>
                    <w:tr2bl w:val="nil"/>
                  </w:tcBorders>
                  <w:noWrap w:val="0"/>
                  <w:vAlign w:val="center"/>
                </w:tcPr>
                <w:p w14:paraId="2E7932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地下水</w:t>
                  </w:r>
                </w:p>
              </w:tc>
              <w:tc>
                <w:tcPr>
                  <w:tcW w:w="4509" w:type="pct"/>
                  <w:gridSpan w:val="8"/>
                  <w:tcBorders>
                    <w:tl2br w:val="nil"/>
                    <w:tr2bl w:val="nil"/>
                  </w:tcBorders>
                  <w:noWrap w:val="0"/>
                  <w:vAlign w:val="center"/>
                </w:tcPr>
                <w:p w14:paraId="45F175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项目厂界外500m范围内不涉及地下水集中式饮用水水源和热水、矿泉水、温泉等特殊地下水资源</w:t>
                  </w:r>
                  <w:r>
                    <w:rPr>
                      <w:rFonts w:hint="eastAsia" w:cs="Times New Roman"/>
                      <w:color w:val="000000" w:themeColor="text1"/>
                      <w:kern w:val="0"/>
                      <w:sz w:val="21"/>
                      <w:szCs w:val="21"/>
                      <w:lang w:val="en-US" w:eastAsia="zh-CN" w:bidi="ar"/>
                      <w14:textFill>
                        <w14:solidFill>
                          <w14:schemeClr w14:val="tx1"/>
                        </w14:solidFill>
                      </w14:textFill>
                    </w:rPr>
                    <w:t>。</w:t>
                  </w:r>
                </w:p>
              </w:tc>
            </w:tr>
            <w:tr w14:paraId="707F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0" w:type="pct"/>
                  <w:tcBorders>
                    <w:tl2br w:val="nil"/>
                    <w:tr2bl w:val="nil"/>
                  </w:tcBorders>
                  <w:noWrap w:val="0"/>
                  <w:vAlign w:val="center"/>
                </w:tcPr>
                <w:p w14:paraId="202E4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生态环境</w:t>
                  </w:r>
                </w:p>
              </w:tc>
              <w:tc>
                <w:tcPr>
                  <w:tcW w:w="4509" w:type="pct"/>
                  <w:gridSpan w:val="8"/>
                  <w:tcBorders>
                    <w:tl2br w:val="nil"/>
                    <w:tr2bl w:val="nil"/>
                  </w:tcBorders>
                  <w:noWrap w:val="0"/>
                  <w:vAlign w:val="center"/>
                </w:tcPr>
                <w:p w14:paraId="0082A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left"/>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w:t>
                  </w:r>
                  <w:r>
                    <w:rPr>
                      <w:rFonts w:hint="eastAsia" w:cs="Times New Roman"/>
                      <w:color w:val="000000" w:themeColor="text1"/>
                      <w:kern w:val="0"/>
                      <w:sz w:val="21"/>
                      <w:szCs w:val="21"/>
                      <w:lang w:val="en-US" w:eastAsia="zh-CN" w:bidi="ar"/>
                      <w14:textFill>
                        <w14:solidFill>
                          <w14:schemeClr w14:val="tx1"/>
                        </w14:solidFill>
                      </w14:textFill>
                    </w:rPr>
                    <w:t>租赁已建</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厂房</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lang w:val="en-US" w:eastAsia="zh-CN" w:bidi="ar"/>
                      <w14:textFill>
                        <w14:solidFill>
                          <w14:schemeClr w14:val="tx1"/>
                        </w14:solidFill>
                      </w14:textFill>
                    </w:rPr>
                    <w:t>未</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新增用地</w:t>
                  </w:r>
                  <w:r>
                    <w:rPr>
                      <w:rFonts w:hint="eastAsia" w:cs="Times New Roman"/>
                      <w:color w:val="000000" w:themeColor="text1"/>
                      <w:kern w:val="0"/>
                      <w:sz w:val="21"/>
                      <w:szCs w:val="21"/>
                      <w:lang w:val="en-US" w:eastAsia="zh-CN" w:bidi="ar"/>
                      <w14:textFill>
                        <w14:solidFill>
                          <w14:schemeClr w14:val="tx1"/>
                        </w14:solidFill>
                      </w14:textFill>
                    </w:rPr>
                    <w:t>。</w:t>
                  </w:r>
                </w:p>
              </w:tc>
            </w:tr>
          </w:tbl>
          <w:p w14:paraId="114D0D29">
            <w:pPr>
              <w:keepNext w:val="0"/>
              <w:keepLines w:val="0"/>
              <w:suppressLineNumbers w:val="0"/>
              <w:bidi w:val="0"/>
              <w:spacing w:before="0" w:beforeAutospacing="0" w:after="0" w:afterAutospacing="0"/>
              <w:ind w:left="0" w:leftChars="0" w:right="0" w:firstLine="0" w:firstLineChars="0"/>
              <w:rPr>
                <w:rFonts w:hint="default" w:ascii="Times New Roman" w:hAnsi="Times New Roman" w:cs="Times New Roman"/>
                <w:color w:val="000000" w:themeColor="text1"/>
                <w14:textFill>
                  <w14:solidFill>
                    <w14:schemeClr w14:val="tx1"/>
                  </w14:solidFill>
                </w14:textFill>
              </w:rPr>
            </w:pPr>
          </w:p>
        </w:tc>
      </w:tr>
      <w:tr w14:paraId="4D28EA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526" w:type="pct"/>
            <w:tcMar>
              <w:left w:w="28" w:type="dxa"/>
              <w:right w:w="28" w:type="dxa"/>
            </w:tcMar>
            <w:vAlign w:val="center"/>
          </w:tcPr>
          <w:p w14:paraId="282E25AD">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污染</w:t>
            </w:r>
          </w:p>
          <w:p w14:paraId="019698C6">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物排</w:t>
            </w:r>
          </w:p>
          <w:p w14:paraId="2F6D33B9">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放控</w:t>
            </w:r>
          </w:p>
          <w:p w14:paraId="178BA1DA">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制标</w:t>
            </w:r>
          </w:p>
          <w:p w14:paraId="11A24F7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color w:val="000000" w:themeColor="text1"/>
                <w:kern w:val="0"/>
                <w14:textFill>
                  <w14:solidFill>
                    <w14:schemeClr w14:val="tx1"/>
                  </w14:solidFill>
                </w14:textFill>
              </w:rPr>
            </w:pPr>
            <w:r>
              <w:rPr>
                <w:rFonts w:hint="default" w:ascii="Times New Roman" w:hAnsi="Times New Roman" w:cs="Times New Roman"/>
                <w:color w:val="000000" w:themeColor="text1"/>
                <w:kern w:val="0"/>
                <w14:textFill>
                  <w14:solidFill>
                    <w14:schemeClr w14:val="tx1"/>
                  </w14:solidFill>
                </w14:textFill>
              </w:rPr>
              <w:t>准</w:t>
            </w:r>
          </w:p>
        </w:tc>
        <w:tc>
          <w:tcPr>
            <w:tcW w:w="4473" w:type="pct"/>
            <w:vAlign w:val="center"/>
          </w:tcPr>
          <w:p w14:paraId="4D968CB0">
            <w:pPr>
              <w:keepNext w:val="0"/>
              <w:keepLines w:val="0"/>
              <w:suppressLineNumbers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1、废气排放标准：</w:t>
            </w:r>
          </w:p>
          <w:p w14:paraId="7CCF07D1">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w:t>
            </w:r>
            <w:r>
              <w:rPr>
                <w:rFonts w:hint="eastAsia" w:cs="Times New Roman"/>
                <w:color w:val="000000" w:themeColor="text1"/>
                <w:lang w:val="en-US" w:eastAsia="zh-CN"/>
                <w14:textFill>
                  <w14:solidFill>
                    <w14:schemeClr w14:val="tx1"/>
                  </w14:solidFill>
                </w14:textFill>
              </w:rPr>
              <w:t>颗粒物排放执行《大气污染物综合排放标准》（GB16297-1996）相关标准限制；有机废气中非甲烷总烃废气排放执行《挥发性有机物排放控制标准》（DB61/T 1061-2017）及《挥发性有机物无组织排放控制标准》(GB37822-2019)相关限值</w:t>
            </w:r>
            <w:r>
              <w:rPr>
                <w:rFonts w:hint="default" w:ascii="Times New Roman" w:hAnsi="Times New Roman" w:cs="Times New Roman"/>
                <w:color w:val="000000" w:themeColor="text1"/>
                <w14:textFill>
                  <w14:solidFill>
                    <w14:schemeClr w14:val="tx1"/>
                  </w14:solidFill>
                </w14:textFill>
              </w:rPr>
              <w:t>。</w:t>
            </w:r>
          </w:p>
          <w:p w14:paraId="42C75DFF">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w:t>
            </w:r>
            <w:r>
              <w:rPr>
                <w:rFonts w:hint="eastAsia" w:eastAsia="黑体" w:cs="Times New Roman"/>
                <w:b w:val="0"/>
                <w:bCs w:val="0"/>
                <w:color w:val="000000" w:themeColor="text1"/>
                <w:sz w:val="24"/>
                <w:szCs w:val="24"/>
                <w:lang w:val="en-US" w:eastAsia="zh-CN"/>
                <w14:textFill>
                  <w14:solidFill>
                    <w14:schemeClr w14:val="tx1"/>
                  </w14:solidFill>
                </w14:textFill>
              </w:rPr>
              <w:t>6</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运营期废气排放标准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2646"/>
              <w:gridCol w:w="1950"/>
              <w:gridCol w:w="2391"/>
            </w:tblGrid>
            <w:tr w14:paraId="3258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6" w:type="pct"/>
                  <w:vMerge w:val="restart"/>
                  <w:tcBorders>
                    <w:top w:val="single" w:color="auto" w:sz="4" w:space="0"/>
                    <w:left w:val="single" w:color="auto" w:sz="4" w:space="0"/>
                    <w:right w:val="single" w:color="auto" w:sz="4" w:space="0"/>
                  </w:tcBorders>
                  <w:noWrap w:val="0"/>
                  <w:vAlign w:val="center"/>
                </w:tcPr>
                <w:p w14:paraId="24F99F9C">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679" w:type="pct"/>
                  <w:vMerge w:val="restart"/>
                  <w:tcBorders>
                    <w:top w:val="single" w:color="auto" w:sz="4" w:space="0"/>
                    <w:left w:val="single" w:color="auto" w:sz="4" w:space="0"/>
                    <w:right w:val="single" w:color="auto" w:sz="4" w:space="0"/>
                  </w:tcBorders>
                  <w:noWrap w:val="0"/>
                  <w:vAlign w:val="center"/>
                </w:tcPr>
                <w:p w14:paraId="28FE2302">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执行</w:t>
                  </w:r>
                  <w:r>
                    <w:rPr>
                      <w:rFonts w:hint="default" w:ascii="Times New Roman" w:hAnsi="Times New Roman" w:cs="Times New Roman"/>
                      <w:b/>
                      <w:bCs/>
                      <w:color w:val="000000" w:themeColor="text1"/>
                      <w:sz w:val="21"/>
                      <w:szCs w:val="21"/>
                      <w14:textFill>
                        <w14:solidFill>
                          <w14:schemeClr w14:val="tx1"/>
                        </w14:solidFill>
                      </w14:textFill>
                    </w:rPr>
                    <w:t>标准</w:t>
                  </w:r>
                </w:p>
              </w:tc>
              <w:tc>
                <w:tcPr>
                  <w:tcW w:w="2754" w:type="pct"/>
                  <w:gridSpan w:val="2"/>
                  <w:tcBorders>
                    <w:top w:val="single" w:color="auto" w:sz="4" w:space="0"/>
                    <w:left w:val="single" w:color="auto" w:sz="4" w:space="0"/>
                    <w:bottom w:val="single" w:color="auto" w:sz="4" w:space="0"/>
                    <w:right w:val="single" w:color="auto" w:sz="4" w:space="0"/>
                  </w:tcBorders>
                  <w:noWrap w:val="0"/>
                  <w:vAlign w:val="center"/>
                </w:tcPr>
                <w:p w14:paraId="48302B86">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排放限值</w:t>
                  </w:r>
                </w:p>
              </w:tc>
            </w:tr>
            <w:tr w14:paraId="15FF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66" w:type="pct"/>
                  <w:vMerge w:val="continue"/>
                  <w:tcBorders>
                    <w:left w:val="single" w:color="auto" w:sz="4" w:space="0"/>
                    <w:bottom w:val="single" w:color="auto" w:sz="4" w:space="0"/>
                    <w:right w:val="single" w:color="auto" w:sz="4" w:space="0"/>
                  </w:tcBorders>
                  <w:noWrap w:val="0"/>
                  <w:vAlign w:val="center"/>
                </w:tcPr>
                <w:p w14:paraId="2F59C35B">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679" w:type="pct"/>
                  <w:vMerge w:val="continue"/>
                  <w:tcBorders>
                    <w:left w:val="single" w:color="auto" w:sz="4" w:space="0"/>
                    <w:bottom w:val="single" w:color="auto" w:sz="4" w:space="0"/>
                    <w:right w:val="single" w:color="auto" w:sz="4" w:space="0"/>
                  </w:tcBorders>
                  <w:noWrap w:val="0"/>
                  <w:vAlign w:val="center"/>
                </w:tcPr>
                <w:p w14:paraId="6DD6A44B">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237" w:type="pct"/>
                  <w:tcBorders>
                    <w:left w:val="single" w:color="auto" w:sz="4" w:space="0"/>
                    <w:right w:val="single" w:color="auto" w:sz="4" w:space="0"/>
                  </w:tcBorders>
                  <w:noWrap w:val="0"/>
                  <w:vAlign w:val="center"/>
                </w:tcPr>
                <w:p w14:paraId="4C7EEA75">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有组织</w:t>
                  </w:r>
                </w:p>
              </w:tc>
              <w:tc>
                <w:tcPr>
                  <w:tcW w:w="1517" w:type="pct"/>
                  <w:tcBorders>
                    <w:left w:val="single" w:color="auto" w:sz="4" w:space="0"/>
                    <w:right w:val="single" w:color="auto" w:sz="4" w:space="0"/>
                  </w:tcBorders>
                  <w:noWrap w:val="0"/>
                  <w:vAlign w:val="center"/>
                </w:tcPr>
                <w:p w14:paraId="78197456">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无组织</w:t>
                  </w:r>
                </w:p>
              </w:tc>
            </w:tr>
            <w:tr w14:paraId="0C2C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 w:type="pct"/>
                  <w:tcBorders>
                    <w:top w:val="single" w:color="auto" w:sz="4" w:space="0"/>
                    <w:left w:val="single" w:color="auto" w:sz="4" w:space="0"/>
                    <w:right w:val="single" w:color="auto" w:sz="4" w:space="0"/>
                  </w:tcBorders>
                  <w:noWrap w:val="0"/>
                  <w:vAlign w:val="center"/>
                </w:tcPr>
                <w:p w14:paraId="7B49FBD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60D1A9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《大气污染物综合排放标准》（GB16297-1996）</w:t>
                  </w:r>
                </w:p>
              </w:tc>
              <w:tc>
                <w:tcPr>
                  <w:tcW w:w="1237" w:type="pct"/>
                  <w:tcBorders>
                    <w:left w:val="single" w:color="auto" w:sz="4" w:space="0"/>
                    <w:right w:val="single" w:color="auto" w:sz="4" w:space="0"/>
                  </w:tcBorders>
                  <w:shd w:val="clear" w:color="auto" w:fill="auto"/>
                  <w:noWrap w:val="0"/>
                  <w:vAlign w:val="center"/>
                </w:tcPr>
                <w:p w14:paraId="7B4D60FB">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17" w:type="pct"/>
                  <w:tcBorders>
                    <w:left w:val="single" w:color="auto" w:sz="4" w:space="0"/>
                    <w:right w:val="single" w:color="auto" w:sz="4" w:space="0"/>
                  </w:tcBorders>
                  <w:shd w:val="clear" w:color="auto" w:fill="auto"/>
                  <w:noWrap w:val="0"/>
                  <w:vAlign w:val="center"/>
                </w:tcPr>
                <w:p w14:paraId="52B7583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w:t>
                  </w:r>
                </w:p>
              </w:tc>
            </w:tr>
            <w:tr w14:paraId="3C0AB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 w:type="pct"/>
                  <w:vMerge w:val="restart"/>
                  <w:tcBorders>
                    <w:top w:val="single" w:color="auto" w:sz="4" w:space="0"/>
                    <w:left w:val="single" w:color="auto" w:sz="4" w:space="0"/>
                    <w:right w:val="single" w:color="auto" w:sz="4" w:space="0"/>
                  </w:tcBorders>
                  <w:noWrap w:val="0"/>
                  <w:vAlign w:val="center"/>
                </w:tcPr>
                <w:p w14:paraId="1AFCFA63">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1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10A958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《挥发性有机物排放控制标准》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（DB61/T 1061-2017）</w:t>
                  </w:r>
                </w:p>
              </w:tc>
              <w:tc>
                <w:tcPr>
                  <w:tcW w:w="1237" w:type="pct"/>
                  <w:tcBorders>
                    <w:left w:val="single" w:color="auto" w:sz="4" w:space="0"/>
                    <w:right w:val="single" w:color="auto" w:sz="4" w:space="0"/>
                  </w:tcBorders>
                  <w:shd w:val="clear" w:color="auto" w:fill="auto"/>
                  <w:noWrap w:val="0"/>
                  <w:vAlign w:val="center"/>
                </w:tcPr>
                <w:p w14:paraId="1563B65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排放浓度：50</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p w14:paraId="2DA14770">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去除效率：85%</w:t>
                  </w:r>
                </w:p>
              </w:tc>
              <w:tc>
                <w:tcPr>
                  <w:tcW w:w="1517" w:type="pct"/>
                  <w:tcBorders>
                    <w:left w:val="single" w:color="auto" w:sz="4" w:space="0"/>
                    <w:right w:val="single" w:color="auto" w:sz="4" w:space="0"/>
                  </w:tcBorders>
                  <w:shd w:val="clear" w:color="auto" w:fill="auto"/>
                  <w:noWrap w:val="0"/>
                  <w:vAlign w:val="center"/>
                </w:tcPr>
                <w:p w14:paraId="7935FEDE">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企业边界：</w:t>
                  </w:r>
                  <w:r>
                    <w:rPr>
                      <w:rFonts w:hint="eastAsia" w:cs="Times New Roman"/>
                      <w:color w:val="000000" w:themeColor="text1"/>
                      <w:sz w:val="21"/>
                      <w:szCs w:val="21"/>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r>
            <w:tr w14:paraId="5ECE9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6" w:type="pct"/>
                  <w:vMerge w:val="continue"/>
                  <w:tcBorders>
                    <w:left w:val="single" w:color="auto" w:sz="4" w:space="0"/>
                    <w:right w:val="single" w:color="auto" w:sz="4" w:space="0"/>
                  </w:tcBorders>
                  <w:noWrap w:val="0"/>
                  <w:vAlign w:val="center"/>
                </w:tcPr>
                <w:p w14:paraId="1DC8D3BD">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67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F984566">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挥发性有机物无组织排放控制标准》(GB37822-2019)</w:t>
                  </w:r>
                </w:p>
              </w:tc>
              <w:tc>
                <w:tcPr>
                  <w:tcW w:w="1237" w:type="pct"/>
                  <w:tcBorders>
                    <w:left w:val="single" w:color="auto" w:sz="4" w:space="0"/>
                    <w:right w:val="single" w:color="auto" w:sz="4" w:space="0"/>
                  </w:tcBorders>
                  <w:shd w:val="clear" w:color="auto" w:fill="auto"/>
                  <w:noWrap w:val="0"/>
                  <w:vAlign w:val="center"/>
                </w:tcPr>
                <w:p w14:paraId="11D43698">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17" w:type="pct"/>
                  <w:tcBorders>
                    <w:left w:val="single" w:color="auto" w:sz="4" w:space="0"/>
                    <w:right w:val="single" w:color="auto" w:sz="4" w:space="0"/>
                  </w:tcBorders>
                  <w:shd w:val="clear" w:color="auto" w:fill="auto"/>
                  <w:noWrap w:val="0"/>
                  <w:vAlign w:val="center"/>
                </w:tcPr>
                <w:p w14:paraId="12C5F0AF">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left"/>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厂区内：</w:t>
                  </w:r>
                </w:p>
                <w:p w14:paraId="49D9788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1</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h平均浓度值：</w:t>
                  </w:r>
                  <w:r>
                    <w:rPr>
                      <w:rFonts w:hint="eastAsia" w:cs="Times New Roman"/>
                      <w:color w:val="000000" w:themeColor="text1"/>
                      <w:sz w:val="21"/>
                      <w:szCs w:val="21"/>
                      <w:lang w:val="en-US" w:eastAsia="zh-CN"/>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p w14:paraId="764B6301">
                  <w:pPr>
                    <w:keepNext w:val="0"/>
                    <w:keepLines w:val="0"/>
                    <w:pageBreakBefore w:val="0"/>
                    <w:widowControl w:val="0"/>
                    <w:suppressLineNumbers w:val="0"/>
                    <w:kinsoku/>
                    <w:wordWrap/>
                    <w:overflowPunct/>
                    <w:topLinePunct w:val="0"/>
                    <w:autoSpaceDE/>
                    <w:autoSpaceDN/>
                    <w:bidi w:val="0"/>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任意一次浓度：</w:t>
                  </w:r>
                  <w:r>
                    <w:rPr>
                      <w:rFonts w:hint="eastAsia"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mg/m</w:t>
                  </w:r>
                  <w:r>
                    <w:rPr>
                      <w:rFonts w:hint="default" w:ascii="Times New Roman" w:hAnsi="Times New Roman" w:cs="Times New Roman"/>
                      <w:color w:val="000000" w:themeColor="text1"/>
                      <w:sz w:val="21"/>
                      <w:szCs w:val="21"/>
                      <w:vertAlign w:val="superscript"/>
                      <w14:textFill>
                        <w14:solidFill>
                          <w14:schemeClr w14:val="tx1"/>
                        </w14:solidFill>
                      </w14:textFill>
                    </w:rPr>
                    <w:t>3</w:t>
                  </w:r>
                </w:p>
              </w:tc>
            </w:tr>
          </w:tbl>
          <w:p w14:paraId="472D59C7">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2、废水排放标准：</w:t>
            </w:r>
          </w:p>
          <w:p w14:paraId="632812E3">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运营期废水</w:t>
            </w:r>
            <w:r>
              <w:rPr>
                <w:rFonts w:hint="default" w:ascii="Times New Roman" w:hAnsi="Times New Roman" w:cs="Times New Roman"/>
                <w:color w:val="000000" w:themeColor="text1"/>
                <w:lang w:val="en-US" w:eastAsia="zh-CN"/>
                <w14:textFill>
                  <w14:solidFill>
                    <w14:schemeClr w14:val="tx1"/>
                  </w14:solidFill>
                </w14:textFill>
              </w:rPr>
              <w:t>排放</w:t>
            </w:r>
            <w:r>
              <w:rPr>
                <w:rFonts w:hint="default" w:ascii="Times New Roman" w:hAnsi="Times New Roman" w:cs="Times New Roman"/>
                <w:color w:val="000000" w:themeColor="text1"/>
                <w14:textFill>
                  <w14:solidFill>
                    <w14:schemeClr w14:val="tx1"/>
                  </w14:solidFill>
                </w14:textFill>
              </w:rPr>
              <w:t>执行《污水综合排放标准》</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GB8978-1996</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中的三级标准，缺项执行《污水排入城镇下水道水质标准》（GB/T31692-2015）表1中A级标准。</w:t>
            </w:r>
          </w:p>
          <w:p w14:paraId="1057F0DB">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w:t>
            </w:r>
            <w:r>
              <w:rPr>
                <w:rFonts w:hint="eastAsia" w:eastAsia="黑体"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项目废水排放标准  单位：mg/L</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75"/>
              <w:gridCol w:w="865"/>
              <w:gridCol w:w="970"/>
              <w:gridCol w:w="970"/>
              <w:gridCol w:w="970"/>
              <w:gridCol w:w="970"/>
              <w:gridCol w:w="971"/>
            </w:tblGrid>
            <w:tr w14:paraId="16CB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88" w:type="pct"/>
                  <w:noWrap w:val="0"/>
                  <w:vAlign w:val="center"/>
                </w:tcPr>
                <w:p w14:paraId="5A803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682" w:type="pct"/>
                  <w:noWrap w:val="0"/>
                  <w:vAlign w:val="center"/>
                </w:tcPr>
                <w:p w14:paraId="23788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pH值</w:t>
                  </w:r>
                  <w:r>
                    <w:rPr>
                      <w:rFonts w:hint="eastAsia" w:cs="Times New Roman"/>
                      <w:b/>
                      <w:bCs/>
                      <w:color w:val="000000" w:themeColor="text1"/>
                      <w:sz w:val="21"/>
                      <w:szCs w:val="21"/>
                      <w:lang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无量纲</w:t>
                  </w:r>
                  <w:r>
                    <w:rPr>
                      <w:rFonts w:hint="eastAsia" w:cs="Times New Roman"/>
                      <w:b/>
                      <w:bCs/>
                      <w:color w:val="000000" w:themeColor="text1"/>
                      <w:sz w:val="21"/>
                      <w:szCs w:val="21"/>
                      <w:lang w:eastAsia="zh-CN"/>
                      <w14:textFill>
                        <w14:solidFill>
                          <w14:schemeClr w14:val="tx1"/>
                        </w14:solidFill>
                      </w14:textFill>
                    </w:rPr>
                    <w:t>）</w:t>
                  </w:r>
                </w:p>
              </w:tc>
              <w:tc>
                <w:tcPr>
                  <w:tcW w:w="549" w:type="pct"/>
                  <w:noWrap w:val="0"/>
                  <w:vAlign w:val="center"/>
                </w:tcPr>
                <w:p w14:paraId="7035F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COD</w:t>
                  </w:r>
                </w:p>
              </w:tc>
              <w:tc>
                <w:tcPr>
                  <w:tcW w:w="615" w:type="pct"/>
                  <w:noWrap w:val="0"/>
                  <w:vAlign w:val="center"/>
                </w:tcPr>
                <w:p w14:paraId="2268C0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BOD</w:t>
                  </w:r>
                  <w:r>
                    <w:rPr>
                      <w:rFonts w:hint="default" w:ascii="Times New Roman" w:hAnsi="Times New Roman" w:cs="Times New Roman"/>
                      <w:b/>
                      <w:bCs/>
                      <w:color w:val="000000" w:themeColor="text1"/>
                      <w:sz w:val="21"/>
                      <w:szCs w:val="21"/>
                      <w:vertAlign w:val="subscript"/>
                      <w14:textFill>
                        <w14:solidFill>
                          <w14:schemeClr w14:val="tx1"/>
                        </w14:solidFill>
                      </w14:textFill>
                    </w:rPr>
                    <w:t>5</w:t>
                  </w:r>
                </w:p>
              </w:tc>
              <w:tc>
                <w:tcPr>
                  <w:tcW w:w="615" w:type="pct"/>
                  <w:noWrap w:val="0"/>
                  <w:vAlign w:val="center"/>
                </w:tcPr>
                <w:p w14:paraId="01E4BF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SS</w:t>
                  </w:r>
                </w:p>
              </w:tc>
              <w:tc>
                <w:tcPr>
                  <w:tcW w:w="615" w:type="pct"/>
                  <w:noWrap w:val="0"/>
                  <w:vAlign w:val="center"/>
                </w:tcPr>
                <w:p w14:paraId="1E344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氨氮</w:t>
                  </w:r>
                </w:p>
              </w:tc>
              <w:tc>
                <w:tcPr>
                  <w:tcW w:w="615" w:type="pct"/>
                  <w:noWrap w:val="0"/>
                  <w:vAlign w:val="center"/>
                </w:tcPr>
                <w:p w14:paraId="4A926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总磷</w:t>
                  </w:r>
                </w:p>
              </w:tc>
              <w:tc>
                <w:tcPr>
                  <w:tcW w:w="616" w:type="pct"/>
                  <w:noWrap w:val="0"/>
                  <w:vAlign w:val="center"/>
                </w:tcPr>
                <w:p w14:paraId="18C4D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总氮</w:t>
                  </w:r>
                </w:p>
              </w:tc>
            </w:tr>
            <w:tr w14:paraId="2D6BB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8" w:type="pct"/>
                  <w:noWrap w:val="0"/>
                  <w:vAlign w:val="center"/>
                </w:tcPr>
                <w:p w14:paraId="3EE64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排放限值</w:t>
                  </w:r>
                </w:p>
              </w:tc>
              <w:tc>
                <w:tcPr>
                  <w:tcW w:w="682" w:type="pct"/>
                  <w:noWrap w:val="0"/>
                  <w:vAlign w:val="center"/>
                </w:tcPr>
                <w:p w14:paraId="2F5329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549" w:type="pct"/>
                  <w:noWrap w:val="0"/>
                  <w:vAlign w:val="center"/>
                </w:tcPr>
                <w:p w14:paraId="3AB78A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c>
                <w:tcPr>
                  <w:tcW w:w="615" w:type="pct"/>
                  <w:noWrap w:val="0"/>
                  <w:vAlign w:val="center"/>
                </w:tcPr>
                <w:p w14:paraId="33B5C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615" w:type="pct"/>
                  <w:noWrap w:val="0"/>
                  <w:vAlign w:val="center"/>
                </w:tcPr>
                <w:p w14:paraId="46FBA4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c>
                <w:tcPr>
                  <w:tcW w:w="615" w:type="pct"/>
                  <w:noWrap w:val="0"/>
                  <w:vAlign w:val="center"/>
                </w:tcPr>
                <w:p w14:paraId="52200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p>
              </w:tc>
              <w:tc>
                <w:tcPr>
                  <w:tcW w:w="615" w:type="pct"/>
                  <w:noWrap w:val="0"/>
                  <w:vAlign w:val="center"/>
                </w:tcPr>
                <w:p w14:paraId="66D3F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616" w:type="pct"/>
                  <w:noWrap w:val="0"/>
                  <w:vAlign w:val="center"/>
                </w:tcPr>
                <w:p w14:paraId="53734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r>
          </w:tbl>
          <w:p w14:paraId="41BCD66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3、噪声排放标准：</w:t>
            </w:r>
          </w:p>
          <w:p w14:paraId="02319C10">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w:t>
            </w:r>
            <w:r>
              <w:rPr>
                <w:rFonts w:hint="eastAsia" w:cs="Times New Roman"/>
                <w:color w:val="000000" w:themeColor="text1"/>
                <w:lang w:val="en-US" w:eastAsia="zh-CN"/>
                <w14:textFill>
                  <w14:solidFill>
                    <w14:schemeClr w14:val="tx1"/>
                  </w14:solidFill>
                </w14:textFill>
              </w:rPr>
              <w:t>夜间不生产，</w:t>
            </w:r>
            <w:r>
              <w:rPr>
                <w:rFonts w:hint="default" w:ascii="Times New Roman" w:hAnsi="Times New Roman" w:cs="Times New Roman"/>
                <w:color w:val="000000" w:themeColor="text1"/>
                <w14:textFill>
                  <w14:solidFill>
                    <w14:schemeClr w14:val="tx1"/>
                  </w14:solidFill>
                </w14:textFill>
              </w:rPr>
              <w:t>厂界</w:t>
            </w:r>
            <w:r>
              <w:rPr>
                <w:rFonts w:hint="eastAsia" w:cs="Times New Roman"/>
                <w:color w:val="000000" w:themeColor="text1"/>
                <w:lang w:val="en-US" w:eastAsia="zh-CN"/>
                <w14:textFill>
                  <w14:solidFill>
                    <w14:schemeClr w14:val="tx1"/>
                  </w14:solidFill>
                </w14:textFill>
              </w:rPr>
              <w:t>昼间</w:t>
            </w:r>
            <w:r>
              <w:rPr>
                <w:rFonts w:hint="default" w:ascii="Times New Roman" w:hAnsi="Times New Roman" w:cs="Times New Roman"/>
                <w:color w:val="000000" w:themeColor="text1"/>
                <w14:textFill>
                  <w14:solidFill>
                    <w14:schemeClr w14:val="tx1"/>
                  </w14:solidFill>
                </w14:textFill>
              </w:rPr>
              <w:t>噪声执行《工业企业厂界环境噪声排放标准》（GB12348-2008）中</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w:t>
            </w:r>
          </w:p>
          <w:p w14:paraId="78DF135B">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w:t>
            </w:r>
            <w:r>
              <w:rPr>
                <w:rFonts w:hint="eastAsia" w:eastAsia="黑体"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工业企业厂界环境噪声排放标准限值</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2"/>
              <w:gridCol w:w="1340"/>
              <w:gridCol w:w="2628"/>
            </w:tblGrid>
            <w:tr w14:paraId="1389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1" w:type="pct"/>
                  <w:vMerge w:val="restart"/>
                  <w:vAlign w:val="center"/>
                </w:tcPr>
                <w:p w14:paraId="4C00F6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标准名称</w:t>
                  </w:r>
                </w:p>
              </w:tc>
              <w:tc>
                <w:tcPr>
                  <w:tcW w:w="850" w:type="pct"/>
                  <w:vMerge w:val="restart"/>
                  <w:vAlign w:val="center"/>
                </w:tcPr>
                <w:p w14:paraId="238A2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类别</w:t>
                  </w:r>
                </w:p>
              </w:tc>
              <w:tc>
                <w:tcPr>
                  <w:tcW w:w="1667" w:type="pct"/>
                  <w:vAlign w:val="center"/>
                </w:tcPr>
                <w:p w14:paraId="74273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标准限值</w:t>
                  </w:r>
                </w:p>
              </w:tc>
            </w:tr>
            <w:tr w14:paraId="513B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81" w:type="pct"/>
                  <w:vMerge w:val="continue"/>
                  <w:vAlign w:val="center"/>
                </w:tcPr>
                <w:p w14:paraId="22813A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850" w:type="pct"/>
                  <w:vMerge w:val="continue"/>
                  <w:vAlign w:val="center"/>
                </w:tcPr>
                <w:p w14:paraId="151304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p>
              </w:tc>
              <w:tc>
                <w:tcPr>
                  <w:tcW w:w="1667" w:type="pct"/>
                  <w:vAlign w:val="center"/>
                </w:tcPr>
                <w:p w14:paraId="2F446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昼间/dB（A）</w:t>
                  </w:r>
                </w:p>
              </w:tc>
            </w:tr>
            <w:tr w14:paraId="7B98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81" w:type="pct"/>
                  <w:vAlign w:val="center"/>
                </w:tcPr>
                <w:p w14:paraId="588BE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w:t>
                  </w:r>
                </w:p>
              </w:tc>
              <w:tc>
                <w:tcPr>
                  <w:tcW w:w="850" w:type="pct"/>
                  <w:vAlign w:val="center"/>
                </w:tcPr>
                <w:p w14:paraId="0F58C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类</w:t>
                  </w:r>
                </w:p>
              </w:tc>
              <w:tc>
                <w:tcPr>
                  <w:tcW w:w="1667" w:type="pct"/>
                  <w:vAlign w:val="center"/>
                </w:tcPr>
                <w:p w14:paraId="12CB7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r>
          </w:tbl>
          <w:p w14:paraId="5941C38E">
            <w:pPr>
              <w:keepNext w:val="0"/>
              <w:keepLines w:val="0"/>
              <w:suppressLineNumbers w:val="0"/>
              <w:spacing w:before="0" w:beforeAutospacing="0" w:after="0" w:afterAutospacing="0"/>
              <w:ind w:left="0" w:right="0" w:firstLine="480"/>
              <w:outlineLvl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4、固体废物控制指标：</w:t>
            </w:r>
          </w:p>
          <w:p w14:paraId="29AC35EA">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运营期</w:t>
            </w:r>
            <w:r>
              <w:rPr>
                <w:rFonts w:hint="default" w:ascii="Times New Roman" w:hAnsi="Times New Roman" w:cs="Times New Roman"/>
                <w:color w:val="000000" w:themeColor="text1"/>
                <w:sz w:val="24"/>
                <w14:textFill>
                  <w14:solidFill>
                    <w14:schemeClr w14:val="tx1"/>
                  </w14:solidFill>
                </w14:textFill>
              </w:rPr>
              <w:t>一般固废执行《一般工业固体废物贮存和填埋污染控制标准》（GB18599-2020）中相关规定</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危险废物执行《危险废物贮存污染控制标准》（GB18597-20</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）中的有关规定。</w:t>
            </w:r>
          </w:p>
        </w:tc>
      </w:tr>
      <w:tr w14:paraId="6AA9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9" w:hRule="atLeast"/>
          <w:jc w:val="center"/>
        </w:trPr>
        <w:tc>
          <w:tcPr>
            <w:tcW w:w="526" w:type="pct"/>
            <w:vAlign w:val="center"/>
          </w:tcPr>
          <w:p w14:paraId="67A868E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总量</w:t>
            </w:r>
          </w:p>
          <w:p w14:paraId="4BD2520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控制</w:t>
            </w:r>
          </w:p>
          <w:p w14:paraId="620C9DCD">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指标</w:t>
            </w:r>
          </w:p>
        </w:tc>
        <w:tc>
          <w:tcPr>
            <w:tcW w:w="4473" w:type="pct"/>
            <w:vAlign w:val="top"/>
          </w:tcPr>
          <w:p w14:paraId="4AA4FE4E">
            <w:pPr>
              <w:keepNext w:val="0"/>
              <w:keepLines w:val="0"/>
              <w:suppressLineNumbers w:val="0"/>
              <w:spacing w:before="0" w:beforeAutospacing="0" w:after="0" w:afterAutospacing="0"/>
              <w:ind w:left="0" w:right="0" w:firstLine="480"/>
              <w:jc w:val="left"/>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w:t>
            </w:r>
            <w:r>
              <w:rPr>
                <w:rFonts w:hint="default" w:ascii="Times New Roman" w:hAnsi="Times New Roman" w:cs="Times New Roman"/>
                <w:color w:val="000000" w:themeColor="text1"/>
                <w:lang w:val="en-US" w:eastAsia="zh-CN"/>
                <w14:textFill>
                  <w14:solidFill>
                    <w14:schemeClr w14:val="tx1"/>
                  </w14:solidFill>
                </w14:textFill>
              </w:rPr>
              <w:t>污染物总量控制</w:t>
            </w:r>
            <w:r>
              <w:rPr>
                <w:rFonts w:hint="eastAsia" w:cs="Times New Roman"/>
                <w:color w:val="000000" w:themeColor="text1"/>
                <w:lang w:val="en-US" w:eastAsia="zh-CN"/>
                <w14:textFill>
                  <w14:solidFill>
                    <w14:schemeClr w14:val="tx1"/>
                  </w14:solidFill>
                </w14:textFill>
              </w:rPr>
              <w:t>指标</w:t>
            </w:r>
            <w:r>
              <w:rPr>
                <w:rFonts w:hint="default" w:ascii="Times New Roman" w:hAnsi="Times New Roman" w:cs="Times New Roman"/>
                <w:color w:val="000000" w:themeColor="text1"/>
                <w:lang w:val="en-US" w:eastAsia="zh-CN"/>
                <w14:textFill>
                  <w14:solidFill>
                    <w14:schemeClr w14:val="tx1"/>
                  </w14:solidFill>
                </w14:textFill>
              </w:rPr>
              <w:t>主要为VOCs、COD、</w:t>
            </w:r>
            <w:r>
              <w:rPr>
                <w:rFonts w:hint="eastAsia" w:cs="Times New Roman"/>
                <w:color w:val="000000" w:themeColor="text1"/>
                <w:lang w:val="en-US" w:eastAsia="zh-CN"/>
                <w14:textFill>
                  <w14:solidFill>
                    <w14:schemeClr w14:val="tx1"/>
                  </w14:solidFill>
                </w14:textFill>
              </w:rPr>
              <w:t>氨氮</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本项目总量控制值见表3-</w:t>
            </w:r>
            <w:r>
              <w:rPr>
                <w:rFonts w:hint="eastAsia" w:cs="Times New Roman"/>
                <w:color w:val="000000" w:themeColor="text1"/>
                <w:lang w:val="en-US" w:eastAsia="zh-CN"/>
                <w14:textFill>
                  <w14:solidFill>
                    <w14:schemeClr w14:val="tx1"/>
                  </w14:solidFill>
                </w14:textFill>
              </w:rPr>
              <w:t>9</w:t>
            </w:r>
            <w:r>
              <w:rPr>
                <w:rFonts w:hint="default" w:ascii="Times New Roman" w:hAnsi="Times New Roman" w:cs="Times New Roman"/>
                <w:color w:val="000000" w:themeColor="text1"/>
                <w14:textFill>
                  <w14:solidFill>
                    <w14:schemeClr w14:val="tx1"/>
                  </w14:solidFill>
                </w14:textFill>
              </w:rPr>
              <w:t>。</w:t>
            </w:r>
          </w:p>
          <w:p w14:paraId="05C070F1">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表3-</w:t>
            </w:r>
            <w:r>
              <w:rPr>
                <w:rFonts w:hint="eastAsia" w:eastAsia="黑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总量建议指标表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1368"/>
              <w:gridCol w:w="2343"/>
              <w:gridCol w:w="2808"/>
            </w:tblGrid>
            <w:tr w14:paraId="4792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Align w:val="center"/>
                </w:tcPr>
                <w:p w14:paraId="2FBA0CE2">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类别</w:t>
                  </w:r>
                </w:p>
              </w:tc>
              <w:tc>
                <w:tcPr>
                  <w:tcW w:w="868" w:type="pct"/>
                  <w:vAlign w:val="center"/>
                </w:tcPr>
                <w:p w14:paraId="086247A6">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项目</w:t>
                  </w:r>
                </w:p>
              </w:tc>
              <w:tc>
                <w:tcPr>
                  <w:tcW w:w="1486" w:type="pct"/>
                  <w:vAlign w:val="center"/>
                </w:tcPr>
                <w:p w14:paraId="6FFC5FDB">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
                      <w:bCs w:val="0"/>
                      <w:color w:val="000000" w:themeColor="text1"/>
                      <w:sz w:val="21"/>
                      <w:szCs w:val="21"/>
                      <w:lang w:eastAsia="zh-CN"/>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排放量</w:t>
                  </w:r>
                  <w:r>
                    <w:rPr>
                      <w:rFonts w:hint="default" w:ascii="Times New Roman" w:hAnsi="Times New Roman"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cs="Times New Roman"/>
                      <w:b/>
                      <w:bCs w:val="0"/>
                      <w:color w:val="000000" w:themeColor="text1"/>
                      <w:sz w:val="21"/>
                      <w:szCs w:val="21"/>
                      <w:highlight w:val="none"/>
                      <w:lang w:eastAsia="zh-CN"/>
                      <w14:textFill>
                        <w14:solidFill>
                          <w14:schemeClr w14:val="tx1"/>
                        </w14:solidFill>
                      </w14:textFill>
                    </w:rPr>
                    <w:t>）</w:t>
                  </w:r>
                </w:p>
              </w:tc>
              <w:tc>
                <w:tcPr>
                  <w:tcW w:w="1781" w:type="pct"/>
                  <w:vAlign w:val="center"/>
                </w:tcPr>
                <w:p w14:paraId="549403C1">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建议指标</w:t>
                  </w:r>
                  <w:r>
                    <w:rPr>
                      <w:rFonts w:hint="default" w:ascii="Times New Roman" w:hAnsi="Times New Roman" w:cs="Times New Roman"/>
                      <w:b/>
                      <w:bCs w:val="0"/>
                      <w:color w:val="000000" w:themeColor="text1"/>
                      <w:sz w:val="21"/>
                      <w:szCs w:val="21"/>
                      <w:lang w:eastAsia="zh-CN"/>
                      <w14:textFill>
                        <w14:solidFill>
                          <w14:schemeClr w14:val="tx1"/>
                        </w14:solidFill>
                      </w14:textFill>
                    </w:rPr>
                    <w:t>（</w:t>
                  </w:r>
                  <w:r>
                    <w:rPr>
                      <w:rFonts w:hint="default" w:ascii="Times New Roman" w:hAnsi="Times New Roman" w:cs="Times New Roman"/>
                      <w:b/>
                      <w:bCs w:val="0"/>
                      <w:color w:val="000000" w:themeColor="text1"/>
                      <w:sz w:val="21"/>
                      <w:szCs w:val="21"/>
                      <w:lang w:val="en-US" w:eastAsia="zh-CN"/>
                      <w14:textFill>
                        <w14:solidFill>
                          <w14:schemeClr w14:val="tx1"/>
                        </w14:solidFill>
                      </w14:textFill>
                    </w:rPr>
                    <w:t>t/a</w:t>
                  </w:r>
                  <w:r>
                    <w:rPr>
                      <w:rFonts w:hint="default" w:ascii="Times New Roman" w:hAnsi="Times New Roman" w:cs="Times New Roman"/>
                      <w:b/>
                      <w:bCs w:val="0"/>
                      <w:color w:val="000000" w:themeColor="text1"/>
                      <w:sz w:val="21"/>
                      <w:szCs w:val="21"/>
                      <w:lang w:eastAsia="zh-CN"/>
                      <w14:textFill>
                        <w14:solidFill>
                          <w14:schemeClr w14:val="tx1"/>
                        </w14:solidFill>
                      </w14:textFill>
                    </w:rPr>
                    <w:t>）</w:t>
                  </w:r>
                </w:p>
              </w:tc>
            </w:tr>
            <w:tr w14:paraId="368F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Align w:val="center"/>
                </w:tcPr>
                <w:p w14:paraId="59008CD3">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大气污染物</w:t>
                  </w:r>
                </w:p>
              </w:tc>
              <w:tc>
                <w:tcPr>
                  <w:tcW w:w="868" w:type="pct"/>
                  <w:vAlign w:val="center"/>
                </w:tcPr>
                <w:p w14:paraId="70817248">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VOCs</w:t>
                  </w:r>
                </w:p>
              </w:tc>
              <w:tc>
                <w:tcPr>
                  <w:tcW w:w="1486" w:type="pct"/>
                  <w:vAlign w:val="center"/>
                </w:tcPr>
                <w:p w14:paraId="289D1E2E">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0.092</w:t>
                  </w:r>
                </w:p>
              </w:tc>
              <w:tc>
                <w:tcPr>
                  <w:tcW w:w="2808" w:type="dxa"/>
                  <w:vAlign w:val="center"/>
                </w:tcPr>
                <w:p w14:paraId="719BEC64">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0.092</w:t>
                  </w:r>
                </w:p>
              </w:tc>
            </w:tr>
            <w:tr w14:paraId="1EAB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restart"/>
                  <w:vAlign w:val="center"/>
                </w:tcPr>
                <w:p w14:paraId="6D21A9E1">
                  <w:pPr>
                    <w:keepNext w:val="0"/>
                    <w:keepLines w:val="0"/>
                    <w:suppressLineNumbers w:val="0"/>
                    <w:adjustRightInd w:val="0"/>
                    <w:snapToGrid w:val="0"/>
                    <w:spacing w:before="0" w:beforeAutospacing="0" w:after="0" w:afterAutospacing="0" w:line="360" w:lineRule="exact"/>
                    <w:ind w:left="0" w:right="0" w:firstLine="0" w:firstLineChars="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废水</w:t>
                  </w:r>
                </w:p>
              </w:tc>
              <w:tc>
                <w:tcPr>
                  <w:tcW w:w="868" w:type="pct"/>
                  <w:vAlign w:val="center"/>
                </w:tcPr>
                <w:p w14:paraId="7CFD3475">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COD</w:t>
                  </w:r>
                </w:p>
              </w:tc>
              <w:tc>
                <w:tcPr>
                  <w:tcW w:w="1486" w:type="pct"/>
                  <w:vAlign w:val="center"/>
                </w:tcPr>
                <w:p w14:paraId="32E74A2B">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0.014</w:t>
                  </w:r>
                </w:p>
              </w:tc>
              <w:tc>
                <w:tcPr>
                  <w:tcW w:w="2808" w:type="dxa"/>
                  <w:vAlign w:val="center"/>
                </w:tcPr>
                <w:p w14:paraId="11A87866">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0.014</w:t>
                  </w:r>
                </w:p>
              </w:tc>
            </w:tr>
            <w:tr w14:paraId="2176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pct"/>
                  <w:vMerge w:val="continue"/>
                  <w:vAlign w:val="center"/>
                </w:tcPr>
                <w:p w14:paraId="260E7101">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68" w:type="pct"/>
                  <w:vAlign w:val="center"/>
                </w:tcPr>
                <w:p w14:paraId="051054D5">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氨氮</w:t>
                  </w:r>
                </w:p>
              </w:tc>
              <w:tc>
                <w:tcPr>
                  <w:tcW w:w="1486" w:type="pct"/>
                  <w:vAlign w:val="center"/>
                </w:tcPr>
                <w:p w14:paraId="5B849764">
                  <w:pPr>
                    <w:keepNext w:val="0"/>
                    <w:keepLines w:val="0"/>
                    <w:suppressLineNumbers w:val="0"/>
                    <w:adjustRightInd w:val="0"/>
                    <w:snapToGrid w:val="0"/>
                    <w:spacing w:before="0" w:beforeAutospacing="0" w:after="0" w:afterAutospacing="0" w:line="360" w:lineRule="exact"/>
                    <w:ind w:left="0" w:right="0" w:firstLine="0" w:firstLineChars="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0.002</w:t>
                  </w:r>
                </w:p>
              </w:tc>
              <w:tc>
                <w:tcPr>
                  <w:tcW w:w="2808" w:type="dxa"/>
                  <w:vAlign w:val="center"/>
                </w:tcPr>
                <w:p w14:paraId="539F196F">
                  <w:pPr>
                    <w:keepNext w:val="0"/>
                    <w:keepLines w:val="0"/>
                    <w:suppressLineNumbers w:val="0"/>
                    <w:adjustRightInd w:val="0"/>
                    <w:snapToGrid w:val="0"/>
                    <w:spacing w:before="0" w:beforeAutospacing="0" w:after="0" w:afterAutospacing="0" w:line="360" w:lineRule="exact"/>
                    <w:ind w:left="0" w:leftChars="0" w:right="0" w:rightChars="0" w:firstLine="0" w:firstLineChars="0"/>
                    <w:jc w:val="center"/>
                    <w:rPr>
                      <w:rFonts w:hint="eastAsia"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0.002</w:t>
                  </w:r>
                </w:p>
              </w:tc>
            </w:tr>
          </w:tbl>
          <w:p w14:paraId="412AAADC">
            <w:pPr>
              <w:keepNext w:val="0"/>
              <w:keepLines w:val="0"/>
              <w:suppressLineNumbers w:val="0"/>
              <w:spacing w:before="0" w:beforeAutospacing="0" w:after="0" w:afterAutospacing="0"/>
              <w:ind w:left="0" w:leftChars="0" w:right="0" w:firstLine="0" w:firstLineChars="0"/>
              <w:rPr>
                <w:rFonts w:hint="default"/>
                <w:color w:val="000000" w:themeColor="text1"/>
                <w14:textFill>
                  <w14:solidFill>
                    <w14:schemeClr w14:val="tx1"/>
                  </w14:solidFill>
                </w14:textFill>
              </w:rPr>
            </w:pPr>
          </w:p>
        </w:tc>
      </w:tr>
    </w:tbl>
    <w:p w14:paraId="0524ADD6">
      <w:pPr>
        <w:pStyle w:val="18"/>
        <w:jc w:val="center"/>
        <w:outlineLvl w:val="0"/>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14:paraId="13D1EEC2">
      <w:pPr>
        <w:pStyle w:val="18"/>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3256"/>
      </w:tblGrid>
      <w:tr w14:paraId="3AA02E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06" w:hRule="atLeast"/>
          <w:jc w:val="center"/>
        </w:trPr>
        <w:tc>
          <w:tcPr>
            <w:tcW w:w="837" w:type="dxa"/>
            <w:tcMar>
              <w:left w:w="28" w:type="dxa"/>
              <w:right w:w="28" w:type="dxa"/>
            </w:tcMar>
            <w:vAlign w:val="center"/>
          </w:tcPr>
          <w:p w14:paraId="324AA5A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施工</w:t>
            </w:r>
          </w:p>
          <w:p w14:paraId="76DDCC4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期环</w:t>
            </w:r>
          </w:p>
          <w:p w14:paraId="231C53A7">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境保</w:t>
            </w:r>
          </w:p>
          <w:p w14:paraId="45B14029">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护措</w:t>
            </w:r>
          </w:p>
          <w:p w14:paraId="15BA4F1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施</w:t>
            </w:r>
          </w:p>
        </w:tc>
        <w:tc>
          <w:tcPr>
            <w:tcW w:w="13256" w:type="dxa"/>
            <w:vAlign w:val="center"/>
          </w:tcPr>
          <w:p w14:paraId="0AF667EC">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本项目施工期不涉及土建施工，主要为后续设备进场、安装环保设施等。施工期环境污染主要为废气、废水、噪声、固体废弃物。</w:t>
            </w:r>
          </w:p>
          <w:p w14:paraId="4119A240">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1、废气</w:t>
            </w:r>
          </w:p>
          <w:p w14:paraId="480FDF1C">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项目施工期废气主要为设备安装调试过程中产生的少量焊接烟尘，以无组织的形式排放，排放后会很快扩散稀释，对周围大气环境影响可接受。</w:t>
            </w:r>
          </w:p>
          <w:p w14:paraId="075AA1D3">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2、废水</w:t>
            </w:r>
          </w:p>
          <w:p w14:paraId="4B07ECE2">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废水主要为施工人员的生活污水，高峰期施工人数约3人，不在施工工地食宿，如厕依托厂区现有卫生间，生活污水经化粪池处理后排入沣西新城大王污水处理厂。经采取上述措施后，废水可得到合理处理处置，对周围环境影响不大。</w:t>
            </w:r>
          </w:p>
          <w:p w14:paraId="2EE80455">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3、噪声</w:t>
            </w:r>
          </w:p>
          <w:p w14:paraId="2DE06858">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施工期噪声源主要为设备安装时产生的噪声，采取选择低噪声机械设备，合理安排施工时间，严禁高噪声设备在休息时间作业，通过采取上述降噪措施后对周围环境影响较小。另外，施工噪声对周边环境的不利影响具有短期性、暂时性，施工噪声产生的影响会随着施工过程的结束而降低或消失。</w:t>
            </w:r>
          </w:p>
          <w:p w14:paraId="29BC6B86">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4、固体废物</w:t>
            </w:r>
          </w:p>
          <w:p w14:paraId="13106DE4">
            <w:pPr>
              <w:keepNext w:val="0"/>
              <w:keepLines w:val="0"/>
              <w:suppressLineNumbers w:val="0"/>
              <w:spacing w:before="0" w:beforeAutospacing="0" w:after="0" w:afterAutospacing="0" w:line="520" w:lineRule="exact"/>
              <w:ind w:left="0" w:right="0" w:firstLine="480" w:firstLineChars="2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固体废物主要为设备外包装材料及施工人员生活垃圾等。设备外包装材料出售给废品回收公司，施工人员生活垃圾集中分类收集后，定期委托环卫部门清运。对环境影响较小。</w:t>
            </w:r>
          </w:p>
        </w:tc>
      </w:tr>
      <w:tr w14:paraId="0C5C86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49" w:hRule="atLeast"/>
          <w:jc w:val="center"/>
        </w:trPr>
        <w:tc>
          <w:tcPr>
            <w:tcW w:w="297" w:type="pct"/>
            <w:tcMar>
              <w:left w:w="28" w:type="dxa"/>
              <w:right w:w="28" w:type="dxa"/>
            </w:tcMar>
            <w:vAlign w:val="center"/>
          </w:tcPr>
          <w:p w14:paraId="48644A5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运营</w:t>
            </w:r>
          </w:p>
          <w:p w14:paraId="68C9F9E2">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期环</w:t>
            </w:r>
          </w:p>
          <w:p w14:paraId="2FEC80E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境影</w:t>
            </w:r>
          </w:p>
          <w:p w14:paraId="2423637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响和</w:t>
            </w:r>
          </w:p>
          <w:p w14:paraId="73D00B96">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保护</w:t>
            </w:r>
          </w:p>
          <w:p w14:paraId="3E9BB94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措施</w:t>
            </w:r>
          </w:p>
        </w:tc>
        <w:tc>
          <w:tcPr>
            <w:tcW w:w="4702" w:type="pct"/>
            <w:vAlign w:val="top"/>
          </w:tcPr>
          <w:p w14:paraId="65DE7312">
            <w:pPr>
              <w:keepNext w:val="0"/>
              <w:keepLines w:val="0"/>
              <w:suppressLineNumbers w:val="0"/>
              <w:spacing w:before="0" w:beforeAutospacing="0" w:after="0" w:afterAutospacing="0"/>
              <w:ind w:left="0" w:right="0" w:firstLine="482"/>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一、废气</w:t>
            </w:r>
          </w:p>
          <w:p w14:paraId="1D3B5A25">
            <w:pPr>
              <w:keepNext w:val="0"/>
              <w:keepLines w:val="0"/>
              <w:suppressLineNumbers w:val="0"/>
              <w:spacing w:before="0" w:beforeAutospacing="0" w:after="0" w:afterAutospacing="0"/>
              <w:ind w:left="0" w:right="0" w:firstLine="482"/>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1、废气计算</w:t>
            </w:r>
          </w:p>
          <w:p w14:paraId="39262689">
            <w:pPr>
              <w:keepNext w:val="0"/>
              <w:keepLines w:val="0"/>
              <w:suppressLineNumbers w:val="0"/>
              <w:spacing w:before="0" w:beforeAutospacing="0" w:after="0" w:afterAutospacing="0"/>
              <w:ind w:left="0" w:right="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项目运营期废气主要污染因子为</w:t>
            </w:r>
            <w:r>
              <w:rPr>
                <w:rFonts w:hint="eastAsia" w:cs="Times New Roman"/>
                <w:color w:val="000000" w:themeColor="text1"/>
                <w:lang w:val="en-US" w:eastAsia="zh-CN"/>
                <w14:textFill>
                  <w14:solidFill>
                    <w14:schemeClr w14:val="tx1"/>
                  </w14:solidFill>
                </w14:textFill>
              </w:rPr>
              <w:t>非甲烷总烃</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大气污染物产生及排放情况见表4-1。</w:t>
            </w:r>
          </w:p>
          <w:p w14:paraId="49127F30">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表4-1  大气污染物产生及排放情况一览表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980"/>
              <w:gridCol w:w="1011"/>
              <w:gridCol w:w="1024"/>
              <w:gridCol w:w="852"/>
              <w:gridCol w:w="1063"/>
              <w:gridCol w:w="930"/>
              <w:gridCol w:w="904"/>
              <w:gridCol w:w="904"/>
              <w:gridCol w:w="1128"/>
              <w:gridCol w:w="1217"/>
              <w:gridCol w:w="1045"/>
              <w:gridCol w:w="1008"/>
            </w:tblGrid>
            <w:tr w14:paraId="5176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vMerge w:val="restart"/>
                  <w:vAlign w:val="center"/>
                </w:tcPr>
                <w:p w14:paraId="1E77973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产污环节</w:t>
                  </w:r>
                </w:p>
              </w:tc>
              <w:tc>
                <w:tcPr>
                  <w:tcW w:w="376" w:type="pct"/>
                  <w:vMerge w:val="restart"/>
                  <w:vAlign w:val="center"/>
                </w:tcPr>
                <w:p w14:paraId="38C5EFB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污染物种类</w:t>
                  </w:r>
                </w:p>
              </w:tc>
              <w:tc>
                <w:tcPr>
                  <w:tcW w:w="781" w:type="pct"/>
                  <w:gridSpan w:val="2"/>
                  <w:vAlign w:val="center"/>
                </w:tcPr>
                <w:p w14:paraId="6A9C9E0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污染物产生情况</w:t>
                  </w:r>
                </w:p>
              </w:tc>
              <w:tc>
                <w:tcPr>
                  <w:tcW w:w="327" w:type="pct"/>
                  <w:vMerge w:val="restart"/>
                  <w:vAlign w:val="center"/>
                </w:tcPr>
                <w:p w14:paraId="267A96F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排放形式</w:t>
                  </w:r>
                </w:p>
              </w:tc>
              <w:tc>
                <w:tcPr>
                  <w:tcW w:w="1892" w:type="pct"/>
                  <w:gridSpan w:val="5"/>
                  <w:vAlign w:val="center"/>
                </w:tcPr>
                <w:p w14:paraId="6418A7F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治理设施</w:t>
                  </w:r>
                </w:p>
              </w:tc>
              <w:tc>
                <w:tcPr>
                  <w:tcW w:w="1255" w:type="pct"/>
                  <w:gridSpan w:val="3"/>
                  <w:vAlign w:val="center"/>
                </w:tcPr>
                <w:p w14:paraId="0C98128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污染物排放情况</w:t>
                  </w:r>
                </w:p>
              </w:tc>
            </w:tr>
            <w:tr w14:paraId="1B91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8" w:type="pct"/>
                  <w:vMerge w:val="continue"/>
                  <w:vAlign w:val="center"/>
                </w:tcPr>
                <w:p w14:paraId="4C90A12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76" w:type="pct"/>
                  <w:vMerge w:val="continue"/>
                  <w:vAlign w:val="center"/>
                </w:tcPr>
                <w:p w14:paraId="2DCDC4A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88" w:type="pct"/>
                  <w:vAlign w:val="center"/>
                </w:tcPr>
                <w:p w14:paraId="3788D32E">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产生量t/a</w:t>
                  </w:r>
                </w:p>
              </w:tc>
              <w:tc>
                <w:tcPr>
                  <w:tcW w:w="393" w:type="pct"/>
                  <w:vAlign w:val="center"/>
                </w:tcPr>
                <w:p w14:paraId="39083CE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产生速率/kg/h</w:t>
                  </w:r>
                </w:p>
              </w:tc>
              <w:tc>
                <w:tcPr>
                  <w:tcW w:w="327" w:type="pct"/>
                  <w:vMerge w:val="continue"/>
                  <w:vAlign w:val="center"/>
                </w:tcPr>
                <w:p w14:paraId="2134F45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08" w:type="pct"/>
                  <w:vAlign w:val="center"/>
                </w:tcPr>
                <w:p w14:paraId="2051418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治理设施</w:t>
                  </w:r>
                </w:p>
              </w:tc>
              <w:tc>
                <w:tcPr>
                  <w:tcW w:w="357" w:type="pct"/>
                  <w:vAlign w:val="center"/>
                </w:tcPr>
                <w:p w14:paraId="4FB44E83">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处理能力m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/h</w:t>
                  </w:r>
                </w:p>
              </w:tc>
              <w:tc>
                <w:tcPr>
                  <w:tcW w:w="347" w:type="pct"/>
                  <w:vAlign w:val="center"/>
                </w:tcPr>
                <w:p w14:paraId="66271B5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收集效率%</w:t>
                  </w:r>
                </w:p>
              </w:tc>
              <w:tc>
                <w:tcPr>
                  <w:tcW w:w="347" w:type="pct"/>
                  <w:vAlign w:val="center"/>
                </w:tcPr>
                <w:p w14:paraId="340E255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去除率%</w:t>
                  </w:r>
                </w:p>
              </w:tc>
              <w:tc>
                <w:tcPr>
                  <w:tcW w:w="433" w:type="pct"/>
                  <w:vAlign w:val="center"/>
                </w:tcPr>
                <w:p w14:paraId="12EFAB1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是否为可行技术</w:t>
                  </w:r>
                </w:p>
              </w:tc>
              <w:tc>
                <w:tcPr>
                  <w:tcW w:w="467" w:type="pct"/>
                  <w:vAlign w:val="center"/>
                </w:tcPr>
                <w:p w14:paraId="59B7EBF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p>
              </w:tc>
              <w:tc>
                <w:tcPr>
                  <w:tcW w:w="401" w:type="pct"/>
                  <w:vAlign w:val="center"/>
                </w:tcPr>
                <w:p w14:paraId="023D523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排放速率/kg/h</w:t>
                  </w:r>
                </w:p>
              </w:tc>
              <w:tc>
                <w:tcPr>
                  <w:tcW w:w="386" w:type="pct"/>
                  <w:vAlign w:val="center"/>
                </w:tcPr>
                <w:p w14:paraId="5A842003">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排放量/t/a</w:t>
                  </w:r>
                </w:p>
              </w:tc>
            </w:tr>
            <w:tr w14:paraId="15E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368" w:type="pct"/>
                  <w:vMerge w:val="restart"/>
                  <w:vAlign w:val="center"/>
                </w:tcPr>
                <w:p w14:paraId="2996B63B">
                  <w:pPr>
                    <w:keepNext w:val="0"/>
                    <w:keepLines w:val="0"/>
                    <w:suppressLineNumbers w:val="0"/>
                    <w:spacing w:before="0" w:beforeAutospacing="0" w:after="0" w:afterAutospacing="0" w:line="360" w:lineRule="atLeast"/>
                    <w:ind w:left="0" w:right="0" w:firstLine="0" w:firstLineChars="0"/>
                    <w:jc w:val="center"/>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印刷</w:t>
                  </w:r>
                </w:p>
              </w:tc>
              <w:tc>
                <w:tcPr>
                  <w:tcW w:w="376" w:type="pct"/>
                  <w:vMerge w:val="restart"/>
                  <w:vAlign w:val="center"/>
                </w:tcPr>
                <w:p w14:paraId="2F8D483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388" w:type="pct"/>
                  <w:vAlign w:val="center"/>
                </w:tcPr>
                <w:p w14:paraId="09AEF08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0.056</w:t>
                  </w:r>
                </w:p>
              </w:tc>
              <w:tc>
                <w:tcPr>
                  <w:tcW w:w="393" w:type="pct"/>
                  <w:vAlign w:val="center"/>
                </w:tcPr>
                <w:p w14:paraId="7041D27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0.028</w:t>
                  </w:r>
                </w:p>
              </w:tc>
              <w:tc>
                <w:tcPr>
                  <w:tcW w:w="327" w:type="pct"/>
                  <w:vAlign w:val="center"/>
                </w:tcPr>
                <w:p w14:paraId="3F1D6AF9">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有组织</w:t>
                  </w:r>
                </w:p>
              </w:tc>
              <w:tc>
                <w:tcPr>
                  <w:tcW w:w="408" w:type="pct"/>
                  <w:vAlign w:val="center"/>
                </w:tcPr>
                <w:p w14:paraId="61C11D6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集气罩+两级活性炭吸附装置+15m排气筒</w:t>
                  </w:r>
                </w:p>
              </w:tc>
              <w:tc>
                <w:tcPr>
                  <w:tcW w:w="357" w:type="pct"/>
                  <w:vAlign w:val="center"/>
                </w:tcPr>
                <w:p w14:paraId="22D18EC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5000</w:t>
                  </w:r>
                </w:p>
              </w:tc>
              <w:tc>
                <w:tcPr>
                  <w:tcW w:w="347" w:type="pct"/>
                  <w:vAlign w:val="center"/>
                </w:tcPr>
                <w:p w14:paraId="62C9C19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c>
                <w:tcPr>
                  <w:tcW w:w="347" w:type="pct"/>
                  <w:vAlign w:val="center"/>
                </w:tcPr>
                <w:p w14:paraId="2A541C8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433" w:type="pct"/>
                  <w:vAlign w:val="center"/>
                </w:tcPr>
                <w:p w14:paraId="664922B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是</w:t>
                  </w:r>
                </w:p>
              </w:tc>
              <w:tc>
                <w:tcPr>
                  <w:tcW w:w="467" w:type="pct"/>
                  <w:vAlign w:val="center"/>
                </w:tcPr>
                <w:p w14:paraId="2F2FE2D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0.8</w:t>
                  </w:r>
                </w:p>
              </w:tc>
              <w:tc>
                <w:tcPr>
                  <w:tcW w:w="401" w:type="pct"/>
                  <w:vAlign w:val="center"/>
                </w:tcPr>
                <w:p w14:paraId="1C38757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0.004</w:t>
                  </w:r>
                </w:p>
              </w:tc>
              <w:tc>
                <w:tcPr>
                  <w:tcW w:w="386" w:type="pct"/>
                  <w:vAlign w:val="center"/>
                </w:tcPr>
                <w:p w14:paraId="73924E5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0.008</w:t>
                  </w:r>
                </w:p>
              </w:tc>
            </w:tr>
            <w:tr w14:paraId="3657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368" w:type="pct"/>
                  <w:vMerge w:val="continue"/>
                  <w:vAlign w:val="center"/>
                </w:tcPr>
                <w:p w14:paraId="72E3F309">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376" w:type="pct"/>
                  <w:vMerge w:val="continue"/>
                  <w:vAlign w:val="center"/>
                </w:tcPr>
                <w:p w14:paraId="4038C9B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388" w:type="pct"/>
                  <w:vAlign w:val="center"/>
                </w:tcPr>
                <w:p w14:paraId="04C8FA4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0.084</w:t>
                  </w:r>
                </w:p>
              </w:tc>
              <w:tc>
                <w:tcPr>
                  <w:tcW w:w="393" w:type="pct"/>
                  <w:vAlign w:val="center"/>
                </w:tcPr>
                <w:p w14:paraId="0A6083B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0.042</w:t>
                  </w:r>
                </w:p>
              </w:tc>
              <w:tc>
                <w:tcPr>
                  <w:tcW w:w="327" w:type="pct"/>
                  <w:vAlign w:val="center"/>
                </w:tcPr>
                <w:p w14:paraId="2FA860A3">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无组织</w:t>
                  </w:r>
                </w:p>
              </w:tc>
              <w:tc>
                <w:tcPr>
                  <w:tcW w:w="408" w:type="pct"/>
                  <w:vAlign w:val="center"/>
                </w:tcPr>
                <w:p w14:paraId="0A54F84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车间通风</w:t>
                  </w:r>
                </w:p>
              </w:tc>
              <w:tc>
                <w:tcPr>
                  <w:tcW w:w="357" w:type="pct"/>
                  <w:vAlign w:val="center"/>
                </w:tcPr>
                <w:p w14:paraId="7D916280">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47" w:type="pct"/>
                  <w:vAlign w:val="center"/>
                </w:tcPr>
                <w:p w14:paraId="64EC4E47">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47" w:type="pct"/>
                  <w:vAlign w:val="center"/>
                </w:tcPr>
                <w:p w14:paraId="468E0FF6">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433" w:type="pct"/>
                  <w:vAlign w:val="center"/>
                </w:tcPr>
                <w:p w14:paraId="711C059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467" w:type="pct"/>
                  <w:vAlign w:val="center"/>
                </w:tcPr>
                <w:p w14:paraId="24D2AC19">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401" w:type="pct"/>
                  <w:vAlign w:val="center"/>
                </w:tcPr>
                <w:p w14:paraId="27F7C79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0.042</w:t>
                  </w:r>
                </w:p>
              </w:tc>
              <w:tc>
                <w:tcPr>
                  <w:tcW w:w="386" w:type="pct"/>
                  <w:vAlign w:val="center"/>
                </w:tcPr>
                <w:p w14:paraId="22206AE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0.084</w:t>
                  </w:r>
                </w:p>
              </w:tc>
            </w:tr>
          </w:tbl>
          <w:p w14:paraId="02A00D9B">
            <w:pPr>
              <w:pStyle w:val="20"/>
              <w:keepNext w:val="0"/>
              <w:keepLines w:val="0"/>
              <w:suppressLineNumbers w:val="0"/>
              <w:spacing w:before="0" w:beforeAutospacing="0" w:after="0" w:afterAutospacing="0"/>
              <w:ind w:left="0" w:leftChars="0" w:right="0" w:firstLine="0" w:firstLineChars="0"/>
              <w:jc w:val="left"/>
              <w:rPr>
                <w:rFonts w:hint="eastAsia"/>
                <w:color w:val="000000" w:themeColor="text1"/>
                <w:lang w:val="en-US" w:eastAsia="zh-CN"/>
                <w14:textFill>
                  <w14:solidFill>
                    <w14:schemeClr w14:val="tx1"/>
                  </w14:solidFill>
                </w14:textFill>
              </w:rPr>
            </w:pPr>
          </w:p>
        </w:tc>
      </w:tr>
    </w:tbl>
    <w:p w14:paraId="0AD3869C">
      <w:pPr>
        <w:adjustRightInd w:val="0"/>
        <w:snapToGrid w:val="0"/>
        <w:ind w:firstLine="0" w:firstLineChars="0"/>
        <w:jc w:val="both"/>
        <w:rPr>
          <w:rFonts w:hint="default" w:ascii="Times New Roman" w:hAnsi="Times New Roman" w:eastAsia="宋体" w:cs="Times New Roman"/>
          <w:color w:val="000000" w:themeColor="text1"/>
          <w:kern w:val="0"/>
          <w14:textFill>
            <w14:solidFill>
              <w14:schemeClr w14:val="tx1"/>
            </w14:solidFill>
          </w14:textFill>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21"/>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6"/>
        <w:gridCol w:w="8043"/>
      </w:tblGrid>
      <w:tr w14:paraId="082B91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4" w:hRule="atLeast"/>
          <w:jc w:val="center"/>
        </w:trPr>
        <w:tc>
          <w:tcPr>
            <w:tcW w:w="521" w:type="pct"/>
            <w:tcMar>
              <w:left w:w="28" w:type="dxa"/>
              <w:right w:w="28" w:type="dxa"/>
            </w:tcMar>
            <w:vAlign w:val="center"/>
          </w:tcPr>
          <w:p w14:paraId="0817D42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运营</w:t>
            </w:r>
          </w:p>
          <w:p w14:paraId="2ED47E2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期环</w:t>
            </w:r>
          </w:p>
          <w:p w14:paraId="7FC5F459">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境影</w:t>
            </w:r>
          </w:p>
          <w:p w14:paraId="511E508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响和</w:t>
            </w:r>
          </w:p>
          <w:p w14:paraId="4894C93D">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保护</w:t>
            </w:r>
          </w:p>
          <w:p w14:paraId="5D993DA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措施</w:t>
            </w:r>
          </w:p>
        </w:tc>
        <w:tc>
          <w:tcPr>
            <w:tcW w:w="4478" w:type="pct"/>
            <w:vAlign w:val="center"/>
          </w:tcPr>
          <w:p w14:paraId="1CEDF479">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源强核算过程：</w:t>
            </w:r>
          </w:p>
          <w:p w14:paraId="456F01C5">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1</w:t>
            </w:r>
            <w:r>
              <w:rPr>
                <w:rFonts w:hint="default" w:ascii="Times New Roman" w:hAnsi="Times New Roman" w:cs="Times New Roman"/>
                <w:color w:val="000000" w:themeColor="text1"/>
                <w:szCs w:val="24"/>
                <w:lang w:eastAsia="zh-CN"/>
                <w14:textFill>
                  <w14:solidFill>
                    <w14:schemeClr w14:val="tx1"/>
                  </w14:solidFill>
                </w14:textFill>
              </w:rPr>
              <w:t>）</w:t>
            </w:r>
            <w:r>
              <w:rPr>
                <w:rFonts w:hint="eastAsia" w:cs="Times New Roman"/>
                <w:color w:val="000000" w:themeColor="text1"/>
                <w:szCs w:val="24"/>
                <w:lang w:val="en-US" w:eastAsia="zh-CN"/>
                <w14:textFill>
                  <w14:solidFill>
                    <w14:schemeClr w14:val="tx1"/>
                  </w14:solidFill>
                </w14:textFill>
              </w:rPr>
              <w:t>非甲烷总烃</w:t>
            </w:r>
          </w:p>
          <w:p w14:paraId="45470713">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使用的水性油墨含有挥发性有机化合物（以非甲烷总烃计），根据检测报告（见附件6），VOCs含量为2.8%，项目水性油墨年使用量为5.0t/a，油墨中挥发性有机化合物按最不利全部挥发考虑，则印刷过程非甲烷总烃产生量为0.14t/a。项目拟对印刷产生的有机废气采用集气罩进行收集后经1套“两级活性炭”处理后通过15m排气筒DA001排放。</w:t>
            </w:r>
          </w:p>
          <w:p w14:paraId="13B2CA22">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按照《废气处理工程技术手册》（王纯，张殿印主编，化学工业出版社）表17-8中的上部伞形罩有关公式，根据类似项目实际治理工程的情况以及结合本项目设备规模，拟在印刷机上方设置一个伞形集气罩，侧面无围挡，每个集气罩口周长取4.0m，集气罩距离污染产生源的距离均取0.3m，为保证收集效率，集气罩的控制风速不小于0.50m/s，则按照以下经验公式计算得出各设备所需的风量L。</w:t>
            </w:r>
          </w:p>
          <w:p w14:paraId="01988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Q=1.4pHVx</w:t>
            </w:r>
          </w:p>
          <w:p w14:paraId="3AED1726">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其中：Q—排气量，m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/s；</w:t>
            </w:r>
          </w:p>
          <w:p w14:paraId="77B5088C">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p—罩口周长，m（取4.0m）；</w:t>
            </w:r>
          </w:p>
          <w:p w14:paraId="4A4F2215">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H—污染物至罩口距离，m（取0.3m）；</w:t>
            </w:r>
          </w:p>
          <w:p w14:paraId="585E5845">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Vx—控制风速（取0.50m/s）。</w:t>
            </w:r>
          </w:p>
          <w:p w14:paraId="4EBD6904">
            <w:pPr>
              <w:keepNext w:val="0"/>
              <w:keepLines w:val="0"/>
              <w:suppressLineNumbers w:val="0"/>
              <w:spacing w:before="0" w:beforeAutospacing="0" w:after="0" w:afterAutospacing="0"/>
              <w:ind w:left="0" w:right="0"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则单个集气罩的风量为3024m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/h，项目布设1台印刷机，故项目印刷工序设1个集气罩，考虑损耗等因素，为保证抽风效果，项目印刷工序治理设施的设计处理风量为5000m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/h，集气罩收集效率按40%计算；废气吸附采用蜂窝状活性炭，风速小于1.2m/s，活性炭装填厚度不低于300mm，“两级活性炭”处理效率按85%计算，则项目印刷工序非甲烷总烃有组织排放量为0.008t/a，排放速率为</w:t>
            </w:r>
            <w:r>
              <w:rPr>
                <w:rFonts w:hint="eastAsia"/>
                <w:color w:val="000000" w:themeColor="text1"/>
                <w:highlight w:val="none"/>
                <w:lang w:val="en-GB" w:eastAsia="zh-CN"/>
                <w14:textFill>
                  <w14:solidFill>
                    <w14:schemeClr w14:val="tx1"/>
                  </w14:solidFill>
                </w14:textFill>
              </w:rPr>
              <w:t>0.00</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val="en-GB" w:eastAsia="zh-CN"/>
                <w14:textFill>
                  <w14:solidFill>
                    <w14:schemeClr w14:val="tx1"/>
                  </w14:solidFill>
                </w14:textFill>
              </w:rPr>
              <w:t>kg/h</w:t>
            </w:r>
            <w:r>
              <w:rPr>
                <w:rFonts w:hint="eastAsia"/>
                <w:color w:val="000000" w:themeColor="text1"/>
                <w:highlight w:val="none"/>
                <w:lang w:val="en-US" w:eastAsia="zh-CN"/>
                <w14:textFill>
                  <w14:solidFill>
                    <w14:schemeClr w14:val="tx1"/>
                  </w14:solidFill>
                </w14:textFill>
              </w:rPr>
              <w:t>，排放浓度为0.8mg/m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；无组织排放量为0.084t/a，排放速率为</w:t>
            </w:r>
            <w:r>
              <w:rPr>
                <w:rFonts w:hint="eastAsia"/>
                <w:color w:val="000000" w:themeColor="text1"/>
                <w:highlight w:val="none"/>
                <w:lang w:val="en-GB" w:eastAsia="zh-CN"/>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42</w:t>
            </w:r>
            <w:r>
              <w:rPr>
                <w:rFonts w:hint="eastAsia"/>
                <w:color w:val="000000" w:themeColor="text1"/>
                <w:highlight w:val="none"/>
                <w:lang w:val="en-GB" w:eastAsia="zh-CN"/>
                <w14:textFill>
                  <w14:solidFill>
                    <w14:schemeClr w14:val="tx1"/>
                  </w14:solidFill>
                </w14:textFill>
              </w:rPr>
              <w:t>kg/h</w:t>
            </w:r>
            <w:r>
              <w:rPr>
                <w:rFonts w:hint="eastAsia"/>
                <w:color w:val="000000" w:themeColor="text1"/>
                <w:highlight w:val="none"/>
                <w:lang w:val="en-US" w:eastAsia="zh-CN"/>
                <w14:textFill>
                  <w14:solidFill>
                    <w14:schemeClr w14:val="tx1"/>
                  </w14:solidFill>
                </w14:textFill>
              </w:rPr>
              <w:t>。</w:t>
            </w:r>
          </w:p>
          <w:p w14:paraId="0952ABDC">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（2）颗粒物</w:t>
            </w:r>
          </w:p>
          <w:p w14:paraId="7C62A323">
            <w:pPr>
              <w:keepNext w:val="0"/>
              <w:keepLines w:val="0"/>
              <w:suppressLineNumbers w:val="0"/>
              <w:spacing w:before="0" w:beforeAutospacing="0" w:after="0" w:afterAutospacing="0"/>
              <w:ind w:left="0" w:right="0"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模切工序对纸板开槽过程会产生少量颗粒物，本项目纸板模切量较少，产生的颗粒物较少，通过加强车间通风对周围环境影响较小。</w:t>
            </w:r>
          </w:p>
          <w:p w14:paraId="35B4237D">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2、排放口基本情况</w:t>
            </w:r>
          </w:p>
          <w:p w14:paraId="3BFC468D">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本项目排放口设置情况见下表</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4-2</w:t>
            </w:r>
            <w:r>
              <w:rPr>
                <w:rFonts w:hint="eastAsia" w:ascii="宋体" w:hAnsi="宋体" w:eastAsia="宋体" w:cs="宋体"/>
                <w:color w:val="000000" w:themeColor="text1"/>
                <w:kern w:val="2"/>
                <w:sz w:val="24"/>
                <w:szCs w:val="24"/>
                <w:lang w:val="en-US" w:eastAsia="zh-CN" w:bidi="ar"/>
                <w14:textFill>
                  <w14:solidFill>
                    <w14:schemeClr w14:val="tx1"/>
                  </w14:solidFill>
                </w14:textFill>
              </w:rPr>
              <w:t>。</w:t>
            </w:r>
          </w:p>
          <w:p w14:paraId="717A8C79">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color w:val="000000" w:themeColor="text1"/>
                <w:kern w:val="2"/>
                <w:sz w:val="24"/>
                <w:szCs w:val="24"/>
                <w14:textFill>
                  <w14:solidFill>
                    <w14:schemeClr w14:val="tx1"/>
                  </w14:solidFill>
                </w14:textFill>
              </w:rPr>
            </w:pPr>
            <w:r>
              <w:rPr>
                <w:rFonts w:hint="eastAsia" w:ascii="黑体" w:hAnsi="宋体" w:eastAsia="黑体" w:cs="黑体"/>
                <w:b w:val="0"/>
                <w:color w:val="000000" w:themeColor="text1"/>
                <w:kern w:val="2"/>
                <w:sz w:val="24"/>
                <w:szCs w:val="24"/>
                <w:lang w:val="en-US" w:eastAsia="zh-CN" w:bidi="ar"/>
                <w14:textFill>
                  <w14:solidFill>
                    <w14:schemeClr w14:val="tx1"/>
                  </w14:solidFill>
                </w14:textFill>
              </w:rPr>
              <w:t>表</w:t>
            </w:r>
            <w:r>
              <w:rPr>
                <w:rFonts w:hint="default" w:ascii="Times New Roman" w:hAnsi="Times New Roman" w:eastAsia="黑体" w:cs="Times New Roman"/>
                <w:b w:val="0"/>
                <w:color w:val="000000" w:themeColor="text1"/>
                <w:kern w:val="2"/>
                <w:sz w:val="24"/>
                <w:szCs w:val="24"/>
                <w:lang w:val="en-US" w:eastAsia="zh-CN" w:bidi="ar"/>
                <w14:textFill>
                  <w14:solidFill>
                    <w14:schemeClr w14:val="tx1"/>
                  </w14:solidFill>
                </w14:textFill>
              </w:rPr>
              <w:t xml:space="preserve">4-2  </w:t>
            </w:r>
            <w:r>
              <w:rPr>
                <w:rFonts w:hint="eastAsia" w:ascii="黑体" w:hAnsi="宋体" w:eastAsia="黑体" w:cs="黑体"/>
                <w:b w:val="0"/>
                <w:color w:val="000000" w:themeColor="text1"/>
                <w:kern w:val="2"/>
                <w:sz w:val="24"/>
                <w:szCs w:val="24"/>
                <w:lang w:val="en-US" w:eastAsia="zh-CN" w:bidi="ar"/>
                <w14:textFill>
                  <w14:solidFill>
                    <w14:schemeClr w14:val="tx1"/>
                  </w14:solidFill>
                </w14:textFill>
              </w:rPr>
              <w:t>排放口设置情况一览表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1865"/>
              <w:gridCol w:w="769"/>
              <w:gridCol w:w="566"/>
              <w:gridCol w:w="594"/>
              <w:gridCol w:w="663"/>
              <w:gridCol w:w="1118"/>
              <w:gridCol w:w="1155"/>
              <w:gridCol w:w="1078"/>
            </w:tblGrid>
            <w:tr w14:paraId="5196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9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6631D7">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名称</w:t>
                  </w:r>
                </w:p>
              </w:tc>
              <w:tc>
                <w:tcPr>
                  <w:tcW w:w="492" w:type="pct"/>
                  <w:vMerge w:val="restart"/>
                  <w:tcBorders>
                    <w:top w:val="single" w:color="auto" w:sz="4" w:space="0"/>
                    <w:left w:val="nil"/>
                    <w:bottom w:val="single" w:color="auto" w:sz="4" w:space="0"/>
                    <w:right w:val="single" w:color="auto" w:sz="4" w:space="0"/>
                  </w:tcBorders>
                  <w:shd w:val="clear" w:color="auto" w:fill="auto"/>
                  <w:vAlign w:val="center"/>
                </w:tcPr>
                <w:p w14:paraId="3D37C4D9">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排放口编号</w:t>
                  </w:r>
                </w:p>
              </w:tc>
              <w:tc>
                <w:tcPr>
                  <w:tcW w:w="362" w:type="pct"/>
                  <w:vMerge w:val="restart"/>
                  <w:tcBorders>
                    <w:top w:val="single" w:color="auto" w:sz="4" w:space="0"/>
                    <w:left w:val="nil"/>
                    <w:bottom w:val="single" w:color="auto" w:sz="4" w:space="0"/>
                    <w:right w:val="single" w:color="auto" w:sz="4" w:space="0"/>
                  </w:tcBorders>
                  <w:shd w:val="clear" w:color="auto" w:fill="auto"/>
                  <w:vAlign w:val="center"/>
                </w:tcPr>
                <w:p w14:paraId="0A8B87B0">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高度</w:t>
                  </w:r>
                  <w:r>
                    <w:rPr>
                      <w:rFonts w:hint="default" w:ascii="Times New Roman" w:hAnsi="Times New Roman" w:eastAsia="宋体" w:cs="Times New Roman"/>
                      <w:b/>
                      <w:color w:val="000000" w:themeColor="text1"/>
                      <w:kern w:val="2"/>
                      <w:sz w:val="21"/>
                      <w:szCs w:val="21"/>
                      <w:lang w:val="en-US" w:eastAsia="zh-CN" w:bidi="ar"/>
                      <w14:textFill>
                        <w14:solidFill>
                          <w14:schemeClr w14:val="tx1"/>
                        </w14:solidFill>
                      </w14:textFill>
                    </w:rPr>
                    <w:t>/m</w:t>
                  </w:r>
                </w:p>
              </w:tc>
              <w:tc>
                <w:tcPr>
                  <w:tcW w:w="380" w:type="pct"/>
                  <w:vMerge w:val="restart"/>
                  <w:tcBorders>
                    <w:top w:val="single" w:color="auto" w:sz="4" w:space="0"/>
                    <w:left w:val="nil"/>
                    <w:bottom w:val="single" w:color="auto" w:sz="4" w:space="0"/>
                    <w:right w:val="single" w:color="auto" w:sz="4" w:space="0"/>
                  </w:tcBorders>
                  <w:shd w:val="clear" w:color="auto" w:fill="auto"/>
                  <w:vAlign w:val="center"/>
                </w:tcPr>
                <w:p w14:paraId="6DE78EAD">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内径</w:t>
                  </w:r>
                  <w:r>
                    <w:rPr>
                      <w:rFonts w:hint="default" w:ascii="Times New Roman" w:hAnsi="Times New Roman" w:eastAsia="宋体" w:cs="Times New Roman"/>
                      <w:b/>
                      <w:color w:val="000000" w:themeColor="text1"/>
                      <w:kern w:val="2"/>
                      <w:sz w:val="21"/>
                      <w:szCs w:val="21"/>
                      <w:lang w:val="en-US" w:eastAsia="zh-CN" w:bidi="ar"/>
                      <w14:textFill>
                        <w14:solidFill>
                          <w14:schemeClr w14:val="tx1"/>
                        </w14:solidFill>
                      </w14:textFill>
                    </w:rPr>
                    <w:t>/m</w:t>
                  </w:r>
                </w:p>
              </w:tc>
              <w:tc>
                <w:tcPr>
                  <w:tcW w:w="424" w:type="pct"/>
                  <w:vMerge w:val="restart"/>
                  <w:tcBorders>
                    <w:top w:val="single" w:color="auto" w:sz="4" w:space="0"/>
                    <w:left w:val="nil"/>
                    <w:bottom w:val="single" w:color="auto" w:sz="4" w:space="0"/>
                    <w:right w:val="single" w:color="auto" w:sz="4" w:space="0"/>
                  </w:tcBorders>
                  <w:shd w:val="clear" w:color="auto" w:fill="auto"/>
                  <w:vAlign w:val="center"/>
                </w:tcPr>
                <w:p w14:paraId="057311B4">
                  <w:pPr>
                    <w:keepNext w:val="0"/>
                    <w:keepLines w:val="0"/>
                    <w:widowControl/>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温度</w:t>
                  </w:r>
                  <w:r>
                    <w:rPr>
                      <w:rFonts w:hint="default" w:ascii="Times New Roman" w:hAnsi="Times New Roman" w:eastAsia="宋体" w:cs="Times New Roman"/>
                      <w:b/>
                      <w:color w:val="000000" w:themeColor="text1"/>
                      <w:kern w:val="2"/>
                      <w:sz w:val="21"/>
                      <w:szCs w:val="21"/>
                      <w:lang w:val="en-US" w:eastAsia="zh-CN" w:bidi="ar"/>
                      <w14:textFill>
                        <w14:solidFill>
                          <w14:schemeClr w14:val="tx1"/>
                        </w14:solidFill>
                      </w14:textFill>
                    </w:rPr>
                    <w:t>/ºC</w:t>
                  </w:r>
                </w:p>
              </w:tc>
              <w:tc>
                <w:tcPr>
                  <w:tcW w:w="715" w:type="pct"/>
                  <w:vMerge w:val="restart"/>
                  <w:tcBorders>
                    <w:top w:val="single" w:color="auto" w:sz="4" w:space="0"/>
                    <w:left w:val="nil"/>
                    <w:bottom w:val="single" w:color="auto" w:sz="4" w:space="0"/>
                    <w:right w:val="single" w:color="auto" w:sz="4" w:space="0"/>
                  </w:tcBorders>
                  <w:shd w:val="clear" w:color="auto" w:fill="auto"/>
                  <w:vAlign w:val="center"/>
                </w:tcPr>
                <w:p w14:paraId="799BCF3D">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类型</w:t>
                  </w:r>
                </w:p>
              </w:tc>
              <w:tc>
                <w:tcPr>
                  <w:tcW w:w="1429" w:type="pct"/>
                  <w:gridSpan w:val="2"/>
                  <w:tcBorders>
                    <w:top w:val="single" w:color="auto" w:sz="4" w:space="0"/>
                    <w:left w:val="nil"/>
                    <w:bottom w:val="single" w:color="auto" w:sz="4" w:space="0"/>
                    <w:right w:val="single" w:color="auto" w:sz="4" w:space="0"/>
                  </w:tcBorders>
                  <w:shd w:val="clear" w:color="auto" w:fill="auto"/>
                  <w:vAlign w:val="center"/>
                </w:tcPr>
                <w:p w14:paraId="58DF716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eastAsia" w:ascii="宋体" w:hAnsi="宋体" w:eastAsia="宋体" w:cs="宋体"/>
                      <w:b/>
                      <w:color w:val="000000" w:themeColor="text1"/>
                      <w:kern w:val="2"/>
                      <w:sz w:val="21"/>
                      <w:szCs w:val="21"/>
                      <w:lang w:val="en-US" w:eastAsia="zh-CN" w:bidi="ar"/>
                      <w14:textFill>
                        <w14:solidFill>
                          <w14:schemeClr w14:val="tx1"/>
                        </w14:solidFill>
                      </w14:textFill>
                    </w:rPr>
                    <w:t>地理坐标</w:t>
                  </w:r>
                </w:p>
              </w:tc>
            </w:tr>
            <w:tr w14:paraId="49080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9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D37183">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92" w:type="pct"/>
                  <w:vMerge w:val="continue"/>
                  <w:tcBorders>
                    <w:top w:val="single" w:color="auto" w:sz="4" w:space="0"/>
                    <w:left w:val="nil"/>
                    <w:bottom w:val="single" w:color="auto" w:sz="4" w:space="0"/>
                    <w:right w:val="single" w:color="auto" w:sz="4" w:space="0"/>
                  </w:tcBorders>
                  <w:shd w:val="clear" w:color="auto" w:fill="auto"/>
                  <w:vAlign w:val="center"/>
                </w:tcPr>
                <w:p w14:paraId="0EF0EF19">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362" w:type="pct"/>
                  <w:vMerge w:val="continue"/>
                  <w:tcBorders>
                    <w:top w:val="single" w:color="auto" w:sz="4" w:space="0"/>
                    <w:left w:val="nil"/>
                    <w:bottom w:val="single" w:color="auto" w:sz="4" w:space="0"/>
                    <w:right w:val="single" w:color="auto" w:sz="4" w:space="0"/>
                  </w:tcBorders>
                  <w:shd w:val="clear" w:color="auto" w:fill="auto"/>
                  <w:vAlign w:val="center"/>
                </w:tcPr>
                <w:p w14:paraId="5065EAC8">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380" w:type="pct"/>
                  <w:vMerge w:val="continue"/>
                  <w:tcBorders>
                    <w:top w:val="single" w:color="auto" w:sz="4" w:space="0"/>
                    <w:left w:val="nil"/>
                    <w:bottom w:val="single" w:color="auto" w:sz="4" w:space="0"/>
                    <w:right w:val="single" w:color="auto" w:sz="4" w:space="0"/>
                  </w:tcBorders>
                  <w:shd w:val="clear" w:color="auto" w:fill="auto"/>
                  <w:vAlign w:val="center"/>
                </w:tcPr>
                <w:p w14:paraId="2A6412DB">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424" w:type="pct"/>
                  <w:vMerge w:val="continue"/>
                  <w:tcBorders>
                    <w:top w:val="single" w:color="auto" w:sz="4" w:space="0"/>
                    <w:left w:val="nil"/>
                    <w:bottom w:val="single" w:color="auto" w:sz="4" w:space="0"/>
                    <w:right w:val="single" w:color="auto" w:sz="4" w:space="0"/>
                  </w:tcBorders>
                  <w:shd w:val="clear" w:color="auto" w:fill="auto"/>
                  <w:vAlign w:val="center"/>
                </w:tcPr>
                <w:p w14:paraId="27964508">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715" w:type="pct"/>
                  <w:vMerge w:val="continue"/>
                  <w:tcBorders>
                    <w:top w:val="single" w:color="auto" w:sz="4" w:space="0"/>
                    <w:left w:val="nil"/>
                    <w:bottom w:val="single" w:color="auto" w:sz="4" w:space="0"/>
                    <w:right w:val="single" w:color="auto" w:sz="4" w:space="0"/>
                  </w:tcBorders>
                  <w:shd w:val="clear" w:color="auto" w:fill="auto"/>
                  <w:vAlign w:val="center"/>
                </w:tcPr>
                <w:p w14:paraId="687BD49B">
                  <w:pPr>
                    <w:keepNext w:val="0"/>
                    <w:keepLines w:val="0"/>
                    <w:suppressLineNumbers w:val="0"/>
                    <w:spacing w:before="0" w:beforeAutospacing="0" w:after="0" w:afterAutospacing="0"/>
                    <w:ind w:left="0" w:right="0"/>
                    <w:rPr>
                      <w:rFonts w:hint="default" w:ascii="Times New Roman" w:hAnsi="Times New Roman" w:cs="Times New Roman"/>
                      <w:color w:val="000000" w:themeColor="text1"/>
                      <w:sz w:val="20"/>
                      <w:szCs w:val="20"/>
                      <w14:textFill>
                        <w14:solidFill>
                          <w14:schemeClr w14:val="tx1"/>
                        </w14:solidFill>
                      </w14:textFill>
                    </w:rPr>
                  </w:pPr>
                </w:p>
              </w:tc>
              <w:tc>
                <w:tcPr>
                  <w:tcW w:w="739" w:type="pct"/>
                  <w:tcBorders>
                    <w:top w:val="single" w:color="auto" w:sz="4" w:space="0"/>
                    <w:left w:val="nil"/>
                    <w:bottom w:val="single" w:color="auto" w:sz="4" w:space="0"/>
                    <w:right w:val="single" w:color="auto" w:sz="4" w:space="0"/>
                  </w:tcBorders>
                  <w:shd w:val="clear" w:color="auto" w:fill="auto"/>
                  <w:vAlign w:val="center"/>
                </w:tcPr>
                <w:p w14:paraId="3E140B47">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
                      <w14:textFill>
                        <w14:solidFill>
                          <w14:schemeClr w14:val="tx1"/>
                        </w14:solidFill>
                      </w14:textFill>
                    </w:rPr>
                    <w:t>X</w:t>
                  </w:r>
                  <w:r>
                    <w:rPr>
                      <w:rFonts w:hint="eastAsia" w:ascii="宋体" w:hAnsi="宋体" w:eastAsia="宋体" w:cs="宋体"/>
                      <w:b/>
                      <w:color w:val="000000" w:themeColor="text1"/>
                      <w:kern w:val="2"/>
                      <w:sz w:val="21"/>
                      <w:szCs w:val="21"/>
                      <w:lang w:val="en-US" w:eastAsia="zh-CN" w:bidi="ar"/>
                      <w14:textFill>
                        <w14:solidFill>
                          <w14:schemeClr w14:val="tx1"/>
                        </w14:solidFill>
                      </w14:textFill>
                    </w:rPr>
                    <w:t>（度）</w:t>
                  </w:r>
                </w:p>
              </w:tc>
              <w:tc>
                <w:tcPr>
                  <w:tcW w:w="690" w:type="pct"/>
                  <w:tcBorders>
                    <w:top w:val="single" w:color="auto" w:sz="4" w:space="0"/>
                    <w:left w:val="nil"/>
                    <w:bottom w:val="single" w:color="auto" w:sz="4" w:space="0"/>
                    <w:right w:val="single" w:color="auto" w:sz="4" w:space="0"/>
                  </w:tcBorders>
                  <w:shd w:val="clear" w:color="auto" w:fill="auto"/>
                  <w:vAlign w:val="center"/>
                </w:tcPr>
                <w:p w14:paraId="1B7BB1DD">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default" w:ascii="Times New Roman" w:hAnsi="Times New Roman" w:eastAsia="宋体" w:cs="Times New Roman"/>
                      <w:b/>
                      <w:color w:val="000000" w:themeColor="text1"/>
                      <w:kern w:val="2"/>
                      <w:sz w:val="21"/>
                      <w:szCs w:val="21"/>
                      <w:lang w:val="en-US" w:eastAsia="zh-CN" w:bidi="ar"/>
                      <w14:textFill>
                        <w14:solidFill>
                          <w14:schemeClr w14:val="tx1"/>
                        </w14:solidFill>
                      </w14:textFill>
                    </w:rPr>
                    <w:t>Y</w:t>
                  </w:r>
                  <w:r>
                    <w:rPr>
                      <w:rFonts w:hint="eastAsia" w:ascii="宋体" w:hAnsi="宋体" w:eastAsia="宋体" w:cs="宋体"/>
                      <w:b/>
                      <w:color w:val="000000" w:themeColor="text1"/>
                      <w:kern w:val="2"/>
                      <w:sz w:val="21"/>
                      <w:szCs w:val="21"/>
                      <w:lang w:val="en-US" w:eastAsia="zh-CN" w:bidi="ar"/>
                      <w14:textFill>
                        <w14:solidFill>
                          <w14:schemeClr w14:val="tx1"/>
                        </w14:solidFill>
                      </w14:textFill>
                    </w:rPr>
                    <w:t>（度）</w:t>
                  </w:r>
                </w:p>
              </w:tc>
            </w:tr>
            <w:tr w14:paraId="02EA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57" w:type="dxa"/>
                  <w:bottom w:w="0" w:type="dxa"/>
                  <w:right w:w="57" w:type="dxa"/>
                </w:tblCellMar>
              </w:tblPrEx>
              <w:trPr>
                <w:trHeight w:val="23" w:hRule="atLeast"/>
                <w:jc w:val="center"/>
              </w:trPr>
              <w:tc>
                <w:tcPr>
                  <w:tcW w:w="1194" w:type="pct"/>
                  <w:tcBorders>
                    <w:top w:val="single" w:color="auto" w:sz="4" w:space="0"/>
                    <w:left w:val="single" w:color="auto" w:sz="4" w:space="0"/>
                    <w:bottom w:val="single" w:color="auto" w:sz="4" w:space="0"/>
                    <w:right w:val="single" w:color="auto" w:sz="4" w:space="0"/>
                  </w:tcBorders>
                  <w:shd w:val="clear" w:color="auto" w:fill="auto"/>
                  <w:vAlign w:val="center"/>
                </w:tcPr>
                <w:p w14:paraId="5BD68D36">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印刷</w:t>
                  </w:r>
                  <w:r>
                    <w:rPr>
                      <w:rFonts w:hint="eastAsia" w:ascii="宋体" w:hAnsi="宋体" w:eastAsia="宋体" w:cs="宋体"/>
                      <w:color w:val="000000" w:themeColor="text1"/>
                      <w:kern w:val="2"/>
                      <w:sz w:val="21"/>
                      <w:szCs w:val="21"/>
                      <w:lang w:val="en-US" w:eastAsia="zh-CN" w:bidi="ar"/>
                      <w14:textFill>
                        <w14:solidFill>
                          <w14:schemeClr w14:val="tx1"/>
                        </w14:solidFill>
                      </w14:textFill>
                    </w:rPr>
                    <w:t>废气排放口</w:t>
                  </w:r>
                </w:p>
              </w:tc>
              <w:tc>
                <w:tcPr>
                  <w:tcW w:w="492" w:type="pct"/>
                  <w:tcBorders>
                    <w:top w:val="single" w:color="auto" w:sz="4" w:space="0"/>
                    <w:left w:val="nil"/>
                    <w:bottom w:val="single" w:color="auto" w:sz="4" w:space="0"/>
                    <w:right w:val="single" w:color="auto" w:sz="4" w:space="0"/>
                  </w:tcBorders>
                  <w:shd w:val="clear" w:color="auto" w:fill="auto"/>
                  <w:vAlign w:val="center"/>
                </w:tcPr>
                <w:p w14:paraId="32BC1D69">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DA001</w:t>
                  </w:r>
                </w:p>
              </w:tc>
              <w:tc>
                <w:tcPr>
                  <w:tcW w:w="362" w:type="pct"/>
                  <w:tcBorders>
                    <w:top w:val="single" w:color="auto" w:sz="4" w:space="0"/>
                    <w:left w:val="nil"/>
                    <w:bottom w:val="single" w:color="auto" w:sz="4" w:space="0"/>
                    <w:right w:val="single" w:color="auto" w:sz="4" w:space="0"/>
                  </w:tcBorders>
                  <w:shd w:val="clear" w:color="auto" w:fill="auto"/>
                  <w:vAlign w:val="center"/>
                </w:tcPr>
                <w:p w14:paraId="52111A18">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15</w:t>
                  </w:r>
                </w:p>
              </w:tc>
              <w:tc>
                <w:tcPr>
                  <w:tcW w:w="380" w:type="pct"/>
                  <w:tcBorders>
                    <w:top w:val="single" w:color="auto" w:sz="4" w:space="0"/>
                    <w:left w:val="nil"/>
                    <w:bottom w:val="single" w:color="auto" w:sz="4" w:space="0"/>
                    <w:right w:val="single" w:color="auto" w:sz="4" w:space="0"/>
                  </w:tcBorders>
                  <w:shd w:val="clear" w:color="auto" w:fill="auto"/>
                  <w:vAlign w:val="center"/>
                </w:tcPr>
                <w:p w14:paraId="3EB720BC">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0.4</w:t>
                  </w:r>
                </w:p>
              </w:tc>
              <w:tc>
                <w:tcPr>
                  <w:tcW w:w="424" w:type="pct"/>
                  <w:tcBorders>
                    <w:top w:val="single" w:color="auto" w:sz="4" w:space="0"/>
                    <w:left w:val="nil"/>
                    <w:bottom w:val="single" w:color="auto" w:sz="4" w:space="0"/>
                    <w:right w:val="single" w:color="auto" w:sz="4" w:space="0"/>
                  </w:tcBorders>
                  <w:shd w:val="clear" w:color="auto" w:fill="auto"/>
                  <w:vAlign w:val="center"/>
                </w:tcPr>
                <w:p w14:paraId="2DDDF42D">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25</w:t>
                  </w:r>
                </w:p>
              </w:tc>
              <w:tc>
                <w:tcPr>
                  <w:tcW w:w="715" w:type="pct"/>
                  <w:tcBorders>
                    <w:top w:val="single" w:color="auto" w:sz="4" w:space="0"/>
                    <w:left w:val="nil"/>
                    <w:bottom w:val="single" w:color="auto" w:sz="4" w:space="0"/>
                    <w:right w:val="single" w:color="auto" w:sz="4" w:space="0"/>
                  </w:tcBorders>
                  <w:shd w:val="clear" w:color="auto" w:fill="auto"/>
                  <w:vAlign w:val="center"/>
                </w:tcPr>
                <w:p w14:paraId="47A36264">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
                      <w14:textFill>
                        <w14:solidFill>
                          <w14:schemeClr w14:val="tx1"/>
                        </w14:solidFill>
                      </w14:textFill>
                    </w:rPr>
                    <w:t>一般排放口</w:t>
                  </w:r>
                </w:p>
              </w:tc>
              <w:tc>
                <w:tcPr>
                  <w:tcW w:w="739" w:type="pct"/>
                  <w:tcBorders>
                    <w:top w:val="single" w:color="auto" w:sz="4" w:space="0"/>
                    <w:left w:val="nil"/>
                    <w:bottom w:val="single" w:color="auto" w:sz="4" w:space="0"/>
                    <w:right w:val="single" w:color="auto" w:sz="4" w:space="0"/>
                  </w:tcBorders>
                  <w:shd w:val="clear" w:color="auto" w:fill="auto"/>
                  <w:vAlign w:val="center"/>
                </w:tcPr>
                <w:p w14:paraId="194511E0">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108.64082</w:t>
                  </w:r>
                  <w:r>
                    <w:rPr>
                      <w:rFonts w:hint="eastAsia" w:cs="Times New Roman"/>
                      <w:color w:val="000000" w:themeColor="text1"/>
                      <w:kern w:val="2"/>
                      <w:sz w:val="21"/>
                      <w:szCs w:val="21"/>
                      <w:lang w:val="en-US" w:eastAsia="zh-CN" w:bidi="ar"/>
                      <w14:textFill>
                        <w14:solidFill>
                          <w14:schemeClr w14:val="tx1"/>
                        </w14:solidFill>
                      </w14:textFill>
                    </w:rPr>
                    <w:t>3</w:t>
                  </w:r>
                </w:p>
              </w:tc>
              <w:tc>
                <w:tcPr>
                  <w:tcW w:w="690" w:type="pct"/>
                  <w:tcBorders>
                    <w:top w:val="single" w:color="auto" w:sz="4" w:space="0"/>
                    <w:left w:val="nil"/>
                    <w:bottom w:val="single" w:color="auto" w:sz="4" w:space="0"/>
                    <w:right w:val="single" w:color="auto" w:sz="4" w:space="0"/>
                  </w:tcBorders>
                  <w:shd w:val="clear" w:color="auto" w:fill="auto"/>
                  <w:vAlign w:val="center"/>
                </w:tcPr>
                <w:p w14:paraId="5A551C10">
                  <w:pPr>
                    <w:keepNext w:val="0"/>
                    <w:keepLines w:val="0"/>
                    <w:widowControl w:val="0"/>
                    <w:suppressLineNumbers w:val="0"/>
                    <w:spacing w:before="0" w:beforeAutospacing="0" w:after="0" w:afterAutospacing="0" w:line="360" w:lineRule="exact"/>
                    <w:ind w:left="0" w:right="0" w:firstLine="0" w:firstLineChars="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34.21756</w:t>
                  </w:r>
                  <w:r>
                    <w:rPr>
                      <w:rFonts w:hint="eastAsia" w:cs="Times New Roman"/>
                      <w:color w:val="000000" w:themeColor="text1"/>
                      <w:kern w:val="2"/>
                      <w:sz w:val="21"/>
                      <w:szCs w:val="21"/>
                      <w:lang w:val="en-US" w:eastAsia="zh-CN" w:bidi="ar"/>
                      <w14:textFill>
                        <w14:solidFill>
                          <w14:schemeClr w14:val="tx1"/>
                        </w14:solidFill>
                      </w14:textFill>
                    </w:rPr>
                    <w:t>0</w:t>
                  </w:r>
                </w:p>
              </w:tc>
            </w:tr>
          </w:tbl>
          <w:p w14:paraId="081BA545">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3、监测计划</w:t>
            </w:r>
          </w:p>
          <w:p w14:paraId="2AC596D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监测参照《排污单位自行监测技术指南 </w:t>
            </w:r>
            <w:r>
              <w:rPr>
                <w:rFonts w:hint="eastAsia" w:cs="Times New Roman"/>
                <w:color w:val="000000" w:themeColor="text1"/>
                <w:lang w:val="en-US" w:eastAsia="zh-CN"/>
                <w14:textFill>
                  <w14:solidFill>
                    <w14:schemeClr w14:val="tx1"/>
                  </w14:solidFill>
                </w14:textFill>
              </w:rPr>
              <w:t>印刷工业</w:t>
            </w:r>
            <w:r>
              <w:rPr>
                <w:rFonts w:hint="default" w:ascii="Times New Roman" w:hAnsi="Times New Roman" w:cs="Times New Roman"/>
                <w:color w:val="000000" w:themeColor="text1"/>
                <w14:textFill>
                  <w14:solidFill>
                    <w14:schemeClr w14:val="tx1"/>
                  </w14:solidFill>
                </w14:textFill>
              </w:rPr>
              <w:t>》（HJ</w:t>
            </w:r>
            <w:r>
              <w:rPr>
                <w:rFonts w:hint="eastAsia" w:cs="Times New Roman"/>
                <w:color w:val="000000" w:themeColor="text1"/>
                <w:lang w:val="en-US" w:eastAsia="zh-CN"/>
                <w14:textFill>
                  <w14:solidFill>
                    <w14:schemeClr w14:val="tx1"/>
                  </w14:solidFill>
                </w14:textFill>
              </w:rPr>
              <w:t>1246</w:t>
            </w:r>
            <w:r>
              <w:rPr>
                <w:rFonts w:hint="default" w:ascii="Times New Roman" w:hAnsi="Times New Roman" w:cs="Times New Roman"/>
                <w:color w:val="000000" w:themeColor="text1"/>
                <w14:textFill>
                  <w14:solidFill>
                    <w14:schemeClr w14:val="tx1"/>
                  </w14:solidFill>
                </w14:textFill>
              </w:rPr>
              <w:t>-20</w:t>
            </w:r>
            <w:r>
              <w:rPr>
                <w:rFonts w:hint="eastAsia" w:cs="Times New Roman"/>
                <w:color w:val="000000" w:themeColor="text1"/>
                <w:lang w:val="en-US" w:eastAsia="zh-CN"/>
                <w14:textFill>
                  <w14:solidFill>
                    <w14:schemeClr w14:val="tx1"/>
                  </w14:solidFill>
                </w14:textFill>
              </w:rPr>
              <w:t>22</w:t>
            </w:r>
            <w:r>
              <w:rPr>
                <w:rFonts w:hint="default" w:ascii="Times New Roman" w:hAnsi="Times New Roman" w:cs="Times New Roman"/>
                <w:color w:val="000000" w:themeColor="text1"/>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《排污许可证申请与核发技术规范</w:t>
            </w:r>
            <w:r>
              <w:rPr>
                <w:rFonts w:hint="eastAsia" w:cs="Times New Roman"/>
                <w:color w:val="000000" w:themeColor="text1"/>
                <w:lang w:val="en-US" w:eastAsia="zh-CN"/>
                <w14:textFill>
                  <w14:solidFill>
                    <w14:schemeClr w14:val="tx1"/>
                  </w14:solidFill>
                </w14:textFill>
              </w:rPr>
              <w:t xml:space="preserve"> </w:t>
            </w:r>
            <w:r>
              <w:rPr>
                <w:rFonts w:hint="default" w:ascii="Times New Roman" w:hAnsi="Times New Roman" w:cs="Times New Roman"/>
                <w:color w:val="000000" w:themeColor="text1"/>
                <w14:textFill>
                  <w14:solidFill>
                    <w14:schemeClr w14:val="tx1"/>
                  </w14:solidFill>
                </w14:textFill>
              </w:rPr>
              <w:t>印刷工业》</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w:t>
            </w:r>
            <w:r>
              <w:rPr>
                <w:rFonts w:hint="eastAsia" w:cs="Times New Roman"/>
                <w:color w:val="000000" w:themeColor="text1"/>
                <w:lang w:val="en-US" w:eastAsia="zh-CN"/>
                <w14:textFill>
                  <w14:solidFill>
                    <w14:schemeClr w14:val="tx1"/>
                  </w14:solidFill>
                </w14:textFill>
              </w:rPr>
              <w:t>J</w:t>
            </w:r>
            <w:r>
              <w:rPr>
                <w:rFonts w:hint="default" w:ascii="Times New Roman" w:hAnsi="Times New Roman" w:cs="Times New Roman"/>
                <w:color w:val="000000" w:themeColor="text1"/>
                <w14:textFill>
                  <w14:solidFill>
                    <w14:schemeClr w14:val="tx1"/>
                  </w14:solidFill>
                </w14:textFill>
              </w:rPr>
              <w:t>1066-2019</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执行，污染源监测计划见表4-3。</w:t>
            </w:r>
          </w:p>
          <w:p w14:paraId="1E51003B">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表4-3  废气污染源监测计划表</w:t>
            </w:r>
          </w:p>
          <w:tbl>
            <w:tblPr>
              <w:tblStyle w:val="22"/>
              <w:tblW w:w="49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392"/>
              <w:gridCol w:w="973"/>
              <w:gridCol w:w="1128"/>
              <w:gridCol w:w="3016"/>
            </w:tblGrid>
            <w:tr w14:paraId="472F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110A65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899" w:type="pct"/>
                  <w:vAlign w:val="center"/>
                </w:tcPr>
                <w:p w14:paraId="743AD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监测项目</w:t>
                  </w:r>
                </w:p>
              </w:tc>
              <w:tc>
                <w:tcPr>
                  <w:tcW w:w="628" w:type="pct"/>
                  <w:vAlign w:val="center"/>
                </w:tcPr>
                <w:p w14:paraId="43EC4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监测点数</w:t>
                  </w:r>
                </w:p>
              </w:tc>
              <w:tc>
                <w:tcPr>
                  <w:tcW w:w="729" w:type="pct"/>
                  <w:vAlign w:val="center"/>
                </w:tcPr>
                <w:p w14:paraId="362670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监测频次</w:t>
                  </w:r>
                </w:p>
              </w:tc>
              <w:tc>
                <w:tcPr>
                  <w:tcW w:w="1949" w:type="pct"/>
                  <w:vAlign w:val="center"/>
                </w:tcPr>
                <w:p w14:paraId="5D54C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执行排放标准</w:t>
                  </w:r>
                </w:p>
              </w:tc>
            </w:tr>
            <w:tr w14:paraId="1B3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Align w:val="center"/>
                </w:tcPr>
                <w:p w14:paraId="556619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DA001</w:t>
                  </w:r>
                </w:p>
              </w:tc>
              <w:tc>
                <w:tcPr>
                  <w:tcW w:w="899" w:type="pct"/>
                  <w:vAlign w:val="center"/>
                </w:tcPr>
                <w:p w14:paraId="1FD08E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628" w:type="pct"/>
                  <w:vAlign w:val="center"/>
                </w:tcPr>
                <w:p w14:paraId="1CF709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729" w:type="pct"/>
                  <w:vAlign w:val="center"/>
                </w:tcPr>
                <w:p w14:paraId="6ACB9B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w:t>
                  </w:r>
                  <w:r>
                    <w:rPr>
                      <w:rFonts w:hint="eastAsia" w:cs="Times New Roman"/>
                      <w:color w:val="000000" w:themeColor="text1"/>
                      <w:sz w:val="21"/>
                      <w:szCs w:val="21"/>
                      <w:lang w:val="en-US" w:eastAsia="zh-CN"/>
                      <w14:textFill>
                        <w14:solidFill>
                          <w14:schemeClr w14:val="tx1"/>
                        </w14:solidFill>
                      </w14:textFill>
                    </w:rPr>
                    <w:t>半</w:t>
                  </w:r>
                  <w:r>
                    <w:rPr>
                      <w:rFonts w:hint="default" w:ascii="Times New Roman" w:hAnsi="Times New Roman" w:cs="Times New Roman"/>
                      <w:color w:val="000000" w:themeColor="text1"/>
                      <w:sz w:val="21"/>
                      <w:szCs w:val="21"/>
                      <w14:textFill>
                        <w14:solidFill>
                          <w14:schemeClr w14:val="tx1"/>
                        </w14:solidFill>
                      </w14:textFill>
                    </w:rPr>
                    <w:t>年</w:t>
                  </w:r>
                </w:p>
              </w:tc>
              <w:tc>
                <w:tcPr>
                  <w:tcW w:w="1949" w:type="pct"/>
                  <w:vMerge w:val="restart"/>
                  <w:vAlign w:val="center"/>
                </w:tcPr>
                <w:p w14:paraId="4940C4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《挥发性有机物排放控制标准》</w:t>
                  </w:r>
                  <w:r>
                    <w:rPr>
                      <w:rFonts w:hint="default" w:ascii="Times New Roman" w:hAnsi="Times New Roman" w:cs="Times New Roman"/>
                      <w:color w:val="000000" w:themeColor="text1"/>
                      <w:sz w:val="21"/>
                      <w:szCs w:val="21"/>
                      <w14:textFill>
                        <w14:solidFill>
                          <w14:schemeClr w14:val="tx1"/>
                        </w14:solidFill>
                      </w14:textFill>
                    </w:rPr>
                    <w:t>（DB61/T 1061-2017）</w:t>
                  </w:r>
                </w:p>
              </w:tc>
            </w:tr>
            <w:tr w14:paraId="3A75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restart"/>
                  <w:shd w:val="clear" w:color="auto" w:fill="auto"/>
                  <w:vAlign w:val="center"/>
                </w:tcPr>
                <w:p w14:paraId="670E22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厂界无组织</w:t>
                  </w:r>
                </w:p>
              </w:tc>
              <w:tc>
                <w:tcPr>
                  <w:tcW w:w="899" w:type="pct"/>
                  <w:shd w:val="clear" w:color="auto" w:fill="auto"/>
                  <w:vAlign w:val="center"/>
                </w:tcPr>
                <w:p w14:paraId="68FF7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628" w:type="pct"/>
                  <w:vMerge w:val="restart"/>
                  <w:shd w:val="clear" w:color="auto" w:fill="auto"/>
                  <w:vAlign w:val="center"/>
                </w:tcPr>
                <w:p w14:paraId="3E1934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729" w:type="pct"/>
                  <w:vMerge w:val="restart"/>
                  <w:shd w:val="clear" w:color="auto" w:fill="auto"/>
                  <w:vAlign w:val="center"/>
                </w:tcPr>
                <w:p w14:paraId="7B943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1次/年</w:t>
                  </w:r>
                </w:p>
              </w:tc>
              <w:tc>
                <w:tcPr>
                  <w:tcW w:w="1949" w:type="pct"/>
                  <w:vMerge w:val="continue"/>
                  <w:vAlign w:val="center"/>
                </w:tcPr>
                <w:p w14:paraId="55A473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r w14:paraId="216D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vMerge w:val="continue"/>
                  <w:shd w:val="clear" w:color="auto" w:fill="auto"/>
                  <w:vAlign w:val="center"/>
                </w:tcPr>
                <w:p w14:paraId="633D30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899" w:type="pct"/>
                  <w:shd w:val="clear" w:color="auto" w:fill="auto"/>
                  <w:vAlign w:val="center"/>
                </w:tcPr>
                <w:p w14:paraId="7BF14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628" w:type="pct"/>
                  <w:vMerge w:val="continue"/>
                  <w:shd w:val="clear" w:color="auto" w:fill="auto"/>
                  <w:vAlign w:val="center"/>
                </w:tcPr>
                <w:p w14:paraId="78FA1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p>
              </w:tc>
              <w:tc>
                <w:tcPr>
                  <w:tcW w:w="729" w:type="pct"/>
                  <w:vMerge w:val="continue"/>
                  <w:shd w:val="clear" w:color="auto" w:fill="auto"/>
                  <w:vAlign w:val="center"/>
                </w:tcPr>
                <w:p w14:paraId="182AD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949" w:type="pct"/>
                  <w:vAlign w:val="center"/>
                </w:tcPr>
                <w:p w14:paraId="16E41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《大气污染物综合排放标准》（GB16297-1996）</w:t>
                  </w:r>
                </w:p>
              </w:tc>
            </w:tr>
            <w:tr w14:paraId="241A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3" w:type="pct"/>
                  <w:shd w:val="clear" w:color="auto" w:fill="auto"/>
                  <w:vAlign w:val="center"/>
                </w:tcPr>
                <w:p w14:paraId="123785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厂区内无组织</w:t>
                  </w:r>
                </w:p>
              </w:tc>
              <w:tc>
                <w:tcPr>
                  <w:tcW w:w="899" w:type="pct"/>
                  <w:shd w:val="clear" w:color="auto" w:fill="auto"/>
                  <w:vAlign w:val="center"/>
                </w:tcPr>
                <w:p w14:paraId="0DAB2B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628" w:type="pct"/>
                  <w:shd w:val="clear" w:color="auto" w:fill="auto"/>
                  <w:vAlign w:val="center"/>
                </w:tcPr>
                <w:p w14:paraId="68113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29" w:type="pct"/>
                  <w:shd w:val="clear" w:color="auto" w:fill="auto"/>
                  <w:vAlign w:val="center"/>
                </w:tcPr>
                <w:p w14:paraId="5BFE0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1次/年</w:t>
                  </w:r>
                </w:p>
              </w:tc>
              <w:tc>
                <w:tcPr>
                  <w:tcW w:w="1949" w:type="pct"/>
                  <w:vAlign w:val="center"/>
                </w:tcPr>
                <w:p w14:paraId="377284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挥发性有机物无组织排放控制标准》(GB37822-2019)</w:t>
                  </w:r>
                </w:p>
              </w:tc>
            </w:tr>
            <w:tr w14:paraId="76E6D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C9E0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注：排气筒废气监测应同步监测烟气参数。</w:t>
                  </w:r>
                </w:p>
              </w:tc>
            </w:tr>
          </w:tbl>
          <w:p w14:paraId="1B4E3617">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4、废气达标排放分析</w:t>
            </w:r>
          </w:p>
          <w:p w14:paraId="072271B7">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根据源强核算</w:t>
            </w: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本项目</w:t>
            </w:r>
            <w:r>
              <w:rPr>
                <w:rFonts w:hint="eastAsia" w:cs="Times New Roman"/>
                <w:color w:val="000000" w:themeColor="text1"/>
                <w:lang w:val="en-US" w:eastAsia="zh-CN"/>
                <w14:textFill>
                  <w14:solidFill>
                    <w14:schemeClr w14:val="tx1"/>
                  </w14:solidFill>
                </w14:textFill>
              </w:rPr>
              <w:t>非甲烷总烃有组织</w:t>
            </w:r>
            <w:r>
              <w:rPr>
                <w:rFonts w:hint="eastAsia"/>
                <w:color w:val="000000" w:themeColor="text1"/>
                <w:highlight w:val="none"/>
                <w:lang w:val="en-US" w:eastAsia="zh-CN"/>
                <w14:textFill>
                  <w14:solidFill>
                    <w14:schemeClr w14:val="tx1"/>
                  </w14:solidFill>
                </w14:textFill>
              </w:rPr>
              <w:t>排放浓度为0.8mg/m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，去除效率85%，排放满足</w:t>
            </w:r>
            <w:r>
              <w:rPr>
                <w:rFonts w:hint="eastAsia" w:cs="Times New Roman"/>
                <w:color w:val="000000" w:themeColor="text1"/>
                <w:lang w:val="en-US" w:eastAsia="zh-CN"/>
                <w14:textFill>
                  <w14:solidFill>
                    <w14:schemeClr w14:val="tx1"/>
                  </w14:solidFill>
                </w14:textFill>
              </w:rPr>
              <w:t>《挥发性有机物排放控制标准》（DB61/T 1061-2017）相关限值要求；通过加强车间通风，非甲烷总烃厂区内无组织</w:t>
            </w:r>
            <w:r>
              <w:rPr>
                <w:rFonts w:hint="eastAsia"/>
                <w:color w:val="000000" w:themeColor="text1"/>
                <w:highlight w:val="none"/>
                <w:lang w:val="en-US" w:eastAsia="zh-CN"/>
                <w14:textFill>
                  <w14:solidFill>
                    <w14:schemeClr w14:val="tx1"/>
                  </w14:solidFill>
                </w14:textFill>
              </w:rPr>
              <w:t>排放浓度可满足《挥发性有机物无组织排放控制标准》(GB37822-2019)</w:t>
            </w:r>
            <w:r>
              <w:rPr>
                <w:rFonts w:hint="eastAsia" w:cs="Times New Roman"/>
                <w:color w:val="000000" w:themeColor="text1"/>
                <w:lang w:val="en-US" w:eastAsia="zh-CN"/>
                <w14:textFill>
                  <w14:solidFill>
                    <w14:schemeClr w14:val="tx1"/>
                  </w14:solidFill>
                </w14:textFill>
              </w:rPr>
              <w:t>相关限值要求，厂界外无组织</w:t>
            </w:r>
            <w:r>
              <w:rPr>
                <w:rFonts w:hint="eastAsia"/>
                <w:color w:val="000000" w:themeColor="text1"/>
                <w:highlight w:val="none"/>
                <w:lang w:val="en-US" w:eastAsia="zh-CN"/>
                <w14:textFill>
                  <w14:solidFill>
                    <w14:schemeClr w14:val="tx1"/>
                  </w14:solidFill>
                </w14:textFill>
              </w:rPr>
              <w:t>排放浓度可满足《挥发性有机物排放控制标准》（DB61/T 1061-2017）</w:t>
            </w:r>
            <w:r>
              <w:rPr>
                <w:rFonts w:hint="eastAsia" w:cs="Times New Roman"/>
                <w:color w:val="000000" w:themeColor="text1"/>
                <w:lang w:val="en-US" w:eastAsia="zh-CN"/>
                <w14:textFill>
                  <w14:solidFill>
                    <w14:schemeClr w14:val="tx1"/>
                  </w14:solidFill>
                </w14:textFill>
              </w:rPr>
              <w:t>相关限值要求；颗粒物无组织排放</w:t>
            </w:r>
            <w:r>
              <w:rPr>
                <w:rFonts w:hint="eastAsia"/>
                <w:color w:val="000000" w:themeColor="text1"/>
                <w:highlight w:val="none"/>
                <w:lang w:val="en-US" w:eastAsia="zh-CN"/>
                <w14:textFill>
                  <w14:solidFill>
                    <w14:schemeClr w14:val="tx1"/>
                  </w14:solidFill>
                </w14:textFill>
              </w:rPr>
              <w:t>可满足《大气污染物综合排放标准》（GB16297-1996）；</w:t>
            </w:r>
            <w:r>
              <w:rPr>
                <w:rFonts w:hint="eastAsia" w:ascii="Times New Roman" w:hAnsi="Times New Roman" w:cs="Times New Roman"/>
                <w:color w:val="000000" w:themeColor="text1"/>
                <w:lang w:val="en-US" w:eastAsia="zh-CN"/>
                <w14:textFill>
                  <w14:solidFill>
                    <w14:schemeClr w14:val="tx1"/>
                  </w14:solidFill>
                </w14:textFill>
              </w:rPr>
              <w:t>运营期产生的废气</w:t>
            </w:r>
            <w:r>
              <w:rPr>
                <w:rFonts w:hint="eastAsia" w:cs="Times New Roman"/>
                <w:color w:val="000000" w:themeColor="text1"/>
                <w:lang w:val="en-US" w:eastAsia="zh-CN"/>
                <w14:textFill>
                  <w14:solidFill>
                    <w14:schemeClr w14:val="tx1"/>
                  </w14:solidFill>
                </w14:textFill>
              </w:rPr>
              <w:t>均</w:t>
            </w:r>
            <w:r>
              <w:rPr>
                <w:rFonts w:hint="eastAsia" w:ascii="Times New Roman" w:hAnsi="Times New Roman" w:cs="Times New Roman"/>
                <w:color w:val="000000" w:themeColor="text1"/>
                <w:lang w:val="en-US" w:eastAsia="zh-CN"/>
                <w14:textFill>
                  <w14:solidFill>
                    <w14:schemeClr w14:val="tx1"/>
                  </w14:solidFill>
                </w14:textFill>
              </w:rPr>
              <w:t>能达标排放。</w:t>
            </w:r>
          </w:p>
          <w:p w14:paraId="248BF836">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5、非正常工况</w:t>
            </w:r>
          </w:p>
          <w:p w14:paraId="72BDABE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项目</w:t>
            </w:r>
            <w:r>
              <w:rPr>
                <w:rFonts w:hint="eastAsia" w:cs="Times New Roman"/>
                <w:color w:val="000000" w:themeColor="text1"/>
                <w:lang w:val="en-US" w:eastAsia="zh-CN"/>
                <w14:textFill>
                  <w14:solidFill>
                    <w14:schemeClr w14:val="tx1"/>
                  </w14:solidFill>
                </w14:textFill>
              </w:rPr>
              <w:t>废气处理设施故障等非正常情况下</w:t>
            </w:r>
            <w:r>
              <w:rPr>
                <w:rFonts w:hint="default" w:ascii="Times New Roman" w:hAnsi="Times New Roman" w:cs="Times New Roman"/>
                <w:color w:val="000000" w:themeColor="text1"/>
                <w14:textFill>
                  <w14:solidFill>
                    <w14:schemeClr w14:val="tx1"/>
                  </w14:solidFill>
                </w14:textFill>
              </w:rPr>
              <w:t>，大气污染物产生及排放情况见表4-4。</w:t>
            </w:r>
          </w:p>
          <w:p w14:paraId="48454661">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表4-4  非正常情况大气污染物产生及排放情况一览表</w:t>
            </w:r>
          </w:p>
          <w:tbl>
            <w:tblPr>
              <w:tblStyle w:val="21"/>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021"/>
              <w:gridCol w:w="1208"/>
              <w:gridCol w:w="1025"/>
              <w:gridCol w:w="964"/>
              <w:gridCol w:w="864"/>
              <w:gridCol w:w="922"/>
              <w:gridCol w:w="704"/>
            </w:tblGrid>
            <w:tr w14:paraId="6119F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pct"/>
                  <w:shd w:val="clear" w:color="auto" w:fill="auto"/>
                  <w:vAlign w:val="center"/>
                </w:tcPr>
                <w:p w14:paraId="0145AE07">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非正常排放原因</w:t>
                  </w:r>
                </w:p>
              </w:tc>
              <w:tc>
                <w:tcPr>
                  <w:tcW w:w="653" w:type="pct"/>
                  <w:shd w:val="clear" w:color="auto" w:fill="auto"/>
                  <w:vAlign w:val="center"/>
                </w:tcPr>
                <w:p w14:paraId="1FA02381">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污染物</w:t>
                  </w:r>
                </w:p>
              </w:tc>
              <w:tc>
                <w:tcPr>
                  <w:tcW w:w="773" w:type="pct"/>
                  <w:shd w:val="clear" w:color="auto" w:fill="auto"/>
                  <w:vAlign w:val="center"/>
                </w:tcPr>
                <w:p w14:paraId="20AA46A3">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GB"/>
                      <w14:textFill>
                        <w14:solidFill>
                          <w14:schemeClr w14:val="tx1"/>
                        </w14:solidFill>
                      </w14:textFill>
                    </w:rPr>
                    <w:t>非正常排放浓度</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656" w:type="pct"/>
                  <w:shd w:val="clear" w:color="auto" w:fill="auto"/>
                  <w:vAlign w:val="center"/>
                </w:tcPr>
                <w:p w14:paraId="664358DB">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lang w:val="en-GB"/>
                      <w14:textFill>
                        <w14:solidFill>
                          <w14:schemeClr w14:val="tx1"/>
                        </w14:solidFill>
                      </w14:textFill>
                    </w:rPr>
                  </w:pPr>
                  <w:r>
                    <w:rPr>
                      <w:rFonts w:hint="default" w:ascii="Times New Roman" w:hAnsi="Times New Roman" w:cs="Times New Roman"/>
                      <w:b/>
                      <w:bCs/>
                      <w:color w:val="000000" w:themeColor="text1"/>
                      <w:sz w:val="21"/>
                      <w:szCs w:val="21"/>
                      <w:lang w:val="en-GB"/>
                      <w14:textFill>
                        <w14:solidFill>
                          <w14:schemeClr w14:val="tx1"/>
                        </w14:solidFill>
                      </w14:textFill>
                    </w:rPr>
                    <w:t>非正常排放速率（</w:t>
                  </w:r>
                  <w:r>
                    <w:rPr>
                      <w:rFonts w:hint="default" w:ascii="Times New Roman" w:hAnsi="Times New Roman" w:cs="Times New Roman"/>
                      <w:b/>
                      <w:bCs/>
                      <w:color w:val="000000" w:themeColor="text1"/>
                      <w:sz w:val="21"/>
                      <w:szCs w:val="21"/>
                      <w14:textFill>
                        <w14:solidFill>
                          <w14:schemeClr w14:val="tx1"/>
                        </w14:solidFill>
                      </w14:textFill>
                    </w:rPr>
                    <w:t>kg/h</w:t>
                  </w:r>
                  <w:r>
                    <w:rPr>
                      <w:rFonts w:hint="default" w:ascii="Times New Roman" w:hAnsi="Times New Roman" w:cs="Times New Roman"/>
                      <w:b/>
                      <w:bCs/>
                      <w:color w:val="000000" w:themeColor="text1"/>
                      <w:sz w:val="21"/>
                      <w:szCs w:val="21"/>
                      <w:lang w:val="en-GB"/>
                      <w14:textFill>
                        <w14:solidFill>
                          <w14:schemeClr w14:val="tx1"/>
                        </w14:solidFill>
                      </w14:textFill>
                    </w:rPr>
                    <w:t>）</w:t>
                  </w:r>
                </w:p>
              </w:tc>
              <w:tc>
                <w:tcPr>
                  <w:tcW w:w="617" w:type="pct"/>
                  <w:shd w:val="clear" w:color="auto" w:fill="auto"/>
                  <w:vAlign w:val="center"/>
                </w:tcPr>
                <w:p w14:paraId="6ED5DEE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单次持续时间（h）</w:t>
                  </w:r>
                </w:p>
              </w:tc>
              <w:tc>
                <w:tcPr>
                  <w:tcW w:w="553" w:type="pct"/>
                  <w:shd w:val="clear" w:color="auto" w:fill="auto"/>
                  <w:vAlign w:val="center"/>
                </w:tcPr>
                <w:p w14:paraId="1F52297C">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年发生频次/次</w:t>
                  </w:r>
                </w:p>
              </w:tc>
              <w:tc>
                <w:tcPr>
                  <w:tcW w:w="589" w:type="pct"/>
                  <w:shd w:val="clear" w:color="auto" w:fill="auto"/>
                  <w:vAlign w:val="center"/>
                </w:tcPr>
                <w:p w14:paraId="3007816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排放量（kg/a）</w:t>
                  </w:r>
                </w:p>
              </w:tc>
              <w:tc>
                <w:tcPr>
                  <w:tcW w:w="450" w:type="pct"/>
                  <w:shd w:val="clear" w:color="auto" w:fill="auto"/>
                  <w:vAlign w:val="center"/>
                </w:tcPr>
                <w:p w14:paraId="1E15A44D">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应对措施</w:t>
                  </w:r>
                </w:p>
              </w:tc>
            </w:tr>
            <w:tr w14:paraId="3D7D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4" w:type="pct"/>
                  <w:shd w:val="clear" w:color="auto" w:fill="auto"/>
                  <w:vAlign w:val="center"/>
                </w:tcPr>
                <w:p w14:paraId="0D521C0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0"/>
                      <w:sz w:val="21"/>
                      <w:szCs w:val="21"/>
                      <w:lang w:val="en-US" w:eastAsia="zh-CN"/>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废气处理设施故障</w:t>
                  </w:r>
                </w:p>
              </w:tc>
              <w:tc>
                <w:tcPr>
                  <w:tcW w:w="653" w:type="pct"/>
                  <w:shd w:val="clear" w:color="auto" w:fill="auto"/>
                  <w:vAlign w:val="center"/>
                </w:tcPr>
                <w:p w14:paraId="0966F23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非甲烷总烃</w:t>
                  </w:r>
                </w:p>
              </w:tc>
              <w:tc>
                <w:tcPr>
                  <w:tcW w:w="773" w:type="pct"/>
                  <w:shd w:val="clear" w:color="auto" w:fill="auto"/>
                  <w:vAlign w:val="center"/>
                </w:tcPr>
                <w:p w14:paraId="3FA930A9">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5.6</w:t>
                  </w:r>
                </w:p>
              </w:tc>
              <w:tc>
                <w:tcPr>
                  <w:tcW w:w="656" w:type="pct"/>
                  <w:shd w:val="clear" w:color="auto" w:fill="auto"/>
                  <w:vAlign w:val="center"/>
                </w:tcPr>
                <w:p w14:paraId="5625D826">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kern w:val="2"/>
                      <w:sz w:val="21"/>
                      <w:szCs w:val="21"/>
                      <w:lang w:val="en-US" w:eastAsia="zh-CN" w:bidi="ar-SA"/>
                      <w14:textFill>
                        <w14:solidFill>
                          <w14:schemeClr w14:val="tx1"/>
                        </w14:solidFill>
                      </w14:textFill>
                    </w:rPr>
                    <w:t>0.028</w:t>
                  </w:r>
                </w:p>
              </w:tc>
              <w:tc>
                <w:tcPr>
                  <w:tcW w:w="617" w:type="pct"/>
                  <w:shd w:val="clear" w:color="auto" w:fill="auto"/>
                  <w:vAlign w:val="center"/>
                </w:tcPr>
                <w:p w14:paraId="74737442">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c>
                <w:tcPr>
                  <w:tcW w:w="553" w:type="pct"/>
                  <w:shd w:val="clear" w:color="auto" w:fill="auto"/>
                  <w:vAlign w:val="center"/>
                </w:tcPr>
                <w:p w14:paraId="611F906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1</w:t>
                  </w:r>
                </w:p>
              </w:tc>
              <w:tc>
                <w:tcPr>
                  <w:tcW w:w="589" w:type="pct"/>
                  <w:shd w:val="clear" w:color="auto" w:fill="auto"/>
                  <w:vAlign w:val="center"/>
                </w:tcPr>
                <w:p w14:paraId="2D5C6525">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0.028</w:t>
                  </w:r>
                </w:p>
              </w:tc>
              <w:tc>
                <w:tcPr>
                  <w:tcW w:w="450" w:type="pct"/>
                  <w:shd w:val="clear" w:color="auto" w:fill="auto"/>
                  <w:vAlign w:val="center"/>
                </w:tcPr>
                <w:p w14:paraId="67125F9A">
                  <w:pPr>
                    <w:keepNext w:val="0"/>
                    <w:keepLines w:val="0"/>
                    <w:suppressLineNumbers w:val="0"/>
                    <w:autoSpaceDE w:val="0"/>
                    <w:autoSpaceDN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kern w:val="0"/>
                      <w:sz w:val="21"/>
                      <w:szCs w:val="21"/>
                      <w:lang w:val="en-US" w:eastAsia="zh-CN"/>
                      <w14:textFill>
                        <w14:solidFill>
                          <w14:schemeClr w14:val="tx1"/>
                        </w14:solidFill>
                      </w14:textFill>
                    </w:rPr>
                    <w:t>更换活性炭</w:t>
                  </w:r>
                </w:p>
              </w:tc>
            </w:tr>
          </w:tbl>
          <w:p w14:paraId="74CA2DDC">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kern w:val="0"/>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6、环境影响分析</w:t>
            </w:r>
          </w:p>
          <w:p w14:paraId="668135CF">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kern w:val="0"/>
                <w:lang w:val="en-US" w:eastAsia="zh-CN"/>
                <w14:textFill>
                  <w14:solidFill>
                    <w14:schemeClr w14:val="tx1"/>
                  </w14:solidFill>
                </w14:textFill>
              </w:rPr>
            </w:pPr>
            <w:r>
              <w:rPr>
                <w:rFonts w:hint="eastAsia" w:cs="Times New Roman"/>
                <w:color w:val="000000" w:themeColor="text1"/>
                <w:kern w:val="0"/>
                <w:lang w:val="en-US" w:eastAsia="zh-CN"/>
                <w14:textFill>
                  <w14:solidFill>
                    <w14:schemeClr w14:val="tx1"/>
                  </w14:solidFill>
                </w14:textFill>
              </w:rPr>
              <w:t>本项目排放的废气污染物为非甲烷总烃及颗粒物，项目所在区域TSP和</w:t>
            </w:r>
            <w:r>
              <w:rPr>
                <w:rFonts w:hint="eastAsia" w:ascii="Times New Roman" w:hAnsi="Times New Roman" w:eastAsia="宋体" w:cs="Times New Roman"/>
                <w:color w:val="000000" w:themeColor="text1"/>
                <w:sz w:val="24"/>
                <w:lang w:val="en-US" w:eastAsia="zh-CN"/>
                <w14:textFill>
                  <w14:solidFill>
                    <w14:schemeClr w14:val="tx1"/>
                  </w14:solidFill>
                </w14:textFill>
              </w:rPr>
              <w:t>非甲烷总烃</w:t>
            </w:r>
            <w:r>
              <w:rPr>
                <w:rFonts w:hint="eastAsia" w:cs="Times New Roman"/>
                <w:color w:val="000000" w:themeColor="text1"/>
                <w:kern w:val="0"/>
                <w:lang w:val="en-US" w:eastAsia="zh-CN"/>
                <w14:textFill>
                  <w14:solidFill>
                    <w14:schemeClr w14:val="tx1"/>
                  </w14:solidFill>
                </w14:textFill>
              </w:rPr>
              <w:t>环境质量浓度均达标；项目大气环境保护目标为宋家村、龙台坊东堡、史家堡村等居民约800人；项目污染物排放量较小，在采取环评提出的措施后均可达标排放，对周围大气环境质量及保护目标影响较小。</w:t>
            </w:r>
          </w:p>
          <w:p w14:paraId="70916D97">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二、废水</w:t>
            </w:r>
          </w:p>
          <w:p w14:paraId="173483B8">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kern w:val="0"/>
                <w:lang w:val="en-US" w:eastAsia="zh-CN"/>
                <w14:textFill>
                  <w14:solidFill>
                    <w14:schemeClr w14:val="tx1"/>
                  </w14:solidFill>
                </w14:textFill>
              </w:rPr>
            </w:pPr>
            <w:bookmarkStart w:id="2" w:name="_Hlk69216683"/>
            <w:r>
              <w:rPr>
                <w:rFonts w:hint="eastAsia" w:ascii="Times New Roman" w:hAnsi="Times New Roman" w:cs="Times New Roman"/>
                <w:color w:val="000000" w:themeColor="text1"/>
                <w:kern w:val="0"/>
                <w:lang w:val="en-US" w:eastAsia="zh-CN"/>
                <w14:textFill>
                  <w14:solidFill>
                    <w14:schemeClr w14:val="tx1"/>
                  </w14:solidFill>
                </w14:textFill>
              </w:rPr>
              <w:t>（1）废水源强</w:t>
            </w:r>
          </w:p>
          <w:p w14:paraId="3DF7A680">
            <w:pPr>
              <w:keepNext w:val="0"/>
              <w:keepLines w:val="0"/>
              <w:suppressLineNumbers w:val="0"/>
              <w:spacing w:before="0" w:beforeAutospacing="0" w:after="0" w:afterAutospacing="0"/>
              <w:ind w:left="0" w:right="0" w:firstLine="480"/>
              <w:rPr>
                <w:rFonts w:hint="default"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kern w:val="0"/>
                <w:lang w:val="en-US" w:eastAsia="zh-CN"/>
                <w14:textFill>
                  <w14:solidFill>
                    <w14:schemeClr w14:val="tx1"/>
                  </w14:solidFill>
                </w14:textFill>
              </w:rPr>
              <w:t>本项目</w:t>
            </w:r>
            <w:r>
              <w:rPr>
                <w:rFonts w:hint="eastAsia" w:cs="Times New Roman"/>
                <w:color w:val="000000" w:themeColor="text1"/>
                <w:kern w:val="0"/>
                <w:lang w:val="en-US" w:eastAsia="zh-CN"/>
                <w14:textFill>
                  <w14:solidFill>
                    <w14:schemeClr w14:val="tx1"/>
                  </w14:solidFill>
                </w14:textFill>
              </w:rPr>
              <w:t>外排废水仅为</w:t>
            </w:r>
            <w:r>
              <w:rPr>
                <w:rFonts w:hint="default" w:ascii="Times New Roman" w:hAnsi="Times New Roman" w:cs="Times New Roman"/>
                <w:color w:val="000000" w:themeColor="text1"/>
                <w:kern w:val="0"/>
                <w:lang w:val="en-GB" w:eastAsia="zh-TW"/>
                <w14:textFill>
                  <w14:solidFill>
                    <w14:schemeClr w14:val="tx1"/>
                  </w14:solidFill>
                </w14:textFill>
              </w:rPr>
              <w:t>生活污水</w:t>
            </w:r>
            <w:r>
              <w:rPr>
                <w:rFonts w:hint="eastAsia" w:cs="Times New Roman"/>
                <w:color w:val="000000" w:themeColor="text1"/>
                <w:kern w:val="0"/>
                <w:lang w:val="en-GB" w:eastAsia="zh-CN"/>
                <w14:textFill>
                  <w14:solidFill>
                    <w14:schemeClr w14:val="tx1"/>
                  </w14:solidFill>
                </w14:textFill>
              </w:rPr>
              <w:t>，</w:t>
            </w:r>
            <w:r>
              <w:rPr>
                <w:rFonts w:hint="eastAsia" w:ascii="Times New Roman" w:hAnsi="Times New Roman" w:cs="Times New Roman"/>
                <w:color w:val="000000" w:themeColor="text1"/>
                <w:kern w:val="0"/>
                <w:lang w:val="en-US" w:eastAsia="zh-CN"/>
                <w14:textFill>
                  <w14:solidFill>
                    <w14:schemeClr w14:val="tx1"/>
                  </w14:solidFill>
                </w14:textFill>
              </w:rPr>
              <w:t>排放</w:t>
            </w:r>
            <w:r>
              <w:rPr>
                <w:rFonts w:hint="default" w:ascii="Times New Roman" w:hAnsi="Times New Roman" w:cs="Times New Roman"/>
                <w:color w:val="000000" w:themeColor="text1"/>
                <w:kern w:val="0"/>
                <w:lang w:val="en-GB" w:eastAsia="zh-TW"/>
                <w14:textFill>
                  <w14:solidFill>
                    <w14:schemeClr w14:val="tx1"/>
                  </w14:solidFill>
                </w14:textFill>
              </w:rPr>
              <w:t>量约为</w:t>
            </w:r>
            <w:r>
              <w:rPr>
                <w:rFonts w:hint="eastAsia" w:cs="Times New Roman"/>
                <w:color w:val="000000" w:themeColor="text1"/>
                <w:lang w:val="en-US" w:eastAsia="zh-CN"/>
                <w14:textFill>
                  <w14:solidFill>
                    <w14:schemeClr w14:val="tx1"/>
                  </w14:solidFill>
                </w14:textFill>
              </w:rPr>
              <w:t>0.16</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/d</w:t>
            </w:r>
            <w:r>
              <w:rPr>
                <w:rFonts w:hint="eastAsia"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40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/a</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kern w:val="0"/>
                <w:lang w:val="en-GB" w:eastAsia="zh-CN"/>
                <w14:textFill>
                  <w14:solidFill>
                    <w14:schemeClr w14:val="tx1"/>
                  </w14:solidFill>
                </w14:textFill>
              </w:rPr>
              <w:t>，</w:t>
            </w:r>
            <w:r>
              <w:rPr>
                <w:rFonts w:hint="default"/>
                <w:color w:val="000000" w:themeColor="text1"/>
                <w:sz w:val="24"/>
                <w14:textFill>
                  <w14:solidFill>
                    <w14:schemeClr w14:val="tx1"/>
                  </w14:solidFill>
                </w14:textFill>
              </w:rPr>
              <w:t>主要污染物为COD、BOD</w:t>
            </w:r>
            <w:r>
              <w:rPr>
                <w:rFonts w:hint="default"/>
                <w:color w:val="000000" w:themeColor="text1"/>
                <w:sz w:val="24"/>
                <w:vertAlign w:val="subscript"/>
                <w14:textFill>
                  <w14:solidFill>
                    <w14:schemeClr w14:val="tx1"/>
                  </w14:solidFill>
                </w14:textFill>
              </w:rPr>
              <w:t>5</w:t>
            </w:r>
            <w:r>
              <w:rPr>
                <w:rFonts w:hint="default"/>
                <w:color w:val="000000" w:themeColor="text1"/>
                <w:sz w:val="24"/>
                <w14:textFill>
                  <w14:solidFill>
                    <w14:schemeClr w14:val="tx1"/>
                  </w14:solidFill>
                </w14:textFill>
              </w:rPr>
              <w:t>、SS、氨氮</w:t>
            </w:r>
            <w:r>
              <w:rPr>
                <w:rFonts w:hint="eastAsia"/>
                <w:color w:val="000000" w:themeColor="text1"/>
                <w:sz w:val="24"/>
                <w14:textFill>
                  <w14:solidFill>
                    <w14:schemeClr w14:val="tx1"/>
                  </w14:solidFill>
                </w14:textFill>
              </w:rPr>
              <w:t>、总磷、总氮</w:t>
            </w:r>
            <w:r>
              <w:rPr>
                <w:rFonts w:hint="default"/>
                <w:color w:val="000000" w:themeColor="text1"/>
                <w:sz w:val="24"/>
                <w14:textFill>
                  <w14:solidFill>
                    <w14:schemeClr w14:val="tx1"/>
                  </w14:solidFill>
                </w14:textFill>
              </w:rPr>
              <w:t>等</w:t>
            </w:r>
            <w:r>
              <w:rPr>
                <w:rFonts w:hint="eastAsia"/>
                <w:color w:val="000000" w:themeColor="text1"/>
                <w:sz w:val="24"/>
                <w:lang w:eastAsia="zh-CN"/>
                <w14:textFill>
                  <w14:solidFill>
                    <w14:schemeClr w14:val="tx1"/>
                  </w14:solidFill>
                </w14:textFill>
              </w:rPr>
              <w:t>，</w:t>
            </w:r>
            <w:r>
              <w:rPr>
                <w:rFonts w:hint="eastAsia"/>
                <w:color w:val="000000" w:themeColor="text1"/>
                <w14:textFill>
                  <w14:solidFill>
                    <w14:schemeClr w14:val="tx1"/>
                  </w14:solidFill>
                </w14:textFill>
              </w:rPr>
              <w:t>生活污水</w:t>
            </w:r>
            <w:r>
              <w:rPr>
                <w:rFonts w:hint="eastAsia"/>
                <w:color w:val="000000" w:themeColor="text1"/>
                <w:lang w:val="en-US" w:eastAsia="zh-CN"/>
                <w14:textFill>
                  <w14:solidFill>
                    <w14:schemeClr w14:val="tx1"/>
                  </w14:solidFill>
                </w14:textFill>
              </w:rPr>
              <w:t>经</w:t>
            </w:r>
            <w:r>
              <w:rPr>
                <w:rFonts w:hint="eastAsia"/>
                <w:color w:val="000000" w:themeColor="text1"/>
                <w14:textFill>
                  <w14:solidFill>
                    <w14:schemeClr w14:val="tx1"/>
                  </w14:solidFill>
                </w14:textFill>
              </w:rPr>
              <w:t>化粪池</w:t>
            </w:r>
            <w:r>
              <w:rPr>
                <w:rFonts w:hint="eastAsia"/>
                <w:color w:val="000000" w:themeColor="text1"/>
                <w:lang w:val="en-US" w:eastAsia="zh-CN"/>
                <w14:textFill>
                  <w14:solidFill>
                    <w14:schemeClr w14:val="tx1"/>
                  </w14:solidFill>
                </w14:textFill>
              </w:rPr>
              <w:t>预处理后</w:t>
            </w:r>
            <w:r>
              <w:rPr>
                <w:rFonts w:hint="eastAsia"/>
                <w:color w:val="000000" w:themeColor="text1"/>
                <w14:textFill>
                  <w14:solidFill>
                    <w14:schemeClr w14:val="tx1"/>
                  </w14:solidFill>
                </w14:textFill>
              </w:rPr>
              <w:t>通过市政污水管网排入</w:t>
            </w:r>
            <w:r>
              <w:rPr>
                <w:rFonts w:hint="eastAsia" w:cs="Times New Roman"/>
                <w:color w:val="000000" w:themeColor="text1"/>
                <w:sz w:val="24"/>
                <w:lang w:eastAsia="zh-CN"/>
                <w14:textFill>
                  <w14:solidFill>
                    <w14:schemeClr w14:val="tx1"/>
                  </w14:solidFill>
                </w14:textFill>
              </w:rPr>
              <w:t>沣西新城大王污水处理厂</w:t>
            </w:r>
            <w:r>
              <w:rPr>
                <w:rFonts w:hint="eastAsia" w:ascii="Times New Roman" w:hAnsi="Times New Roman" w:cs="Times New Roman"/>
                <w:color w:val="000000" w:themeColor="text1"/>
                <w:kern w:val="0"/>
                <w:lang w:val="en-US" w:eastAsia="zh-CN"/>
                <w14:textFill>
                  <w14:solidFill>
                    <w14:schemeClr w14:val="tx1"/>
                  </w14:solidFill>
                </w14:textFill>
              </w:rPr>
              <w:t>。</w:t>
            </w:r>
            <w:bookmarkEnd w:id="2"/>
            <w:r>
              <w:rPr>
                <w:rFonts w:hint="eastAsia" w:cs="Times New Roman"/>
                <w:color w:val="000000" w:themeColor="text1"/>
                <w:lang w:val="en-US" w:eastAsia="zh-CN"/>
                <w14:textFill>
                  <w14:solidFill>
                    <w14:schemeClr w14:val="tx1"/>
                  </w14:solidFill>
                </w14:textFill>
              </w:rPr>
              <w:t>本项目生活污水污染物产排情况详见表4-5。</w:t>
            </w:r>
          </w:p>
        </w:tc>
      </w:tr>
    </w:tbl>
    <w:p w14:paraId="30871205">
      <w:pPr>
        <w:rPr>
          <w:color w:val="000000" w:themeColor="text1"/>
          <w14:textFill>
            <w14:solidFill>
              <w14:schemeClr w14:val="tx1"/>
            </w14:solidFill>
          </w14:textFill>
        </w:rPr>
        <w:sectPr>
          <w:pgSz w:w="11907" w:h="16840"/>
          <w:pgMar w:top="1701" w:right="1531" w:bottom="2126" w:left="1531" w:header="851" w:footer="851" w:gutter="0"/>
          <w:pgBorders>
            <w:top w:val="none" w:sz="0" w:space="0"/>
            <w:left w:val="none" w:sz="0" w:space="0"/>
            <w:bottom w:val="none" w:sz="0" w:space="0"/>
            <w:right w:val="none" w:sz="0" w:space="0"/>
          </w:pgBorders>
          <w:cols w:space="720" w:num="1"/>
          <w:docGrid w:linePitch="312" w:charSpace="0"/>
        </w:sectPr>
      </w:pPr>
    </w:p>
    <w:tbl>
      <w:tblPr>
        <w:tblStyle w:val="21"/>
        <w:tblW w:w="50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2609"/>
      </w:tblGrid>
      <w:tr w14:paraId="2D56B6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2" w:hRule="atLeast"/>
          <w:jc w:val="center"/>
        </w:trPr>
        <w:tc>
          <w:tcPr>
            <w:tcW w:w="233" w:type="pct"/>
            <w:tcMar>
              <w:left w:w="28" w:type="dxa"/>
              <w:right w:w="28" w:type="dxa"/>
            </w:tcMar>
            <w:vAlign w:val="center"/>
          </w:tcPr>
          <w:p w14:paraId="7874433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运营</w:t>
            </w:r>
          </w:p>
          <w:p w14:paraId="0BC35B8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期环</w:t>
            </w:r>
          </w:p>
          <w:p w14:paraId="72A08CD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境影</w:t>
            </w:r>
          </w:p>
          <w:p w14:paraId="6D921E1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响和</w:t>
            </w:r>
          </w:p>
          <w:p w14:paraId="772AE7C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保护</w:t>
            </w:r>
          </w:p>
          <w:p w14:paraId="233C4C1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措施</w:t>
            </w:r>
          </w:p>
        </w:tc>
        <w:tc>
          <w:tcPr>
            <w:tcW w:w="4766" w:type="pct"/>
            <w:vAlign w:val="top"/>
          </w:tcPr>
          <w:p w14:paraId="36A6F5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color w:val="000000" w:themeColor="text1"/>
                <w:sz w:val="24"/>
                <w:highlight w:val="red"/>
                <w:lang w:val="zh-CN"/>
                <w14:textFill>
                  <w14:solidFill>
                    <w14:schemeClr w14:val="tx1"/>
                  </w14:solidFill>
                </w14:textFill>
              </w:rPr>
            </w:pPr>
            <w:r>
              <w:rPr>
                <w:rFonts w:hint="default" w:ascii="Times New Roman" w:hAnsi="Times New Roman" w:eastAsia="黑体" w:cs="Times New Roman"/>
                <w:bCs/>
                <w:color w:val="000000" w:themeColor="text1"/>
                <w:sz w:val="24"/>
                <w:highlight w:val="none"/>
                <w:lang w:val="zh-CN"/>
                <w14:textFill>
                  <w14:solidFill>
                    <w14:schemeClr w14:val="tx1"/>
                  </w14:solidFill>
                </w14:textFill>
              </w:rPr>
              <w:t>表4-</w:t>
            </w:r>
            <w:r>
              <w:rPr>
                <w:rFonts w:hint="eastAsia" w:eastAsia="黑体" w:cs="Times New Roman"/>
                <w:bCs/>
                <w:color w:val="000000" w:themeColor="text1"/>
                <w:sz w:val="24"/>
                <w:highlight w:val="none"/>
                <w:lang w:val="en-US" w:eastAsia="zh-CN"/>
                <w14:textFill>
                  <w14:solidFill>
                    <w14:schemeClr w14:val="tx1"/>
                  </w14:solidFill>
                </w14:textFill>
              </w:rPr>
              <w:t>5</w:t>
            </w:r>
            <w:r>
              <w:rPr>
                <w:rFonts w:hint="default" w:ascii="Times New Roman" w:hAnsi="Times New Roman" w:eastAsia="黑体" w:cs="Times New Roman"/>
                <w:bCs/>
                <w:color w:val="000000" w:themeColor="text1"/>
                <w:sz w:val="24"/>
                <w:highlight w:val="none"/>
                <w:lang w:val="zh-CN"/>
                <w14:textFill>
                  <w14:solidFill>
                    <w14:schemeClr w14:val="tx1"/>
                  </w14:solidFill>
                </w14:textFill>
              </w:rPr>
              <w:t xml:space="preserve">    项目废水污染物排放情况一览表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50"/>
              <w:gridCol w:w="936"/>
              <w:gridCol w:w="846"/>
              <w:gridCol w:w="903"/>
              <w:gridCol w:w="742"/>
              <w:gridCol w:w="855"/>
              <w:gridCol w:w="870"/>
              <w:gridCol w:w="1087"/>
              <w:gridCol w:w="1007"/>
              <w:gridCol w:w="1172"/>
              <w:gridCol w:w="871"/>
              <w:gridCol w:w="780"/>
              <w:gridCol w:w="779"/>
            </w:tblGrid>
            <w:tr w14:paraId="6F07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4" w:space="0"/>
                    <w:left w:val="single" w:color="auto" w:sz="4" w:space="0"/>
                    <w:bottom w:val="single" w:color="auto" w:sz="4" w:space="0"/>
                    <w:right w:val="single" w:color="auto" w:sz="4" w:space="0"/>
                  </w:tcBorders>
                  <w:noWrap w:val="0"/>
                  <w:vAlign w:val="center"/>
                </w:tcPr>
                <w:p w14:paraId="613350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产排污环节</w:t>
                  </w:r>
                </w:p>
              </w:tc>
              <w:tc>
                <w:tcPr>
                  <w:tcW w:w="850" w:type="dxa"/>
                  <w:vMerge w:val="restart"/>
                  <w:tcBorders>
                    <w:top w:val="single" w:color="auto" w:sz="4" w:space="0"/>
                    <w:left w:val="single" w:color="auto" w:sz="4" w:space="0"/>
                    <w:bottom w:val="single" w:color="auto" w:sz="4" w:space="0"/>
                    <w:right w:val="single" w:color="auto" w:sz="4" w:space="0"/>
                  </w:tcBorders>
                  <w:noWrap w:val="0"/>
                  <w:vAlign w:val="center"/>
                </w:tcPr>
                <w:p w14:paraId="56CA34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污染物种类</w:t>
                  </w:r>
                </w:p>
              </w:tc>
              <w:tc>
                <w:tcPr>
                  <w:tcW w:w="1782" w:type="dxa"/>
                  <w:gridSpan w:val="2"/>
                  <w:tcBorders>
                    <w:top w:val="single" w:color="auto" w:sz="4" w:space="0"/>
                    <w:left w:val="single" w:color="auto" w:sz="4" w:space="0"/>
                    <w:bottom w:val="single" w:color="auto" w:sz="4" w:space="0"/>
                    <w:right w:val="single" w:color="auto" w:sz="4" w:space="0"/>
                  </w:tcBorders>
                  <w:noWrap w:val="0"/>
                  <w:vAlign w:val="center"/>
                </w:tcPr>
                <w:p w14:paraId="7C4202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污染物产生情况</w:t>
                  </w:r>
                </w:p>
              </w:tc>
              <w:tc>
                <w:tcPr>
                  <w:tcW w:w="4457" w:type="dxa"/>
                  <w:gridSpan w:val="5"/>
                  <w:tcBorders>
                    <w:top w:val="single" w:color="auto" w:sz="4" w:space="0"/>
                    <w:left w:val="single" w:color="auto" w:sz="4" w:space="0"/>
                    <w:bottom w:val="single" w:color="auto" w:sz="4" w:space="0"/>
                    <w:right w:val="single" w:color="auto" w:sz="4" w:space="0"/>
                  </w:tcBorders>
                  <w:noWrap w:val="0"/>
                  <w:vAlign w:val="center"/>
                </w:tcPr>
                <w:p w14:paraId="0FDBBC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主要污染治理措施</w:t>
                  </w:r>
                </w:p>
              </w:tc>
              <w:tc>
                <w:tcPr>
                  <w:tcW w:w="4609" w:type="dxa"/>
                  <w:gridSpan w:val="5"/>
                  <w:tcBorders>
                    <w:top w:val="single" w:color="auto" w:sz="4" w:space="0"/>
                    <w:left w:val="single" w:color="auto" w:sz="4" w:space="0"/>
                    <w:bottom w:val="single" w:color="auto" w:sz="4" w:space="0"/>
                    <w:right w:val="single" w:color="auto" w:sz="4" w:space="0"/>
                  </w:tcBorders>
                  <w:noWrap w:val="0"/>
                  <w:vAlign w:val="center"/>
                </w:tcPr>
                <w:p w14:paraId="090247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污染物排放情况</w:t>
                  </w:r>
                </w:p>
              </w:tc>
            </w:tr>
            <w:tr w14:paraId="7B4AA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top w:val="single" w:color="auto" w:sz="4" w:space="0"/>
                    <w:left w:val="single" w:color="auto" w:sz="4" w:space="0"/>
                    <w:bottom w:val="single" w:color="auto" w:sz="4" w:space="0"/>
                    <w:right w:val="single" w:color="auto" w:sz="4" w:space="0"/>
                  </w:tcBorders>
                  <w:noWrap w:val="0"/>
                  <w:vAlign w:val="center"/>
                </w:tcPr>
                <w:p w14:paraId="1C973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50" w:type="dxa"/>
                  <w:vMerge w:val="continue"/>
                  <w:tcBorders>
                    <w:top w:val="single" w:color="auto" w:sz="4" w:space="0"/>
                    <w:left w:val="single" w:color="auto" w:sz="4" w:space="0"/>
                    <w:bottom w:val="single" w:color="auto" w:sz="4" w:space="0"/>
                    <w:right w:val="single" w:color="auto" w:sz="4" w:space="0"/>
                  </w:tcBorders>
                  <w:noWrap w:val="0"/>
                  <w:vAlign w:val="center"/>
                </w:tcPr>
                <w:p w14:paraId="3F360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936" w:type="dxa"/>
                  <w:tcBorders>
                    <w:top w:val="single" w:color="auto" w:sz="4" w:space="0"/>
                    <w:left w:val="single" w:color="auto" w:sz="4" w:space="0"/>
                    <w:bottom w:val="single" w:color="auto" w:sz="4" w:space="0"/>
                    <w:right w:val="single" w:color="auto" w:sz="4" w:space="0"/>
                  </w:tcBorders>
                  <w:noWrap w:val="0"/>
                  <w:vAlign w:val="center"/>
                </w:tcPr>
                <w:p w14:paraId="6CDAA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产生浓度mg/L</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F9DE1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产生量t/a</w:t>
                  </w:r>
                </w:p>
              </w:tc>
              <w:tc>
                <w:tcPr>
                  <w:tcW w:w="903" w:type="dxa"/>
                  <w:tcBorders>
                    <w:top w:val="single" w:color="auto" w:sz="4" w:space="0"/>
                    <w:left w:val="single" w:color="auto" w:sz="4" w:space="0"/>
                    <w:bottom w:val="single" w:color="auto" w:sz="4" w:space="0"/>
                    <w:right w:val="single" w:color="auto" w:sz="4" w:space="0"/>
                  </w:tcBorders>
                  <w:noWrap w:val="0"/>
                  <w:vAlign w:val="center"/>
                </w:tcPr>
                <w:p w14:paraId="04A2C7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c>
                <w:tcPr>
                  <w:tcW w:w="742" w:type="dxa"/>
                  <w:tcBorders>
                    <w:top w:val="single" w:color="auto" w:sz="4" w:space="0"/>
                    <w:left w:val="single" w:color="auto" w:sz="4" w:space="0"/>
                    <w:bottom w:val="single" w:color="auto" w:sz="4" w:space="0"/>
                    <w:right w:val="single" w:color="auto" w:sz="4" w:space="0"/>
                  </w:tcBorders>
                  <w:noWrap w:val="0"/>
                  <w:vAlign w:val="center"/>
                </w:tcPr>
                <w:p w14:paraId="046488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处理能力</w:t>
                  </w:r>
                </w:p>
              </w:tc>
              <w:tc>
                <w:tcPr>
                  <w:tcW w:w="855" w:type="dxa"/>
                  <w:tcBorders>
                    <w:top w:val="single" w:color="auto" w:sz="4" w:space="0"/>
                    <w:left w:val="single" w:color="auto" w:sz="4" w:space="0"/>
                    <w:bottom w:val="single" w:color="auto" w:sz="4" w:space="0"/>
                    <w:right w:val="single" w:color="auto" w:sz="4" w:space="0"/>
                  </w:tcBorders>
                  <w:noWrap w:val="0"/>
                  <w:vAlign w:val="center"/>
                </w:tcPr>
                <w:p w14:paraId="192359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治理工艺</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F62DC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治理效率%</w:t>
                  </w:r>
                </w:p>
              </w:tc>
              <w:tc>
                <w:tcPr>
                  <w:tcW w:w="1087" w:type="dxa"/>
                  <w:tcBorders>
                    <w:top w:val="single" w:color="auto" w:sz="4" w:space="0"/>
                    <w:left w:val="single" w:color="auto" w:sz="4" w:space="0"/>
                    <w:bottom w:val="single" w:color="auto" w:sz="4" w:space="0"/>
                    <w:right w:val="single" w:color="auto" w:sz="4" w:space="0"/>
                  </w:tcBorders>
                  <w:noWrap w:val="0"/>
                  <w:vAlign w:val="center"/>
                </w:tcPr>
                <w:p w14:paraId="47869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是否为可行技术</w:t>
                  </w: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CE282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排放浓度mg/L</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0639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排放量t/a</w:t>
                  </w:r>
                </w:p>
              </w:tc>
              <w:tc>
                <w:tcPr>
                  <w:tcW w:w="871" w:type="dxa"/>
                  <w:tcBorders>
                    <w:top w:val="single" w:color="auto" w:sz="4" w:space="0"/>
                    <w:left w:val="single" w:color="auto" w:sz="4" w:space="0"/>
                    <w:bottom w:val="single" w:color="auto" w:sz="4" w:space="0"/>
                    <w:right w:val="single" w:color="auto" w:sz="4" w:space="0"/>
                  </w:tcBorders>
                  <w:noWrap w:val="0"/>
                  <w:vAlign w:val="center"/>
                </w:tcPr>
                <w:p w14:paraId="30CDA0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排放方式</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2B3B8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排放去向</w:t>
                  </w:r>
                </w:p>
              </w:tc>
              <w:tc>
                <w:tcPr>
                  <w:tcW w:w="779" w:type="dxa"/>
                  <w:tcBorders>
                    <w:top w:val="single" w:color="auto" w:sz="4" w:space="0"/>
                    <w:left w:val="single" w:color="auto" w:sz="4" w:space="0"/>
                    <w:bottom w:val="single" w:color="auto" w:sz="4" w:space="0"/>
                    <w:right w:val="single" w:color="auto" w:sz="4" w:space="0"/>
                  </w:tcBorders>
                  <w:noWrap w:val="0"/>
                  <w:vAlign w:val="center"/>
                </w:tcPr>
                <w:p w14:paraId="728FEA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排放规律</w:t>
                  </w:r>
                </w:p>
              </w:tc>
            </w:tr>
            <w:tr w14:paraId="78F8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restart"/>
                  <w:tcBorders>
                    <w:top w:val="single" w:color="auto" w:sz="4" w:space="0"/>
                    <w:left w:val="single" w:color="auto" w:sz="4" w:space="0"/>
                    <w:right w:val="single" w:color="auto" w:sz="4" w:space="0"/>
                  </w:tcBorders>
                  <w:noWrap w:val="0"/>
                  <w:vAlign w:val="center"/>
                </w:tcPr>
                <w:p w14:paraId="44DE7A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w:t>
                  </w:r>
                  <w:r>
                    <w:rPr>
                      <w:rFonts w:hint="default" w:ascii="Times New Roman" w:hAnsi="Times New Roman" w:eastAsia="宋体" w:cs="Times New Roman"/>
                      <w:color w:val="000000" w:themeColor="text1"/>
                      <w:sz w:val="21"/>
                      <w:szCs w:val="21"/>
                      <w14:textFill>
                        <w14:solidFill>
                          <w14:schemeClr w14:val="tx1"/>
                        </w14:solidFill>
                      </w14:textFill>
                    </w:rPr>
                    <w:t>办公</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6406C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废水量</w:t>
                  </w:r>
                </w:p>
              </w:tc>
              <w:tc>
                <w:tcPr>
                  <w:tcW w:w="1782" w:type="dxa"/>
                  <w:gridSpan w:val="2"/>
                  <w:tcBorders>
                    <w:top w:val="single" w:color="auto" w:sz="4" w:space="0"/>
                    <w:left w:val="single" w:color="auto" w:sz="4" w:space="0"/>
                    <w:bottom w:val="single" w:color="auto" w:sz="4" w:space="0"/>
                    <w:right w:val="single" w:color="auto" w:sz="4" w:space="0"/>
                  </w:tcBorders>
                  <w:noWrap w:val="0"/>
                  <w:vAlign w:val="center"/>
                </w:tcPr>
                <w:p w14:paraId="63DD21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903" w:type="dxa"/>
                  <w:vMerge w:val="restart"/>
                  <w:tcBorders>
                    <w:top w:val="single" w:color="auto" w:sz="4" w:space="0"/>
                    <w:left w:val="single" w:color="auto" w:sz="4" w:space="0"/>
                    <w:right w:val="single" w:color="auto" w:sz="4" w:space="0"/>
                  </w:tcBorders>
                  <w:noWrap w:val="0"/>
                  <w:vAlign w:val="center"/>
                </w:tcPr>
                <w:p w14:paraId="7C2253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化粪池</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依托</w:t>
                  </w:r>
                  <w:r>
                    <w:rPr>
                      <w:rFonts w:hint="eastAsia" w:cs="Times New Roman"/>
                      <w:color w:val="000000" w:themeColor="text1"/>
                      <w:sz w:val="21"/>
                      <w:szCs w:val="21"/>
                      <w:lang w:eastAsia="zh-CN"/>
                      <w14:textFill>
                        <w14:solidFill>
                          <w14:schemeClr w14:val="tx1"/>
                        </w14:solidFill>
                      </w14:textFill>
                    </w:rPr>
                    <w:t>）</w:t>
                  </w:r>
                </w:p>
              </w:tc>
              <w:tc>
                <w:tcPr>
                  <w:tcW w:w="742" w:type="dxa"/>
                  <w:vMerge w:val="restart"/>
                  <w:tcBorders>
                    <w:top w:val="single" w:color="auto" w:sz="4" w:space="0"/>
                    <w:left w:val="single" w:color="auto" w:sz="4" w:space="0"/>
                    <w:right w:val="single" w:color="auto" w:sz="4" w:space="0"/>
                  </w:tcBorders>
                  <w:noWrap w:val="0"/>
                  <w:vAlign w:val="center"/>
                </w:tcPr>
                <w:p w14:paraId="79C243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855" w:type="dxa"/>
                  <w:vMerge w:val="restart"/>
                  <w:tcBorders>
                    <w:top w:val="single" w:color="auto" w:sz="4" w:space="0"/>
                    <w:left w:val="single" w:color="auto" w:sz="4" w:space="0"/>
                    <w:right w:val="single" w:color="auto" w:sz="4" w:space="0"/>
                  </w:tcBorders>
                  <w:noWrap w:val="0"/>
                  <w:vAlign w:val="center"/>
                </w:tcPr>
                <w:p w14:paraId="2F03BB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沉淀</w:t>
                  </w:r>
                </w:p>
              </w:tc>
              <w:tc>
                <w:tcPr>
                  <w:tcW w:w="870" w:type="dxa"/>
                  <w:tcBorders>
                    <w:top w:val="single" w:color="auto" w:sz="4" w:space="0"/>
                    <w:left w:val="single" w:color="auto" w:sz="4" w:space="0"/>
                    <w:bottom w:val="single" w:color="auto" w:sz="4" w:space="0"/>
                    <w:right w:val="single" w:color="auto" w:sz="4" w:space="0"/>
                  </w:tcBorders>
                  <w:noWrap w:val="0"/>
                  <w:vAlign w:val="center"/>
                </w:tcPr>
                <w:p w14:paraId="799180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087" w:type="dxa"/>
                  <w:vMerge w:val="restart"/>
                  <w:tcBorders>
                    <w:top w:val="single" w:color="auto" w:sz="4" w:space="0"/>
                    <w:left w:val="single" w:color="auto" w:sz="4" w:space="0"/>
                    <w:right w:val="single" w:color="auto" w:sz="4" w:space="0"/>
                  </w:tcBorders>
                  <w:noWrap w:val="0"/>
                  <w:vAlign w:val="center"/>
                </w:tcPr>
                <w:p w14:paraId="410C1D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是</w:t>
                  </w:r>
                </w:p>
              </w:tc>
              <w:tc>
                <w:tcPr>
                  <w:tcW w:w="2179" w:type="dxa"/>
                  <w:gridSpan w:val="2"/>
                  <w:tcBorders>
                    <w:top w:val="single" w:color="auto" w:sz="4" w:space="0"/>
                    <w:left w:val="single" w:color="auto" w:sz="4" w:space="0"/>
                    <w:bottom w:val="single" w:color="auto" w:sz="4" w:space="0"/>
                    <w:right w:val="single" w:color="auto" w:sz="4" w:space="0"/>
                  </w:tcBorders>
                  <w:noWrap w:val="0"/>
                  <w:vAlign w:val="center"/>
                </w:tcPr>
                <w:p w14:paraId="30CF23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871" w:type="dxa"/>
                  <w:vMerge w:val="restart"/>
                  <w:tcBorders>
                    <w:top w:val="single" w:color="auto" w:sz="4" w:space="0"/>
                    <w:left w:val="single" w:color="auto" w:sz="4" w:space="0"/>
                    <w:right w:val="single" w:color="auto" w:sz="4" w:space="0"/>
                  </w:tcBorders>
                  <w:noWrap w:val="0"/>
                  <w:vAlign w:val="center"/>
                </w:tcPr>
                <w:p w14:paraId="3C931D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间接排放</w:t>
                  </w:r>
                </w:p>
              </w:tc>
              <w:tc>
                <w:tcPr>
                  <w:tcW w:w="780" w:type="dxa"/>
                  <w:vMerge w:val="restart"/>
                  <w:tcBorders>
                    <w:top w:val="single" w:color="auto" w:sz="4" w:space="0"/>
                    <w:left w:val="single" w:color="auto" w:sz="4" w:space="0"/>
                    <w:right w:val="single" w:color="auto" w:sz="4" w:space="0"/>
                  </w:tcBorders>
                  <w:noWrap w:val="0"/>
                  <w:vAlign w:val="center"/>
                </w:tcPr>
                <w:p w14:paraId="34FEE9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沣西新城大王污水处理厂</w:t>
                  </w:r>
                </w:p>
              </w:tc>
              <w:tc>
                <w:tcPr>
                  <w:tcW w:w="779" w:type="dxa"/>
                  <w:vMerge w:val="restart"/>
                  <w:tcBorders>
                    <w:top w:val="single" w:color="auto" w:sz="4" w:space="0"/>
                    <w:left w:val="single" w:color="auto" w:sz="4" w:space="0"/>
                    <w:right w:val="single" w:color="auto" w:sz="4" w:space="0"/>
                  </w:tcBorders>
                  <w:noWrap w:val="0"/>
                  <w:vAlign w:val="center"/>
                </w:tcPr>
                <w:p w14:paraId="76D041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间断排放，排放期间流量稳定</w:t>
                  </w:r>
                </w:p>
              </w:tc>
            </w:tr>
            <w:tr w14:paraId="1A1D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685" w:type="dxa"/>
                  <w:vMerge w:val="continue"/>
                  <w:tcBorders>
                    <w:left w:val="single" w:color="auto" w:sz="4" w:space="0"/>
                    <w:right w:val="single" w:color="auto" w:sz="4" w:space="0"/>
                  </w:tcBorders>
                  <w:noWrap w:val="0"/>
                  <w:vAlign w:val="center"/>
                </w:tcPr>
                <w:p w14:paraId="07E69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BB261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CDC52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0C9E51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0.014</w:t>
                  </w:r>
                </w:p>
              </w:tc>
              <w:tc>
                <w:tcPr>
                  <w:tcW w:w="903" w:type="dxa"/>
                  <w:vMerge w:val="continue"/>
                  <w:tcBorders>
                    <w:left w:val="single" w:color="auto" w:sz="4" w:space="0"/>
                    <w:right w:val="single" w:color="auto" w:sz="4" w:space="0"/>
                  </w:tcBorders>
                  <w:noWrap w:val="0"/>
                  <w:vAlign w:val="center"/>
                </w:tcPr>
                <w:p w14:paraId="6B3A5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02DCA7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720B8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E8AE7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087" w:type="dxa"/>
                  <w:vMerge w:val="continue"/>
                  <w:tcBorders>
                    <w:left w:val="single" w:color="auto" w:sz="4" w:space="0"/>
                    <w:right w:val="single" w:color="auto" w:sz="4" w:space="0"/>
                  </w:tcBorders>
                  <w:noWrap w:val="0"/>
                  <w:vAlign w:val="center"/>
                </w:tcPr>
                <w:p w14:paraId="100DF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1B85C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050015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0.014</w:t>
                  </w:r>
                </w:p>
              </w:tc>
              <w:tc>
                <w:tcPr>
                  <w:tcW w:w="871" w:type="dxa"/>
                  <w:vMerge w:val="continue"/>
                  <w:tcBorders>
                    <w:left w:val="single" w:color="auto" w:sz="4" w:space="0"/>
                    <w:right w:val="single" w:color="auto" w:sz="4" w:space="0"/>
                  </w:tcBorders>
                  <w:noWrap w:val="0"/>
                  <w:vAlign w:val="center"/>
                </w:tcPr>
                <w:p w14:paraId="2120F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013A2E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6D58E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9B8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4" w:space="0"/>
                    <w:right w:val="single" w:color="auto" w:sz="4" w:space="0"/>
                  </w:tcBorders>
                  <w:noWrap w:val="0"/>
                  <w:vAlign w:val="center"/>
                </w:tcPr>
                <w:p w14:paraId="5D9331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D8809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6DB75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5BEBE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0.008</w:t>
                  </w:r>
                </w:p>
              </w:tc>
              <w:tc>
                <w:tcPr>
                  <w:tcW w:w="903" w:type="dxa"/>
                  <w:vMerge w:val="continue"/>
                  <w:tcBorders>
                    <w:left w:val="single" w:color="auto" w:sz="4" w:space="0"/>
                    <w:right w:val="single" w:color="auto" w:sz="4" w:space="0"/>
                  </w:tcBorders>
                  <w:noWrap w:val="0"/>
                  <w:vAlign w:val="center"/>
                </w:tcPr>
                <w:p w14:paraId="440DC3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6DCDD4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001FFA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41CB7E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87" w:type="dxa"/>
                  <w:vMerge w:val="continue"/>
                  <w:tcBorders>
                    <w:left w:val="single" w:color="auto" w:sz="4" w:space="0"/>
                    <w:right w:val="single" w:color="auto" w:sz="4" w:space="0"/>
                  </w:tcBorders>
                  <w:noWrap w:val="0"/>
                  <w:vAlign w:val="center"/>
                </w:tcPr>
                <w:p w14:paraId="5E0A70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59A763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FEA26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0.008</w:t>
                  </w:r>
                </w:p>
              </w:tc>
              <w:tc>
                <w:tcPr>
                  <w:tcW w:w="871" w:type="dxa"/>
                  <w:vMerge w:val="continue"/>
                  <w:tcBorders>
                    <w:left w:val="single" w:color="auto" w:sz="4" w:space="0"/>
                    <w:right w:val="single" w:color="auto" w:sz="4" w:space="0"/>
                  </w:tcBorders>
                  <w:noWrap w:val="0"/>
                  <w:vAlign w:val="center"/>
                </w:tcPr>
                <w:p w14:paraId="199A2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295604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6F786B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2D6C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4" w:space="0"/>
                    <w:right w:val="single" w:color="auto" w:sz="4" w:space="0"/>
                  </w:tcBorders>
                  <w:noWrap w:val="0"/>
                  <w:vAlign w:val="center"/>
                </w:tcPr>
                <w:p w14:paraId="3740EA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4A5E8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SS</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49BE3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7AF04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0.009</w:t>
                  </w:r>
                </w:p>
              </w:tc>
              <w:tc>
                <w:tcPr>
                  <w:tcW w:w="903" w:type="dxa"/>
                  <w:vMerge w:val="continue"/>
                  <w:tcBorders>
                    <w:left w:val="single" w:color="auto" w:sz="4" w:space="0"/>
                    <w:right w:val="single" w:color="auto" w:sz="4" w:space="0"/>
                  </w:tcBorders>
                  <w:noWrap w:val="0"/>
                  <w:vAlign w:val="center"/>
                </w:tcPr>
                <w:p w14:paraId="157B07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0BCE2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04A3E7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1B5BD7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1087" w:type="dxa"/>
                  <w:vMerge w:val="continue"/>
                  <w:tcBorders>
                    <w:left w:val="single" w:color="auto" w:sz="4" w:space="0"/>
                    <w:right w:val="single" w:color="auto" w:sz="4" w:space="0"/>
                  </w:tcBorders>
                  <w:noWrap w:val="0"/>
                  <w:vAlign w:val="center"/>
                </w:tcPr>
                <w:p w14:paraId="3F1F87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81B9B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154</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ACF4E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0.006</w:t>
                  </w:r>
                </w:p>
              </w:tc>
              <w:tc>
                <w:tcPr>
                  <w:tcW w:w="871" w:type="dxa"/>
                  <w:vMerge w:val="continue"/>
                  <w:tcBorders>
                    <w:left w:val="single" w:color="auto" w:sz="4" w:space="0"/>
                    <w:right w:val="single" w:color="auto" w:sz="4" w:space="0"/>
                  </w:tcBorders>
                  <w:noWrap w:val="0"/>
                  <w:vAlign w:val="center"/>
                </w:tcPr>
                <w:p w14:paraId="7DD32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23D493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2AEDB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F81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4" w:space="0"/>
                    <w:right w:val="single" w:color="auto" w:sz="4" w:space="0"/>
                  </w:tcBorders>
                  <w:noWrap w:val="0"/>
                  <w:vAlign w:val="center"/>
                </w:tcPr>
                <w:p w14:paraId="0E93B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32323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氨氮</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7AC56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74345B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903" w:type="dxa"/>
                  <w:vMerge w:val="continue"/>
                  <w:tcBorders>
                    <w:left w:val="single" w:color="auto" w:sz="4" w:space="0"/>
                    <w:right w:val="single" w:color="auto" w:sz="4" w:space="0"/>
                  </w:tcBorders>
                  <w:noWrap w:val="0"/>
                  <w:vAlign w:val="center"/>
                </w:tcPr>
                <w:p w14:paraId="323C26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700C71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3AD569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26D994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87" w:type="dxa"/>
                  <w:vMerge w:val="continue"/>
                  <w:tcBorders>
                    <w:left w:val="single" w:color="auto" w:sz="4" w:space="0"/>
                    <w:right w:val="single" w:color="auto" w:sz="4" w:space="0"/>
                  </w:tcBorders>
                  <w:noWrap w:val="0"/>
                  <w:vAlign w:val="center"/>
                </w:tcPr>
                <w:p w14:paraId="7CA0EC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721A89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30071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871" w:type="dxa"/>
                  <w:vMerge w:val="continue"/>
                  <w:tcBorders>
                    <w:left w:val="single" w:color="auto" w:sz="4" w:space="0"/>
                    <w:right w:val="single" w:color="auto" w:sz="4" w:space="0"/>
                  </w:tcBorders>
                  <w:noWrap w:val="0"/>
                  <w:vAlign w:val="center"/>
                </w:tcPr>
                <w:p w14:paraId="6E716C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2C8ED4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78121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3C1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4" w:space="0"/>
                    <w:right w:val="single" w:color="auto" w:sz="4" w:space="0"/>
                  </w:tcBorders>
                  <w:noWrap w:val="0"/>
                  <w:vAlign w:val="center"/>
                </w:tcPr>
                <w:p w14:paraId="60956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39AFB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总磷</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6C16D5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A13C7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0.0002</w:t>
                  </w:r>
                </w:p>
              </w:tc>
              <w:tc>
                <w:tcPr>
                  <w:tcW w:w="903" w:type="dxa"/>
                  <w:vMerge w:val="continue"/>
                  <w:tcBorders>
                    <w:left w:val="single" w:color="auto" w:sz="4" w:space="0"/>
                    <w:right w:val="single" w:color="auto" w:sz="4" w:space="0"/>
                  </w:tcBorders>
                  <w:noWrap w:val="0"/>
                  <w:vAlign w:val="center"/>
                </w:tcPr>
                <w:p w14:paraId="157141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13BD2B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6D5274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60C75A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87" w:type="dxa"/>
                  <w:vMerge w:val="continue"/>
                  <w:tcBorders>
                    <w:left w:val="single" w:color="auto" w:sz="4" w:space="0"/>
                    <w:right w:val="single" w:color="auto" w:sz="4" w:space="0"/>
                  </w:tcBorders>
                  <w:noWrap w:val="0"/>
                  <w:vAlign w:val="center"/>
                </w:tcPr>
                <w:p w14:paraId="734534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2A018B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6E21EE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0.0002</w:t>
                  </w:r>
                </w:p>
              </w:tc>
              <w:tc>
                <w:tcPr>
                  <w:tcW w:w="871" w:type="dxa"/>
                  <w:vMerge w:val="continue"/>
                  <w:tcBorders>
                    <w:left w:val="single" w:color="auto" w:sz="4" w:space="0"/>
                    <w:right w:val="single" w:color="auto" w:sz="4" w:space="0"/>
                  </w:tcBorders>
                  <w:noWrap w:val="0"/>
                  <w:vAlign w:val="center"/>
                </w:tcPr>
                <w:p w14:paraId="4D9945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6279FD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4C1ED5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25C7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5" w:type="dxa"/>
                  <w:vMerge w:val="continue"/>
                  <w:tcBorders>
                    <w:left w:val="single" w:color="auto" w:sz="4" w:space="0"/>
                    <w:right w:val="single" w:color="auto" w:sz="4" w:space="0"/>
                  </w:tcBorders>
                  <w:noWrap w:val="0"/>
                  <w:vAlign w:val="center"/>
                </w:tcPr>
                <w:p w14:paraId="389C3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E0646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总氮</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F1A09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207E76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903" w:type="dxa"/>
                  <w:vMerge w:val="continue"/>
                  <w:tcBorders>
                    <w:left w:val="single" w:color="auto" w:sz="4" w:space="0"/>
                    <w:right w:val="single" w:color="auto" w:sz="4" w:space="0"/>
                  </w:tcBorders>
                  <w:noWrap w:val="0"/>
                  <w:vAlign w:val="center"/>
                </w:tcPr>
                <w:p w14:paraId="6F456A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42" w:type="dxa"/>
                  <w:vMerge w:val="continue"/>
                  <w:tcBorders>
                    <w:left w:val="single" w:color="auto" w:sz="4" w:space="0"/>
                    <w:right w:val="single" w:color="auto" w:sz="4" w:space="0"/>
                  </w:tcBorders>
                  <w:noWrap w:val="0"/>
                  <w:vAlign w:val="center"/>
                </w:tcPr>
                <w:p w14:paraId="014402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55" w:type="dxa"/>
                  <w:vMerge w:val="continue"/>
                  <w:tcBorders>
                    <w:left w:val="single" w:color="auto" w:sz="4" w:space="0"/>
                    <w:right w:val="single" w:color="auto" w:sz="4" w:space="0"/>
                  </w:tcBorders>
                  <w:noWrap w:val="0"/>
                  <w:vAlign w:val="center"/>
                </w:tcPr>
                <w:p w14:paraId="76046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noWrap w:val="0"/>
                  <w:vAlign w:val="center"/>
                </w:tcPr>
                <w:p w14:paraId="71817F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087" w:type="dxa"/>
                  <w:vMerge w:val="continue"/>
                  <w:tcBorders>
                    <w:left w:val="single" w:color="auto" w:sz="4" w:space="0"/>
                    <w:right w:val="single" w:color="auto" w:sz="4" w:space="0"/>
                  </w:tcBorders>
                  <w:noWrap w:val="0"/>
                  <w:vAlign w:val="center"/>
                </w:tcPr>
                <w:p w14:paraId="123ED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07" w:type="dxa"/>
                  <w:tcBorders>
                    <w:top w:val="single" w:color="auto" w:sz="4" w:space="0"/>
                    <w:left w:val="single" w:color="auto" w:sz="4" w:space="0"/>
                    <w:bottom w:val="single" w:color="auto" w:sz="4" w:space="0"/>
                    <w:right w:val="single" w:color="auto" w:sz="4" w:space="0"/>
                  </w:tcBorders>
                  <w:noWrap w:val="0"/>
                  <w:vAlign w:val="center"/>
                </w:tcPr>
                <w:p w14:paraId="06E414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1DADE7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0.002</w:t>
                  </w:r>
                </w:p>
              </w:tc>
              <w:tc>
                <w:tcPr>
                  <w:tcW w:w="871" w:type="dxa"/>
                  <w:vMerge w:val="continue"/>
                  <w:tcBorders>
                    <w:left w:val="single" w:color="auto" w:sz="4" w:space="0"/>
                    <w:right w:val="single" w:color="auto" w:sz="4" w:space="0"/>
                  </w:tcBorders>
                  <w:noWrap w:val="0"/>
                  <w:vAlign w:val="center"/>
                </w:tcPr>
                <w:p w14:paraId="030838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80" w:type="dxa"/>
                  <w:vMerge w:val="continue"/>
                  <w:tcBorders>
                    <w:left w:val="single" w:color="auto" w:sz="4" w:space="0"/>
                    <w:right w:val="single" w:color="auto" w:sz="4" w:space="0"/>
                  </w:tcBorders>
                  <w:noWrap w:val="0"/>
                  <w:vAlign w:val="center"/>
                </w:tcPr>
                <w:p w14:paraId="1ABCA8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79" w:type="dxa"/>
                  <w:vMerge w:val="continue"/>
                  <w:tcBorders>
                    <w:left w:val="single" w:color="auto" w:sz="4" w:space="0"/>
                    <w:right w:val="single" w:color="auto" w:sz="4" w:space="0"/>
                  </w:tcBorders>
                  <w:noWrap w:val="0"/>
                  <w:vAlign w:val="center"/>
                </w:tcPr>
                <w:p w14:paraId="7CB8CA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r>
          </w:tbl>
          <w:p w14:paraId="7CE13DAF">
            <w:pPr>
              <w:keepNext w:val="0"/>
              <w:keepLines w:val="0"/>
              <w:suppressLineNumbers w:val="0"/>
              <w:spacing w:before="0" w:beforeAutospacing="0" w:after="0" w:afterAutospacing="0" w:line="500" w:lineRule="exact"/>
              <w:ind w:left="0" w:leftChars="0" w:right="0" w:firstLine="0" w:firstLineChars="0"/>
              <w:jc w:val="left"/>
              <w:rPr>
                <w:rFonts w:hint="default" w:ascii="Times New Roman" w:hAnsi="Times New Roman" w:eastAsia="宋体" w:cs="Times New Roman"/>
                <w:color w:val="000000" w:themeColor="text1"/>
                <w:sz w:val="24"/>
                <w14:textFill>
                  <w14:solidFill>
                    <w14:schemeClr w14:val="tx1"/>
                  </w14:solidFill>
                </w14:textFill>
              </w:rPr>
            </w:pPr>
          </w:p>
        </w:tc>
      </w:tr>
    </w:tbl>
    <w:p w14:paraId="1D83239A">
      <w:pPr>
        <w:rPr>
          <w:color w:val="000000" w:themeColor="text1"/>
          <w14:textFill>
            <w14:solidFill>
              <w14:schemeClr w14:val="tx1"/>
            </w14:solidFill>
          </w14:textFill>
        </w:rPr>
        <w:sectPr>
          <w:pgSz w:w="16840" w:h="11907" w:orient="landscape"/>
          <w:pgMar w:top="1531" w:right="1701" w:bottom="1531" w:left="2126" w:header="851" w:footer="851" w:gutter="0"/>
          <w:pgBorders>
            <w:top w:val="none" w:sz="0" w:space="0"/>
            <w:left w:val="none" w:sz="0" w:space="0"/>
            <w:bottom w:val="none" w:sz="0" w:space="0"/>
            <w:right w:val="none" w:sz="0" w:space="0"/>
          </w:pgBorders>
          <w:cols w:space="720" w:num="1"/>
          <w:docGrid w:linePitch="312" w:charSpace="0"/>
        </w:sectPr>
      </w:pPr>
    </w:p>
    <w:tbl>
      <w:tblPr>
        <w:tblStyle w:val="21"/>
        <w:tblW w:w="508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
        <w:gridCol w:w="8232"/>
      </w:tblGrid>
      <w:tr w14:paraId="4DB6ED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23" w:hRule="atLeast"/>
          <w:jc w:val="center"/>
        </w:trPr>
        <w:tc>
          <w:tcPr>
            <w:tcW w:w="496" w:type="pct"/>
            <w:tcMar>
              <w:left w:w="28" w:type="dxa"/>
              <w:right w:w="28" w:type="dxa"/>
            </w:tcMar>
            <w:vAlign w:val="center"/>
          </w:tcPr>
          <w:p w14:paraId="672A863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运营</w:t>
            </w:r>
          </w:p>
          <w:p w14:paraId="4D093EE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期环</w:t>
            </w:r>
          </w:p>
          <w:p w14:paraId="3A895FF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境影</w:t>
            </w:r>
          </w:p>
          <w:p w14:paraId="419DE3B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响和</w:t>
            </w:r>
          </w:p>
          <w:p w14:paraId="23012290">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保护</w:t>
            </w:r>
          </w:p>
          <w:p w14:paraId="76992FA9">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color w:val="000000" w:themeColor="text1"/>
                <w:kern w:val="0"/>
                <w14:textFill>
                  <w14:solidFill>
                    <w14:schemeClr w14:val="tx1"/>
                  </w14:solidFill>
                </w14:textFill>
              </w:rPr>
            </w:pPr>
            <w:r>
              <w:rPr>
                <w:rFonts w:hint="default" w:ascii="Times New Roman" w:hAnsi="Times New Roman" w:eastAsia="宋体" w:cs="Times New Roman"/>
                <w:color w:val="000000" w:themeColor="text1"/>
                <w:kern w:val="0"/>
                <w14:textFill>
                  <w14:solidFill>
                    <w14:schemeClr w14:val="tx1"/>
                  </w14:solidFill>
                </w14:textFill>
              </w:rPr>
              <w:t>措施</w:t>
            </w:r>
          </w:p>
        </w:tc>
        <w:tc>
          <w:tcPr>
            <w:tcW w:w="4503" w:type="pct"/>
            <w:vAlign w:val="top"/>
          </w:tcPr>
          <w:p w14:paraId="28B0C831">
            <w:pPr>
              <w:keepNext w:val="0"/>
              <w:keepLines w:val="0"/>
              <w:suppressLineNumbers w:val="0"/>
              <w:spacing w:before="0" w:beforeAutospacing="0" w:after="0" w:afterAutospacing="0" w:line="520" w:lineRule="exact"/>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（2）排放口基本情况及监测要求</w:t>
            </w:r>
          </w:p>
          <w:p w14:paraId="01502DEF">
            <w:pPr>
              <w:keepNext w:val="0"/>
              <w:keepLines w:val="0"/>
              <w:suppressLineNumbers w:val="0"/>
              <w:spacing w:before="0" w:beforeAutospacing="0" w:after="0" w:afterAutospacing="0" w:line="520" w:lineRule="exact"/>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本项目厂区共设1个废水总排口，位于厂区西侧。</w:t>
            </w:r>
            <w:r>
              <w:rPr>
                <w:rFonts w:hint="default" w:ascii="Times New Roman" w:hAnsi="Times New Roman" w:eastAsia="宋体" w:cs="Times New Roman"/>
                <w:color w:val="000000" w:themeColor="text1"/>
                <w:sz w:val="24"/>
                <w14:textFill>
                  <w14:solidFill>
                    <w14:schemeClr w14:val="tx1"/>
                  </w14:solidFill>
                </w14:textFill>
              </w:rPr>
              <w:t>根据《排污单位自行监测技术指南 印刷工业》（HJ1246-2022）制定本项目废水监测计划如下：</w:t>
            </w:r>
          </w:p>
          <w:p w14:paraId="0C74D57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bCs/>
                <w:color w:val="000000" w:themeColor="text1"/>
                <w:sz w:val="24"/>
                <w:lang w:val="zh-CN"/>
                <w14:textFill>
                  <w14:solidFill>
                    <w14:schemeClr w14:val="tx1"/>
                  </w14:solidFill>
                </w14:textFill>
              </w:rPr>
            </w:pPr>
            <w:r>
              <w:rPr>
                <w:rFonts w:hint="default" w:ascii="Times New Roman" w:hAnsi="Times New Roman" w:eastAsia="黑体" w:cs="Times New Roman"/>
                <w:bCs/>
                <w:color w:val="000000" w:themeColor="text1"/>
                <w:sz w:val="24"/>
                <w:lang w:val="zh-CN"/>
                <w14:textFill>
                  <w14:solidFill>
                    <w14:schemeClr w14:val="tx1"/>
                  </w14:solidFill>
                </w14:textFill>
              </w:rPr>
              <w:t>表4-</w:t>
            </w:r>
            <w:r>
              <w:rPr>
                <w:rFonts w:hint="eastAsia" w:eastAsia="黑体" w:cs="Times New Roman"/>
                <w:bCs/>
                <w:color w:val="000000" w:themeColor="text1"/>
                <w:sz w:val="24"/>
                <w:lang w:val="en-US" w:eastAsia="zh-CN"/>
                <w14:textFill>
                  <w14:solidFill>
                    <w14:schemeClr w14:val="tx1"/>
                  </w14:solidFill>
                </w14:textFill>
              </w:rPr>
              <w:t>6</w:t>
            </w:r>
            <w:r>
              <w:rPr>
                <w:rFonts w:hint="default" w:ascii="Times New Roman" w:hAnsi="Times New Roman" w:eastAsia="黑体" w:cs="Times New Roman"/>
                <w:bCs/>
                <w:color w:val="000000" w:themeColor="text1"/>
                <w:sz w:val="24"/>
                <w:lang w:val="zh-CN"/>
                <w14:textFill>
                  <w14:solidFill>
                    <w14:schemeClr w14:val="tx1"/>
                  </w14:solidFill>
                </w14:textFill>
              </w:rPr>
              <w:t xml:space="preserve">    项目废水排放口基本情况及水污染物监测计划</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99"/>
              <w:gridCol w:w="1335"/>
              <w:gridCol w:w="2090"/>
              <w:gridCol w:w="998"/>
              <w:gridCol w:w="1109"/>
              <w:gridCol w:w="840"/>
            </w:tblGrid>
            <w:tr w14:paraId="17BB4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restart"/>
                  <w:tcBorders>
                    <w:top w:val="single" w:color="auto" w:sz="4" w:space="0"/>
                    <w:left w:val="single" w:color="auto" w:sz="4" w:space="0"/>
                    <w:bottom w:val="single" w:color="auto" w:sz="4" w:space="0"/>
                    <w:right w:val="single" w:color="auto" w:sz="4" w:space="0"/>
                  </w:tcBorders>
                  <w:noWrap w:val="0"/>
                  <w:vAlign w:val="center"/>
                </w:tcPr>
                <w:p w14:paraId="423BE61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排污口编号及名称</w:t>
                  </w:r>
                </w:p>
              </w:tc>
              <w:tc>
                <w:tcPr>
                  <w:tcW w:w="1333" w:type="pct"/>
                  <w:gridSpan w:val="2"/>
                  <w:tcBorders>
                    <w:top w:val="single" w:color="auto" w:sz="4" w:space="0"/>
                    <w:left w:val="single" w:color="auto" w:sz="4" w:space="0"/>
                    <w:bottom w:val="single" w:color="auto" w:sz="4" w:space="0"/>
                    <w:right w:val="single" w:color="auto" w:sz="4" w:space="0"/>
                  </w:tcBorders>
                  <w:noWrap w:val="0"/>
                  <w:vAlign w:val="center"/>
                </w:tcPr>
                <w:p w14:paraId="07207D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排放口基本情况</w:t>
                  </w:r>
                </w:p>
              </w:tc>
              <w:tc>
                <w:tcPr>
                  <w:tcW w:w="1305" w:type="pct"/>
                  <w:vMerge w:val="restart"/>
                  <w:tcBorders>
                    <w:top w:val="single" w:color="auto" w:sz="4" w:space="0"/>
                    <w:left w:val="single" w:color="auto" w:sz="4" w:space="0"/>
                    <w:bottom w:val="single" w:color="auto" w:sz="4" w:space="0"/>
                    <w:right w:val="single" w:color="auto" w:sz="4" w:space="0"/>
                  </w:tcBorders>
                  <w:noWrap w:val="0"/>
                  <w:vAlign w:val="center"/>
                </w:tcPr>
                <w:p w14:paraId="3DDEAAA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排放标准</w:t>
                  </w:r>
                </w:p>
              </w:tc>
              <w:tc>
                <w:tcPr>
                  <w:tcW w:w="1841" w:type="pct"/>
                  <w:gridSpan w:val="3"/>
                  <w:tcBorders>
                    <w:top w:val="single" w:color="auto" w:sz="4" w:space="0"/>
                    <w:left w:val="single" w:color="auto" w:sz="4" w:space="0"/>
                    <w:bottom w:val="single" w:color="auto" w:sz="4" w:space="0"/>
                    <w:right w:val="single" w:color="auto" w:sz="4" w:space="0"/>
                  </w:tcBorders>
                  <w:noWrap w:val="0"/>
                  <w:vAlign w:val="center"/>
                </w:tcPr>
                <w:p w14:paraId="24FDEE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监测要求</w:t>
                  </w:r>
                </w:p>
              </w:tc>
            </w:tr>
            <w:tr w14:paraId="56ADB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vMerge w:val="continue"/>
                  <w:tcBorders>
                    <w:top w:val="single" w:color="auto" w:sz="4" w:space="0"/>
                    <w:left w:val="single" w:color="auto" w:sz="4" w:space="0"/>
                    <w:bottom w:val="single" w:color="auto" w:sz="4" w:space="0"/>
                    <w:right w:val="single" w:color="auto" w:sz="4" w:space="0"/>
                  </w:tcBorders>
                  <w:noWrap w:val="0"/>
                  <w:vAlign w:val="center"/>
                </w:tcPr>
                <w:p w14:paraId="2C5DE343">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499" w:type="pct"/>
                  <w:tcBorders>
                    <w:top w:val="single" w:color="auto" w:sz="4" w:space="0"/>
                    <w:left w:val="single" w:color="auto" w:sz="4" w:space="0"/>
                    <w:bottom w:val="single" w:color="auto" w:sz="4" w:space="0"/>
                    <w:right w:val="single" w:color="auto" w:sz="4" w:space="0"/>
                  </w:tcBorders>
                  <w:noWrap w:val="0"/>
                  <w:vAlign w:val="center"/>
                </w:tcPr>
                <w:p w14:paraId="15EA9F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类型</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1C8335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地理坐标</w:t>
                  </w:r>
                </w:p>
              </w:tc>
              <w:tc>
                <w:tcPr>
                  <w:tcW w:w="1305" w:type="pct"/>
                  <w:vMerge w:val="continue"/>
                  <w:tcBorders>
                    <w:top w:val="single" w:color="auto" w:sz="4" w:space="0"/>
                    <w:left w:val="single" w:color="auto" w:sz="4" w:space="0"/>
                    <w:bottom w:val="single" w:color="auto" w:sz="4" w:space="0"/>
                    <w:right w:val="single" w:color="auto" w:sz="4" w:space="0"/>
                  </w:tcBorders>
                  <w:noWrap w:val="0"/>
                  <w:vAlign w:val="center"/>
                </w:tcPr>
                <w:p w14:paraId="48D5B21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623" w:type="pct"/>
                  <w:tcBorders>
                    <w:top w:val="single" w:color="auto" w:sz="4" w:space="0"/>
                    <w:left w:val="single" w:color="auto" w:sz="4" w:space="0"/>
                    <w:bottom w:val="single" w:color="auto" w:sz="4" w:space="0"/>
                    <w:right w:val="single" w:color="auto" w:sz="4" w:space="0"/>
                  </w:tcBorders>
                  <w:noWrap w:val="0"/>
                  <w:vAlign w:val="center"/>
                </w:tcPr>
                <w:p w14:paraId="376A3BD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78054A4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监测因子</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4EE323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监测频次</w:t>
                  </w:r>
                </w:p>
              </w:tc>
            </w:tr>
            <w:tr w14:paraId="58F78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9" w:type="pct"/>
                  <w:tcBorders>
                    <w:top w:val="single" w:color="auto" w:sz="4" w:space="0"/>
                    <w:left w:val="single" w:color="auto" w:sz="4" w:space="0"/>
                    <w:bottom w:val="single" w:color="auto" w:sz="4" w:space="0"/>
                    <w:right w:val="single" w:color="auto" w:sz="4" w:space="0"/>
                  </w:tcBorders>
                  <w:noWrap w:val="0"/>
                  <w:vAlign w:val="center"/>
                </w:tcPr>
                <w:p w14:paraId="4741D8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废水总排放口（DW001）</w:t>
                  </w:r>
                </w:p>
              </w:tc>
              <w:tc>
                <w:tcPr>
                  <w:tcW w:w="499" w:type="pct"/>
                  <w:tcBorders>
                    <w:top w:val="single" w:color="auto" w:sz="4" w:space="0"/>
                    <w:left w:val="single" w:color="auto" w:sz="4" w:space="0"/>
                    <w:bottom w:val="single" w:color="auto" w:sz="4" w:space="0"/>
                    <w:right w:val="single" w:color="auto" w:sz="4" w:space="0"/>
                  </w:tcBorders>
                  <w:noWrap w:val="0"/>
                  <w:vAlign w:val="center"/>
                </w:tcPr>
                <w:p w14:paraId="1D09D06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一般排放口</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3161BA4A">
                  <w:pPr>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108.640502</w:t>
                  </w:r>
                </w:p>
                <w:p w14:paraId="42592D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34.217530</w:t>
                  </w:r>
                </w:p>
              </w:tc>
              <w:tc>
                <w:tcPr>
                  <w:tcW w:w="1305" w:type="pct"/>
                  <w:tcBorders>
                    <w:top w:val="single" w:color="auto" w:sz="4" w:space="0"/>
                    <w:left w:val="single" w:color="auto" w:sz="4" w:space="0"/>
                    <w:bottom w:val="single" w:color="auto" w:sz="4" w:space="0"/>
                    <w:right w:val="single" w:color="auto" w:sz="4" w:space="0"/>
                  </w:tcBorders>
                  <w:noWrap w:val="0"/>
                  <w:vAlign w:val="center"/>
                </w:tcPr>
                <w:p w14:paraId="3C0FCDF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《污水综合排放标准》(GB8978-1996)中的三级标准</w:t>
                  </w:r>
                  <w:r>
                    <w:rPr>
                      <w:rFonts w:hint="default" w:ascii="Times New Roman" w:hAnsi="Times New Roman" w:eastAsia="宋体" w:cs="Times New Roman"/>
                      <w:color w:val="000000" w:themeColor="text1"/>
                      <w:sz w:val="21"/>
                      <w:szCs w:val="21"/>
                      <w14:textFill>
                        <w14:solidFill>
                          <w14:schemeClr w14:val="tx1"/>
                        </w14:solidFill>
                      </w14:textFill>
                    </w:rPr>
                    <w:t>及《污水排入城镇下水道水质标准》（GB/T31962-2015）</w:t>
                  </w:r>
                  <w:r>
                    <w:rPr>
                      <w:rFonts w:hint="default" w:ascii="Times New Roman" w:hAnsi="Times New Roman" w:cs="Times New Roman"/>
                      <w:color w:val="000000" w:themeColor="text1"/>
                      <w:sz w:val="21"/>
                      <w:szCs w:val="21"/>
                      <w:lang w:eastAsia="zh-CN"/>
                      <w14:textFill>
                        <w14:solidFill>
                          <w14:schemeClr w14:val="tx1"/>
                        </w14:solidFill>
                      </w14:textFill>
                    </w:rPr>
                    <w:t>A级</w:t>
                  </w:r>
                  <w:r>
                    <w:rPr>
                      <w:rFonts w:hint="default" w:ascii="Times New Roman" w:hAnsi="Times New Roman" w:eastAsia="宋体" w:cs="Times New Roman"/>
                      <w:color w:val="000000" w:themeColor="text1"/>
                      <w:sz w:val="21"/>
                      <w:szCs w:val="21"/>
                      <w14:textFill>
                        <w14:solidFill>
                          <w14:schemeClr w14:val="tx1"/>
                        </w14:solidFill>
                      </w14:textFill>
                    </w:rPr>
                    <w:t>标准</w:t>
                  </w:r>
                </w:p>
              </w:tc>
              <w:tc>
                <w:tcPr>
                  <w:tcW w:w="623" w:type="pct"/>
                  <w:tcBorders>
                    <w:top w:val="single" w:color="auto" w:sz="4" w:space="0"/>
                    <w:left w:val="single" w:color="auto" w:sz="4" w:space="0"/>
                    <w:bottom w:val="single" w:color="auto" w:sz="4" w:space="0"/>
                    <w:right w:val="single" w:color="auto" w:sz="4" w:space="0"/>
                  </w:tcBorders>
                  <w:noWrap w:val="0"/>
                  <w:vAlign w:val="center"/>
                </w:tcPr>
                <w:p w14:paraId="2A7EBE5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废水总排放口</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7BF0237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pH值、COD、BOD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、SS、氨氮、总磷、总氮</w:t>
                  </w:r>
                </w:p>
              </w:tc>
              <w:tc>
                <w:tcPr>
                  <w:tcW w:w="524" w:type="pct"/>
                  <w:tcBorders>
                    <w:top w:val="single" w:color="auto" w:sz="4" w:space="0"/>
                    <w:left w:val="single" w:color="auto" w:sz="4" w:space="0"/>
                    <w:bottom w:val="single" w:color="auto" w:sz="4" w:space="0"/>
                    <w:right w:val="single" w:color="auto" w:sz="4" w:space="0"/>
                  </w:tcBorders>
                  <w:noWrap w:val="0"/>
                  <w:vAlign w:val="center"/>
                </w:tcPr>
                <w:p w14:paraId="1A3DBC6A">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r>
          </w:tbl>
          <w:p w14:paraId="45DBE646">
            <w:pPr>
              <w:keepNext w:val="0"/>
              <w:keepLines w:val="0"/>
              <w:suppressLineNumbers w:val="0"/>
              <w:autoSpaceDE w:val="0"/>
              <w:autoSpaceDN w:val="0"/>
              <w:adjustRightInd w:val="0"/>
              <w:spacing w:before="0" w:beforeAutospacing="0" w:after="0" w:afterAutospacing="0" w:line="500" w:lineRule="exact"/>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（3）废水达标排放分析</w:t>
            </w:r>
          </w:p>
          <w:p w14:paraId="678FA752">
            <w:pPr>
              <w:keepNext w:val="0"/>
              <w:keepLines w:val="0"/>
              <w:suppressLineNumbers w:val="0"/>
              <w:autoSpaceDE w:val="0"/>
              <w:autoSpaceDN w:val="0"/>
              <w:adjustRightInd w:val="0"/>
              <w:spacing w:before="0" w:beforeAutospacing="0" w:after="0" w:afterAutospacing="0" w:line="500" w:lineRule="exact"/>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根据表4-</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可知，本项目废水</w:t>
            </w:r>
            <w:r>
              <w:rPr>
                <w:rFonts w:hint="eastAsia" w:cs="Times New Roman"/>
                <w:color w:val="000000" w:themeColor="text1"/>
                <w:sz w:val="24"/>
                <w:lang w:val="en-US" w:eastAsia="zh-CN"/>
                <w14:textFill>
                  <w14:solidFill>
                    <w14:schemeClr w14:val="tx1"/>
                  </w14:solidFill>
                </w14:textFill>
              </w:rPr>
              <w:t>总排口污染物</w:t>
            </w:r>
            <w:r>
              <w:rPr>
                <w:rFonts w:hint="default" w:ascii="Times New Roman" w:hAnsi="Times New Roman" w:eastAsia="宋体" w:cs="Times New Roman"/>
                <w:color w:val="000000" w:themeColor="text1"/>
                <w:sz w:val="24"/>
                <w14:textFill>
                  <w14:solidFill>
                    <w14:schemeClr w14:val="tx1"/>
                  </w14:solidFill>
                </w14:textFill>
              </w:rPr>
              <w:t>排放满足</w:t>
            </w:r>
            <w:r>
              <w:rPr>
                <w:rFonts w:hint="default" w:ascii="Times New Roman" w:hAnsi="Times New Roman" w:cs="Times New Roman"/>
                <w:color w:val="000000" w:themeColor="text1"/>
                <w:sz w:val="24"/>
                <w:lang w:eastAsia="zh-CN"/>
                <w14:textFill>
                  <w14:solidFill>
                    <w14:schemeClr w14:val="tx1"/>
                  </w14:solidFill>
                </w14:textFill>
              </w:rPr>
              <w:t>《污水综合排放标准》(GB8978-1996)中的三级标准</w:t>
            </w:r>
            <w:r>
              <w:rPr>
                <w:rFonts w:hint="default" w:ascii="Times New Roman" w:hAnsi="Times New Roman" w:eastAsia="宋体" w:cs="Times New Roman"/>
                <w:color w:val="000000" w:themeColor="text1"/>
                <w:sz w:val="24"/>
                <w14:textFill>
                  <w14:solidFill>
                    <w14:schemeClr w14:val="tx1"/>
                  </w14:solidFill>
                </w14:textFill>
              </w:rPr>
              <w:t>及《污水排入城镇下水道水质标准》（GB/T31962-2015）</w:t>
            </w:r>
            <w:r>
              <w:rPr>
                <w:rFonts w:hint="default" w:ascii="Times New Roman" w:hAnsi="Times New Roman" w:cs="Times New Roman"/>
                <w:color w:val="000000" w:themeColor="text1"/>
                <w:sz w:val="24"/>
                <w:lang w:eastAsia="zh-CN"/>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t>级标准要求，项目运营期对周围水环境影响较小。</w:t>
            </w:r>
          </w:p>
          <w:p w14:paraId="651319FC">
            <w:pPr>
              <w:keepNext w:val="0"/>
              <w:keepLines w:val="0"/>
              <w:suppressLineNumbers w:val="0"/>
              <w:autoSpaceDE w:val="0"/>
              <w:autoSpaceDN w:val="0"/>
              <w:adjustRightInd w:val="0"/>
              <w:spacing w:before="0" w:beforeAutospacing="0" w:after="0" w:afterAutospacing="0" w:line="500" w:lineRule="exact"/>
              <w:ind w:left="0" w:right="0"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（4）依托</w:t>
            </w:r>
            <w:r>
              <w:rPr>
                <w:rFonts w:hint="eastAsia" w:cs="Times New Roman"/>
                <w:color w:val="000000" w:themeColor="text1"/>
                <w:sz w:val="24"/>
                <w:lang w:eastAsia="zh-CN"/>
                <w14:textFill>
                  <w14:solidFill>
                    <w14:schemeClr w14:val="tx1"/>
                  </w14:solidFill>
                </w14:textFill>
              </w:rPr>
              <w:t>沣西新城大王污水处理厂</w:t>
            </w:r>
            <w:r>
              <w:rPr>
                <w:rFonts w:hint="default" w:ascii="Times New Roman" w:hAnsi="Times New Roman" w:eastAsia="宋体" w:cs="Times New Roman"/>
                <w:color w:val="000000" w:themeColor="text1"/>
                <w:sz w:val="24"/>
                <w14:textFill>
                  <w14:solidFill>
                    <w14:schemeClr w14:val="tx1"/>
                  </w14:solidFill>
                </w14:textFill>
              </w:rPr>
              <w:t>可行性分析</w:t>
            </w:r>
          </w:p>
          <w:p w14:paraId="1670F481">
            <w:pPr>
              <w:keepNext w:val="0"/>
              <w:keepLines w:val="0"/>
              <w:suppressLineNumbers w:val="0"/>
              <w:autoSpaceDE w:val="0"/>
              <w:autoSpaceDN w:val="0"/>
              <w:adjustRightInd w:val="0"/>
              <w:spacing w:before="0" w:beforeAutospacing="0" w:after="0" w:afterAutospacing="0" w:line="500" w:lineRule="exact"/>
              <w:ind w:left="0" w:right="0" w:firstLine="480" w:firstLineChars="200"/>
              <w:jc w:val="left"/>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沣西新城大王污水处理厂位于陕西省西咸新区沣西新城大王街道，总占地37.85亩，一期占地21.5亩。设计规模5000</w:t>
            </w:r>
            <w:r>
              <w:rPr>
                <w:rFonts w:hint="eastAsia" w:cs="Times New Roman"/>
                <w:color w:val="000000" w:themeColor="text1"/>
                <w:sz w:val="24"/>
                <w:lang w:val="en-US" w:eastAsia="zh-CN"/>
                <w14:textFill>
                  <w14:solidFill>
                    <w14:schemeClr w14:val="tx1"/>
                  </w14:solidFill>
                </w14:textFill>
              </w:rPr>
              <w:t>t/d</w:t>
            </w:r>
            <w:r>
              <w:rPr>
                <w:rFonts w:hint="eastAsia" w:cs="Times New Roman"/>
                <w:color w:val="000000" w:themeColor="text1"/>
                <w:sz w:val="24"/>
                <w:lang w:eastAsia="zh-CN"/>
                <w14:textFill>
                  <w14:solidFill>
                    <w14:schemeClr w14:val="tx1"/>
                  </w14:solidFill>
                </w14:textFill>
              </w:rPr>
              <w:t>，远期达到10000</w:t>
            </w:r>
            <w:r>
              <w:rPr>
                <w:rFonts w:hint="eastAsia" w:cs="Times New Roman"/>
                <w:color w:val="000000" w:themeColor="text1"/>
                <w:sz w:val="24"/>
                <w:lang w:val="en-US" w:eastAsia="zh-CN"/>
                <w14:textFill>
                  <w14:solidFill>
                    <w14:schemeClr w14:val="tx1"/>
                  </w14:solidFill>
                </w14:textFill>
              </w:rPr>
              <w:t>t/d</w:t>
            </w:r>
            <w:r>
              <w:rPr>
                <w:rFonts w:hint="eastAsia" w:cs="Times New Roman"/>
                <w:color w:val="000000" w:themeColor="text1"/>
                <w:sz w:val="24"/>
                <w:lang w:eastAsia="zh-CN"/>
                <w14:textFill>
                  <w14:solidFill>
                    <w14:schemeClr w14:val="tx1"/>
                  </w14:solidFill>
                </w14:textFill>
              </w:rPr>
              <w:t>，采用较为先进的A/O-MBR污水处理工艺。主要服务大王镇109公顷范围内近万居民的生产生活，一期项目服务人口约3.1万人，已于2019年11月15日通水试运行。该污水处理厂采用立体生态处理工艺，出水水质达到《陕西省黄河流域污水综合排放标准》A标准。</w:t>
            </w:r>
          </w:p>
          <w:p w14:paraId="73F0DFD3">
            <w:pPr>
              <w:keepNext w:val="0"/>
              <w:keepLines w:val="0"/>
              <w:suppressLineNumbers w:val="0"/>
              <w:autoSpaceDE w:val="0"/>
              <w:autoSpaceDN w:val="0"/>
              <w:adjustRightInd w:val="0"/>
              <w:spacing w:before="0" w:beforeAutospacing="0" w:after="0" w:afterAutospacing="0" w:line="500" w:lineRule="exact"/>
              <w:ind w:left="0" w:right="0" w:firstLine="480" w:firstLineChars="200"/>
              <w:jc w:val="left"/>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eastAsia" w:cs="Times New Roman"/>
                <w:color w:val="000000" w:themeColor="text1"/>
                <w:sz w:val="24"/>
                <w:lang w:eastAsia="zh-CN"/>
                <w14:textFill>
                  <w14:solidFill>
                    <w14:schemeClr w14:val="tx1"/>
                  </w14:solidFill>
                </w14:textFill>
              </w:rPr>
              <w:t>沣西新城大王污水处理厂</w:t>
            </w:r>
            <w:r>
              <w:rPr>
                <w:rFonts w:hint="eastAsia" w:cs="Times New Roman"/>
                <w:color w:val="000000" w:themeColor="text1"/>
                <w:sz w:val="24"/>
                <w:lang w:val="en-US" w:eastAsia="zh-CN"/>
                <w14:textFill>
                  <w14:solidFill>
                    <w14:schemeClr w14:val="tx1"/>
                  </w14:solidFill>
                </w14:textFill>
              </w:rPr>
              <w:t>西北2.5km处，</w:t>
            </w:r>
            <w:r>
              <w:rPr>
                <w:rFonts w:hint="default" w:ascii="Times New Roman" w:hAnsi="Times New Roman" w:eastAsia="宋体" w:cs="Times New Roman"/>
                <w:color w:val="000000" w:themeColor="text1"/>
                <w:sz w:val="24"/>
                <w14:textFill>
                  <w14:solidFill>
                    <w14:schemeClr w14:val="tx1"/>
                  </w14:solidFill>
                </w14:textFill>
              </w:rPr>
              <w:t>项目所在区域雨、污管网</w:t>
            </w:r>
            <w:r>
              <w:rPr>
                <w:rFonts w:hint="eastAsia" w:cs="Times New Roman"/>
                <w:color w:val="000000" w:themeColor="text1"/>
                <w:sz w:val="24"/>
                <w:lang w:val="en-US" w:eastAsia="zh-CN"/>
                <w14:textFill>
                  <w14:solidFill>
                    <w14:schemeClr w14:val="tx1"/>
                  </w14:solidFill>
                </w14:textFill>
              </w:rPr>
              <w:t>已覆盖，属于</w:t>
            </w:r>
            <w:r>
              <w:rPr>
                <w:rFonts w:hint="eastAsia" w:cs="Times New Roman"/>
                <w:color w:val="000000" w:themeColor="text1"/>
                <w:sz w:val="24"/>
                <w:lang w:eastAsia="zh-CN"/>
                <w14:textFill>
                  <w14:solidFill>
                    <w14:schemeClr w14:val="tx1"/>
                  </w14:solidFill>
                </w14:textFill>
              </w:rPr>
              <w:t>沣西新城大王污水处理厂</w:t>
            </w:r>
            <w:r>
              <w:rPr>
                <w:rFonts w:hint="default" w:ascii="Times New Roman" w:hAnsi="Times New Roman" w:eastAsia="宋体" w:cs="Times New Roman"/>
                <w:color w:val="000000" w:themeColor="text1"/>
                <w:sz w:val="24"/>
                <w14:textFill>
                  <w14:solidFill>
                    <w14:schemeClr w14:val="tx1"/>
                  </w14:solidFill>
                </w14:textFill>
              </w:rPr>
              <w:t>服务范围内，</w:t>
            </w:r>
            <w:r>
              <w:rPr>
                <w:rFonts w:hint="eastAsia" w:cs="Times New Roman"/>
                <w:color w:val="000000" w:themeColor="text1"/>
                <w:sz w:val="24"/>
                <w:lang w:val="en-US" w:eastAsia="zh-CN"/>
                <w14:textFill>
                  <w14:solidFill>
                    <w14:schemeClr w14:val="tx1"/>
                  </w14:solidFill>
                </w14:textFill>
              </w:rPr>
              <w:t>外排</w:t>
            </w:r>
            <w:r>
              <w:rPr>
                <w:rFonts w:hint="default" w:ascii="Times New Roman" w:hAnsi="Times New Roman" w:eastAsia="宋体" w:cs="Times New Roman"/>
                <w:color w:val="000000" w:themeColor="text1"/>
                <w:sz w:val="24"/>
                <w14:textFill>
                  <w14:solidFill>
                    <w14:schemeClr w14:val="tx1"/>
                  </w14:solidFill>
                </w14:textFill>
              </w:rPr>
              <w:t>污水各污染物浓度均可以满足</w:t>
            </w:r>
            <w:r>
              <w:rPr>
                <w:rFonts w:hint="eastAsia" w:cs="Times New Roman"/>
                <w:color w:val="000000" w:themeColor="text1"/>
                <w:sz w:val="24"/>
                <w:lang w:eastAsia="zh-CN"/>
                <w14:textFill>
                  <w14:solidFill>
                    <w14:schemeClr w14:val="tx1"/>
                  </w14:solidFill>
                </w14:textFill>
              </w:rPr>
              <w:t>沣西新城大王污水处理厂</w:t>
            </w:r>
            <w:r>
              <w:rPr>
                <w:rFonts w:hint="eastAsia" w:cs="Times New Roman"/>
                <w:color w:val="000000" w:themeColor="text1"/>
                <w:sz w:val="24"/>
                <w:lang w:val="en-US" w:eastAsia="zh-CN"/>
                <w14:textFill>
                  <w14:solidFill>
                    <w14:schemeClr w14:val="tx1"/>
                  </w14:solidFill>
                </w14:textFill>
              </w:rPr>
              <w:t>设计</w:t>
            </w:r>
            <w:r>
              <w:rPr>
                <w:rFonts w:hint="default" w:ascii="Times New Roman" w:hAnsi="Times New Roman" w:eastAsia="宋体" w:cs="Times New Roman"/>
                <w:color w:val="000000" w:themeColor="text1"/>
                <w:sz w:val="24"/>
                <w14:textFill>
                  <w14:solidFill>
                    <w14:schemeClr w14:val="tx1"/>
                  </w14:solidFill>
                </w14:textFill>
              </w:rPr>
              <w:t>进水水质指标</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因此本项目</w:t>
            </w:r>
            <w:r>
              <w:rPr>
                <w:rFonts w:hint="default" w:ascii="Times New Roman" w:hAnsi="Times New Roman" w:eastAsia="宋体" w:cs="Times New Roman"/>
                <w:color w:val="000000" w:themeColor="text1"/>
                <w:sz w:val="24"/>
                <w14:textFill>
                  <w14:solidFill>
                    <w14:schemeClr w14:val="tx1"/>
                  </w14:solidFill>
                </w14:textFill>
              </w:rPr>
              <w:t>污水排放依托</w:t>
            </w:r>
            <w:r>
              <w:rPr>
                <w:rFonts w:hint="eastAsia" w:cs="Times New Roman"/>
                <w:color w:val="000000" w:themeColor="text1"/>
                <w:sz w:val="24"/>
                <w:lang w:eastAsia="zh-CN"/>
                <w14:textFill>
                  <w14:solidFill>
                    <w14:schemeClr w14:val="tx1"/>
                  </w14:solidFill>
                </w14:textFill>
              </w:rPr>
              <w:t>沣西新城大王污水处理厂</w:t>
            </w:r>
            <w:r>
              <w:rPr>
                <w:rFonts w:hint="default" w:ascii="Times New Roman" w:hAnsi="Times New Roman" w:eastAsia="宋体" w:cs="Times New Roman"/>
                <w:color w:val="000000" w:themeColor="text1"/>
                <w:sz w:val="24"/>
                <w14:textFill>
                  <w14:solidFill>
                    <w14:schemeClr w14:val="tx1"/>
                  </w14:solidFill>
                </w14:textFill>
              </w:rPr>
              <w:t>处理可行。</w:t>
            </w:r>
          </w:p>
        </w:tc>
      </w:tr>
    </w:tbl>
    <w:p w14:paraId="1F400A38">
      <w:pPr>
        <w:adjustRightInd w:val="0"/>
        <w:snapToGrid w:val="0"/>
        <w:spacing w:line="360" w:lineRule="auto"/>
        <w:ind w:firstLine="562"/>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3508"/>
      </w:tblGrid>
      <w:tr w14:paraId="05A9B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60" w:hRule="atLeast"/>
        </w:trPr>
        <w:tc>
          <w:tcPr>
            <w:tcW w:w="235" w:type="pct"/>
            <w:vAlign w:val="center"/>
          </w:tcPr>
          <w:p w14:paraId="25EC76A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运营</w:t>
            </w:r>
          </w:p>
          <w:p w14:paraId="028A9E5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期环</w:t>
            </w:r>
          </w:p>
          <w:p w14:paraId="0BD0A2C3">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境影</w:t>
            </w:r>
          </w:p>
          <w:p w14:paraId="7E464098">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响和</w:t>
            </w:r>
          </w:p>
          <w:p w14:paraId="304581D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保护</w:t>
            </w:r>
          </w:p>
          <w:p w14:paraId="1D0B3305">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措施</w:t>
            </w:r>
          </w:p>
        </w:tc>
        <w:tc>
          <w:tcPr>
            <w:tcW w:w="4764" w:type="pct"/>
          </w:tcPr>
          <w:p w14:paraId="47A5274D">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三、噪声</w:t>
            </w:r>
          </w:p>
          <w:p w14:paraId="778492C2">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1、噪声源强</w:t>
            </w:r>
          </w:p>
          <w:p w14:paraId="0675AE49">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本项目运营期噪声主要为设备运行时产生的机械噪声，噪声源强为</w:t>
            </w:r>
            <w:r>
              <w:rPr>
                <w:rFonts w:hint="default" w:ascii="Times New Roman" w:hAnsi="Times New Roman" w:cs="Times New Roman"/>
                <w:color w:val="000000" w:themeColor="text1"/>
                <w:lang w:val="en-US" w:eastAsia="zh-CN"/>
                <w14:textFill>
                  <w14:solidFill>
                    <w14:schemeClr w14:val="tx1"/>
                  </w14:solidFill>
                </w14:textFill>
              </w:rPr>
              <w:t>7</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8</w:t>
            </w:r>
            <w:r>
              <w:rPr>
                <w:rFonts w:hint="eastAsia" w:cs="Times New Roman"/>
                <w:color w:val="000000" w:themeColor="text1"/>
                <w:lang w:val="en-US" w:eastAsia="zh-CN"/>
                <w14:textFill>
                  <w14:solidFill>
                    <w14:schemeClr w14:val="tx1"/>
                  </w14:solidFill>
                </w14:textFill>
              </w:rPr>
              <w:t>5</w:t>
            </w:r>
            <w:r>
              <w:rPr>
                <w:rFonts w:hint="default" w:ascii="Times New Roman" w:hAnsi="Times New Roman" w:cs="Times New Roman"/>
                <w:color w:val="000000" w:themeColor="text1"/>
                <w14:textFill>
                  <w14:solidFill>
                    <w14:schemeClr w14:val="tx1"/>
                  </w14:solidFill>
                </w14:textFill>
              </w:rPr>
              <w:t>dB（A），项目主要噪声源见下表4-</w:t>
            </w:r>
            <w:r>
              <w:rPr>
                <w:rFonts w:hint="default" w:ascii="Times New Roman" w:hAnsi="Times New Roman" w:cs="Times New Roman"/>
                <w:color w:val="000000" w:themeColor="text1"/>
                <w:lang w:val="en-US" w:eastAsia="zh-CN"/>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w:t>
            </w:r>
          </w:p>
          <w:p w14:paraId="25000FD3">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w:t>
            </w:r>
            <w:r>
              <w:rPr>
                <w:rFonts w:hint="default" w:ascii="Times New Roman" w:hAnsi="Times New Roman" w:eastAsia="黑体" w:cs="Times New Roman"/>
                <w:b w:val="0"/>
                <w:bCs w:val="0"/>
                <w:color w:val="000000" w:themeColor="text1"/>
                <w:sz w:val="24"/>
                <w:szCs w:val="24"/>
                <w:lang w:val="en-US" w:eastAsia="zh-CN"/>
                <w14:textFill>
                  <w14:solidFill>
                    <w14:schemeClr w14:val="tx1"/>
                  </w14:solidFill>
                </w14:textFill>
              </w:rPr>
              <w:t>7</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项目主要</w:t>
            </w:r>
            <w:r>
              <w:rPr>
                <w:rFonts w:hint="eastAsia" w:eastAsia="黑体" w:cs="Times New Roman"/>
                <w:b w:val="0"/>
                <w:bCs w:val="0"/>
                <w:color w:val="000000" w:themeColor="text1"/>
                <w:sz w:val="24"/>
                <w:szCs w:val="24"/>
                <w:lang w:val="en-US" w:eastAsia="zh-CN"/>
                <w14:textFill>
                  <w14:solidFill>
                    <w14:schemeClr w14:val="tx1"/>
                  </w14:solidFill>
                </w14:textFill>
              </w:rPr>
              <w:t>室内</w:t>
            </w:r>
            <w:r>
              <w:rPr>
                <w:rFonts w:hint="default" w:ascii="Times New Roman" w:hAnsi="Times New Roman" w:eastAsia="黑体" w:cs="Times New Roman"/>
                <w:b w:val="0"/>
                <w:bCs w:val="0"/>
                <w:color w:val="000000" w:themeColor="text1"/>
                <w:sz w:val="24"/>
                <w:szCs w:val="24"/>
                <w14:textFill>
                  <w14:solidFill>
                    <w14:schemeClr w14:val="tx1"/>
                  </w14:solidFill>
                </w14:textFill>
              </w:rPr>
              <w:t>设备噪声排放情况  单位：dB（A）</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675"/>
              <w:gridCol w:w="2091"/>
              <w:gridCol w:w="1091"/>
              <w:gridCol w:w="1186"/>
              <w:gridCol w:w="886"/>
              <w:gridCol w:w="610"/>
              <w:gridCol w:w="610"/>
              <w:gridCol w:w="610"/>
              <w:gridCol w:w="765"/>
              <w:gridCol w:w="825"/>
              <w:gridCol w:w="677"/>
              <w:gridCol w:w="981"/>
              <w:gridCol w:w="896"/>
              <w:gridCol w:w="919"/>
            </w:tblGrid>
            <w:tr w14:paraId="0396F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vMerge w:val="restart"/>
                  <w:shd w:val="clear" w:color="auto" w:fill="auto"/>
                  <w:noWrap/>
                  <w:vAlign w:val="center"/>
                </w:tcPr>
                <w:p w14:paraId="75323C8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序号</w:t>
                  </w:r>
                </w:p>
              </w:tc>
              <w:tc>
                <w:tcPr>
                  <w:tcW w:w="254" w:type="pct"/>
                  <w:vMerge w:val="restart"/>
                  <w:shd w:val="clear" w:color="auto" w:fill="auto"/>
                  <w:noWrap/>
                  <w:vAlign w:val="center"/>
                </w:tcPr>
                <w:p w14:paraId="5E4E981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建筑物名称</w:t>
                  </w:r>
                </w:p>
              </w:tc>
              <w:tc>
                <w:tcPr>
                  <w:tcW w:w="787" w:type="pct"/>
                  <w:vMerge w:val="restart"/>
                  <w:shd w:val="clear" w:color="auto" w:fill="auto"/>
                  <w:noWrap/>
                  <w:vAlign w:val="center"/>
                </w:tcPr>
                <w:p w14:paraId="60D5C6F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声源名称</w:t>
                  </w:r>
                </w:p>
              </w:tc>
              <w:tc>
                <w:tcPr>
                  <w:tcW w:w="410" w:type="pct"/>
                  <w:vMerge w:val="restart"/>
                  <w:shd w:val="clear" w:color="auto" w:fill="auto"/>
                  <w:noWrap/>
                  <w:vAlign w:val="center"/>
                </w:tcPr>
                <w:p w14:paraId="71887AC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型号</w:t>
                  </w:r>
                </w:p>
              </w:tc>
              <w:tc>
                <w:tcPr>
                  <w:tcW w:w="446" w:type="pct"/>
                  <w:shd w:val="clear" w:color="auto" w:fill="auto"/>
                  <w:noWrap/>
                  <w:vAlign w:val="center"/>
                </w:tcPr>
                <w:p w14:paraId="3154E0D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声源源强</w:t>
                  </w:r>
                </w:p>
              </w:tc>
              <w:tc>
                <w:tcPr>
                  <w:tcW w:w="333" w:type="pct"/>
                  <w:vMerge w:val="restart"/>
                  <w:shd w:val="clear" w:color="auto" w:fill="auto"/>
                  <w:noWrap/>
                  <w:vAlign w:val="center"/>
                </w:tcPr>
                <w:p w14:paraId="6F2EF9E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声源控制措施</w:t>
                  </w:r>
                </w:p>
              </w:tc>
              <w:tc>
                <w:tcPr>
                  <w:tcW w:w="689" w:type="pct"/>
                  <w:gridSpan w:val="3"/>
                  <w:shd w:val="clear" w:color="auto" w:fill="auto"/>
                  <w:noWrap/>
                  <w:vAlign w:val="center"/>
                </w:tcPr>
                <w:p w14:paraId="56879C1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空间相对位置</w:t>
                  </w:r>
                </w:p>
              </w:tc>
              <w:tc>
                <w:tcPr>
                  <w:tcW w:w="288" w:type="pct"/>
                  <w:vMerge w:val="restart"/>
                  <w:shd w:val="clear" w:color="auto" w:fill="auto"/>
                  <w:noWrap/>
                  <w:vAlign w:val="center"/>
                </w:tcPr>
                <w:p w14:paraId="2C70E95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距室内边界距离/m</w:t>
                  </w:r>
                </w:p>
              </w:tc>
              <w:tc>
                <w:tcPr>
                  <w:tcW w:w="310" w:type="pct"/>
                  <w:vMerge w:val="restart"/>
                  <w:shd w:val="clear" w:color="auto" w:fill="auto"/>
                  <w:noWrap/>
                  <w:vAlign w:val="center"/>
                </w:tcPr>
                <w:p w14:paraId="5CEABBE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室内边界声级/dB(A)</w:t>
                  </w:r>
                </w:p>
              </w:tc>
              <w:tc>
                <w:tcPr>
                  <w:tcW w:w="254" w:type="pct"/>
                  <w:vMerge w:val="restart"/>
                  <w:shd w:val="clear" w:color="auto" w:fill="auto"/>
                  <w:noWrap/>
                  <w:vAlign w:val="center"/>
                </w:tcPr>
                <w:p w14:paraId="51A11DA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运行时段</w:t>
                  </w:r>
                </w:p>
              </w:tc>
              <w:tc>
                <w:tcPr>
                  <w:tcW w:w="369" w:type="pct"/>
                  <w:vMerge w:val="restart"/>
                  <w:shd w:val="clear" w:color="auto" w:fill="auto"/>
                  <w:noWrap/>
                  <w:vAlign w:val="center"/>
                </w:tcPr>
                <w:p w14:paraId="0F0637E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建筑物插入损失/dB(A)</w:t>
                  </w:r>
                </w:p>
              </w:tc>
              <w:tc>
                <w:tcPr>
                  <w:tcW w:w="683" w:type="pct"/>
                  <w:gridSpan w:val="2"/>
                  <w:shd w:val="clear" w:color="auto" w:fill="auto"/>
                  <w:noWrap/>
                  <w:vAlign w:val="center"/>
                </w:tcPr>
                <w:p w14:paraId="36A1658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建筑物外噪声</w:t>
                  </w:r>
                </w:p>
              </w:tc>
            </w:tr>
            <w:tr w14:paraId="3E4F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vMerge w:val="continue"/>
                  <w:shd w:val="clear" w:color="auto" w:fill="auto"/>
                  <w:noWrap/>
                  <w:vAlign w:val="center"/>
                </w:tcPr>
                <w:p w14:paraId="3A3A494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54" w:type="pct"/>
                  <w:vMerge w:val="continue"/>
                  <w:shd w:val="clear" w:color="auto" w:fill="auto"/>
                  <w:noWrap/>
                  <w:vAlign w:val="center"/>
                </w:tcPr>
                <w:p w14:paraId="0CA354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787" w:type="pct"/>
                  <w:vMerge w:val="continue"/>
                  <w:shd w:val="clear" w:color="auto" w:fill="auto"/>
                  <w:noWrap/>
                  <w:vAlign w:val="center"/>
                </w:tcPr>
                <w:p w14:paraId="6D945D7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10" w:type="pct"/>
                  <w:vMerge w:val="continue"/>
                  <w:shd w:val="clear" w:color="auto" w:fill="auto"/>
                  <w:noWrap/>
                  <w:vAlign w:val="center"/>
                </w:tcPr>
                <w:p w14:paraId="22B69B0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446" w:type="pct"/>
                  <w:shd w:val="clear" w:color="auto" w:fill="auto"/>
                  <w:noWrap/>
                  <w:vAlign w:val="center"/>
                </w:tcPr>
                <w:p w14:paraId="60B1F79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声压级/距声源距离(dB(A)/m)</w:t>
                  </w:r>
                </w:p>
              </w:tc>
              <w:tc>
                <w:tcPr>
                  <w:tcW w:w="333" w:type="pct"/>
                  <w:vMerge w:val="continue"/>
                  <w:shd w:val="clear" w:color="auto" w:fill="auto"/>
                  <w:noWrap/>
                  <w:vAlign w:val="center"/>
                </w:tcPr>
                <w:p w14:paraId="584F327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29" w:type="pct"/>
                  <w:shd w:val="clear" w:color="auto" w:fill="auto"/>
                  <w:noWrap/>
                  <w:vAlign w:val="center"/>
                </w:tcPr>
                <w:p w14:paraId="2E379FF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X</w:t>
                  </w:r>
                </w:p>
              </w:tc>
              <w:tc>
                <w:tcPr>
                  <w:tcW w:w="229" w:type="pct"/>
                  <w:shd w:val="clear" w:color="auto" w:fill="auto"/>
                  <w:noWrap/>
                  <w:vAlign w:val="center"/>
                </w:tcPr>
                <w:p w14:paraId="7A9CB06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Y</w:t>
                  </w:r>
                </w:p>
              </w:tc>
              <w:tc>
                <w:tcPr>
                  <w:tcW w:w="229" w:type="pct"/>
                  <w:shd w:val="clear" w:color="auto" w:fill="auto"/>
                  <w:noWrap/>
                  <w:vAlign w:val="center"/>
                </w:tcPr>
                <w:p w14:paraId="6853FE4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Z</w:t>
                  </w:r>
                </w:p>
              </w:tc>
              <w:tc>
                <w:tcPr>
                  <w:tcW w:w="288" w:type="pct"/>
                  <w:vMerge w:val="continue"/>
                  <w:shd w:val="clear" w:color="auto" w:fill="auto"/>
                  <w:noWrap/>
                  <w:vAlign w:val="center"/>
                </w:tcPr>
                <w:p w14:paraId="73F8BA7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10" w:type="pct"/>
                  <w:vMerge w:val="continue"/>
                  <w:shd w:val="clear" w:color="auto" w:fill="auto"/>
                  <w:noWrap/>
                  <w:vAlign w:val="center"/>
                </w:tcPr>
                <w:p w14:paraId="317741A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254" w:type="pct"/>
                  <w:vMerge w:val="continue"/>
                  <w:shd w:val="clear" w:color="auto" w:fill="auto"/>
                  <w:noWrap/>
                  <w:vAlign w:val="center"/>
                </w:tcPr>
                <w:p w14:paraId="21FB995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69" w:type="pct"/>
                  <w:vMerge w:val="continue"/>
                  <w:shd w:val="clear" w:color="auto" w:fill="auto"/>
                  <w:noWrap/>
                  <w:vAlign w:val="center"/>
                </w:tcPr>
                <w:p w14:paraId="17EDB0E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p>
              </w:tc>
              <w:tc>
                <w:tcPr>
                  <w:tcW w:w="337" w:type="pct"/>
                  <w:shd w:val="clear" w:color="auto" w:fill="auto"/>
                  <w:noWrap/>
                  <w:vAlign w:val="center"/>
                </w:tcPr>
                <w:p w14:paraId="2DDF176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声压级/dB(A)</w:t>
                  </w:r>
                </w:p>
              </w:tc>
              <w:tc>
                <w:tcPr>
                  <w:tcW w:w="346" w:type="pct"/>
                  <w:shd w:val="clear" w:color="auto" w:fill="auto"/>
                  <w:noWrap/>
                  <w:vAlign w:val="center"/>
                </w:tcPr>
                <w:p w14:paraId="5761DD2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建筑物外距离</w:t>
                  </w:r>
                </w:p>
              </w:tc>
            </w:tr>
            <w:tr w14:paraId="3CAA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18B5083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254" w:type="pct"/>
                  <w:vMerge w:val="restart"/>
                  <w:shd w:val="clear" w:color="auto" w:fill="auto"/>
                  <w:noWrap/>
                  <w:vAlign w:val="center"/>
                </w:tcPr>
                <w:p w14:paraId="68D4701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生产厂房内</w:t>
                  </w:r>
                </w:p>
              </w:tc>
              <w:tc>
                <w:tcPr>
                  <w:tcW w:w="2091" w:type="dxa"/>
                  <w:shd w:val="clear" w:color="auto" w:fill="auto"/>
                  <w:vAlign w:val="center"/>
                </w:tcPr>
                <w:p w14:paraId="03A15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裱纸机</w:t>
                  </w:r>
                </w:p>
              </w:tc>
              <w:tc>
                <w:tcPr>
                  <w:tcW w:w="1091" w:type="dxa"/>
                  <w:shd w:val="clear" w:color="auto" w:fill="auto"/>
                  <w:vAlign w:val="center"/>
                </w:tcPr>
                <w:p w14:paraId="469DE5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145</w:t>
                  </w:r>
                </w:p>
              </w:tc>
              <w:tc>
                <w:tcPr>
                  <w:tcW w:w="446" w:type="pct"/>
                  <w:shd w:val="clear" w:color="auto" w:fill="auto"/>
                  <w:vAlign w:val="center"/>
                </w:tcPr>
                <w:p w14:paraId="4DC460A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75</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restart"/>
                  <w:shd w:val="clear" w:color="auto" w:fill="auto"/>
                  <w:vAlign w:val="center"/>
                </w:tcPr>
                <w:p w14:paraId="4A58B40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减振、墙体隔声</w:t>
                  </w:r>
                </w:p>
              </w:tc>
              <w:tc>
                <w:tcPr>
                  <w:tcW w:w="229" w:type="pct"/>
                  <w:shd w:val="clear" w:color="auto" w:fill="auto"/>
                  <w:noWrap/>
                  <w:vAlign w:val="center"/>
                </w:tcPr>
                <w:p w14:paraId="281E65C1">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229" w:type="pct"/>
                  <w:shd w:val="clear" w:color="auto" w:fill="auto"/>
                  <w:noWrap/>
                  <w:vAlign w:val="center"/>
                </w:tcPr>
                <w:p w14:paraId="10CEA283">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29" w:type="pct"/>
                  <w:shd w:val="clear" w:color="auto" w:fill="auto"/>
                  <w:noWrap/>
                  <w:vAlign w:val="center"/>
                </w:tcPr>
                <w:p w14:paraId="2A34CBA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1D4503D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310" w:type="pct"/>
                  <w:shd w:val="clear" w:color="auto" w:fill="auto"/>
                  <w:noWrap/>
                  <w:vAlign w:val="center"/>
                </w:tcPr>
                <w:p w14:paraId="0F5A39F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70</w:t>
                  </w:r>
                </w:p>
              </w:tc>
              <w:tc>
                <w:tcPr>
                  <w:tcW w:w="254" w:type="pct"/>
                  <w:vMerge w:val="restart"/>
                  <w:shd w:val="clear" w:color="auto" w:fill="auto"/>
                  <w:noWrap/>
                  <w:vAlign w:val="center"/>
                </w:tcPr>
                <w:p w14:paraId="682D3A8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8：</w:t>
                  </w:r>
                  <w:r>
                    <w:rPr>
                      <w:rFonts w:hint="eastAsia" w:cs="Times New Roman"/>
                      <w:color w:val="000000" w:themeColor="text1"/>
                      <w:sz w:val="21"/>
                      <w:szCs w:val="21"/>
                      <w:lang w:val="en-US" w:eastAsia="zh-CN"/>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en-US" w:eastAsia="zh-CN"/>
                      <w14:textFill>
                        <w14:solidFill>
                          <w14:schemeClr w14:val="tx1"/>
                        </w14:solidFill>
                      </w14:textFill>
                    </w:rPr>
                    <w:t>：00</w:t>
                  </w:r>
                </w:p>
                <w:p w14:paraId="29EBC3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（中间休息2h）</w:t>
                  </w:r>
                </w:p>
              </w:tc>
              <w:tc>
                <w:tcPr>
                  <w:tcW w:w="369" w:type="pct"/>
                  <w:shd w:val="clear" w:color="auto" w:fill="auto"/>
                  <w:noWrap/>
                  <w:vAlign w:val="center"/>
                </w:tcPr>
                <w:p w14:paraId="17A33F5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45AED1D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346" w:type="pct"/>
                  <w:shd w:val="clear" w:color="auto" w:fill="auto"/>
                  <w:noWrap/>
                  <w:vAlign w:val="center"/>
                </w:tcPr>
                <w:p w14:paraId="780EE43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r w14:paraId="5FAE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01EFAD2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254" w:type="pct"/>
                  <w:vMerge w:val="continue"/>
                  <w:shd w:val="clear" w:color="auto" w:fill="auto"/>
                  <w:noWrap/>
                  <w:vAlign w:val="center"/>
                </w:tcPr>
                <w:p w14:paraId="50A0716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1" w:type="dxa"/>
                  <w:shd w:val="clear" w:color="auto" w:fill="auto"/>
                  <w:vAlign w:val="center"/>
                </w:tcPr>
                <w:p w14:paraId="1F6FAB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模切机</w:t>
                  </w:r>
                </w:p>
              </w:tc>
              <w:tc>
                <w:tcPr>
                  <w:tcW w:w="1091" w:type="dxa"/>
                  <w:shd w:val="clear" w:color="auto" w:fill="auto"/>
                  <w:vAlign w:val="center"/>
                </w:tcPr>
                <w:p w14:paraId="5E8AFA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MFF-1480</w:t>
                  </w:r>
                </w:p>
              </w:tc>
              <w:tc>
                <w:tcPr>
                  <w:tcW w:w="446" w:type="pct"/>
                  <w:shd w:val="clear" w:color="auto" w:fill="auto"/>
                  <w:vAlign w:val="center"/>
                </w:tcPr>
                <w:p w14:paraId="3804A2C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continue"/>
                  <w:shd w:val="clear" w:color="auto" w:fill="auto"/>
                  <w:vAlign w:val="center"/>
                </w:tcPr>
                <w:p w14:paraId="50ADF4A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29" w:type="pct"/>
                  <w:shd w:val="clear" w:color="auto" w:fill="auto"/>
                  <w:noWrap/>
                  <w:vAlign w:val="center"/>
                </w:tcPr>
                <w:p w14:paraId="049E4EF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229" w:type="pct"/>
                  <w:shd w:val="clear" w:color="auto" w:fill="auto"/>
                  <w:noWrap/>
                  <w:vAlign w:val="center"/>
                </w:tcPr>
                <w:p w14:paraId="7732A925">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w:t>
                  </w:r>
                </w:p>
              </w:tc>
              <w:tc>
                <w:tcPr>
                  <w:tcW w:w="229" w:type="pct"/>
                  <w:shd w:val="clear" w:color="auto" w:fill="auto"/>
                  <w:noWrap/>
                  <w:vAlign w:val="center"/>
                </w:tcPr>
                <w:p w14:paraId="10E5B50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6D7B818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310" w:type="pct"/>
                  <w:shd w:val="clear" w:color="auto" w:fill="auto"/>
                  <w:noWrap/>
                  <w:vAlign w:val="center"/>
                </w:tcPr>
                <w:p w14:paraId="1B916BD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77</w:t>
                  </w:r>
                </w:p>
              </w:tc>
              <w:tc>
                <w:tcPr>
                  <w:tcW w:w="254" w:type="pct"/>
                  <w:vMerge w:val="continue"/>
                  <w:shd w:val="clear" w:color="auto" w:fill="auto"/>
                  <w:noWrap/>
                  <w:vAlign w:val="center"/>
                </w:tcPr>
                <w:p w14:paraId="6C5FDA9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9" w:type="pct"/>
                  <w:shd w:val="clear" w:color="auto" w:fill="auto"/>
                  <w:noWrap/>
                  <w:vAlign w:val="center"/>
                </w:tcPr>
                <w:p w14:paraId="60CA916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0D6CDAAD">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57</w:t>
                  </w:r>
                </w:p>
              </w:tc>
              <w:tc>
                <w:tcPr>
                  <w:tcW w:w="346" w:type="pct"/>
                  <w:shd w:val="clear" w:color="auto" w:fill="auto"/>
                  <w:noWrap/>
                  <w:vAlign w:val="center"/>
                </w:tcPr>
                <w:p w14:paraId="311D2B6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r w14:paraId="39F3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1D51631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254" w:type="pct"/>
                  <w:vMerge w:val="continue"/>
                  <w:shd w:val="clear" w:color="auto" w:fill="auto"/>
                  <w:noWrap/>
                  <w:vAlign w:val="center"/>
                </w:tcPr>
                <w:p w14:paraId="30BBDD1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1" w:type="dxa"/>
                  <w:shd w:val="clear" w:color="auto" w:fill="auto"/>
                  <w:vAlign w:val="center"/>
                </w:tcPr>
                <w:p w14:paraId="7C4E95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印刷机</w:t>
                  </w:r>
                </w:p>
              </w:tc>
              <w:tc>
                <w:tcPr>
                  <w:tcW w:w="1091" w:type="dxa"/>
                  <w:shd w:val="clear" w:color="auto" w:fill="auto"/>
                  <w:vAlign w:val="center"/>
                </w:tcPr>
                <w:p w14:paraId="11D07A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VM1224</w:t>
                  </w:r>
                </w:p>
              </w:tc>
              <w:tc>
                <w:tcPr>
                  <w:tcW w:w="446" w:type="pct"/>
                  <w:shd w:val="clear" w:color="auto" w:fill="auto"/>
                  <w:vAlign w:val="center"/>
                </w:tcPr>
                <w:p w14:paraId="1DC0424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continue"/>
                  <w:shd w:val="clear" w:color="auto" w:fill="auto"/>
                  <w:vAlign w:val="center"/>
                </w:tcPr>
                <w:p w14:paraId="019C6F9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10" w:type="dxa"/>
                  <w:shd w:val="clear" w:color="auto" w:fill="auto"/>
                  <w:noWrap/>
                  <w:vAlign w:val="center"/>
                </w:tcPr>
                <w:p w14:paraId="55416647">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610" w:type="dxa"/>
                  <w:shd w:val="clear" w:color="auto" w:fill="auto"/>
                  <w:noWrap/>
                  <w:vAlign w:val="center"/>
                </w:tcPr>
                <w:p w14:paraId="50D62085">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610" w:type="dxa"/>
                  <w:shd w:val="clear" w:color="auto" w:fill="auto"/>
                  <w:noWrap/>
                  <w:vAlign w:val="center"/>
                </w:tcPr>
                <w:p w14:paraId="3BDF4D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063902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310" w:type="pct"/>
                  <w:shd w:val="clear" w:color="auto" w:fill="auto"/>
                  <w:noWrap/>
                  <w:vAlign w:val="center"/>
                </w:tcPr>
                <w:p w14:paraId="4329DD1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254" w:type="pct"/>
                  <w:vMerge w:val="continue"/>
                  <w:shd w:val="clear" w:color="auto" w:fill="auto"/>
                  <w:noWrap/>
                  <w:vAlign w:val="center"/>
                </w:tcPr>
                <w:p w14:paraId="5B6BAA0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9" w:type="pct"/>
                  <w:shd w:val="clear" w:color="auto" w:fill="auto"/>
                  <w:noWrap/>
                  <w:vAlign w:val="center"/>
                </w:tcPr>
                <w:p w14:paraId="2DC9C092">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7C663D7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46" w:type="pct"/>
                  <w:shd w:val="clear" w:color="auto" w:fill="auto"/>
                  <w:noWrap/>
                  <w:vAlign w:val="center"/>
                </w:tcPr>
                <w:p w14:paraId="2BCD510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r w14:paraId="76B1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6452AA3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254" w:type="pct"/>
                  <w:vMerge w:val="continue"/>
                  <w:shd w:val="clear" w:color="auto" w:fill="auto"/>
                  <w:noWrap/>
                  <w:vAlign w:val="center"/>
                </w:tcPr>
                <w:p w14:paraId="75F0ACE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1" w:type="dxa"/>
                  <w:shd w:val="clear" w:color="auto" w:fill="auto"/>
                  <w:vAlign w:val="center"/>
                </w:tcPr>
                <w:p w14:paraId="4FEBE2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粘钉一体机</w:t>
                  </w:r>
                </w:p>
              </w:tc>
              <w:tc>
                <w:tcPr>
                  <w:tcW w:w="1091" w:type="dxa"/>
                  <w:shd w:val="clear" w:color="auto" w:fill="auto"/>
                  <w:vAlign w:val="center"/>
                </w:tcPr>
                <w:p w14:paraId="62FF8E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SP-G2DJ2800</w:t>
                  </w:r>
                </w:p>
              </w:tc>
              <w:tc>
                <w:tcPr>
                  <w:tcW w:w="446" w:type="pct"/>
                  <w:shd w:val="clear" w:color="auto" w:fill="auto"/>
                  <w:vAlign w:val="center"/>
                </w:tcPr>
                <w:p w14:paraId="3392A71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continue"/>
                  <w:shd w:val="clear" w:color="auto" w:fill="auto"/>
                  <w:vAlign w:val="center"/>
                </w:tcPr>
                <w:p w14:paraId="5BD4399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29" w:type="pct"/>
                  <w:shd w:val="clear" w:color="auto" w:fill="auto"/>
                  <w:noWrap/>
                  <w:vAlign w:val="center"/>
                </w:tcPr>
                <w:p w14:paraId="41ADD33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229" w:type="pct"/>
                  <w:shd w:val="clear" w:color="auto" w:fill="auto"/>
                  <w:noWrap/>
                  <w:vAlign w:val="center"/>
                </w:tcPr>
                <w:p w14:paraId="2895DA30">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w:t>
                  </w:r>
                </w:p>
              </w:tc>
              <w:tc>
                <w:tcPr>
                  <w:tcW w:w="229" w:type="pct"/>
                  <w:shd w:val="clear" w:color="auto" w:fill="auto"/>
                  <w:noWrap/>
                  <w:vAlign w:val="center"/>
                </w:tcPr>
                <w:p w14:paraId="383F092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03FE8C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310" w:type="pct"/>
                  <w:shd w:val="clear" w:color="auto" w:fill="auto"/>
                  <w:noWrap/>
                  <w:vAlign w:val="center"/>
                </w:tcPr>
                <w:p w14:paraId="019806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78</w:t>
                  </w:r>
                </w:p>
              </w:tc>
              <w:tc>
                <w:tcPr>
                  <w:tcW w:w="254" w:type="pct"/>
                  <w:vMerge w:val="continue"/>
                  <w:shd w:val="clear" w:color="auto" w:fill="auto"/>
                  <w:noWrap/>
                  <w:vAlign w:val="center"/>
                </w:tcPr>
                <w:p w14:paraId="42AF546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9" w:type="pct"/>
                  <w:shd w:val="clear" w:color="auto" w:fill="auto"/>
                  <w:noWrap/>
                  <w:vAlign w:val="center"/>
                </w:tcPr>
                <w:p w14:paraId="13C91A08">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7AF20679">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58</w:t>
                  </w:r>
                </w:p>
              </w:tc>
              <w:tc>
                <w:tcPr>
                  <w:tcW w:w="346" w:type="pct"/>
                  <w:shd w:val="clear" w:color="auto" w:fill="auto"/>
                  <w:noWrap/>
                  <w:vAlign w:val="center"/>
                </w:tcPr>
                <w:p w14:paraId="1C6DC6D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r w14:paraId="59D46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0C875F4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254" w:type="pct"/>
                  <w:vMerge w:val="continue"/>
                  <w:shd w:val="clear" w:color="auto" w:fill="auto"/>
                  <w:noWrap/>
                  <w:vAlign w:val="center"/>
                </w:tcPr>
                <w:p w14:paraId="0DA979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1" w:type="dxa"/>
                  <w:shd w:val="clear" w:color="auto" w:fill="auto"/>
                  <w:vAlign w:val="center"/>
                </w:tcPr>
                <w:p w14:paraId="0CA65E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订箱</w:t>
                  </w:r>
                  <w:r>
                    <w:rPr>
                      <w:rFonts w:hint="eastAsia" w:ascii="Times New Roman" w:hAnsi="Times New Roman" w:eastAsia="宋体" w:cs="Times New Roman"/>
                      <w:color w:val="000000" w:themeColor="text1"/>
                      <w:sz w:val="21"/>
                      <w:szCs w:val="21"/>
                      <w14:textFill>
                        <w14:solidFill>
                          <w14:schemeClr w14:val="tx1"/>
                        </w14:solidFill>
                      </w14:textFill>
                    </w:rPr>
                    <w:t>机</w:t>
                  </w:r>
                </w:p>
              </w:tc>
              <w:tc>
                <w:tcPr>
                  <w:tcW w:w="1091" w:type="dxa"/>
                  <w:shd w:val="clear" w:color="auto" w:fill="auto"/>
                  <w:vAlign w:val="center"/>
                </w:tcPr>
                <w:p w14:paraId="47420D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青岛1.2m</w:t>
                  </w:r>
                </w:p>
              </w:tc>
              <w:tc>
                <w:tcPr>
                  <w:tcW w:w="446" w:type="pct"/>
                  <w:shd w:val="clear" w:color="auto" w:fill="auto"/>
                  <w:vAlign w:val="center"/>
                </w:tcPr>
                <w:p w14:paraId="643998E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continue"/>
                  <w:shd w:val="clear" w:color="auto" w:fill="auto"/>
                  <w:vAlign w:val="center"/>
                </w:tcPr>
                <w:p w14:paraId="7CC9123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29" w:type="pct"/>
                  <w:shd w:val="clear" w:color="auto" w:fill="auto"/>
                  <w:noWrap/>
                  <w:vAlign w:val="center"/>
                </w:tcPr>
                <w:p w14:paraId="6F8E3E6E">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w:t>
                  </w:r>
                </w:p>
              </w:tc>
              <w:tc>
                <w:tcPr>
                  <w:tcW w:w="229" w:type="pct"/>
                  <w:shd w:val="clear" w:color="auto" w:fill="auto"/>
                  <w:noWrap/>
                  <w:vAlign w:val="center"/>
                </w:tcPr>
                <w:p w14:paraId="7A7C637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229" w:type="pct"/>
                  <w:shd w:val="clear" w:color="auto" w:fill="auto"/>
                  <w:noWrap/>
                  <w:vAlign w:val="center"/>
                </w:tcPr>
                <w:p w14:paraId="6DF8679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51B01C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310" w:type="pct"/>
                  <w:shd w:val="clear" w:color="auto" w:fill="auto"/>
                  <w:noWrap/>
                  <w:vAlign w:val="center"/>
                </w:tcPr>
                <w:p w14:paraId="6398221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72</w:t>
                  </w:r>
                </w:p>
              </w:tc>
              <w:tc>
                <w:tcPr>
                  <w:tcW w:w="254" w:type="pct"/>
                  <w:vMerge w:val="continue"/>
                  <w:shd w:val="clear" w:color="auto" w:fill="auto"/>
                  <w:noWrap/>
                  <w:vAlign w:val="center"/>
                </w:tcPr>
                <w:p w14:paraId="5070CF4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9" w:type="pct"/>
                  <w:shd w:val="clear" w:color="auto" w:fill="auto"/>
                  <w:noWrap/>
                  <w:vAlign w:val="center"/>
                </w:tcPr>
                <w:p w14:paraId="4BC7FD17">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3BA1813C">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c>
                <w:tcPr>
                  <w:tcW w:w="346" w:type="pct"/>
                  <w:shd w:val="clear" w:color="auto" w:fill="auto"/>
                  <w:noWrap/>
                  <w:vAlign w:val="center"/>
                </w:tcPr>
                <w:p w14:paraId="1A0C0C8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r w14:paraId="6338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0" w:type="pct"/>
                  <w:shd w:val="clear" w:color="auto" w:fill="auto"/>
                  <w:noWrap/>
                  <w:vAlign w:val="center"/>
                </w:tcPr>
                <w:p w14:paraId="0AB874A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254" w:type="pct"/>
                  <w:vMerge w:val="continue"/>
                  <w:shd w:val="clear" w:color="auto" w:fill="auto"/>
                  <w:noWrap/>
                  <w:vAlign w:val="center"/>
                </w:tcPr>
                <w:p w14:paraId="2908D64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091" w:type="dxa"/>
                  <w:shd w:val="clear" w:color="auto" w:fill="auto"/>
                  <w:vAlign w:val="center"/>
                </w:tcPr>
                <w:p w14:paraId="1E9864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风机</w:t>
                  </w:r>
                </w:p>
              </w:tc>
              <w:tc>
                <w:tcPr>
                  <w:tcW w:w="1091" w:type="dxa"/>
                  <w:shd w:val="clear" w:color="auto" w:fill="auto"/>
                  <w:vAlign w:val="center"/>
                </w:tcPr>
                <w:p w14:paraId="49FD98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w:t>
                  </w:r>
                </w:p>
              </w:tc>
              <w:tc>
                <w:tcPr>
                  <w:tcW w:w="446" w:type="pct"/>
                  <w:shd w:val="clear" w:color="auto" w:fill="auto"/>
                  <w:vAlign w:val="center"/>
                </w:tcPr>
                <w:p w14:paraId="3AF53DB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r>
                    <w:rPr>
                      <w:rFonts w:hint="default" w:ascii="Times New Roman" w:hAnsi="Times New Roman" w:cs="Times New Roman"/>
                      <w:color w:val="000000" w:themeColor="text1"/>
                      <w:sz w:val="21"/>
                      <w:szCs w:val="21"/>
                      <w14:textFill>
                        <w14:solidFill>
                          <w14:schemeClr w14:val="tx1"/>
                        </w14:solidFill>
                      </w14:textFill>
                    </w:rPr>
                    <w:t>/1</w:t>
                  </w:r>
                </w:p>
              </w:tc>
              <w:tc>
                <w:tcPr>
                  <w:tcW w:w="333" w:type="pct"/>
                  <w:vMerge w:val="continue"/>
                  <w:shd w:val="clear" w:color="auto" w:fill="auto"/>
                  <w:vAlign w:val="center"/>
                </w:tcPr>
                <w:p w14:paraId="1098240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229" w:type="pct"/>
                  <w:shd w:val="clear" w:color="auto" w:fill="auto"/>
                  <w:noWrap/>
                  <w:vAlign w:val="center"/>
                </w:tcPr>
                <w:p w14:paraId="71656064">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c>
                <w:tcPr>
                  <w:tcW w:w="229" w:type="pct"/>
                  <w:shd w:val="clear" w:color="auto" w:fill="auto"/>
                  <w:noWrap/>
                  <w:vAlign w:val="center"/>
                </w:tcPr>
                <w:p w14:paraId="50693A0C">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229" w:type="pct"/>
                  <w:shd w:val="clear" w:color="auto" w:fill="auto"/>
                  <w:noWrap/>
                  <w:vAlign w:val="center"/>
                </w:tcPr>
                <w:p w14:paraId="46F8E33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288" w:type="pct"/>
                  <w:shd w:val="clear" w:color="auto" w:fill="auto"/>
                  <w:noWrap/>
                  <w:vAlign w:val="center"/>
                </w:tcPr>
                <w:p w14:paraId="2C9F59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310" w:type="pct"/>
                  <w:shd w:val="clear" w:color="auto" w:fill="auto"/>
                  <w:noWrap/>
                  <w:vAlign w:val="center"/>
                </w:tcPr>
                <w:p w14:paraId="036DF21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80</w:t>
                  </w:r>
                </w:p>
              </w:tc>
              <w:tc>
                <w:tcPr>
                  <w:tcW w:w="254" w:type="pct"/>
                  <w:vMerge w:val="continue"/>
                  <w:shd w:val="clear" w:color="auto" w:fill="auto"/>
                  <w:noWrap/>
                  <w:vAlign w:val="center"/>
                </w:tcPr>
                <w:p w14:paraId="37CDC86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p>
              </w:tc>
              <w:tc>
                <w:tcPr>
                  <w:tcW w:w="369" w:type="pct"/>
                  <w:shd w:val="clear" w:color="auto" w:fill="auto"/>
                  <w:noWrap/>
                  <w:vAlign w:val="center"/>
                </w:tcPr>
                <w:p w14:paraId="66B10B43">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20</w:t>
                  </w:r>
                </w:p>
              </w:tc>
              <w:tc>
                <w:tcPr>
                  <w:tcW w:w="896" w:type="dxa"/>
                  <w:shd w:val="clear" w:color="auto" w:fill="auto"/>
                  <w:noWrap/>
                  <w:vAlign w:val="center"/>
                </w:tcPr>
                <w:p w14:paraId="40735F95">
                  <w:pPr>
                    <w:keepNext w:val="0"/>
                    <w:keepLines w:val="0"/>
                    <w:pageBreakBefore w:val="0"/>
                    <w:widowControl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346" w:type="pct"/>
                  <w:shd w:val="clear" w:color="auto" w:fill="auto"/>
                  <w:noWrap/>
                  <w:vAlign w:val="center"/>
                </w:tcPr>
                <w:p w14:paraId="6CFFC0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1m</w:t>
                  </w:r>
                </w:p>
              </w:tc>
            </w:tr>
          </w:tbl>
          <w:p w14:paraId="17406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b/>
                <w:bCs/>
                <w:color w:val="000000" w:themeColor="text1"/>
                <w:lang w:val="en-US" w:eastAsia="zh-CN"/>
                <w14:textFill>
                  <w14:solidFill>
                    <w14:schemeClr w14:val="tx1"/>
                  </w14:solidFill>
                </w14:textFill>
              </w:rPr>
              <w:t>注：本项目以生产车间西南角为空间坐标原点（0，0，0）。</w:t>
            </w:r>
          </w:p>
        </w:tc>
      </w:tr>
    </w:tbl>
    <w:p w14:paraId="5969B2D2">
      <w:pPr>
        <w:adjustRightInd w:val="0"/>
        <w:snapToGrid w:val="0"/>
        <w:spacing w:line="360" w:lineRule="auto"/>
        <w:ind w:firstLine="562"/>
        <w:rPr>
          <w:rFonts w:hint="default" w:ascii="Times New Roman" w:hAnsi="Times New Roman" w:cs="Times New Roman"/>
          <w:b/>
          <w:color w:val="000000" w:themeColor="text1"/>
          <w:kern w:val="0"/>
          <w:sz w:val="28"/>
          <w:szCs w:val="28"/>
          <w14:textFill>
            <w14:solidFill>
              <w14:schemeClr w14:val="tx1"/>
            </w14:solidFill>
          </w14:textFill>
        </w:rPr>
        <w:sectPr>
          <w:pgSz w:w="16840" w:h="11907" w:orient="landscape"/>
          <w:pgMar w:top="1080" w:right="1440" w:bottom="1080" w:left="1440" w:header="851" w:footer="851" w:gutter="0"/>
          <w:pgBorders>
            <w:top w:val="none" w:sz="0" w:space="0"/>
            <w:left w:val="none" w:sz="0" w:space="0"/>
            <w:bottom w:val="none" w:sz="0" w:space="0"/>
            <w:right w:val="none" w:sz="0" w:space="0"/>
          </w:pgBorders>
          <w:cols w:space="720" w:num="1"/>
          <w:docGrid w:linePitch="312" w:charSpace="0"/>
        </w:sectPr>
      </w:pP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8199"/>
      </w:tblGrid>
      <w:tr w14:paraId="62F4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0" w:hRule="atLeast"/>
        </w:trPr>
        <w:tc>
          <w:tcPr>
            <w:tcW w:w="473" w:type="pct"/>
            <w:vAlign w:val="center"/>
          </w:tcPr>
          <w:p w14:paraId="2FBA9BD4">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运营</w:t>
            </w:r>
          </w:p>
          <w:p w14:paraId="778A088C">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期环</w:t>
            </w:r>
          </w:p>
          <w:p w14:paraId="1389A381">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境影</w:t>
            </w:r>
          </w:p>
          <w:p w14:paraId="2E0454CF">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响和</w:t>
            </w:r>
          </w:p>
          <w:p w14:paraId="3341474E">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保护</w:t>
            </w:r>
          </w:p>
          <w:p w14:paraId="3B275FD6">
            <w:pPr>
              <w:keepNext w:val="0"/>
              <w:keepLines w:val="0"/>
              <w:suppressLineNumbers w:val="0"/>
              <w:adjustRightInd w:val="0"/>
              <w:snapToGrid w:val="0"/>
              <w:spacing w:before="0" w:beforeAutospacing="0" w:after="0" w:afterAutospacing="0"/>
              <w:ind w:left="0" w:right="0"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措施</w:t>
            </w:r>
          </w:p>
        </w:tc>
        <w:tc>
          <w:tcPr>
            <w:tcW w:w="4526" w:type="pct"/>
          </w:tcPr>
          <w:p w14:paraId="1F3E8D25">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2、厂界和环境保护目标达标情况</w:t>
            </w:r>
          </w:p>
          <w:p w14:paraId="7EDBADA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为说明项目运营过程中噪声对周围环境的影响程度，根据建设项目噪声排放特点，并结合《环境影响评价技术导则 声环境》（HJ2.4-2021）要求，选择工业噪声预测计算模式中的点声源预测模式模拟预测噪声源噪声距离的衰减变化规律。具体如下：</w:t>
            </w:r>
          </w:p>
          <w:p w14:paraId="7D275A0E">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（1）预测条件假设</w:t>
            </w:r>
          </w:p>
          <w:p w14:paraId="791B0E1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①所有产噪设备均在正常工况条件下运行；</w:t>
            </w:r>
          </w:p>
          <w:p w14:paraId="6BF6746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②考虑室内声源所在厂房围护结构的隔声、吸声作用；</w:t>
            </w:r>
          </w:p>
          <w:p w14:paraId="18CBE9A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衰减只考虑几何发散衰减，屏障衰减。</w:t>
            </w:r>
          </w:p>
          <w:p w14:paraId="25321A81">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（2）室内声源等效室外声源声功率级</w:t>
            </w:r>
          </w:p>
          <w:p w14:paraId="179C83B6">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声源位于室内，室内声源可采用等效室外声源声功率级法进行计算。</w:t>
            </w:r>
          </w:p>
          <w:p w14:paraId="349920D6">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①计算某一室内声源靠近围护结构处产生的倍频带声压级或A声级：</w:t>
            </w:r>
          </w:p>
          <w:p w14:paraId="149D63BD">
            <w:pPr>
              <w:keepNext w:val="0"/>
              <w:keepLines w:val="0"/>
              <w:suppressLineNumbers w:val="0"/>
              <w:spacing w:before="0" w:beforeAutospacing="0" w:after="0" w:afterAutospacing="0" w:line="240" w:lineRule="auto"/>
              <w:ind w:left="0" w:right="0"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162175" cy="504825"/>
                  <wp:effectExtent l="0" t="0" r="9525" b="952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2"/>
                          <a:stretch>
                            <a:fillRect/>
                          </a:stretch>
                        </pic:blipFill>
                        <pic:spPr>
                          <a:xfrm>
                            <a:off x="0" y="0"/>
                            <a:ext cx="2162175" cy="504825"/>
                          </a:xfrm>
                          <a:prstGeom prst="rect">
                            <a:avLst/>
                          </a:prstGeom>
                          <a:noFill/>
                          <a:ln>
                            <a:noFill/>
                          </a:ln>
                        </pic:spPr>
                      </pic:pic>
                    </a:graphicData>
                  </a:graphic>
                </wp:inline>
              </w:drawing>
            </w:r>
          </w:p>
          <w:p w14:paraId="52A39B2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w:t>
            </w:r>
            <w:r>
              <w:rPr>
                <w:rFonts w:hint="default" w:ascii="Times New Roman" w:hAnsi="Times New Roman" w:cs="Times New Roman"/>
                <w:color w:val="000000" w:themeColor="text1"/>
                <w:vertAlign w:val="subscript"/>
                <w14:textFill>
                  <w14:solidFill>
                    <w14:schemeClr w14:val="tx1"/>
                  </w14:solidFill>
                </w14:textFill>
              </w:rPr>
              <w:t>p1</w:t>
            </w:r>
            <w:r>
              <w:rPr>
                <w:rFonts w:hint="default" w:ascii="Times New Roman" w:hAnsi="Times New Roman" w:cs="Times New Roman"/>
                <w:color w:val="000000" w:themeColor="text1"/>
                <w14:textFill>
                  <w14:solidFill>
                    <w14:schemeClr w14:val="tx1"/>
                  </w14:solidFill>
                </w14:textFill>
              </w:rPr>
              <w:t>—靠近开口处（或窗户）室内某倍频带的声压级或A声级，dB；</w:t>
            </w:r>
          </w:p>
          <w:p w14:paraId="690726FF">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w</w:t>
            </w:r>
            <w:r>
              <w:rPr>
                <w:rFonts w:hint="default" w:ascii="Times New Roman" w:hAnsi="Times New Roman" w:cs="Times New Roman"/>
                <w:color w:val="000000" w:themeColor="text1"/>
                <w14:textFill>
                  <w14:solidFill>
                    <w14:schemeClr w14:val="tx1"/>
                  </w14:solidFill>
                </w14:textFill>
              </w:rPr>
              <w:t>—点声源声功率级（A计权或倍频带），dB；</w:t>
            </w:r>
          </w:p>
          <w:p w14:paraId="26CF7B49">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Q—指向性因数；通常对无指向性声源，当声源放在房间中心时，Q=1；当放在一面墙的中心时，Q=2；当放在两面墙夹角处时，Q=4；当放在三面墙夹角处时，Q=8；</w:t>
            </w:r>
          </w:p>
          <w:p w14:paraId="4DB9E9EE">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R—房间常数；R=Sα/(1-α)，S为房间内表面面积，</w:t>
            </w:r>
            <w:r>
              <w:rPr>
                <w:rFonts w:hint="eastAsia" w:cs="Times New Roman"/>
                <w:color w:val="000000" w:themeColor="text1"/>
                <w:lang w:val="en-US" w:eastAsia="zh-CN"/>
                <w14:textFill>
                  <w14:solidFill>
                    <w14:schemeClr w14:val="tx1"/>
                  </w14:solidFill>
                </w14:textFill>
              </w:rPr>
              <w:t>120</w:t>
            </w:r>
            <w:r>
              <w:rPr>
                <w:rFonts w:hint="default" w:ascii="Times New Roman" w:hAnsi="Times New Roman"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m</w:t>
            </w:r>
            <w:r>
              <w:rPr>
                <w:rFonts w:hint="default" w:ascii="Times New Roman" w:hAnsi="Times New Roman" w:cs="Times New Roman"/>
                <w:color w:val="000000" w:themeColor="text1"/>
                <w:vertAlign w:val="superscript"/>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；α为平均吸声系数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本项目取0.07</w:t>
            </w:r>
            <w:r>
              <w:rPr>
                <w:rFonts w:hint="default" w:ascii="Times New Roman" w:hAnsi="Times New Roman" w:cs="Times New Roman"/>
                <w:color w:val="000000" w:themeColor="text1"/>
                <w14:textFill>
                  <w14:solidFill>
                    <w14:schemeClr w14:val="tx1"/>
                  </w14:solidFill>
                </w14:textFill>
              </w:rPr>
              <w:t>；</w:t>
            </w:r>
          </w:p>
          <w:p w14:paraId="73ED2035">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r—声源到靠近围护结构某点处的距离，m。</w:t>
            </w:r>
          </w:p>
          <w:p w14:paraId="121AD212">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②计算出所有室内声源在围护结构处产生的i倍频带叠加声压级：</w:t>
            </w:r>
          </w:p>
          <w:p w14:paraId="2C7B8710">
            <w:pPr>
              <w:keepNext w:val="0"/>
              <w:keepLines w:val="0"/>
              <w:suppressLineNumbers w:val="0"/>
              <w:spacing w:before="0" w:beforeAutospacing="0" w:after="0" w:afterAutospacing="0" w:line="240" w:lineRule="auto"/>
              <w:ind w:left="0" w:right="0"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143125" cy="581025"/>
                  <wp:effectExtent l="0" t="0" r="9525" b="952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3"/>
                          <a:stretch>
                            <a:fillRect/>
                          </a:stretch>
                        </pic:blipFill>
                        <pic:spPr>
                          <a:xfrm>
                            <a:off x="0" y="0"/>
                            <a:ext cx="2143125" cy="581025"/>
                          </a:xfrm>
                          <a:prstGeom prst="rect">
                            <a:avLst/>
                          </a:prstGeom>
                          <a:noFill/>
                          <a:ln>
                            <a:noFill/>
                          </a:ln>
                        </pic:spPr>
                      </pic:pic>
                    </a:graphicData>
                  </a:graphic>
                </wp:inline>
              </w:drawing>
            </w:r>
          </w:p>
          <w:p w14:paraId="4595F0D0">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式中：Lp</w:t>
            </w:r>
            <w:r>
              <w:rPr>
                <w:rFonts w:hint="default" w:ascii="Times New Roman" w:hAnsi="Times New Roman" w:cs="Times New Roman"/>
                <w:color w:val="000000" w:themeColor="text1"/>
                <w:vertAlign w:val="subscript"/>
                <w14:textFill>
                  <w14:solidFill>
                    <w14:schemeClr w14:val="tx1"/>
                  </w14:solidFill>
                </w14:textFill>
              </w:rPr>
              <w:t>1i</w:t>
            </w:r>
            <w:r>
              <w:rPr>
                <w:rFonts w:hint="default" w:ascii="Times New Roman" w:hAnsi="Times New Roman" w:cs="Times New Roman"/>
                <w:color w:val="000000" w:themeColor="text1"/>
                <w14:textFill>
                  <w14:solidFill>
                    <w14:schemeClr w14:val="tx1"/>
                  </w14:solidFill>
                </w14:textFill>
              </w:rPr>
              <w:t>(T)—靠近围护结构处室内N个声源i倍频带的叠加声压级，dB；</w:t>
            </w:r>
          </w:p>
          <w:p w14:paraId="18CBFB31">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p1j</w:t>
            </w:r>
            <w:r>
              <w:rPr>
                <w:rFonts w:hint="default" w:ascii="Times New Roman" w:hAnsi="Times New Roman" w:cs="Times New Roman"/>
                <w:color w:val="000000" w:themeColor="text1"/>
                <w14:textFill>
                  <w14:solidFill>
                    <w14:schemeClr w14:val="tx1"/>
                  </w14:solidFill>
                </w14:textFill>
              </w:rPr>
              <w:t>—室内j声源i倍频带的声压级，dB；</w:t>
            </w:r>
          </w:p>
          <w:p w14:paraId="3C75E06E">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N—室内声源总数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14:textFill>
                  <w14:solidFill>
                    <w14:schemeClr w14:val="tx1"/>
                  </w14:solidFill>
                </w14:textFill>
              </w:rPr>
              <w:t>。</w:t>
            </w:r>
          </w:p>
          <w:p w14:paraId="761FEFF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 3 \* GB3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cs="Times New Roman"/>
                <w:color w:val="000000" w:themeColor="text1"/>
                <w14:textFill>
                  <w14:solidFill>
                    <w14:schemeClr w14:val="tx1"/>
                  </w14:solidFill>
                </w14:textFill>
              </w:rPr>
              <w:fldChar w:fldCharType="end"/>
            </w:r>
            <w:r>
              <w:rPr>
                <w:rFonts w:hint="default" w:ascii="Times New Roman" w:hAnsi="Times New Roman" w:cs="Times New Roman"/>
                <w:color w:val="000000" w:themeColor="text1"/>
                <w14:textFill>
                  <w14:solidFill>
                    <w14:schemeClr w14:val="tx1"/>
                  </w14:solidFill>
                </w14:textFill>
              </w:rPr>
              <w:t>在室内近似为扩散声场时，计算出靠近室外围护结构处的声压级：</w:t>
            </w:r>
          </w:p>
          <w:p w14:paraId="3959AD3A">
            <w:pPr>
              <w:keepNext w:val="0"/>
              <w:keepLines w:val="0"/>
              <w:suppressLineNumbers w:val="0"/>
              <w:spacing w:before="0" w:beforeAutospacing="0" w:after="0" w:afterAutospacing="0" w:line="240" w:lineRule="auto"/>
              <w:ind w:left="0" w:right="0"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228850" cy="333375"/>
                  <wp:effectExtent l="0" t="0" r="0" b="952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24"/>
                          <a:stretch>
                            <a:fillRect/>
                          </a:stretch>
                        </pic:blipFill>
                        <pic:spPr>
                          <a:xfrm>
                            <a:off x="0" y="0"/>
                            <a:ext cx="2228850" cy="333375"/>
                          </a:xfrm>
                          <a:prstGeom prst="rect">
                            <a:avLst/>
                          </a:prstGeom>
                          <a:noFill/>
                          <a:ln>
                            <a:noFill/>
                          </a:ln>
                        </pic:spPr>
                      </pic:pic>
                    </a:graphicData>
                  </a:graphic>
                </wp:inline>
              </w:drawing>
            </w:r>
          </w:p>
          <w:p w14:paraId="2F5481A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w:t>
            </w:r>
            <w:r>
              <w:rPr>
                <w:rFonts w:hint="default" w:ascii="Times New Roman" w:hAnsi="Times New Roman" w:cs="Times New Roman"/>
                <w:color w:val="000000" w:themeColor="text1"/>
                <w:vertAlign w:val="subscript"/>
                <w14:textFill>
                  <w14:solidFill>
                    <w14:schemeClr w14:val="tx1"/>
                  </w14:solidFill>
                </w14:textFill>
              </w:rPr>
              <w:t>p2i</w:t>
            </w:r>
            <w:r>
              <w:rPr>
                <w:rFonts w:hint="default" w:ascii="Times New Roman" w:hAnsi="Times New Roman" w:cs="Times New Roman"/>
                <w:color w:val="000000" w:themeColor="text1"/>
                <w14:textFill>
                  <w14:solidFill>
                    <w14:schemeClr w14:val="tx1"/>
                  </w14:solidFill>
                </w14:textFill>
              </w:rPr>
              <w:t>(T)—靠近围护结构处室外N个声源i倍频带的叠加声压级，dB；</w:t>
            </w:r>
          </w:p>
          <w:p w14:paraId="45D0ECBD">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L</w:t>
            </w:r>
            <w:r>
              <w:rPr>
                <w:rFonts w:hint="default" w:ascii="Times New Roman" w:hAnsi="Times New Roman" w:cs="Times New Roman"/>
                <w:color w:val="000000" w:themeColor="text1"/>
                <w:vertAlign w:val="subscript"/>
                <w14:textFill>
                  <w14:solidFill>
                    <w14:schemeClr w14:val="tx1"/>
                  </w14:solidFill>
                </w14:textFill>
              </w:rPr>
              <w:t>p1j</w:t>
            </w:r>
            <w:r>
              <w:rPr>
                <w:rFonts w:hint="default" w:ascii="Times New Roman" w:hAnsi="Times New Roman" w:cs="Times New Roman"/>
                <w:color w:val="000000" w:themeColor="text1"/>
                <w14:textFill>
                  <w14:solidFill>
                    <w14:schemeClr w14:val="tx1"/>
                  </w14:solidFill>
                </w14:textFill>
              </w:rPr>
              <w:t>—靠近围护结构处室内N个声源i倍频带的叠加声压级，dB；</w:t>
            </w:r>
          </w:p>
          <w:p w14:paraId="1EB70702">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default" w:ascii="Times New Roman" w:hAnsi="Times New Roman" w:cs="Times New Roman"/>
                <w:color w:val="000000" w:themeColor="text1"/>
                <w:vertAlign w:val="subscript"/>
                <w14:textFill>
                  <w14:solidFill>
                    <w14:schemeClr w14:val="tx1"/>
                  </w14:solidFill>
                </w14:textFill>
              </w:rPr>
              <w:t>Li</w:t>
            </w:r>
            <w:r>
              <w:rPr>
                <w:rFonts w:hint="default" w:ascii="Times New Roman" w:hAnsi="Times New Roman" w:cs="Times New Roman"/>
                <w:color w:val="000000" w:themeColor="text1"/>
                <w14:textFill>
                  <w14:solidFill>
                    <w14:schemeClr w14:val="tx1"/>
                  </w14:solidFill>
                </w14:textFill>
              </w:rPr>
              <w:t>—围护结构i倍频带的隔声量，dB</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w:t>
            </w:r>
            <w:r>
              <w:rPr>
                <w:rFonts w:hint="eastAsia" w:cs="Times New Roman"/>
                <w:color w:val="000000" w:themeColor="text1"/>
                <w:lang w:val="en-US" w:eastAsia="zh-CN"/>
                <w14:textFill>
                  <w14:solidFill>
                    <w14:schemeClr w14:val="tx1"/>
                  </w14:solidFill>
                </w14:textFill>
              </w:rPr>
              <w:t>14</w:t>
            </w:r>
            <w:r>
              <w:rPr>
                <w:rFonts w:hint="default" w:ascii="Times New Roman" w:hAnsi="Times New Roman" w:cs="Times New Roman"/>
                <w:color w:val="000000" w:themeColor="text1"/>
                <w14:textFill>
                  <w14:solidFill>
                    <w14:schemeClr w14:val="tx1"/>
                  </w14:solidFill>
                </w14:textFill>
              </w:rPr>
              <w:t>。</w:t>
            </w:r>
          </w:p>
          <w:p w14:paraId="15B69FD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（3）总声压级</w:t>
            </w:r>
          </w:p>
          <w:p w14:paraId="48575FF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设第i个室外声源在预测点产生的A声级为L</w:t>
            </w:r>
            <w:r>
              <w:rPr>
                <w:rFonts w:hint="default" w:ascii="Times New Roman" w:hAnsi="Times New Roman" w:cs="Times New Roman"/>
                <w:color w:val="000000" w:themeColor="text1"/>
                <w:vertAlign w:val="subscript"/>
                <w:lang w:val="en-US" w:eastAsia="zh-CN"/>
                <w14:textFill>
                  <w14:solidFill>
                    <w14:schemeClr w14:val="tx1"/>
                  </w14:solidFill>
                </w14:textFill>
              </w:rPr>
              <w:t>Ai</w:t>
            </w:r>
            <w:r>
              <w:rPr>
                <w:rFonts w:hint="default" w:ascii="Times New Roman" w:hAnsi="Times New Roman" w:cs="Times New Roman"/>
                <w:color w:val="000000" w:themeColor="text1"/>
                <w14:textFill>
                  <w14:solidFill>
                    <w14:schemeClr w14:val="tx1"/>
                  </w14:solidFill>
                </w14:textFill>
              </w:rPr>
              <w:t>，在T时间内该声源工作时间为t</w:t>
            </w:r>
            <w:r>
              <w:rPr>
                <w:rFonts w:hint="default" w:ascii="Times New Roman" w:hAnsi="Times New Roman" w:cs="Times New Roman"/>
                <w:color w:val="000000" w:themeColor="text1"/>
                <w:vertAlign w:val="subscript"/>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t>；第j个等效室外声源在预测点产生的A声级为L</w:t>
            </w:r>
            <w:r>
              <w:rPr>
                <w:rFonts w:hint="default" w:ascii="Times New Roman" w:hAnsi="Times New Roman" w:cs="Times New Roman"/>
                <w:color w:val="000000" w:themeColor="text1"/>
                <w:vertAlign w:val="subscript"/>
                <w:lang w:val="en-US" w:eastAsia="zh-CN"/>
                <w14:textFill>
                  <w14:solidFill>
                    <w14:schemeClr w14:val="tx1"/>
                  </w14:solidFill>
                </w14:textFill>
              </w:rPr>
              <w:t>Aj</w:t>
            </w:r>
            <w:r>
              <w:rPr>
                <w:rFonts w:hint="default" w:ascii="Times New Roman" w:hAnsi="Times New Roman" w:cs="Times New Roman"/>
                <w:color w:val="000000" w:themeColor="text1"/>
                <w14:textFill>
                  <w14:solidFill>
                    <w14:schemeClr w14:val="tx1"/>
                  </w14:solidFill>
                </w14:textFill>
              </w:rPr>
              <w:t>，在T时间内该声源工作时间为t</w:t>
            </w:r>
            <w:r>
              <w:rPr>
                <w:rFonts w:hint="default" w:ascii="Times New Roman" w:hAnsi="Times New Roman" w:cs="Times New Roman"/>
                <w:color w:val="000000" w:themeColor="text1"/>
                <w:vertAlign w:val="subscript"/>
                <w14:textFill>
                  <w14:solidFill>
                    <w14:schemeClr w14:val="tx1"/>
                  </w14:solidFill>
                </w14:textFill>
              </w:rPr>
              <w:t>j</w:t>
            </w:r>
            <w:r>
              <w:rPr>
                <w:rFonts w:hint="default" w:ascii="Times New Roman" w:hAnsi="Times New Roman" w:cs="Times New Roman"/>
                <w:color w:val="000000" w:themeColor="text1"/>
                <w14:textFill>
                  <w14:solidFill>
                    <w14:schemeClr w14:val="tx1"/>
                  </w14:solidFill>
                </w14:textFill>
              </w:rPr>
              <w:t>，则拟建工程声源对预测点产生的贡献值（Leqg）为：</w:t>
            </w:r>
          </w:p>
          <w:p w14:paraId="4206A394">
            <w:pPr>
              <w:keepNext w:val="0"/>
              <w:keepLines w:val="0"/>
              <w:suppressLineNumbers w:val="0"/>
              <w:spacing w:before="0" w:beforeAutospacing="0" w:after="0" w:afterAutospacing="0" w:line="240" w:lineRule="auto"/>
              <w:ind w:left="0" w:right="0"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323590" cy="581025"/>
                  <wp:effectExtent l="0" t="0" r="10160" b="9525"/>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5"/>
                          <a:stretch>
                            <a:fillRect/>
                          </a:stretch>
                        </pic:blipFill>
                        <pic:spPr>
                          <a:xfrm>
                            <a:off x="0" y="0"/>
                            <a:ext cx="3323590" cy="581025"/>
                          </a:xfrm>
                          <a:prstGeom prst="rect">
                            <a:avLst/>
                          </a:prstGeom>
                          <a:noFill/>
                          <a:ln>
                            <a:noFill/>
                          </a:ln>
                        </pic:spPr>
                      </pic:pic>
                    </a:graphicData>
                  </a:graphic>
                </wp:inline>
              </w:drawing>
            </w:r>
          </w:p>
          <w:p w14:paraId="11465FFB">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式中：L</w:t>
            </w:r>
            <w:r>
              <w:rPr>
                <w:rFonts w:hint="default" w:ascii="Times New Roman" w:hAnsi="Times New Roman" w:cs="Times New Roman"/>
                <w:color w:val="000000" w:themeColor="text1"/>
                <w:vertAlign w:val="subscript"/>
                <w14:textFill>
                  <w14:solidFill>
                    <w14:schemeClr w14:val="tx1"/>
                  </w14:solidFill>
                </w14:textFill>
              </w:rPr>
              <w:t>eqg</w:t>
            </w:r>
            <w:r>
              <w:rPr>
                <w:rFonts w:hint="default" w:ascii="Times New Roman" w:hAnsi="Times New Roman" w:cs="Times New Roman"/>
                <w:color w:val="000000" w:themeColor="text1"/>
                <w14:textFill>
                  <w14:solidFill>
                    <w14:schemeClr w14:val="tx1"/>
                  </w14:solidFill>
                </w14:textFill>
              </w:rPr>
              <w:t>—建设项目声源在预测点产生的噪声贡献值，dB；</w:t>
            </w:r>
          </w:p>
          <w:p w14:paraId="54DF3B6A">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T—用于计算等效声级的时间，s；</w:t>
            </w:r>
          </w:p>
          <w:p w14:paraId="0FBBA1DA">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N—室外声源个数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本项目取0</w:t>
            </w:r>
            <w:r>
              <w:rPr>
                <w:rFonts w:hint="default" w:ascii="Times New Roman" w:hAnsi="Times New Roman" w:cs="Times New Roman"/>
                <w:color w:val="000000" w:themeColor="text1"/>
                <w14:textFill>
                  <w14:solidFill>
                    <w14:schemeClr w14:val="tx1"/>
                  </w14:solidFill>
                </w14:textFill>
              </w:rPr>
              <w:t>；</w:t>
            </w:r>
          </w:p>
          <w:p w14:paraId="69AB200A">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default" w:ascii="Times New Roman" w:hAnsi="Times New Roman" w:cs="Times New Roman"/>
                <w:color w:val="000000" w:themeColor="text1"/>
                <w:vertAlign w:val="subscript"/>
                <w14:textFill>
                  <w14:solidFill>
                    <w14:schemeClr w14:val="tx1"/>
                  </w14:solidFill>
                </w14:textFill>
              </w:rPr>
              <w:t>i</w:t>
            </w:r>
            <w:r>
              <w:rPr>
                <w:rFonts w:hint="default" w:ascii="Times New Roman" w:hAnsi="Times New Roman" w:cs="Times New Roman"/>
                <w:color w:val="000000" w:themeColor="text1"/>
                <w14:textFill>
                  <w14:solidFill>
                    <w14:schemeClr w14:val="tx1"/>
                  </w14:solidFill>
                </w14:textFill>
              </w:rPr>
              <w:t>—在T时间内i声源工作时间，s</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本项目取0</w:t>
            </w:r>
            <w:r>
              <w:rPr>
                <w:rFonts w:hint="default" w:ascii="Times New Roman" w:hAnsi="Times New Roman" w:cs="Times New Roman"/>
                <w:color w:val="000000" w:themeColor="text1"/>
                <w14:textFill>
                  <w14:solidFill>
                    <w14:schemeClr w14:val="tx1"/>
                  </w14:solidFill>
                </w14:textFill>
              </w:rPr>
              <w:t>；</w:t>
            </w:r>
          </w:p>
          <w:p w14:paraId="103A5D2B">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M—等效室外声源个数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本项目取</w:t>
            </w:r>
            <w:r>
              <w:rPr>
                <w:rFonts w:hint="eastAsia" w:cs="Times New Roman"/>
                <w:color w:val="000000" w:themeColor="text1"/>
                <w:lang w:val="en-US" w:eastAsia="zh-CN"/>
                <w14:textFill>
                  <w14:solidFill>
                    <w14:schemeClr w14:val="tx1"/>
                  </w14:solidFill>
                </w14:textFill>
              </w:rPr>
              <w:t>0</w:t>
            </w:r>
            <w:r>
              <w:rPr>
                <w:rFonts w:hint="default" w:ascii="Times New Roman" w:hAnsi="Times New Roman" w:cs="Times New Roman"/>
                <w:color w:val="000000" w:themeColor="text1"/>
                <w14:textFill>
                  <w14:solidFill>
                    <w14:schemeClr w14:val="tx1"/>
                  </w14:solidFill>
                </w14:textFill>
              </w:rPr>
              <w:t>；</w:t>
            </w:r>
          </w:p>
          <w:p w14:paraId="26D21E3C">
            <w:pPr>
              <w:keepNext w:val="0"/>
              <w:keepLines w:val="0"/>
              <w:suppressLineNumbers w:val="0"/>
              <w:spacing w:before="0" w:beforeAutospacing="0" w:after="0" w:afterAutospacing="0"/>
              <w:ind w:left="0" w:right="0" w:firstLine="1200" w:firstLineChars="5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t</w:t>
            </w:r>
            <w:r>
              <w:rPr>
                <w:rFonts w:hint="default" w:ascii="Times New Roman" w:hAnsi="Times New Roman" w:cs="Times New Roman"/>
                <w:color w:val="000000" w:themeColor="text1"/>
                <w:vertAlign w:val="subscript"/>
                <w14:textFill>
                  <w14:solidFill>
                    <w14:schemeClr w14:val="tx1"/>
                  </w14:solidFill>
                </w14:textFill>
              </w:rPr>
              <w:t>j</w:t>
            </w:r>
            <w:r>
              <w:rPr>
                <w:rFonts w:hint="default" w:ascii="Times New Roman" w:hAnsi="Times New Roman" w:cs="Times New Roman"/>
                <w:color w:val="000000" w:themeColor="text1"/>
                <w14:textFill>
                  <w14:solidFill>
                    <w14:schemeClr w14:val="tx1"/>
                  </w14:solidFill>
                </w14:textFill>
              </w:rPr>
              <w:t>—在T时间内j声源工作时间，s。</w:t>
            </w:r>
          </w:p>
          <w:p w14:paraId="7954372E">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val="en-US" w:eastAsia="zh-CN"/>
                <w14:textFill>
                  <w14:solidFill>
                    <w14:schemeClr w14:val="tx1"/>
                  </w14:solidFill>
                </w14:textFill>
              </w:rPr>
              <w:t>设备运行时间为8：00~18：00</w:t>
            </w:r>
            <w:r>
              <w:rPr>
                <w:rFonts w:hint="eastAsia" w:cs="Times New Roman"/>
                <w:color w:val="000000" w:themeColor="text1"/>
                <w:lang w:val="en-US" w:eastAsia="zh-CN"/>
                <w14:textFill>
                  <w14:solidFill>
                    <w14:schemeClr w14:val="tx1"/>
                  </w14:solidFill>
                </w14:textFill>
              </w:rPr>
              <w:t>（期间停机2h）</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夜间不生产</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根据声压级预测模式，计算出</w:t>
            </w:r>
            <w:r>
              <w:rPr>
                <w:rFonts w:hint="default" w:ascii="Times New Roman" w:hAnsi="Times New Roman" w:cs="Times New Roman"/>
                <w:bCs/>
                <w:color w:val="000000" w:themeColor="text1"/>
                <w14:textFill>
                  <w14:solidFill>
                    <w14:schemeClr w14:val="tx1"/>
                  </w14:solidFill>
                </w14:textFill>
              </w:rPr>
              <w:t>等效室外声源及预测厂界噪声</w:t>
            </w:r>
            <w:r>
              <w:rPr>
                <w:rFonts w:hint="default" w:ascii="Times New Roman" w:hAnsi="Times New Roman" w:cs="Times New Roman"/>
                <w:color w:val="000000" w:themeColor="text1"/>
                <w14:textFill>
                  <w14:solidFill>
                    <w14:schemeClr w14:val="tx1"/>
                  </w14:solidFill>
                </w14:textFill>
              </w:rPr>
              <w:t>见表4-</w:t>
            </w:r>
            <w:r>
              <w:rPr>
                <w:rFonts w:hint="eastAsia" w:cs="Times New Roman"/>
                <w:color w:val="000000" w:themeColor="text1"/>
                <w:lang w:val="en-US" w:eastAsia="zh-CN"/>
                <w14:textFill>
                  <w14:solidFill>
                    <w14:schemeClr w14:val="tx1"/>
                  </w14:solidFill>
                </w14:textFill>
              </w:rPr>
              <w:t>8</w:t>
            </w:r>
            <w:r>
              <w:rPr>
                <w:rFonts w:hint="default" w:ascii="Times New Roman" w:hAnsi="Times New Roman" w:cs="Times New Roman"/>
                <w:color w:val="000000" w:themeColor="text1"/>
                <w14:textFill>
                  <w14:solidFill>
                    <w14:schemeClr w14:val="tx1"/>
                  </w14:solidFill>
                </w14:textFill>
              </w:rPr>
              <w:t>。</w:t>
            </w:r>
          </w:p>
          <w:p w14:paraId="742FA069">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pP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表4-</w:t>
            </w:r>
            <w:r>
              <w:rPr>
                <w:rFonts w:hint="eastAsia" w:eastAsia="黑体" w:cs="Times New Roman"/>
                <w:b w:val="0"/>
                <w:bCs w:val="0"/>
                <w:color w:val="000000" w:themeColor="text1"/>
                <w:sz w:val="24"/>
                <w:szCs w:val="24"/>
                <w:lang w:val="en-US" w:eastAsia="zh-CN"/>
                <w14:textFill>
                  <w14:solidFill>
                    <w14:schemeClr w14:val="tx1"/>
                  </w14:solidFill>
                </w14:textFill>
              </w:rPr>
              <w:t>8</w:t>
            </w:r>
            <w:r>
              <w:rPr>
                <w:rFonts w:hint="default" w:ascii="Times New Roman" w:hAnsi="Times New Roman" w:eastAsia="黑体" w:cs="Times New Roman"/>
                <w:b w:val="0"/>
                <w:bCs w:val="0"/>
                <w:color w:val="000000" w:themeColor="text1"/>
                <w:sz w:val="24"/>
                <w:szCs w:val="24"/>
                <w:lang w:val="zh-CN" w:eastAsia="zh-CN"/>
                <w14:textFill>
                  <w14:solidFill>
                    <w14:schemeClr w14:val="tx1"/>
                  </w14:solidFill>
                </w14:textFill>
              </w:rPr>
              <w:t xml:space="preserve">  噪声预测结果   单位：dB（A）</w:t>
            </w:r>
          </w:p>
          <w:tbl>
            <w:tblPr>
              <w:tblStyle w:val="21"/>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5"/>
              <w:gridCol w:w="1427"/>
              <w:gridCol w:w="1428"/>
              <w:gridCol w:w="1428"/>
              <w:gridCol w:w="1431"/>
              <w:gridCol w:w="1011"/>
            </w:tblGrid>
            <w:tr w14:paraId="3E40D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 w:hRule="atLeast"/>
                <w:tblHeader/>
                <w:jc w:val="center"/>
              </w:trPr>
              <w:tc>
                <w:tcPr>
                  <w:tcW w:w="781" w:type="pct"/>
                  <w:vMerge w:val="restart"/>
                  <w:tcBorders>
                    <w:tl2br w:val="nil"/>
                    <w:tr2bl w:val="nil"/>
                  </w:tcBorders>
                  <w:noWrap w:val="0"/>
                  <w:vAlign w:val="center"/>
                </w:tcPr>
                <w:p w14:paraId="4AF21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b/>
                      <w:bCs/>
                      <w:color w:val="000000" w:themeColor="text1"/>
                      <w:sz w:val="21"/>
                      <w:szCs w:val="21"/>
                      <w:highlight w:val="none"/>
                      <w:lang w:val="en-US" w:eastAsia="zh-CN"/>
                      <w14:textFill>
                        <w14:solidFill>
                          <w14:schemeClr w14:val="tx1"/>
                        </w14:solidFill>
                      </w14:textFill>
                    </w:rPr>
                    <w:t>预测点位</w:t>
                  </w:r>
                </w:p>
              </w:tc>
              <w:tc>
                <w:tcPr>
                  <w:tcW w:w="895" w:type="pct"/>
                  <w:tcBorders>
                    <w:tl2br w:val="nil"/>
                    <w:tr2bl w:val="nil"/>
                  </w:tcBorders>
                  <w:noWrap w:val="0"/>
                  <w:vAlign w:val="center"/>
                </w:tcPr>
                <w:p w14:paraId="363F5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themeColor="text1"/>
                      <w:kern w:val="0"/>
                      <w:sz w:val="21"/>
                      <w:szCs w:val="21"/>
                      <w:highlight w:val="none"/>
                      <w:lang w:val="en-US" w:eastAsia="zh-CN"/>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背景值</w:t>
                  </w:r>
                </w:p>
              </w:tc>
              <w:tc>
                <w:tcPr>
                  <w:tcW w:w="895" w:type="pct"/>
                  <w:tcBorders>
                    <w:tl2br w:val="nil"/>
                    <w:tr2bl w:val="nil"/>
                  </w:tcBorders>
                  <w:noWrap w:val="0"/>
                  <w:vAlign w:val="center"/>
                </w:tcPr>
                <w:p w14:paraId="3613F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bCs/>
                      <w:color w:val="000000" w:themeColor="text1"/>
                      <w:kern w:val="0"/>
                      <w:sz w:val="21"/>
                      <w:szCs w:val="21"/>
                      <w:highlight w:val="none"/>
                      <w:lang w:val="en-US" w:eastAsia="zh-CN"/>
                      <w14:textFill>
                        <w14:solidFill>
                          <w14:schemeClr w14:val="tx1"/>
                        </w14:solidFill>
                      </w14:textFill>
                    </w:rPr>
                  </w:pPr>
                  <w:r>
                    <w:rPr>
                      <w:rFonts w:hint="eastAsia"/>
                      <w:b/>
                      <w:bCs/>
                      <w:color w:val="000000" w:themeColor="text1"/>
                      <w:kern w:val="0"/>
                      <w:sz w:val="21"/>
                      <w:szCs w:val="21"/>
                      <w:highlight w:val="none"/>
                      <w:lang w:val="en-US" w:eastAsia="zh-CN"/>
                      <w14:textFill>
                        <w14:solidFill>
                          <w14:schemeClr w14:val="tx1"/>
                        </w14:solidFill>
                      </w14:textFill>
                    </w:rPr>
                    <w:t>贡献值</w:t>
                  </w:r>
                </w:p>
              </w:tc>
              <w:tc>
                <w:tcPr>
                  <w:tcW w:w="895" w:type="pct"/>
                  <w:tcBorders>
                    <w:tl2br w:val="nil"/>
                    <w:tr2bl w:val="nil"/>
                  </w:tcBorders>
                  <w:noWrap w:val="0"/>
                  <w:vAlign w:val="center"/>
                </w:tcPr>
                <w:p w14:paraId="4522D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color w:val="000000" w:themeColor="text1"/>
                      <w:kern w:val="2"/>
                      <w:sz w:val="21"/>
                      <w:szCs w:val="21"/>
                      <w:highlight w:val="none"/>
                      <w:lang w:val="en-US" w:eastAsia="zh-CN" w:bidi="ar-SA"/>
                      <w14:textFill>
                        <w14:solidFill>
                          <w14:schemeClr w14:val="tx1"/>
                        </w14:solidFill>
                      </w14:textFill>
                    </w:rPr>
                  </w:pPr>
                  <w:r>
                    <w:rPr>
                      <w:rFonts w:hint="eastAsia" w:cs="宋体"/>
                      <w:b/>
                      <w:bCs/>
                      <w:color w:val="000000" w:themeColor="text1"/>
                      <w:kern w:val="2"/>
                      <w:sz w:val="21"/>
                      <w:szCs w:val="21"/>
                      <w:highlight w:val="none"/>
                      <w:lang w:val="en-US" w:eastAsia="zh-CN" w:bidi="ar-SA"/>
                      <w14:textFill>
                        <w14:solidFill>
                          <w14:schemeClr w14:val="tx1"/>
                        </w14:solidFill>
                      </w14:textFill>
                    </w:rPr>
                    <w:t>预测值</w:t>
                  </w:r>
                </w:p>
              </w:tc>
              <w:tc>
                <w:tcPr>
                  <w:tcW w:w="897" w:type="pct"/>
                  <w:tcBorders>
                    <w:tl2br w:val="nil"/>
                    <w:tr2bl w:val="nil"/>
                  </w:tcBorders>
                  <w:noWrap w:val="0"/>
                  <w:vAlign w:val="center"/>
                </w:tcPr>
                <w:p w14:paraId="7B1B70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宋体"/>
                      <w:b/>
                      <w:bCs/>
                      <w:color w:val="000000" w:themeColor="text1"/>
                      <w:kern w:val="2"/>
                      <w:sz w:val="21"/>
                      <w:szCs w:val="21"/>
                      <w:highlight w:val="none"/>
                      <w:lang w:val="en-US" w:eastAsia="zh-CN" w:bidi="ar-SA"/>
                      <w14:textFill>
                        <w14:solidFill>
                          <w14:schemeClr w14:val="tx1"/>
                        </w14:solidFill>
                      </w14:textFill>
                    </w:rPr>
                  </w:pPr>
                  <w:r>
                    <w:rPr>
                      <w:rFonts w:hint="eastAsia" w:cs="宋体"/>
                      <w:b/>
                      <w:bCs/>
                      <w:color w:val="000000" w:themeColor="text1"/>
                      <w:kern w:val="2"/>
                      <w:sz w:val="21"/>
                      <w:szCs w:val="21"/>
                      <w:highlight w:val="none"/>
                      <w:lang w:val="en-US" w:eastAsia="zh-CN" w:bidi="ar-SA"/>
                      <w14:textFill>
                        <w14:solidFill>
                          <w14:schemeClr w14:val="tx1"/>
                        </w14:solidFill>
                      </w14:textFill>
                    </w:rPr>
                    <w:t>标准值</w:t>
                  </w:r>
                </w:p>
              </w:tc>
              <w:tc>
                <w:tcPr>
                  <w:tcW w:w="634" w:type="pct"/>
                  <w:vMerge w:val="restart"/>
                  <w:tcBorders>
                    <w:tl2br w:val="nil"/>
                    <w:tr2bl w:val="nil"/>
                  </w:tcBorders>
                  <w:noWrap w:val="0"/>
                  <w:vAlign w:val="center"/>
                </w:tcPr>
                <w:p w14:paraId="216F0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宋体"/>
                      <w:b/>
                      <w:bCs/>
                      <w:color w:val="000000" w:themeColor="text1"/>
                      <w:kern w:val="2"/>
                      <w:sz w:val="21"/>
                      <w:szCs w:val="21"/>
                      <w:highlight w:val="none"/>
                      <w:lang w:val="en-US" w:eastAsia="zh-CN" w:bidi="ar-SA"/>
                      <w14:textFill>
                        <w14:solidFill>
                          <w14:schemeClr w14:val="tx1"/>
                        </w14:solidFill>
                      </w14:textFill>
                    </w:rPr>
                  </w:pPr>
                  <w:r>
                    <w:rPr>
                      <w:rFonts w:hint="eastAsia" w:cs="宋体"/>
                      <w:b/>
                      <w:bCs/>
                      <w:color w:val="000000" w:themeColor="text1"/>
                      <w:kern w:val="2"/>
                      <w:sz w:val="21"/>
                      <w:szCs w:val="21"/>
                      <w:highlight w:val="none"/>
                      <w:lang w:val="en-US" w:eastAsia="zh-CN" w:bidi="ar-SA"/>
                      <w14:textFill>
                        <w14:solidFill>
                          <w14:schemeClr w14:val="tx1"/>
                        </w14:solidFill>
                      </w14:textFill>
                    </w:rPr>
                    <w:t>达标情况</w:t>
                  </w:r>
                </w:p>
              </w:tc>
            </w:tr>
            <w:tr w14:paraId="41EF5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vMerge w:val="continue"/>
                  <w:tcBorders>
                    <w:tl2br w:val="nil"/>
                    <w:tr2bl w:val="nil"/>
                  </w:tcBorders>
                  <w:noWrap w:val="0"/>
                  <w:vAlign w:val="center"/>
                </w:tcPr>
                <w:p w14:paraId="01248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b/>
                      <w:bCs/>
                      <w:color w:val="000000" w:themeColor="text1"/>
                      <w:sz w:val="21"/>
                      <w:szCs w:val="21"/>
                      <w:highlight w:val="none"/>
                      <w14:textFill>
                        <w14:solidFill>
                          <w14:schemeClr w14:val="tx1"/>
                        </w14:solidFill>
                      </w14:textFill>
                    </w:rPr>
                  </w:pPr>
                </w:p>
              </w:tc>
              <w:tc>
                <w:tcPr>
                  <w:tcW w:w="895" w:type="pct"/>
                  <w:tcBorders>
                    <w:tl2br w:val="nil"/>
                    <w:tr2bl w:val="nil"/>
                  </w:tcBorders>
                  <w:noWrap w:val="0"/>
                  <w:vAlign w:val="center"/>
                </w:tcPr>
                <w:p w14:paraId="5985C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895" w:type="pct"/>
                  <w:tcBorders>
                    <w:tl2br w:val="nil"/>
                    <w:tr2bl w:val="nil"/>
                  </w:tcBorders>
                  <w:noWrap w:val="0"/>
                  <w:vAlign w:val="center"/>
                </w:tcPr>
                <w:p w14:paraId="15E7D7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895" w:type="pct"/>
                  <w:tcBorders>
                    <w:tl2br w:val="nil"/>
                    <w:tr2bl w:val="nil"/>
                  </w:tcBorders>
                  <w:noWrap w:val="0"/>
                  <w:vAlign w:val="center"/>
                </w:tcPr>
                <w:p w14:paraId="2B3367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897" w:type="pct"/>
                  <w:tcBorders>
                    <w:tl2br w:val="nil"/>
                    <w:tr2bl w:val="nil"/>
                  </w:tcBorders>
                  <w:noWrap w:val="0"/>
                  <w:vAlign w:val="center"/>
                </w:tcPr>
                <w:p w14:paraId="21A4A0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昼间dB（A）</w:t>
                  </w:r>
                </w:p>
              </w:tc>
              <w:tc>
                <w:tcPr>
                  <w:tcW w:w="634" w:type="pct"/>
                  <w:vMerge w:val="continue"/>
                  <w:tcBorders>
                    <w:tl2br w:val="nil"/>
                    <w:tr2bl w:val="nil"/>
                  </w:tcBorders>
                  <w:noWrap w:val="0"/>
                  <w:vAlign w:val="center"/>
                </w:tcPr>
                <w:p w14:paraId="7D6248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14:paraId="4FCF7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tcBorders>
                    <w:tl2br w:val="nil"/>
                    <w:tr2bl w:val="nil"/>
                  </w:tcBorders>
                  <w:noWrap w:val="0"/>
                  <w:vAlign w:val="center"/>
                </w:tcPr>
                <w:p w14:paraId="6A543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东厂界</w:t>
                  </w:r>
                </w:p>
              </w:tc>
              <w:tc>
                <w:tcPr>
                  <w:tcW w:w="895" w:type="pct"/>
                  <w:tcBorders>
                    <w:tl2br w:val="nil"/>
                    <w:tr2bl w:val="nil"/>
                  </w:tcBorders>
                  <w:noWrap w:val="0"/>
                  <w:vAlign w:val="center"/>
                </w:tcPr>
                <w:p w14:paraId="6142BC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95" w:type="pct"/>
                  <w:tcBorders>
                    <w:tl2br w:val="nil"/>
                    <w:tr2bl w:val="nil"/>
                  </w:tcBorders>
                  <w:noWrap w:val="0"/>
                  <w:vAlign w:val="center"/>
                </w:tcPr>
                <w:p w14:paraId="4F64C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53</w:t>
                  </w:r>
                </w:p>
              </w:tc>
              <w:tc>
                <w:tcPr>
                  <w:tcW w:w="1428" w:type="dxa"/>
                  <w:tcBorders>
                    <w:tl2br w:val="nil"/>
                    <w:tr2bl w:val="nil"/>
                  </w:tcBorders>
                  <w:noWrap w:val="0"/>
                  <w:vAlign w:val="center"/>
                </w:tcPr>
                <w:p w14:paraId="162DA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53</w:t>
                  </w:r>
                </w:p>
              </w:tc>
              <w:tc>
                <w:tcPr>
                  <w:tcW w:w="1431" w:type="dxa"/>
                  <w:tcBorders>
                    <w:tl2br w:val="nil"/>
                    <w:tr2bl w:val="nil"/>
                  </w:tcBorders>
                  <w:noWrap w:val="0"/>
                  <w:vAlign w:val="center"/>
                </w:tcPr>
                <w:p w14:paraId="6BAD6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011" w:type="dxa"/>
                  <w:tcBorders>
                    <w:tl2br w:val="nil"/>
                    <w:tr2bl w:val="nil"/>
                  </w:tcBorders>
                  <w:noWrap w:val="0"/>
                  <w:vAlign w:val="center"/>
                </w:tcPr>
                <w:p w14:paraId="44E7C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bCs/>
                      <w:color w:val="000000" w:themeColor="text1"/>
                      <w:kern w:val="2"/>
                      <w:sz w:val="21"/>
                      <w:szCs w:val="21"/>
                      <w:highlight w:val="none"/>
                      <w:lang w:val="en-US" w:eastAsia="zh-CN" w:bidi="ar-SA"/>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r w14:paraId="2892C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tcBorders>
                    <w:tl2br w:val="nil"/>
                    <w:tr2bl w:val="nil"/>
                  </w:tcBorders>
                  <w:noWrap w:val="0"/>
                  <w:vAlign w:val="center"/>
                </w:tcPr>
                <w:p w14:paraId="4F870C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南厂界</w:t>
                  </w:r>
                </w:p>
              </w:tc>
              <w:tc>
                <w:tcPr>
                  <w:tcW w:w="895" w:type="pct"/>
                  <w:tcBorders>
                    <w:tl2br w:val="nil"/>
                    <w:tr2bl w:val="nil"/>
                  </w:tcBorders>
                  <w:noWrap w:val="0"/>
                  <w:vAlign w:val="center"/>
                </w:tcPr>
                <w:p w14:paraId="7DEA3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95" w:type="pct"/>
                  <w:tcBorders>
                    <w:tl2br w:val="nil"/>
                    <w:tr2bl w:val="nil"/>
                  </w:tcBorders>
                  <w:noWrap w:val="0"/>
                  <w:vAlign w:val="center"/>
                </w:tcPr>
                <w:p w14:paraId="3E4C4E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1428" w:type="dxa"/>
                  <w:tcBorders>
                    <w:tl2br w:val="nil"/>
                    <w:tr2bl w:val="nil"/>
                  </w:tcBorders>
                  <w:noWrap w:val="0"/>
                  <w:vAlign w:val="center"/>
                </w:tcPr>
                <w:p w14:paraId="1169B4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1431" w:type="dxa"/>
                  <w:tcBorders>
                    <w:tl2br w:val="nil"/>
                    <w:tr2bl w:val="nil"/>
                  </w:tcBorders>
                  <w:noWrap w:val="0"/>
                  <w:vAlign w:val="center"/>
                </w:tcPr>
                <w:p w14:paraId="7C34D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011" w:type="dxa"/>
                  <w:tcBorders>
                    <w:tl2br w:val="nil"/>
                    <w:tr2bl w:val="nil"/>
                  </w:tcBorders>
                  <w:noWrap w:val="0"/>
                  <w:vAlign w:val="center"/>
                </w:tcPr>
                <w:p w14:paraId="2EE045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bCs/>
                      <w:color w:val="000000" w:themeColor="text1"/>
                      <w:kern w:val="2"/>
                      <w:sz w:val="21"/>
                      <w:szCs w:val="21"/>
                      <w:highlight w:val="none"/>
                      <w:lang w:val="en-US" w:eastAsia="zh-CN" w:bidi="ar-SA"/>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r w14:paraId="3D22A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tcBorders>
                    <w:tl2br w:val="nil"/>
                    <w:tr2bl w:val="nil"/>
                  </w:tcBorders>
                  <w:noWrap w:val="0"/>
                  <w:vAlign w:val="center"/>
                </w:tcPr>
                <w:p w14:paraId="32DE4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西厂界</w:t>
                  </w:r>
                </w:p>
              </w:tc>
              <w:tc>
                <w:tcPr>
                  <w:tcW w:w="895" w:type="pct"/>
                  <w:tcBorders>
                    <w:tl2br w:val="nil"/>
                    <w:tr2bl w:val="nil"/>
                  </w:tcBorders>
                  <w:noWrap w:val="0"/>
                  <w:vAlign w:val="center"/>
                </w:tcPr>
                <w:p w14:paraId="4C280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95" w:type="pct"/>
                  <w:tcBorders>
                    <w:tl2br w:val="nil"/>
                    <w:tr2bl w:val="nil"/>
                  </w:tcBorders>
                  <w:noWrap w:val="0"/>
                  <w:vAlign w:val="center"/>
                </w:tcPr>
                <w:p w14:paraId="09EA0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1428" w:type="dxa"/>
                  <w:tcBorders>
                    <w:tl2br w:val="nil"/>
                    <w:tr2bl w:val="nil"/>
                  </w:tcBorders>
                  <w:noWrap w:val="0"/>
                  <w:vAlign w:val="center"/>
                </w:tcPr>
                <w:p w14:paraId="7D8E3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50</w:t>
                  </w:r>
                </w:p>
              </w:tc>
              <w:tc>
                <w:tcPr>
                  <w:tcW w:w="1431" w:type="dxa"/>
                  <w:tcBorders>
                    <w:tl2br w:val="nil"/>
                    <w:tr2bl w:val="nil"/>
                  </w:tcBorders>
                  <w:noWrap w:val="0"/>
                  <w:vAlign w:val="center"/>
                </w:tcPr>
                <w:p w14:paraId="260E73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011" w:type="dxa"/>
                  <w:tcBorders>
                    <w:tl2br w:val="nil"/>
                    <w:tr2bl w:val="nil"/>
                  </w:tcBorders>
                  <w:noWrap w:val="0"/>
                  <w:vAlign w:val="center"/>
                </w:tcPr>
                <w:p w14:paraId="67EFC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bCs/>
                      <w:color w:val="000000" w:themeColor="text1"/>
                      <w:kern w:val="2"/>
                      <w:sz w:val="21"/>
                      <w:szCs w:val="21"/>
                      <w:highlight w:val="none"/>
                      <w:lang w:val="en-US" w:eastAsia="zh-CN" w:bidi="ar-SA"/>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r w14:paraId="3546BD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tcBorders>
                    <w:tl2br w:val="nil"/>
                    <w:tr2bl w:val="nil"/>
                  </w:tcBorders>
                  <w:noWrap w:val="0"/>
                  <w:vAlign w:val="center"/>
                </w:tcPr>
                <w:p w14:paraId="13C663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北厂界</w:t>
                  </w:r>
                </w:p>
              </w:tc>
              <w:tc>
                <w:tcPr>
                  <w:tcW w:w="895" w:type="pct"/>
                  <w:tcBorders>
                    <w:tl2br w:val="nil"/>
                    <w:tr2bl w:val="nil"/>
                  </w:tcBorders>
                  <w:noWrap w:val="0"/>
                  <w:vAlign w:val="center"/>
                </w:tcPr>
                <w:p w14:paraId="6E1AE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895" w:type="pct"/>
                  <w:tcBorders>
                    <w:tl2br w:val="nil"/>
                    <w:tr2bl w:val="nil"/>
                  </w:tcBorders>
                  <w:noWrap w:val="0"/>
                  <w:vAlign w:val="center"/>
                </w:tcPr>
                <w:p w14:paraId="2F379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1428" w:type="dxa"/>
                  <w:tcBorders>
                    <w:tl2br w:val="nil"/>
                    <w:tr2bl w:val="nil"/>
                  </w:tcBorders>
                  <w:noWrap w:val="0"/>
                  <w:vAlign w:val="center"/>
                </w:tcPr>
                <w:p w14:paraId="24FB0A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w:t>
                  </w:r>
                </w:p>
              </w:tc>
              <w:tc>
                <w:tcPr>
                  <w:tcW w:w="1431" w:type="dxa"/>
                  <w:tcBorders>
                    <w:tl2br w:val="nil"/>
                    <w:tr2bl w:val="nil"/>
                  </w:tcBorders>
                  <w:noWrap w:val="0"/>
                  <w:vAlign w:val="center"/>
                </w:tcPr>
                <w:p w14:paraId="4CF6EA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011" w:type="dxa"/>
                  <w:tcBorders>
                    <w:tl2br w:val="nil"/>
                    <w:tr2bl w:val="nil"/>
                  </w:tcBorders>
                  <w:noWrap w:val="0"/>
                  <w:vAlign w:val="center"/>
                </w:tcPr>
                <w:p w14:paraId="1C242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宋体"/>
                      <w:bCs/>
                      <w:color w:val="000000" w:themeColor="text1"/>
                      <w:kern w:val="2"/>
                      <w:sz w:val="21"/>
                      <w:szCs w:val="21"/>
                      <w:highlight w:val="none"/>
                      <w:lang w:val="en-US" w:eastAsia="zh-CN" w:bidi="ar-SA"/>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r w14:paraId="7706F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blHeader/>
                <w:jc w:val="center"/>
              </w:trPr>
              <w:tc>
                <w:tcPr>
                  <w:tcW w:w="781" w:type="pct"/>
                  <w:tcBorders>
                    <w:tl2br w:val="nil"/>
                    <w:tr2bl w:val="nil"/>
                  </w:tcBorders>
                  <w:noWrap w:val="0"/>
                  <w:vAlign w:val="center"/>
                </w:tcPr>
                <w:p w14:paraId="57F08A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宋家村</w:t>
                  </w:r>
                </w:p>
              </w:tc>
              <w:tc>
                <w:tcPr>
                  <w:tcW w:w="895" w:type="pct"/>
                  <w:tcBorders>
                    <w:tl2br w:val="nil"/>
                    <w:tr2bl w:val="nil"/>
                  </w:tcBorders>
                  <w:noWrap w:val="0"/>
                  <w:vAlign w:val="center"/>
                </w:tcPr>
                <w:p w14:paraId="2F4F6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55</w:t>
                  </w:r>
                </w:p>
              </w:tc>
              <w:tc>
                <w:tcPr>
                  <w:tcW w:w="895" w:type="pct"/>
                  <w:tcBorders>
                    <w:tl2br w:val="nil"/>
                    <w:tr2bl w:val="nil"/>
                  </w:tcBorders>
                  <w:noWrap w:val="0"/>
                  <w:vAlign w:val="center"/>
                </w:tcPr>
                <w:p w14:paraId="3247B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w:t>
                  </w:r>
                </w:p>
              </w:tc>
              <w:tc>
                <w:tcPr>
                  <w:tcW w:w="895" w:type="pct"/>
                  <w:tcBorders>
                    <w:tl2br w:val="nil"/>
                    <w:tr2bl w:val="nil"/>
                  </w:tcBorders>
                  <w:noWrap w:val="0"/>
                  <w:vAlign w:val="center"/>
                </w:tcPr>
                <w:p w14:paraId="34862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897" w:type="pct"/>
                  <w:tcBorders>
                    <w:tl2br w:val="nil"/>
                    <w:tr2bl w:val="nil"/>
                  </w:tcBorders>
                  <w:noWrap w:val="0"/>
                  <w:vAlign w:val="center"/>
                </w:tcPr>
                <w:p w14:paraId="6027B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1011" w:type="dxa"/>
                  <w:tcBorders>
                    <w:tl2br w:val="nil"/>
                    <w:tr2bl w:val="nil"/>
                  </w:tcBorders>
                  <w:noWrap w:val="0"/>
                  <w:vAlign w:val="center"/>
                </w:tcPr>
                <w:p w14:paraId="385DBB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宋体"/>
                      <w:bCs/>
                      <w:color w:val="000000" w:themeColor="text1"/>
                      <w:kern w:val="2"/>
                      <w:sz w:val="21"/>
                      <w:szCs w:val="21"/>
                      <w:highlight w:val="none"/>
                      <w:lang w:val="en-US" w:eastAsia="zh-CN" w:bidi="ar-SA"/>
                      <w14:textFill>
                        <w14:solidFill>
                          <w14:schemeClr w14:val="tx1"/>
                        </w14:solidFill>
                      </w14:textFill>
                    </w:rPr>
                    <w:t>达标</w:t>
                  </w:r>
                </w:p>
              </w:tc>
            </w:tr>
          </w:tbl>
          <w:p w14:paraId="357C95CA">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由上表可知，本项目</w:t>
            </w:r>
            <w:r>
              <w:rPr>
                <w:rFonts w:hint="eastAsia" w:cs="Times New Roman"/>
                <w:color w:val="000000" w:themeColor="text1"/>
                <w:lang w:val="en-US" w:eastAsia="zh-CN"/>
                <w14:textFill>
                  <w14:solidFill>
                    <w14:schemeClr w14:val="tx1"/>
                  </w14:solidFill>
                </w14:textFill>
              </w:rPr>
              <w:t>选用低噪声设备，通过减振、墙体隔声</w:t>
            </w:r>
            <w:r>
              <w:rPr>
                <w:rFonts w:hint="default" w:ascii="Times New Roman" w:hAnsi="Times New Roman" w:cs="Times New Roman"/>
                <w:color w:val="000000" w:themeColor="text1"/>
                <w14:textFill>
                  <w14:solidFill>
                    <w14:schemeClr w14:val="tx1"/>
                  </w14:solidFill>
                </w14:textFill>
              </w:rPr>
              <w:t>后，项目昼间厂界噪声贡献值满足《工业企业厂界环境噪声排放标准》（GB12348-2008）中的</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类标准要求</w:t>
            </w:r>
            <w:r>
              <w:rPr>
                <w:rFonts w:hint="eastAsia" w:cs="Times New Roman"/>
                <w:color w:val="000000" w:themeColor="text1"/>
                <w:lang w:eastAsia="zh-CN"/>
                <w14:textFill>
                  <w14:solidFill>
                    <w14:schemeClr w14:val="tx1"/>
                  </w14:solidFill>
                </w14:textFill>
              </w:rPr>
              <w:t>；宋家村</w:t>
            </w:r>
            <w:r>
              <w:rPr>
                <w:rFonts w:hint="default" w:ascii="Times New Roman" w:hAnsi="Times New Roman" w:cs="Times New Roman"/>
                <w:color w:val="000000" w:themeColor="text1"/>
                <w14:textFill>
                  <w14:solidFill>
                    <w14:schemeClr w14:val="tx1"/>
                  </w14:solidFill>
                </w14:textFill>
              </w:rPr>
              <w:t>昼间</w:t>
            </w:r>
            <w:r>
              <w:rPr>
                <w:rFonts w:hint="eastAsia" w:cs="Times New Roman"/>
                <w:color w:val="000000" w:themeColor="text1"/>
                <w:lang w:val="en-US" w:eastAsia="zh-CN"/>
                <w14:textFill>
                  <w14:solidFill>
                    <w14:schemeClr w14:val="tx1"/>
                  </w14:solidFill>
                </w14:textFill>
              </w:rPr>
              <w:t>噪声预测值满足《声环境质量标准》（GB 3096-2008）中2类标准要求；因此</w:t>
            </w:r>
            <w:r>
              <w:rPr>
                <w:rFonts w:hint="default" w:ascii="Times New Roman" w:hAnsi="Times New Roman" w:cs="Times New Roman"/>
                <w:color w:val="000000" w:themeColor="text1"/>
                <w14:textFill>
                  <w14:solidFill>
                    <w14:schemeClr w14:val="tx1"/>
                  </w14:solidFill>
                </w14:textFill>
              </w:rPr>
              <w:t>本项目噪声</w:t>
            </w:r>
            <w:r>
              <w:rPr>
                <w:rFonts w:hint="default" w:ascii="Times New Roman" w:hAnsi="Times New Roman" w:cs="Times New Roman"/>
                <w:color w:val="000000" w:themeColor="text1"/>
                <w:lang w:val="en-US" w:eastAsia="zh-CN"/>
                <w14:textFill>
                  <w14:solidFill>
                    <w14:schemeClr w14:val="tx1"/>
                  </w14:solidFill>
                </w14:textFill>
              </w:rPr>
              <w:t>对周围声环境</w:t>
            </w:r>
            <w:r>
              <w:rPr>
                <w:rFonts w:hint="default" w:ascii="Times New Roman" w:hAnsi="Times New Roman" w:cs="Times New Roman"/>
                <w:color w:val="000000" w:themeColor="text1"/>
                <w14:textFill>
                  <w14:solidFill>
                    <w14:schemeClr w14:val="tx1"/>
                  </w14:solidFill>
                </w14:textFill>
              </w:rPr>
              <w:t>影响较小。</w:t>
            </w:r>
          </w:p>
          <w:p w14:paraId="7E3F4665">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3、监测要求</w:t>
            </w:r>
          </w:p>
          <w:p w14:paraId="6842C5E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监测参照</w:t>
            </w:r>
            <w:r>
              <w:rPr>
                <w:rFonts w:hint="default" w:ascii="Times New Roman" w:hAnsi="Times New Roman" w:eastAsia="宋体" w:cs="Times New Roman"/>
                <w:color w:val="000000" w:themeColor="text1"/>
                <w:sz w:val="24"/>
                <w14:textFill>
                  <w14:solidFill>
                    <w14:schemeClr w14:val="tx1"/>
                  </w14:solidFill>
                </w14:textFill>
              </w:rPr>
              <w:t>《排污单位自行监测技术指南 印刷工业》（HJ1246-2022）</w:t>
            </w:r>
            <w:r>
              <w:rPr>
                <w:rFonts w:hint="default" w:ascii="Times New Roman" w:hAnsi="Times New Roman" w:cs="Times New Roman"/>
                <w:color w:val="000000" w:themeColor="text1"/>
                <w14:textFill>
                  <w14:solidFill>
                    <w14:schemeClr w14:val="tx1"/>
                  </w14:solidFill>
                </w14:textFill>
              </w:rPr>
              <w:t>执行，污染源监测计划见表</w:t>
            </w:r>
            <w:r>
              <w:rPr>
                <w:rFonts w:hint="eastAsia" w:cs="Times New Roman"/>
                <w:color w:val="000000" w:themeColor="text1"/>
                <w:lang w:val="en-US" w:eastAsia="zh-CN"/>
                <w14:textFill>
                  <w14:solidFill>
                    <w14:schemeClr w14:val="tx1"/>
                  </w14:solidFill>
                </w14:textFill>
              </w:rPr>
              <w:t>4-9。</w:t>
            </w:r>
          </w:p>
          <w:p w14:paraId="5C0C024F">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w:t>
            </w:r>
            <w:r>
              <w:rPr>
                <w:rFonts w:hint="eastAsia" w:eastAsia="黑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污染源监测计划表</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756"/>
              <w:gridCol w:w="888"/>
              <w:gridCol w:w="1092"/>
              <w:gridCol w:w="931"/>
              <w:gridCol w:w="1119"/>
              <w:gridCol w:w="3181"/>
            </w:tblGrid>
            <w:tr w14:paraId="2559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07" w:hRule="atLeast"/>
                <w:jc w:val="center"/>
              </w:trPr>
              <w:tc>
                <w:tcPr>
                  <w:tcW w:w="474" w:type="pct"/>
                  <w:vAlign w:val="center"/>
                </w:tcPr>
                <w:p w14:paraId="1136EEA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污染源名称</w:t>
                  </w:r>
                </w:p>
              </w:tc>
              <w:tc>
                <w:tcPr>
                  <w:tcW w:w="557" w:type="pct"/>
                  <w:vAlign w:val="center"/>
                </w:tcPr>
                <w:p w14:paraId="0694CC8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监测指标</w:t>
                  </w:r>
                </w:p>
              </w:tc>
              <w:tc>
                <w:tcPr>
                  <w:tcW w:w="685" w:type="pct"/>
                  <w:vAlign w:val="center"/>
                </w:tcPr>
                <w:p w14:paraId="3CB488B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584" w:type="pct"/>
                  <w:vAlign w:val="center"/>
                </w:tcPr>
                <w:p w14:paraId="40C1C87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监测点数</w:t>
                  </w:r>
                </w:p>
              </w:tc>
              <w:tc>
                <w:tcPr>
                  <w:tcW w:w="702" w:type="pct"/>
                  <w:vAlign w:val="center"/>
                </w:tcPr>
                <w:p w14:paraId="44CB981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监测频次</w:t>
                  </w:r>
                </w:p>
              </w:tc>
              <w:tc>
                <w:tcPr>
                  <w:tcW w:w="1995" w:type="pct"/>
                  <w:vAlign w:val="center"/>
                </w:tcPr>
                <w:p w14:paraId="0D7F495E">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执行排放标准</w:t>
                  </w:r>
                </w:p>
              </w:tc>
            </w:tr>
            <w:tr w14:paraId="4419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4" w:hRule="atLeast"/>
                <w:jc w:val="center"/>
              </w:trPr>
              <w:tc>
                <w:tcPr>
                  <w:tcW w:w="474" w:type="pct"/>
                  <w:vMerge w:val="restart"/>
                  <w:vAlign w:val="center"/>
                </w:tcPr>
                <w:p w14:paraId="590405B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昼间</w:t>
                  </w:r>
                  <w:r>
                    <w:rPr>
                      <w:rFonts w:hint="default" w:ascii="Times New Roman" w:hAnsi="Times New Roman" w:cs="Times New Roman"/>
                      <w:color w:val="000000" w:themeColor="text1"/>
                      <w:sz w:val="21"/>
                      <w:szCs w:val="21"/>
                      <w14:textFill>
                        <w14:solidFill>
                          <w14:schemeClr w14:val="tx1"/>
                        </w14:solidFill>
                      </w14:textFill>
                    </w:rPr>
                    <w:t>噪声</w:t>
                  </w:r>
                </w:p>
              </w:tc>
              <w:tc>
                <w:tcPr>
                  <w:tcW w:w="557" w:type="pct"/>
                  <w:vMerge w:val="restart"/>
                  <w:vAlign w:val="center"/>
                </w:tcPr>
                <w:p w14:paraId="12B320A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Leq（A）</w:t>
                  </w:r>
                </w:p>
              </w:tc>
              <w:tc>
                <w:tcPr>
                  <w:tcW w:w="685" w:type="pct"/>
                  <w:vAlign w:val="center"/>
                </w:tcPr>
                <w:p w14:paraId="305B21D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厂界外1m</w:t>
                  </w:r>
                </w:p>
              </w:tc>
              <w:tc>
                <w:tcPr>
                  <w:tcW w:w="584" w:type="pct"/>
                  <w:vAlign w:val="center"/>
                </w:tcPr>
                <w:p w14:paraId="3084CF7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4个</w:t>
                  </w:r>
                </w:p>
              </w:tc>
              <w:tc>
                <w:tcPr>
                  <w:tcW w:w="702" w:type="pct"/>
                  <w:vAlign w:val="center"/>
                </w:tcPr>
                <w:p w14:paraId="53FEE583">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1次/季度</w:t>
                  </w:r>
                </w:p>
              </w:tc>
              <w:tc>
                <w:tcPr>
                  <w:tcW w:w="1995" w:type="pct"/>
                  <w:vAlign w:val="center"/>
                </w:tcPr>
                <w:p w14:paraId="53D6D5C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《工业企业厂界环境噪声排放标准》（GB12348-2008）中的</w:t>
                  </w:r>
                  <w:r>
                    <w:rPr>
                      <w:rFonts w:hint="eastAsia" w:cs="Times New Roman"/>
                      <w:color w:val="000000" w:themeColor="text1"/>
                      <w:sz w:val="21"/>
                      <w:szCs w:val="21"/>
                      <w:lang w:eastAsia="zh-CN"/>
                      <w14:textFill>
                        <w14:solidFill>
                          <w14:schemeClr w14:val="tx1"/>
                        </w14:solidFill>
                      </w14:textFill>
                    </w:rPr>
                    <w:t>2类</w:t>
                  </w:r>
                  <w:r>
                    <w:rPr>
                      <w:rFonts w:hint="default" w:ascii="Times New Roman" w:hAnsi="Times New Roman" w:cs="Times New Roman"/>
                      <w:color w:val="000000" w:themeColor="text1"/>
                      <w:sz w:val="21"/>
                      <w:szCs w:val="21"/>
                      <w14:textFill>
                        <w14:solidFill>
                          <w14:schemeClr w14:val="tx1"/>
                        </w14:solidFill>
                      </w14:textFill>
                    </w:rPr>
                    <w:t>标准</w:t>
                  </w:r>
                </w:p>
              </w:tc>
            </w:tr>
            <w:tr w14:paraId="3518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4" w:hRule="atLeast"/>
                <w:jc w:val="center"/>
              </w:trPr>
              <w:tc>
                <w:tcPr>
                  <w:tcW w:w="474" w:type="pct"/>
                  <w:vMerge w:val="continue"/>
                  <w:vAlign w:val="center"/>
                </w:tcPr>
                <w:p w14:paraId="79B0071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557" w:type="pct"/>
                  <w:vMerge w:val="continue"/>
                  <w:vAlign w:val="center"/>
                </w:tcPr>
                <w:p w14:paraId="61147F9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685" w:type="pct"/>
                  <w:vAlign w:val="center"/>
                </w:tcPr>
                <w:p w14:paraId="6108BFC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宋家村</w:t>
                  </w:r>
                </w:p>
              </w:tc>
              <w:tc>
                <w:tcPr>
                  <w:tcW w:w="584" w:type="pct"/>
                  <w:vAlign w:val="center"/>
                </w:tcPr>
                <w:p w14:paraId="469550F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1个</w:t>
                  </w:r>
                </w:p>
              </w:tc>
              <w:tc>
                <w:tcPr>
                  <w:tcW w:w="702" w:type="pct"/>
                  <w:vAlign w:val="center"/>
                </w:tcPr>
                <w:p w14:paraId="52F652E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1次/季度</w:t>
                  </w:r>
                </w:p>
              </w:tc>
              <w:tc>
                <w:tcPr>
                  <w:tcW w:w="1995" w:type="pct"/>
                  <w:vAlign w:val="center"/>
                </w:tcPr>
                <w:p w14:paraId="1DAF756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《声环境质量标准》（GB 3096-2008）中2类标准</w:t>
                  </w:r>
                </w:p>
              </w:tc>
            </w:tr>
          </w:tbl>
          <w:p w14:paraId="47C9D1B7">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四、固体废物</w:t>
            </w:r>
          </w:p>
          <w:p w14:paraId="167C3DB7">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项目固体废物主要为职工生活垃圾</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废边角料、不合格产品、废胶桶、</w:t>
            </w:r>
            <w:r>
              <w:rPr>
                <w:rFonts w:hint="default" w:ascii="Times New Roman" w:hAnsi="Times New Roman" w:cs="Times New Roman"/>
                <w:color w:val="000000" w:themeColor="text1"/>
                <w14:textFill>
                  <w14:solidFill>
                    <w14:schemeClr w14:val="tx1"/>
                  </w14:solidFill>
                </w14:textFill>
              </w:rPr>
              <w:t>废</w:t>
            </w:r>
            <w:r>
              <w:rPr>
                <w:rFonts w:hint="eastAsia" w:cs="Times New Roman"/>
                <w:color w:val="000000" w:themeColor="text1"/>
                <w:lang w:val="en-US" w:eastAsia="zh-CN"/>
                <w14:textFill>
                  <w14:solidFill>
                    <w14:schemeClr w14:val="tx1"/>
                  </w14:solidFill>
                </w14:textFill>
              </w:rPr>
              <w:t>油墨桶</w:t>
            </w:r>
            <w:r>
              <w:rPr>
                <w:rFonts w:hint="default" w:ascii="Times New Roman" w:hAnsi="Times New Roman" w:cs="Times New Roman"/>
                <w:color w:val="000000" w:themeColor="text1"/>
                <w:lang w:eastAsia="zh-CN"/>
                <w14:textFill>
                  <w14:solidFill>
                    <w14:schemeClr w14:val="tx1"/>
                  </w14:solidFill>
                </w14:textFill>
              </w:rPr>
              <w:t>、</w:t>
            </w:r>
            <w:r>
              <w:rPr>
                <w:rFonts w:hint="eastAsia" w:cs="Times New Roman"/>
                <w:color w:val="000000" w:themeColor="text1"/>
                <w:lang w:val="en-US" w:eastAsia="zh-CN"/>
                <w14:textFill>
                  <w14:solidFill>
                    <w14:schemeClr w14:val="tx1"/>
                  </w14:solidFill>
                </w14:textFill>
              </w:rPr>
              <w:t>清洗废水、废活性炭、废矿物油、废含油抹布</w:t>
            </w:r>
            <w:r>
              <w:rPr>
                <w:rFonts w:hint="default" w:ascii="Times New Roman" w:hAnsi="Times New Roman" w:cs="Times New Roman"/>
                <w:color w:val="000000" w:themeColor="text1"/>
                <w14:textFill>
                  <w14:solidFill>
                    <w14:schemeClr w14:val="tx1"/>
                  </w14:solidFill>
                </w14:textFill>
              </w:rPr>
              <w:t>等。本次项目固废具体产生情况见表</w:t>
            </w:r>
            <w:r>
              <w:rPr>
                <w:rFonts w:hint="eastAsia" w:cs="Times New Roman"/>
                <w:color w:val="000000" w:themeColor="text1"/>
                <w:lang w:val="en-US" w:eastAsia="zh-CN"/>
                <w14:textFill>
                  <w14:solidFill>
                    <w14:schemeClr w14:val="tx1"/>
                  </w14:solidFill>
                </w14:textFill>
              </w:rPr>
              <w:t>4-10</w:t>
            </w:r>
            <w:r>
              <w:rPr>
                <w:rFonts w:hint="default" w:ascii="Times New Roman" w:hAnsi="Times New Roman" w:cs="Times New Roman"/>
                <w:color w:val="000000" w:themeColor="text1"/>
                <w14:textFill>
                  <w14:solidFill>
                    <w14:schemeClr w14:val="tx1"/>
                  </w14:solidFill>
                </w14:textFill>
              </w:rPr>
              <w:t>。</w:t>
            </w:r>
          </w:p>
          <w:p w14:paraId="787D4B8F">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表4-1</w:t>
            </w:r>
            <w:r>
              <w:rPr>
                <w:rFonts w:hint="eastAsia" w:eastAsia="黑体" w:cs="Times New Roman"/>
                <w:b w:val="0"/>
                <w:bCs w:val="0"/>
                <w:color w:val="000000" w:themeColor="text1"/>
                <w:sz w:val="24"/>
                <w:szCs w:val="24"/>
                <w:lang w:val="en-US" w:eastAsia="zh-CN"/>
                <w14:textFill>
                  <w14:solidFill>
                    <w14:schemeClr w14:val="tx1"/>
                  </w14:solidFill>
                </w14:textFill>
              </w:rPr>
              <w:t>0</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项目主要固体废物一览表</w:t>
            </w:r>
          </w:p>
          <w:tbl>
            <w:tblPr>
              <w:tblStyle w:val="22"/>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664"/>
              <w:gridCol w:w="792"/>
              <w:gridCol w:w="589"/>
              <w:gridCol w:w="1315"/>
              <w:gridCol w:w="563"/>
              <w:gridCol w:w="694"/>
              <w:gridCol w:w="899"/>
              <w:gridCol w:w="568"/>
              <w:gridCol w:w="1462"/>
            </w:tblGrid>
            <w:tr w14:paraId="04F24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vAlign w:val="center"/>
                </w:tcPr>
                <w:p w14:paraId="55D9954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416" w:type="pct"/>
                  <w:vAlign w:val="center"/>
                </w:tcPr>
                <w:p w14:paraId="5AB0437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产生环节</w:t>
                  </w:r>
                </w:p>
              </w:tc>
              <w:tc>
                <w:tcPr>
                  <w:tcW w:w="496" w:type="pct"/>
                  <w:vAlign w:val="center"/>
                </w:tcPr>
                <w:p w14:paraId="270EB20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369" w:type="pct"/>
                  <w:vAlign w:val="center"/>
                </w:tcPr>
                <w:p w14:paraId="3008D9C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属性</w:t>
                  </w:r>
                </w:p>
              </w:tc>
              <w:tc>
                <w:tcPr>
                  <w:tcW w:w="824" w:type="pct"/>
                  <w:vAlign w:val="center"/>
                </w:tcPr>
                <w:p w14:paraId="77FB90B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编码</w:t>
                  </w:r>
                </w:p>
              </w:tc>
              <w:tc>
                <w:tcPr>
                  <w:tcW w:w="353" w:type="pct"/>
                  <w:vAlign w:val="center"/>
                </w:tcPr>
                <w:p w14:paraId="1AC2E31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物理性状</w:t>
                  </w:r>
                </w:p>
              </w:tc>
              <w:tc>
                <w:tcPr>
                  <w:tcW w:w="435" w:type="pct"/>
                  <w:vAlign w:val="center"/>
                </w:tcPr>
                <w:p w14:paraId="3E4DEE3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环境危险性</w:t>
                  </w:r>
                </w:p>
              </w:tc>
              <w:tc>
                <w:tcPr>
                  <w:tcW w:w="563" w:type="pct"/>
                  <w:vAlign w:val="center"/>
                </w:tcPr>
                <w:p w14:paraId="7828C4D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产生量</w:t>
                  </w:r>
                </w:p>
              </w:tc>
              <w:tc>
                <w:tcPr>
                  <w:tcW w:w="356" w:type="pct"/>
                  <w:vAlign w:val="center"/>
                </w:tcPr>
                <w:p w14:paraId="50E400D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贮存方式</w:t>
                  </w:r>
                </w:p>
              </w:tc>
              <w:tc>
                <w:tcPr>
                  <w:tcW w:w="916" w:type="pct"/>
                  <w:vAlign w:val="center"/>
                </w:tcPr>
                <w:p w14:paraId="1EFA786E">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处置方式</w:t>
                  </w:r>
                </w:p>
              </w:tc>
            </w:tr>
            <w:tr w14:paraId="29D20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67" w:type="pct"/>
                  <w:vAlign w:val="center"/>
                </w:tcPr>
                <w:p w14:paraId="74F5445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416" w:type="pct"/>
                  <w:vAlign w:val="center"/>
                </w:tcPr>
                <w:p w14:paraId="62E2F45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职工生活</w:t>
                  </w:r>
                </w:p>
              </w:tc>
              <w:tc>
                <w:tcPr>
                  <w:tcW w:w="496" w:type="pct"/>
                  <w:vAlign w:val="center"/>
                </w:tcPr>
                <w:p w14:paraId="51DE39D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369" w:type="pct"/>
                  <w:vAlign w:val="center"/>
                </w:tcPr>
                <w:p w14:paraId="15F35AD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824" w:type="pct"/>
                  <w:vAlign w:val="center"/>
                </w:tcPr>
                <w:p w14:paraId="62E67C6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W64</w:t>
                  </w:r>
                </w:p>
                <w:p w14:paraId="275B945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900-099-S64</w:t>
                  </w:r>
                </w:p>
              </w:tc>
              <w:tc>
                <w:tcPr>
                  <w:tcW w:w="353" w:type="pct"/>
                  <w:vAlign w:val="center"/>
                </w:tcPr>
                <w:p w14:paraId="64A37B7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1738614D">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63" w:type="pct"/>
                  <w:vAlign w:val="center"/>
                </w:tcPr>
                <w:p w14:paraId="3181CD5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1.25</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33643A4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桶装</w:t>
                  </w:r>
                </w:p>
              </w:tc>
              <w:tc>
                <w:tcPr>
                  <w:tcW w:w="916" w:type="pct"/>
                  <w:vAlign w:val="center"/>
                </w:tcPr>
                <w:p w14:paraId="49A64BE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带盖垃圾桶分类收集，</w:t>
                  </w:r>
                  <w:r>
                    <w:rPr>
                      <w:rFonts w:hint="default" w:ascii="Times New Roman" w:hAnsi="Times New Roman" w:cs="Times New Roman"/>
                      <w:color w:val="000000" w:themeColor="text1"/>
                      <w:sz w:val="21"/>
                      <w:szCs w:val="21"/>
                      <w14:textFill>
                        <w14:solidFill>
                          <w14:schemeClr w14:val="tx1"/>
                        </w14:solidFill>
                      </w14:textFill>
                    </w:rPr>
                    <w:t>环卫部门</w:t>
                  </w:r>
                  <w:r>
                    <w:rPr>
                      <w:rFonts w:hint="default" w:ascii="Times New Roman" w:hAnsi="Times New Roman" w:cs="Times New Roman"/>
                      <w:color w:val="000000" w:themeColor="text1"/>
                      <w:sz w:val="21"/>
                      <w:szCs w:val="21"/>
                      <w:lang w:val="en-US" w:eastAsia="zh-CN"/>
                      <w14:textFill>
                        <w14:solidFill>
                          <w14:schemeClr w14:val="tx1"/>
                        </w14:solidFill>
                      </w14:textFill>
                    </w:rPr>
                    <w:t>定期</w:t>
                  </w:r>
                  <w:r>
                    <w:rPr>
                      <w:rFonts w:hint="default" w:ascii="Times New Roman" w:hAnsi="Times New Roman" w:cs="Times New Roman"/>
                      <w:color w:val="000000" w:themeColor="text1"/>
                      <w:sz w:val="21"/>
                      <w:szCs w:val="21"/>
                      <w14:textFill>
                        <w14:solidFill>
                          <w14:schemeClr w14:val="tx1"/>
                        </w14:solidFill>
                      </w14:textFill>
                    </w:rPr>
                    <w:t>清运</w:t>
                  </w:r>
                  <w:r>
                    <w:rPr>
                      <w:rFonts w:hint="default" w:ascii="Times New Roman" w:hAnsi="Times New Roman" w:cs="Times New Roman"/>
                      <w:color w:val="000000" w:themeColor="text1"/>
                      <w:sz w:val="21"/>
                      <w:szCs w:val="21"/>
                      <w:lang w:eastAsia="zh-CN"/>
                      <w14:textFill>
                        <w14:solidFill>
                          <w14:schemeClr w14:val="tx1"/>
                        </w14:solidFill>
                      </w14:textFill>
                    </w:rPr>
                    <w:t>。</w:t>
                  </w:r>
                </w:p>
              </w:tc>
            </w:tr>
            <w:tr w14:paraId="3C8A8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67" w:type="pct"/>
                  <w:vAlign w:val="center"/>
                </w:tcPr>
                <w:p w14:paraId="4B391688">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416" w:type="pct"/>
                  <w:vAlign w:val="center"/>
                </w:tcPr>
                <w:p w14:paraId="2D86832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模切</w:t>
                  </w:r>
                </w:p>
              </w:tc>
              <w:tc>
                <w:tcPr>
                  <w:tcW w:w="496" w:type="pct"/>
                  <w:vAlign w:val="center"/>
                </w:tcPr>
                <w:p w14:paraId="4D33CDB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废边角料</w:t>
                  </w:r>
                </w:p>
              </w:tc>
              <w:tc>
                <w:tcPr>
                  <w:tcW w:w="369" w:type="pct"/>
                  <w:vMerge w:val="restart"/>
                  <w:vAlign w:val="center"/>
                </w:tcPr>
                <w:p w14:paraId="5DADC03E">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一般工业固废</w:t>
                  </w:r>
                </w:p>
              </w:tc>
              <w:tc>
                <w:tcPr>
                  <w:tcW w:w="824" w:type="pct"/>
                  <w:vMerge w:val="restart"/>
                  <w:vAlign w:val="center"/>
                </w:tcPr>
                <w:p w14:paraId="450012C6">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cs="Times New Roman"/>
                      <w:color w:val="000000" w:themeColor="text1"/>
                      <w:sz w:val="21"/>
                      <w:szCs w:val="21"/>
                      <w:lang w:val="en-US" w:eastAsia="zh-CN"/>
                      <w14:textFill>
                        <w14:solidFill>
                          <w14:schemeClr w14:val="tx1"/>
                        </w14:solidFill>
                      </w14:textFill>
                    </w:rPr>
                    <w:t>W64</w:t>
                  </w:r>
                </w:p>
                <w:p w14:paraId="7D50915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900-099-S15</w:t>
                  </w:r>
                </w:p>
              </w:tc>
              <w:tc>
                <w:tcPr>
                  <w:tcW w:w="353" w:type="pct"/>
                  <w:vAlign w:val="center"/>
                </w:tcPr>
                <w:p w14:paraId="0D47108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3A93340F">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63" w:type="pct"/>
                  <w:vAlign w:val="center"/>
                </w:tcPr>
                <w:p w14:paraId="4CC4755D">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0A4665D2">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16" w:type="pct"/>
                  <w:vMerge w:val="restart"/>
                  <w:vAlign w:val="center"/>
                </w:tcPr>
                <w:p w14:paraId="3AC56B3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生产车间指定区域集中存放，定期外售综合利用。</w:t>
                  </w:r>
                </w:p>
              </w:tc>
            </w:tr>
            <w:tr w14:paraId="7564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67" w:type="pct"/>
                  <w:shd w:val="clear" w:color="auto" w:fill="auto"/>
                  <w:vAlign w:val="center"/>
                </w:tcPr>
                <w:p w14:paraId="6A9A93A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c>
                <w:tcPr>
                  <w:tcW w:w="416" w:type="pct"/>
                  <w:vAlign w:val="center"/>
                </w:tcPr>
                <w:p w14:paraId="024DC40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检验</w:t>
                  </w:r>
                </w:p>
              </w:tc>
              <w:tc>
                <w:tcPr>
                  <w:tcW w:w="496" w:type="pct"/>
                  <w:vAlign w:val="center"/>
                </w:tcPr>
                <w:p w14:paraId="7F07B6E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不合格产品</w:t>
                  </w:r>
                </w:p>
              </w:tc>
              <w:tc>
                <w:tcPr>
                  <w:tcW w:w="369" w:type="pct"/>
                  <w:vMerge w:val="continue"/>
                  <w:vAlign w:val="center"/>
                </w:tcPr>
                <w:p w14:paraId="06C5AA7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4" w:type="pct"/>
                  <w:vMerge w:val="continue"/>
                  <w:vAlign w:val="center"/>
                </w:tcPr>
                <w:p w14:paraId="3B6B9ED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Align w:val="center"/>
                </w:tcPr>
                <w:p w14:paraId="1729FDB2">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08F23C89">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563" w:type="pct"/>
                  <w:vAlign w:val="center"/>
                </w:tcPr>
                <w:p w14:paraId="358B61A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0.1</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771F06F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916" w:type="pct"/>
                  <w:vMerge w:val="continue"/>
                  <w:vAlign w:val="center"/>
                </w:tcPr>
                <w:p w14:paraId="385D8EBA">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2FE1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3" w:hRule="atLeast"/>
              </w:trPr>
              <w:tc>
                <w:tcPr>
                  <w:tcW w:w="267" w:type="pct"/>
                  <w:shd w:val="clear" w:color="auto" w:fill="auto"/>
                  <w:vAlign w:val="center"/>
                </w:tcPr>
                <w:p w14:paraId="6FD628C5">
                  <w:pPr>
                    <w:keepNext w:val="0"/>
                    <w:keepLines w:val="0"/>
                    <w:suppressLineNumbers w:val="0"/>
                    <w:spacing w:before="0" w:beforeAutospacing="0" w:after="0" w:afterAutospacing="0" w:line="360" w:lineRule="atLeas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416" w:type="pct"/>
                  <w:vAlign w:val="center"/>
                </w:tcPr>
                <w:p w14:paraId="1BBF0D7F">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裱纸</w:t>
                  </w:r>
                </w:p>
              </w:tc>
              <w:tc>
                <w:tcPr>
                  <w:tcW w:w="496" w:type="pct"/>
                  <w:vAlign w:val="center"/>
                </w:tcPr>
                <w:p w14:paraId="3AA171B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废胶桶</w:t>
                  </w:r>
                </w:p>
              </w:tc>
              <w:tc>
                <w:tcPr>
                  <w:tcW w:w="369" w:type="pct"/>
                  <w:vMerge w:val="continue"/>
                  <w:vAlign w:val="center"/>
                </w:tcPr>
                <w:p w14:paraId="5132152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4" w:type="pct"/>
                  <w:vMerge w:val="continue"/>
                  <w:vAlign w:val="center"/>
                </w:tcPr>
                <w:p w14:paraId="717862E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353" w:type="pct"/>
                  <w:vAlign w:val="center"/>
                </w:tcPr>
                <w:p w14:paraId="582F68F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087DB5B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563" w:type="pct"/>
                  <w:vAlign w:val="center"/>
                </w:tcPr>
                <w:p w14:paraId="3D6D421A">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w:t>
                  </w:r>
                </w:p>
              </w:tc>
              <w:tc>
                <w:tcPr>
                  <w:tcW w:w="356" w:type="pct"/>
                  <w:vAlign w:val="center"/>
                </w:tcPr>
                <w:p w14:paraId="2F1BA5E9">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16" w:type="pct"/>
                  <w:vMerge w:val="continue"/>
                  <w:vAlign w:val="center"/>
                </w:tcPr>
                <w:p w14:paraId="069BC4EF">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C24F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shd w:val="clear" w:color="auto" w:fill="auto"/>
                  <w:vAlign w:val="center"/>
                </w:tcPr>
                <w:p w14:paraId="7D8226B0">
                  <w:pPr>
                    <w:keepNext w:val="0"/>
                    <w:keepLines w:val="0"/>
                    <w:suppressLineNumbers w:val="0"/>
                    <w:spacing w:before="0" w:beforeAutospacing="0" w:after="0" w:afterAutospacing="0" w:line="360" w:lineRule="atLeas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416" w:type="pct"/>
                  <w:vMerge w:val="restart"/>
                  <w:vAlign w:val="center"/>
                </w:tcPr>
                <w:p w14:paraId="32D700CD">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印刷</w:t>
                  </w:r>
                </w:p>
              </w:tc>
              <w:tc>
                <w:tcPr>
                  <w:tcW w:w="496" w:type="pct"/>
                  <w:vAlign w:val="center"/>
                </w:tcPr>
                <w:p w14:paraId="7D9D567A">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废油墨桶</w:t>
                  </w:r>
                </w:p>
              </w:tc>
              <w:tc>
                <w:tcPr>
                  <w:tcW w:w="369" w:type="pct"/>
                  <w:vMerge w:val="restart"/>
                  <w:vAlign w:val="center"/>
                </w:tcPr>
                <w:p w14:paraId="312A16D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危险废物</w:t>
                  </w:r>
                </w:p>
              </w:tc>
              <w:tc>
                <w:tcPr>
                  <w:tcW w:w="824" w:type="pct"/>
                  <w:vAlign w:val="center"/>
                </w:tcPr>
                <w:p w14:paraId="720DB5B9">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HW49</w:t>
                  </w:r>
                </w:p>
                <w:p w14:paraId="419297A8">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53" w:type="pct"/>
                  <w:vAlign w:val="center"/>
                </w:tcPr>
                <w:p w14:paraId="17833A3E">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61817DA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t>
                  </w:r>
                </w:p>
              </w:tc>
              <w:tc>
                <w:tcPr>
                  <w:tcW w:w="563" w:type="pct"/>
                  <w:vAlign w:val="center"/>
                </w:tcPr>
                <w:p w14:paraId="44F2683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0.05</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737DCECA">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916" w:type="pct"/>
                  <w:vMerge w:val="restart"/>
                  <w:vAlign w:val="center"/>
                </w:tcPr>
                <w:p w14:paraId="144CC419">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专用容器分类收集，暂存于危废贮存库，定期交由有资质单位处置。</w:t>
                  </w:r>
                </w:p>
              </w:tc>
            </w:tr>
            <w:tr w14:paraId="746A1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shd w:val="clear" w:color="auto" w:fill="auto"/>
                  <w:vAlign w:val="center"/>
                </w:tcPr>
                <w:p w14:paraId="7D82D00F">
                  <w:pPr>
                    <w:keepNext w:val="0"/>
                    <w:keepLines w:val="0"/>
                    <w:suppressLineNumbers w:val="0"/>
                    <w:spacing w:before="0" w:beforeAutospacing="0" w:after="0" w:afterAutospacing="0" w:line="360" w:lineRule="atLeast"/>
                    <w:ind w:left="0" w:leftChars="0" w:right="0" w:righ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416" w:type="pct"/>
                  <w:vMerge w:val="continue"/>
                  <w:vAlign w:val="center"/>
                </w:tcPr>
                <w:p w14:paraId="608B1823">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496" w:type="pct"/>
                  <w:vAlign w:val="center"/>
                </w:tcPr>
                <w:p w14:paraId="2F91C370">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清洗废水</w:t>
                  </w:r>
                </w:p>
              </w:tc>
              <w:tc>
                <w:tcPr>
                  <w:tcW w:w="369" w:type="pct"/>
                  <w:vMerge w:val="continue"/>
                  <w:vAlign w:val="center"/>
                </w:tcPr>
                <w:p w14:paraId="4A136674">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824" w:type="pct"/>
                  <w:vAlign w:val="center"/>
                </w:tcPr>
                <w:p w14:paraId="111C35A4">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HW12</w:t>
                  </w:r>
                </w:p>
                <w:p w14:paraId="37229903">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264-013-12</w:t>
                  </w:r>
                </w:p>
              </w:tc>
              <w:tc>
                <w:tcPr>
                  <w:tcW w:w="353" w:type="pct"/>
                  <w:vAlign w:val="center"/>
                </w:tcPr>
                <w:p w14:paraId="25E14C8B">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液态</w:t>
                  </w:r>
                </w:p>
              </w:tc>
              <w:tc>
                <w:tcPr>
                  <w:tcW w:w="435" w:type="pct"/>
                  <w:vAlign w:val="center"/>
                </w:tcPr>
                <w:p w14:paraId="45D7657E">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t>
                  </w:r>
                </w:p>
              </w:tc>
              <w:tc>
                <w:tcPr>
                  <w:tcW w:w="563" w:type="pct"/>
                  <w:vAlign w:val="center"/>
                </w:tcPr>
                <w:p w14:paraId="2704878C">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2.25</w:t>
                  </w:r>
                </w:p>
              </w:tc>
              <w:tc>
                <w:tcPr>
                  <w:tcW w:w="356" w:type="pct"/>
                  <w:vAlign w:val="center"/>
                </w:tcPr>
                <w:p w14:paraId="60F996F8">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桶装</w:t>
                  </w:r>
                </w:p>
              </w:tc>
              <w:tc>
                <w:tcPr>
                  <w:tcW w:w="916" w:type="pct"/>
                  <w:vMerge w:val="continue"/>
                  <w:vAlign w:val="center"/>
                </w:tcPr>
                <w:p w14:paraId="28FA7535">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r>
            <w:tr w14:paraId="5632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shd w:val="clear" w:color="auto" w:fill="auto"/>
                  <w:vAlign w:val="center"/>
                </w:tcPr>
                <w:p w14:paraId="2EC5C400">
                  <w:pPr>
                    <w:keepNext w:val="0"/>
                    <w:keepLines w:val="0"/>
                    <w:suppressLineNumbers w:val="0"/>
                    <w:spacing w:before="0" w:beforeAutospacing="0" w:after="0" w:afterAutospacing="0" w:line="360" w:lineRule="atLeas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c>
                <w:tcPr>
                  <w:tcW w:w="416" w:type="pct"/>
                  <w:vAlign w:val="center"/>
                </w:tcPr>
                <w:p w14:paraId="7D113728">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废气处理</w:t>
                  </w:r>
                </w:p>
              </w:tc>
              <w:tc>
                <w:tcPr>
                  <w:tcW w:w="496" w:type="pct"/>
                  <w:vAlign w:val="center"/>
                </w:tcPr>
                <w:p w14:paraId="256330BF">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废活性炭</w:t>
                  </w:r>
                </w:p>
              </w:tc>
              <w:tc>
                <w:tcPr>
                  <w:tcW w:w="369" w:type="pct"/>
                  <w:vMerge w:val="continue"/>
                  <w:vAlign w:val="center"/>
                </w:tcPr>
                <w:p w14:paraId="4AED7C0F">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24" w:type="pct"/>
                  <w:vAlign w:val="center"/>
                </w:tcPr>
                <w:p w14:paraId="046FE118">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HW49</w:t>
                  </w:r>
                </w:p>
                <w:p w14:paraId="7636AE18">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900-039-49</w:t>
                  </w:r>
                </w:p>
              </w:tc>
              <w:tc>
                <w:tcPr>
                  <w:tcW w:w="353" w:type="pct"/>
                  <w:vAlign w:val="center"/>
                </w:tcPr>
                <w:p w14:paraId="1372EAC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6F8FB215">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t>
                  </w:r>
                </w:p>
              </w:tc>
              <w:tc>
                <w:tcPr>
                  <w:tcW w:w="563" w:type="pct"/>
                  <w:vAlign w:val="center"/>
                </w:tcPr>
                <w:p w14:paraId="288ACB0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0.24</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42B58139">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袋装</w:t>
                  </w:r>
                </w:p>
              </w:tc>
              <w:tc>
                <w:tcPr>
                  <w:tcW w:w="916" w:type="pct"/>
                  <w:vMerge w:val="continue"/>
                  <w:vAlign w:val="center"/>
                </w:tcPr>
                <w:p w14:paraId="4AC3675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r>
            <w:tr w14:paraId="7933D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shd w:val="clear" w:color="auto" w:fill="auto"/>
                  <w:vAlign w:val="center"/>
                </w:tcPr>
                <w:p w14:paraId="5CA05197">
                  <w:pPr>
                    <w:keepNext w:val="0"/>
                    <w:keepLines w:val="0"/>
                    <w:suppressLineNumbers w:val="0"/>
                    <w:spacing w:before="0" w:beforeAutospacing="0" w:after="0" w:afterAutospacing="0" w:line="360" w:lineRule="atLeast"/>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416" w:type="pct"/>
                  <w:vMerge w:val="restart"/>
                  <w:vAlign w:val="center"/>
                </w:tcPr>
                <w:p w14:paraId="15BD1A1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设备维修</w:t>
                  </w:r>
                </w:p>
              </w:tc>
              <w:tc>
                <w:tcPr>
                  <w:tcW w:w="496" w:type="pct"/>
                  <w:vAlign w:val="center"/>
                </w:tcPr>
                <w:p w14:paraId="3396C3A5">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废矿物油</w:t>
                  </w:r>
                </w:p>
              </w:tc>
              <w:tc>
                <w:tcPr>
                  <w:tcW w:w="369" w:type="pct"/>
                  <w:vMerge w:val="continue"/>
                  <w:vAlign w:val="center"/>
                </w:tcPr>
                <w:p w14:paraId="10C02B2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24" w:type="pct"/>
                  <w:vAlign w:val="center"/>
                </w:tcPr>
                <w:p w14:paraId="4CF21D79">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HW08</w:t>
                  </w:r>
                </w:p>
                <w:p w14:paraId="0B6D0C16">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900-218-08</w:t>
                  </w:r>
                </w:p>
              </w:tc>
              <w:tc>
                <w:tcPr>
                  <w:tcW w:w="353" w:type="pct"/>
                  <w:vAlign w:val="center"/>
                </w:tcPr>
                <w:p w14:paraId="328E14C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液态</w:t>
                  </w:r>
                </w:p>
              </w:tc>
              <w:tc>
                <w:tcPr>
                  <w:tcW w:w="435" w:type="pct"/>
                  <w:vAlign w:val="center"/>
                </w:tcPr>
                <w:p w14:paraId="5EBC33CE">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T，I</w:t>
                  </w:r>
                </w:p>
              </w:tc>
              <w:tc>
                <w:tcPr>
                  <w:tcW w:w="563" w:type="pct"/>
                  <w:vAlign w:val="center"/>
                </w:tcPr>
                <w:p w14:paraId="444FD679">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1BFBEE8C">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桶装</w:t>
                  </w:r>
                </w:p>
              </w:tc>
              <w:tc>
                <w:tcPr>
                  <w:tcW w:w="916" w:type="pct"/>
                  <w:vMerge w:val="continue"/>
                  <w:vAlign w:val="center"/>
                </w:tcPr>
                <w:p w14:paraId="506C15D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3C23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7" w:type="pct"/>
                  <w:vAlign w:val="center"/>
                </w:tcPr>
                <w:p w14:paraId="063C1204">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416" w:type="pct"/>
                  <w:vMerge w:val="continue"/>
                  <w:vAlign w:val="center"/>
                </w:tcPr>
                <w:p w14:paraId="491352E3">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496" w:type="pct"/>
                  <w:vAlign w:val="center"/>
                </w:tcPr>
                <w:p w14:paraId="55CF2DFD">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废含油抹布</w:t>
                  </w:r>
                </w:p>
              </w:tc>
              <w:tc>
                <w:tcPr>
                  <w:tcW w:w="369" w:type="pct"/>
                  <w:vMerge w:val="continue"/>
                  <w:vAlign w:val="center"/>
                </w:tcPr>
                <w:p w14:paraId="2A4D190A">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c>
                <w:tcPr>
                  <w:tcW w:w="824" w:type="pct"/>
                  <w:vAlign w:val="center"/>
                </w:tcPr>
                <w:p w14:paraId="5043CF02">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HW49</w:t>
                  </w:r>
                </w:p>
                <w:p w14:paraId="0A36941A">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900-041-49</w:t>
                  </w:r>
                </w:p>
              </w:tc>
              <w:tc>
                <w:tcPr>
                  <w:tcW w:w="353" w:type="pct"/>
                  <w:vAlign w:val="center"/>
                </w:tcPr>
                <w:p w14:paraId="4EEF3E5F">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固态</w:t>
                  </w:r>
                </w:p>
              </w:tc>
              <w:tc>
                <w:tcPr>
                  <w:tcW w:w="435" w:type="pct"/>
                  <w:vAlign w:val="center"/>
                </w:tcPr>
                <w:p w14:paraId="329E0AC3">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T</w:t>
                  </w:r>
                </w:p>
              </w:tc>
              <w:tc>
                <w:tcPr>
                  <w:tcW w:w="563" w:type="pct"/>
                  <w:vAlign w:val="center"/>
                </w:tcPr>
                <w:p w14:paraId="28C709F4">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0.002</w:t>
                  </w:r>
                  <w:r>
                    <w:rPr>
                      <w:rFonts w:hint="default" w:ascii="Times New Roman" w:hAnsi="Times New Roman" w:cs="Times New Roman"/>
                      <w:color w:val="000000" w:themeColor="text1"/>
                      <w:sz w:val="21"/>
                      <w:szCs w:val="21"/>
                      <w14:textFill>
                        <w14:solidFill>
                          <w14:schemeClr w14:val="tx1"/>
                        </w14:solidFill>
                      </w14:textFill>
                    </w:rPr>
                    <w:t>t/a</w:t>
                  </w:r>
                </w:p>
              </w:tc>
              <w:tc>
                <w:tcPr>
                  <w:tcW w:w="356" w:type="pct"/>
                  <w:vAlign w:val="center"/>
                </w:tcPr>
                <w:p w14:paraId="2A8418B0">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袋装</w:t>
                  </w:r>
                </w:p>
              </w:tc>
              <w:tc>
                <w:tcPr>
                  <w:tcW w:w="916" w:type="pct"/>
                  <w:vMerge w:val="continue"/>
                  <w:vAlign w:val="center"/>
                </w:tcPr>
                <w:p w14:paraId="2B2983BA">
                  <w:pPr>
                    <w:keepNext w:val="0"/>
                    <w:keepLines w:val="0"/>
                    <w:suppressLineNumbers w:val="0"/>
                    <w:spacing w:before="0" w:beforeAutospacing="0" w:after="0" w:afterAutospacing="0" w:line="360" w:lineRule="atLeast"/>
                    <w:ind w:left="0" w:right="0" w:firstLine="0" w:firstLineChars="0"/>
                    <w:jc w:val="center"/>
                    <w:rPr>
                      <w:rFonts w:hint="eastAsia" w:cs="Times New Roman"/>
                      <w:color w:val="000000" w:themeColor="text1"/>
                      <w:sz w:val="21"/>
                      <w:szCs w:val="21"/>
                      <w:lang w:val="en-US" w:eastAsia="zh-CN"/>
                      <w14:textFill>
                        <w14:solidFill>
                          <w14:schemeClr w14:val="tx1"/>
                        </w14:solidFill>
                      </w14:textFill>
                    </w:rPr>
                  </w:pPr>
                </w:p>
              </w:tc>
            </w:tr>
          </w:tbl>
          <w:p w14:paraId="1D54EC17">
            <w:pPr>
              <w:keepNext w:val="0"/>
              <w:keepLines w:val="0"/>
              <w:suppressLineNumbers w:val="0"/>
              <w:spacing w:before="0" w:beforeAutospacing="0" w:after="0" w:afterAutospacing="0"/>
              <w:ind w:left="0" w:right="0" w:firstLine="480"/>
              <w:rPr>
                <w:rFonts w:hint="default"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一般固体废物管理要求：</w:t>
            </w:r>
          </w:p>
          <w:p w14:paraId="3B9FD780">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项目拟在</w:t>
            </w:r>
            <w:r>
              <w:rPr>
                <w:rFonts w:hint="eastAsia" w:cs="Times New Roman"/>
                <w:color w:val="000000" w:themeColor="text1"/>
                <w:lang w:val="en-US" w:eastAsia="zh-CN"/>
                <w14:textFill>
                  <w14:solidFill>
                    <w14:schemeClr w14:val="tx1"/>
                  </w14:solidFill>
                </w14:textFill>
              </w:rPr>
              <w:t>生产厂房装卸区</w:t>
            </w:r>
            <w:r>
              <w:rPr>
                <w:rFonts w:hint="default" w:ascii="Times New Roman" w:hAnsi="Times New Roman" w:cs="Times New Roman"/>
                <w:color w:val="000000" w:themeColor="text1"/>
                <w:lang w:val="en-US" w:eastAsia="zh-CN"/>
                <w14:textFill>
                  <w14:solidFill>
                    <w14:schemeClr w14:val="tx1"/>
                  </w14:solidFill>
                </w14:textFill>
              </w:rPr>
              <w:t>东</w:t>
            </w:r>
            <w:r>
              <w:rPr>
                <w:rFonts w:hint="eastAsia" w:cs="Times New Roman"/>
                <w:color w:val="000000" w:themeColor="text1"/>
                <w:lang w:val="en-US" w:eastAsia="zh-CN"/>
                <w14:textFill>
                  <w14:solidFill>
                    <w14:schemeClr w14:val="tx1"/>
                  </w14:solidFill>
                </w14:textFill>
              </w:rPr>
              <w:t>侧</w:t>
            </w:r>
            <w:r>
              <w:rPr>
                <w:rFonts w:hint="default" w:ascii="Times New Roman" w:hAnsi="Times New Roman" w:cs="Times New Roman"/>
                <w:color w:val="000000" w:themeColor="text1"/>
                <w:lang w:val="en-US" w:eastAsia="zh-CN"/>
                <w14:textFill>
                  <w14:solidFill>
                    <w14:schemeClr w14:val="tx1"/>
                  </w14:solidFill>
                </w14:textFill>
              </w:rPr>
              <w:t>设置一处一般固废暂存区（面积</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00m</w:t>
            </w:r>
            <w:r>
              <w:rPr>
                <w:rFonts w:hint="default" w:ascii="Times New Roman" w:hAnsi="Times New Roman" w:cs="Times New Roman"/>
                <w:color w:val="000000" w:themeColor="text1"/>
                <w:vertAlign w:val="superscript"/>
                <w:lang w:val="en-US" w:eastAsia="zh-CN"/>
                <w14:textFill>
                  <w14:solidFill>
                    <w14:schemeClr w14:val="tx1"/>
                  </w14:solidFill>
                </w14:textFill>
              </w:rPr>
              <w:t>2</w:t>
            </w:r>
            <w:r>
              <w:rPr>
                <w:rFonts w:hint="default" w:ascii="Times New Roman" w:hAnsi="Times New Roman" w:cs="Times New Roman"/>
                <w:color w:val="000000" w:themeColor="text1"/>
                <w:lang w:val="en-US" w:eastAsia="zh-CN"/>
                <w14:textFill>
                  <w14:solidFill>
                    <w14:schemeClr w14:val="tx1"/>
                  </w14:solidFill>
                </w14:textFill>
              </w:rPr>
              <w:t>），用于一般固废（废边角料、不合格产品、废胶桶等）的暂存，定期外售</w:t>
            </w:r>
            <w:r>
              <w:rPr>
                <w:rFonts w:hint="eastAsia" w:cs="Times New Roman"/>
                <w:color w:val="000000" w:themeColor="text1"/>
                <w:lang w:val="en-US" w:eastAsia="zh-CN"/>
                <w14:textFill>
                  <w14:solidFill>
                    <w14:schemeClr w14:val="tx1"/>
                  </w14:solidFill>
                </w14:textFill>
              </w:rPr>
              <w:t>综合利用</w:t>
            </w:r>
            <w:r>
              <w:rPr>
                <w:rFonts w:hint="default" w:ascii="Times New Roman" w:hAnsi="Times New Roman" w:cs="Times New Roman"/>
                <w:color w:val="000000" w:themeColor="text1"/>
                <w:lang w:val="en-US" w:eastAsia="zh-CN"/>
                <w14:textFill>
                  <w14:solidFill>
                    <w14:schemeClr w14:val="tx1"/>
                  </w14:solidFill>
                </w14:textFill>
              </w:rPr>
              <w:t>。根据《中华人民共和国固体废物污染环境防治法》（2020年9月1日）、《一般工业固体废物贮存和填埋污染控制标准》（GB18599-2020）等相关法律法规的要求，针对项目一般工业固废贮存提出如下要求：</w:t>
            </w:r>
          </w:p>
          <w:p w14:paraId="498C812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①贮存场所地面硬化，设顶棚、围墙，达到防扬散、防流失、防渗漏等要求，不得擅自倾倒、堆放、丢弃、遗撒固体废物；</w:t>
            </w:r>
          </w:p>
          <w:p w14:paraId="1C86F8F5">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②贮存场所应按《环境保护图形标志-固体废物贮存（处置）场》（GB15562.2-1995）设置环境保护图形标志，并定期检查和维护；</w:t>
            </w:r>
          </w:p>
          <w:p w14:paraId="31810B16">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③贮存场所应制定运行计划；</w:t>
            </w:r>
          </w:p>
          <w:p w14:paraId="7D7CCD8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④落实一般工业固体废物处置方案，签订协议，尽可能及时外运，避免长期堆存；</w:t>
            </w:r>
          </w:p>
          <w:p w14:paraId="1F297912">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⑤一般工业固体废物贮存、处置场所，禁止危险废物和生活垃圾混入。</w:t>
            </w:r>
          </w:p>
          <w:p w14:paraId="14984118">
            <w:pPr>
              <w:keepNext w:val="0"/>
              <w:keepLines w:val="0"/>
              <w:suppressLineNumbers w:val="0"/>
              <w:spacing w:before="0" w:beforeAutospacing="0" w:after="0" w:afterAutospacing="0"/>
              <w:ind w:left="0" w:right="0" w:firstLine="480"/>
              <w:rPr>
                <w:rFonts w:hint="eastAsia" w:ascii="Times New Roman" w:hAnsi="Times New Roman" w:cs="Times New Roman"/>
                <w:b/>
                <w:bCs/>
                <w:color w:val="000000" w:themeColor="text1"/>
                <w:lang w:val="en-US" w:eastAsia="zh-CN"/>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危险废物管理要求</w:t>
            </w:r>
            <w:r>
              <w:rPr>
                <w:rFonts w:hint="eastAsia" w:ascii="Times New Roman" w:hAnsi="Times New Roman" w:cs="Times New Roman"/>
                <w:b/>
                <w:bCs/>
                <w:color w:val="000000" w:themeColor="text1"/>
                <w:lang w:val="en-US" w:eastAsia="zh-CN"/>
                <w14:textFill>
                  <w14:solidFill>
                    <w14:schemeClr w14:val="tx1"/>
                  </w14:solidFill>
                </w14:textFill>
              </w:rPr>
              <w:t>：</w:t>
            </w:r>
          </w:p>
          <w:p w14:paraId="709243CA">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本项目拟建1间危废贮存库，位于库房内西北角，建筑面积约10m</w:t>
            </w:r>
            <w:r>
              <w:rPr>
                <w:rFonts w:hint="eastAsia" w:cs="Times New Roman"/>
                <w:color w:val="000000" w:themeColor="text1"/>
                <w:vertAlign w:val="superscript"/>
                <w:lang w:val="en-US" w:eastAsia="zh-CN"/>
                <w14:textFill>
                  <w14:solidFill>
                    <w14:schemeClr w14:val="tx1"/>
                  </w14:solidFill>
                </w14:textFill>
              </w:rPr>
              <w:t>2</w:t>
            </w:r>
            <w:r>
              <w:rPr>
                <w:rFonts w:hint="eastAsia" w:cs="Times New Roman"/>
                <w:color w:val="000000" w:themeColor="text1"/>
                <w:lang w:val="en-US" w:eastAsia="zh-CN"/>
                <w14:textFill>
                  <w14:solidFill>
                    <w14:schemeClr w14:val="tx1"/>
                  </w14:solidFill>
                </w14:textFill>
              </w:rPr>
              <w:t>，主要用于危险废物（废油墨桶、清洗废水、废活性炭、废矿物油、废含油抹布等）的暂存，危险废物经专用容器分类收集后暂存于危废贮存库，定期交由有资质单位处置。根据《危险废物转移管理办法》（部令第23号）、《陕西省固体废物污染环境防治条例》、《危险废物贮存污染控制标准》（GB18597-2023）以及《陕西省危险废物转移电子联单管理办法（试行）》等的相关要求，针对项目危险废物收集、贮存、转移提出如下要求：</w:t>
            </w:r>
          </w:p>
          <w:p w14:paraId="02E35FE3">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①一般规定：</w:t>
            </w:r>
          </w:p>
          <w:p w14:paraId="2F5735C0">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A、贮存设施应根据危险废物的形态、物理化学性质、包装形式和污染物迁移途径，采取必要的防风、防晒、防雨、防漏、防渗、防腐以及其他环境污染防治措施，不露天堆放危险废物。</w:t>
            </w:r>
          </w:p>
          <w:p w14:paraId="25AC4D13">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B、贮存设施应根据危险废物的类别、数量、形态、物理化学性质和污染防治等要求设置必要的贮存分区，避免不相容的危险废物接触、混合。</w:t>
            </w:r>
          </w:p>
          <w:p w14:paraId="11653BFF">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C、贮存设施或贮存分区内地面、墙面裙脚、堵截泄漏的围堰、接触危险废物的隔板和墙体等应采用坚固的材料建造，表面无裂缝。</w:t>
            </w:r>
          </w:p>
          <w:p w14:paraId="315B4B7D">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cs="Times New Roman"/>
                <w:color w:val="000000" w:themeColor="text1"/>
                <w:vertAlign w:val="superscript"/>
                <w:lang w:val="en-US" w:eastAsia="zh-CN"/>
                <w14:textFill>
                  <w14:solidFill>
                    <w14:schemeClr w14:val="tx1"/>
                  </w14:solidFill>
                </w14:textFill>
              </w:rPr>
              <w:t>-7</w:t>
            </w:r>
            <w:r>
              <w:rPr>
                <w:rFonts w:hint="eastAsia" w:cs="Times New Roman"/>
                <w:color w:val="000000" w:themeColor="text1"/>
                <w:lang w:val="en-US" w:eastAsia="zh-CN"/>
                <w14:textFill>
                  <w14:solidFill>
                    <w14:schemeClr w14:val="tx1"/>
                  </w14:solidFill>
                </w14:textFill>
              </w:rPr>
              <w:t>cm/s)，或至少2mm厚高密度聚乙烯膜等人工防渗材料(渗透系数不大于10</w:t>
            </w:r>
            <w:r>
              <w:rPr>
                <w:rFonts w:hint="eastAsia" w:cs="Times New Roman"/>
                <w:color w:val="000000" w:themeColor="text1"/>
                <w:vertAlign w:val="superscript"/>
                <w:lang w:val="en-US" w:eastAsia="zh-CN"/>
                <w14:textFill>
                  <w14:solidFill>
                    <w14:schemeClr w14:val="tx1"/>
                  </w14:solidFill>
                </w14:textFill>
              </w:rPr>
              <w:t>-10</w:t>
            </w:r>
            <w:r>
              <w:rPr>
                <w:rFonts w:hint="eastAsia" w:cs="Times New Roman"/>
                <w:color w:val="000000" w:themeColor="text1"/>
                <w:lang w:val="en-US" w:eastAsia="zh-CN"/>
                <w14:textFill>
                  <w14:solidFill>
                    <w14:schemeClr w14:val="tx1"/>
                  </w14:solidFill>
                </w14:textFill>
              </w:rPr>
              <w:t>cm/s)，或其他防渗性能等效的材料。</w:t>
            </w:r>
          </w:p>
          <w:p w14:paraId="63CC8855">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E、同一贮存设施宜采用相同的防渗、防腐工艺(包括防渗、防腐结构或材料)，防渗、防腐材料应覆盖所有可能与废物及其渗滤液、渗漏液等接触的构筑物表面；采用不同防渗、防腐工艺应分别建设贮存分区。</w:t>
            </w:r>
          </w:p>
          <w:p w14:paraId="6DAA908B">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②贮存库</w:t>
            </w:r>
          </w:p>
          <w:p w14:paraId="1D7E220C">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A、贮存库内不同贮存分区之间应采取隔离措施。隔离措施可根据危险废物特性采用过道、隔板或隔墙等方式。</w:t>
            </w:r>
          </w:p>
          <w:p w14:paraId="56050E12">
            <w:pPr>
              <w:keepNext w:val="0"/>
              <w:keepLines w:val="0"/>
              <w:suppressLineNumbers w:val="0"/>
              <w:spacing w:before="0" w:beforeAutospacing="0" w:after="0" w:afterAutospacing="0"/>
              <w:ind w:left="0" w:right="0" w:firstLine="480"/>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B、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0A45046C">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C、建立危险废物管理责任制度，指派专人严格按照规定进行管理，严格按照国家和地方的相关规定对危险废物进行全过程管理</w:t>
            </w:r>
            <w:r>
              <w:rPr>
                <w:rFonts w:hint="default" w:ascii="Times New Roman" w:hAnsi="Times New Roman" w:cs="Times New Roman"/>
                <w:color w:val="000000" w:themeColor="text1"/>
                <w:lang w:val="en-US" w:eastAsia="zh-CN"/>
                <w14:textFill>
                  <w14:solidFill>
                    <w14:schemeClr w14:val="tx1"/>
                  </w14:solidFill>
                </w14:textFill>
              </w:rPr>
              <w:t>。</w:t>
            </w:r>
          </w:p>
          <w:p w14:paraId="0BE62882">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在采取以上措施后，</w:t>
            </w:r>
            <w:r>
              <w:rPr>
                <w:rFonts w:hint="default" w:ascii="Times New Roman" w:hAnsi="Times New Roman" w:cs="Times New Roman"/>
                <w:color w:val="000000" w:themeColor="text1"/>
                <w:lang w:val="en-US" w:eastAsia="zh-CN"/>
                <w14:textFill>
                  <w14:solidFill>
                    <w14:schemeClr w14:val="tx1"/>
                  </w14:solidFill>
                </w14:textFill>
              </w:rPr>
              <w:t>本项目产生的固体废物均能得到妥善</w:t>
            </w:r>
            <w:r>
              <w:rPr>
                <w:rFonts w:hint="eastAsia" w:cs="Times New Roman"/>
                <w:color w:val="000000" w:themeColor="text1"/>
                <w:lang w:val="en-US" w:eastAsia="zh-CN"/>
                <w14:textFill>
                  <w14:solidFill>
                    <w14:schemeClr w14:val="tx1"/>
                  </w14:solidFill>
                </w14:textFill>
              </w:rPr>
              <w:t>处置</w:t>
            </w:r>
            <w:r>
              <w:rPr>
                <w:rFonts w:hint="default" w:ascii="Times New Roman" w:hAnsi="Times New Roman" w:cs="Times New Roman"/>
                <w:color w:val="000000" w:themeColor="text1"/>
                <w:lang w:val="en-US" w:eastAsia="zh-CN"/>
                <w14:textFill>
                  <w14:solidFill>
                    <w14:schemeClr w14:val="tx1"/>
                  </w14:solidFill>
                </w14:textFill>
              </w:rPr>
              <w:t>。</w:t>
            </w:r>
          </w:p>
          <w:p w14:paraId="0CCC9CD4">
            <w:pPr>
              <w:keepNext w:val="0"/>
              <w:keepLines w:val="0"/>
              <w:suppressLineNumbers w:val="0"/>
              <w:spacing w:before="0" w:beforeAutospacing="0" w:after="0" w:afterAutospacing="0"/>
              <w:ind w:left="0" w:right="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五、地下水、土壤</w:t>
            </w:r>
          </w:p>
          <w:p w14:paraId="04CFC740">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本项目租赁已建成厂房，目前厂房地面已硬化处理；危废贮存库</w:t>
            </w:r>
            <w:r>
              <w:rPr>
                <w:rFonts w:hint="eastAsia" w:cs="Times New Roman"/>
                <w:color w:val="000000" w:themeColor="text1"/>
                <w:lang w:val="en-US" w:eastAsia="zh-CN"/>
                <w14:textFill>
                  <w14:solidFill>
                    <w14:schemeClr w14:val="tx1"/>
                  </w14:solidFill>
                </w14:textFill>
              </w:rPr>
              <w:t>地面</w:t>
            </w:r>
            <w:r>
              <w:rPr>
                <w:rFonts w:hint="default" w:ascii="Times New Roman" w:hAnsi="Times New Roman" w:cs="Times New Roman"/>
                <w:color w:val="000000" w:themeColor="text1"/>
                <w:lang w:val="en-US" w:eastAsia="zh-CN"/>
                <w14:textFill>
                  <w14:solidFill>
                    <w14:schemeClr w14:val="tx1"/>
                  </w14:solidFill>
                </w14:textFill>
              </w:rPr>
              <w:t>后期按要求进行防渗</w:t>
            </w:r>
            <w:r>
              <w:rPr>
                <w:rFonts w:hint="eastAsia" w:cs="Times New Roman"/>
                <w:color w:val="000000" w:themeColor="text1"/>
                <w:lang w:val="en-US" w:eastAsia="zh-CN"/>
                <w14:textFill>
                  <w14:solidFill>
                    <w14:schemeClr w14:val="tx1"/>
                  </w14:solidFill>
                </w14:textFill>
              </w:rPr>
              <w:t>处理</w:t>
            </w:r>
            <w:r>
              <w:rPr>
                <w:rFonts w:hint="default" w:ascii="Times New Roman" w:hAnsi="Times New Roman" w:cs="Times New Roman"/>
                <w:color w:val="000000" w:themeColor="text1"/>
                <w:lang w:val="en-US" w:eastAsia="zh-CN"/>
                <w14:textFill>
                  <w14:solidFill>
                    <w14:schemeClr w14:val="tx1"/>
                  </w14:solidFill>
                </w14:textFill>
              </w:rPr>
              <w:t>，建设项目不存在土壤、地下水环境污染途径</w:t>
            </w:r>
            <w:r>
              <w:rPr>
                <w:rFonts w:hint="default" w:ascii="Times New Roman" w:hAnsi="Times New Roman" w:cs="Times New Roman"/>
                <w:color w:val="000000" w:themeColor="text1"/>
                <w14:textFill>
                  <w14:solidFill>
                    <w14:schemeClr w14:val="tx1"/>
                  </w14:solidFill>
                </w14:textFill>
              </w:rPr>
              <w:t>。</w:t>
            </w:r>
          </w:p>
          <w:p w14:paraId="26E83070">
            <w:pPr>
              <w:keepNext w:val="0"/>
              <w:keepLines w:val="0"/>
              <w:suppressLineNumbers w:val="0"/>
              <w:adjustRightInd w:val="0"/>
              <w:snapToGrid w:val="0"/>
              <w:spacing w:before="0" w:beforeAutospacing="0" w:after="0" w:afterAutospacing="0"/>
              <w:ind w:left="0" w:right="0" w:firstLine="442"/>
              <w:rPr>
                <w:rFonts w:hint="default" w:ascii="Times New Roman" w:hAnsi="Times New Roman" w:cs="Times New Roman"/>
                <w:b/>
                <w:color w:val="000000" w:themeColor="text1"/>
                <w:spacing w:val="-10"/>
                <w:szCs w:val="21"/>
                <w14:textFill>
                  <w14:solidFill>
                    <w14:schemeClr w14:val="tx1"/>
                  </w14:solidFill>
                </w14:textFill>
              </w:rPr>
            </w:pPr>
            <w:r>
              <w:rPr>
                <w:rFonts w:hint="default" w:ascii="Times New Roman" w:hAnsi="Times New Roman" w:cs="Times New Roman"/>
                <w:b/>
                <w:color w:val="000000" w:themeColor="text1"/>
                <w:spacing w:val="-10"/>
                <w:szCs w:val="21"/>
                <w14:textFill>
                  <w14:solidFill>
                    <w14:schemeClr w14:val="tx1"/>
                  </w14:solidFill>
                </w14:textFill>
              </w:rPr>
              <w:t>六、环境风险</w:t>
            </w:r>
          </w:p>
          <w:p w14:paraId="0B273AD2">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1、风险物质及风险源</w:t>
            </w:r>
          </w:p>
          <w:p w14:paraId="63D89045">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根据《建设项目环境风险评价技术导则》（HJ/T 169-2018），本项目运营期涉及的危险物质主要为</w:t>
            </w:r>
            <w:r>
              <w:rPr>
                <w:rFonts w:hint="eastAsia" w:cs="Times New Roman"/>
                <w:color w:val="000000" w:themeColor="text1"/>
                <w:lang w:val="en-US" w:eastAsia="zh-CN"/>
                <w14:textFill>
                  <w14:solidFill>
                    <w14:schemeClr w14:val="tx1"/>
                  </w14:solidFill>
                </w14:textFill>
              </w:rPr>
              <w:t>机油和废机油</w:t>
            </w:r>
            <w:r>
              <w:rPr>
                <w:rFonts w:hint="default" w:ascii="Times New Roman" w:hAnsi="Times New Roman" w:cs="Times New Roman"/>
                <w:color w:val="000000" w:themeColor="text1"/>
                <w14:textFill>
                  <w14:solidFill>
                    <w14:schemeClr w14:val="tx1"/>
                  </w14:solidFill>
                </w14:textFill>
              </w:rPr>
              <w:t>。</w:t>
            </w:r>
          </w:p>
          <w:p w14:paraId="23D2410E">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危险物质临界量参考《建设项目环境风险评价技术导则》（HJ169-2018）附录B，详见表4-1</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w:t>
            </w:r>
          </w:p>
          <w:p w14:paraId="78F43F7C">
            <w:pPr>
              <w:keepNext w:val="0"/>
              <w:keepLines w:val="0"/>
              <w:pageBreakBefore w:val="0"/>
              <w:widowControl w:val="0"/>
              <w:suppressLineNumbers w:val="0"/>
              <w:tabs>
                <w:tab w:val="left" w:pos="8607"/>
              </w:tabs>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表4-1</w:t>
            </w:r>
            <w:r>
              <w:rPr>
                <w:rFonts w:hint="eastAsia" w:eastAsia="黑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黑体" w:cs="Times New Roman"/>
                <w:b w:val="0"/>
                <w:bCs w:val="0"/>
                <w:color w:val="000000" w:themeColor="text1"/>
                <w:sz w:val="24"/>
                <w:szCs w:val="24"/>
                <w14:textFill>
                  <w14:solidFill>
                    <w14:schemeClr w14:val="tx1"/>
                  </w14:solidFill>
                </w14:textFill>
              </w:rPr>
              <w:t xml:space="preserve">  危险品最大贮存量及其临界量一览表</w:t>
            </w:r>
          </w:p>
          <w:tbl>
            <w:tblPr>
              <w:tblStyle w:val="21"/>
              <w:tblW w:w="4993"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796"/>
              <w:gridCol w:w="2069"/>
              <w:gridCol w:w="1768"/>
              <w:gridCol w:w="1469"/>
              <w:gridCol w:w="1855"/>
            </w:tblGrid>
            <w:tr w14:paraId="78C54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5" w:hRule="atLeast"/>
                <w:jc w:val="center"/>
              </w:trPr>
              <w:tc>
                <w:tcPr>
                  <w:tcW w:w="500" w:type="pct"/>
                  <w:vAlign w:val="center"/>
                </w:tcPr>
                <w:p w14:paraId="5C14A7E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1300" w:type="pct"/>
                  <w:vAlign w:val="center"/>
                </w:tcPr>
                <w:p w14:paraId="731D95C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危险品名称</w:t>
                  </w:r>
                </w:p>
              </w:tc>
              <w:tc>
                <w:tcPr>
                  <w:tcW w:w="1111" w:type="pct"/>
                  <w:vAlign w:val="center"/>
                </w:tcPr>
                <w:p w14:paraId="21D828D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最大暂存量</w:t>
                  </w:r>
                </w:p>
              </w:tc>
              <w:tc>
                <w:tcPr>
                  <w:tcW w:w="921" w:type="pct"/>
                  <w:vAlign w:val="center"/>
                </w:tcPr>
                <w:p w14:paraId="4C241377">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临界量（t）</w:t>
                  </w:r>
                </w:p>
              </w:tc>
              <w:tc>
                <w:tcPr>
                  <w:tcW w:w="1165" w:type="pct"/>
                  <w:vAlign w:val="center"/>
                </w:tcPr>
                <w:p w14:paraId="59B9C684">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Q</w:t>
                  </w:r>
                </w:p>
              </w:tc>
            </w:tr>
            <w:tr w14:paraId="4CD30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 w:type="pct"/>
                  <w:vAlign w:val="center"/>
                </w:tcPr>
                <w:p w14:paraId="412A598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300" w:type="pct"/>
                  <w:vAlign w:val="center"/>
                </w:tcPr>
                <w:p w14:paraId="311C3BC0">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机油</w:t>
                  </w:r>
                </w:p>
              </w:tc>
              <w:tc>
                <w:tcPr>
                  <w:tcW w:w="1111" w:type="pct"/>
                  <w:vAlign w:val="center"/>
                </w:tcPr>
                <w:p w14:paraId="4330FD15">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0.02</w:t>
                  </w:r>
                </w:p>
              </w:tc>
              <w:tc>
                <w:tcPr>
                  <w:tcW w:w="921" w:type="pct"/>
                  <w:vAlign w:val="center"/>
                </w:tcPr>
                <w:p w14:paraId="7263E70B">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2500</w:t>
                  </w:r>
                </w:p>
              </w:tc>
              <w:tc>
                <w:tcPr>
                  <w:tcW w:w="1165" w:type="pct"/>
                  <w:vAlign w:val="center"/>
                </w:tcPr>
                <w:p w14:paraId="35CCF771">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0.000008</w:t>
                  </w:r>
                </w:p>
              </w:tc>
            </w:tr>
            <w:tr w14:paraId="1C499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500" w:type="pct"/>
                  <w:vAlign w:val="center"/>
                </w:tcPr>
                <w:p w14:paraId="65DDE069">
                  <w:pPr>
                    <w:keepNext w:val="0"/>
                    <w:keepLines w:val="0"/>
                    <w:suppressLineNumbers w:val="0"/>
                    <w:spacing w:before="0" w:beforeAutospacing="0" w:after="0" w:afterAutospacing="0" w:line="360" w:lineRule="atLeast"/>
                    <w:ind w:left="0" w:right="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1300" w:type="pct"/>
                  <w:vAlign w:val="center"/>
                </w:tcPr>
                <w:p w14:paraId="4D9CE831">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废机油</w:t>
                  </w:r>
                </w:p>
              </w:tc>
              <w:tc>
                <w:tcPr>
                  <w:tcW w:w="1111" w:type="pct"/>
                  <w:vAlign w:val="center"/>
                </w:tcPr>
                <w:p w14:paraId="0F64FBAD">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0.01</w:t>
                  </w:r>
                </w:p>
              </w:tc>
              <w:tc>
                <w:tcPr>
                  <w:tcW w:w="921" w:type="pct"/>
                  <w:vAlign w:val="center"/>
                </w:tcPr>
                <w:p w14:paraId="51194A25">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1165" w:type="pct"/>
                  <w:vAlign w:val="center"/>
                </w:tcPr>
                <w:p w14:paraId="34F0A98D">
                  <w:pPr>
                    <w:keepNext w:val="0"/>
                    <w:keepLines w:val="0"/>
                    <w:suppressLineNumbers w:val="0"/>
                    <w:spacing w:before="0" w:beforeAutospacing="0" w:after="0" w:afterAutospacing="0" w:line="360" w:lineRule="atLeast"/>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0.0002</w:t>
                  </w:r>
                </w:p>
              </w:tc>
            </w:tr>
            <w:tr w14:paraId="20B67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3834" w:type="pct"/>
                  <w:gridSpan w:val="4"/>
                  <w:vAlign w:val="center"/>
                </w:tcPr>
                <w:p w14:paraId="7E36D3AC">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1165" w:type="pct"/>
                  <w:vAlign w:val="center"/>
                </w:tcPr>
                <w:p w14:paraId="3794C47D">
                  <w:pPr>
                    <w:keepNext w:val="0"/>
                    <w:keepLines w:val="0"/>
                    <w:suppressLineNumbers w:val="0"/>
                    <w:spacing w:before="0" w:beforeAutospacing="0" w:after="0" w:afterAutospacing="0" w:line="360" w:lineRule="atLeast"/>
                    <w:ind w:left="0" w:right="0" w:firstLine="0" w:firstLineChars="0"/>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0.000208</w:t>
                  </w:r>
                </w:p>
              </w:tc>
            </w:tr>
          </w:tbl>
          <w:p w14:paraId="774702DF">
            <w:pPr>
              <w:keepNext w:val="0"/>
              <w:keepLines w:val="0"/>
              <w:suppressLineNumbers w:val="0"/>
              <w:adjustRightInd w:val="0"/>
              <w:snapToGrid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Q＜1，因此，本项目环境风险潜势为I，风险评级为“简单分析”。</w:t>
            </w:r>
          </w:p>
          <w:p w14:paraId="3DED0FAF">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r>
              <w:rPr>
                <w:rFonts w:hint="eastAsia" w:cs="Times New Roman"/>
                <w:color w:val="000000" w:themeColor="text1"/>
                <w:lang w:eastAsia="zh-CN"/>
                <w14:textFill>
                  <w14:solidFill>
                    <w14:schemeClr w14:val="tx1"/>
                  </w14:solidFill>
                </w14:textFill>
              </w:rPr>
              <w:t>风险源分布情况和</w:t>
            </w:r>
            <w:r>
              <w:rPr>
                <w:rFonts w:hint="default" w:ascii="Times New Roman" w:hAnsi="Times New Roman" w:cs="Times New Roman"/>
                <w:color w:val="000000" w:themeColor="text1"/>
                <w14:textFill>
                  <w14:solidFill>
                    <w14:schemeClr w14:val="tx1"/>
                  </w14:solidFill>
                </w14:textFill>
              </w:rPr>
              <w:t>影响途径</w:t>
            </w:r>
          </w:p>
          <w:p w14:paraId="4A566322">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本项目涉及的风险物质主要为桶装机油和危险废物（废机油）。</w:t>
            </w:r>
          </w:p>
          <w:p w14:paraId="324CE111">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可能影响途径主要包括</w:t>
            </w:r>
            <w:r>
              <w:rPr>
                <w:rFonts w:hint="eastAsia" w:cs="Times New Roman"/>
                <w:color w:val="000000" w:themeColor="text1"/>
                <w:lang w:val="en-US" w:eastAsia="zh-CN"/>
                <w14:textFill>
                  <w14:solidFill>
                    <w14:schemeClr w14:val="tx1"/>
                  </w14:solidFill>
                </w14:textFill>
              </w:rPr>
              <w:t>库房</w:t>
            </w:r>
            <w:r>
              <w:rPr>
                <w:rFonts w:hint="default" w:ascii="Times New Roman" w:hAnsi="Times New Roman" w:cs="Times New Roman"/>
                <w:color w:val="000000" w:themeColor="text1"/>
                <w14:textFill>
                  <w14:solidFill>
                    <w14:schemeClr w14:val="tx1"/>
                  </w14:solidFill>
                </w14:textFill>
              </w:rPr>
              <w:t>内桶装矿物油在使用过程的泄漏，</w:t>
            </w:r>
            <w:r>
              <w:rPr>
                <w:rFonts w:hint="eastAsia" w:cs="Times New Roman"/>
                <w:color w:val="000000" w:themeColor="text1"/>
                <w:lang w:eastAsia="zh-CN"/>
                <w14:textFill>
                  <w14:solidFill>
                    <w14:schemeClr w14:val="tx1"/>
                  </w14:solidFill>
                </w14:textFill>
              </w:rPr>
              <w:t>危废贮存库</w:t>
            </w:r>
            <w:r>
              <w:rPr>
                <w:rFonts w:hint="default" w:ascii="Times New Roman" w:hAnsi="Times New Roman" w:cs="Times New Roman"/>
                <w:color w:val="000000" w:themeColor="text1"/>
                <w14:textFill>
                  <w14:solidFill>
                    <w14:schemeClr w14:val="tx1"/>
                  </w14:solidFill>
                </w14:textFill>
              </w:rPr>
              <w:t>中的废机油等发生泄漏，矿物油进入土壤。</w:t>
            </w:r>
          </w:p>
          <w:p w14:paraId="23CE59AD">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风险</w:t>
            </w:r>
            <w:r>
              <w:rPr>
                <w:rFonts w:hint="default" w:ascii="Times New Roman" w:hAnsi="Times New Roman" w:cs="Times New Roman"/>
                <w:color w:val="000000" w:themeColor="text1"/>
                <w14:textFill>
                  <w14:solidFill>
                    <w14:schemeClr w14:val="tx1"/>
                  </w14:solidFill>
                </w14:textFill>
              </w:rPr>
              <w:t>防范措施</w:t>
            </w:r>
          </w:p>
          <w:p w14:paraId="158BA2D9">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kern w:val="0"/>
                <w:szCs w:val="22"/>
                <w14:textFill>
                  <w14:solidFill>
                    <w14:schemeClr w14:val="tx1"/>
                  </w14:solidFill>
                </w14:textFill>
              </w:rPr>
            </w:pPr>
            <w:r>
              <w:rPr>
                <w:rFonts w:hint="default" w:ascii="Times New Roman" w:hAnsi="Times New Roman" w:cs="Times New Roman"/>
                <w:color w:val="000000" w:themeColor="text1"/>
                <w:kern w:val="0"/>
                <w:szCs w:val="22"/>
                <w14:textFill>
                  <w14:solidFill>
                    <w14:schemeClr w14:val="tx1"/>
                  </w14:solidFill>
                </w14:textFill>
              </w:rPr>
              <w:t>项目定期检查</w:t>
            </w:r>
            <w:r>
              <w:rPr>
                <w:rFonts w:hint="eastAsia" w:cs="Times New Roman"/>
                <w:color w:val="000000" w:themeColor="text1"/>
                <w:kern w:val="0"/>
                <w:szCs w:val="22"/>
                <w:lang w:eastAsia="zh-CN"/>
                <w14:textFill>
                  <w14:solidFill>
                    <w14:schemeClr w14:val="tx1"/>
                  </w14:solidFill>
                </w14:textFill>
              </w:rPr>
              <w:t>危废贮存库</w:t>
            </w:r>
            <w:r>
              <w:rPr>
                <w:rFonts w:hint="default" w:ascii="Times New Roman" w:hAnsi="Times New Roman" w:cs="Times New Roman"/>
                <w:color w:val="000000" w:themeColor="text1"/>
                <w:kern w:val="0"/>
                <w:szCs w:val="22"/>
                <w14:textFill>
                  <w14:solidFill>
                    <w14:schemeClr w14:val="tx1"/>
                  </w14:solidFill>
                </w14:textFill>
              </w:rPr>
              <w:t>、定期检修生产设备，增加原辅材料泄漏检验频次，制定规范操作流程，以消除储存单元的跑冒滴漏。</w:t>
            </w:r>
          </w:p>
          <w:p w14:paraId="122E6A7E">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①项目</w:t>
            </w:r>
            <w:r>
              <w:rPr>
                <w:rFonts w:hint="eastAsia"/>
                <w:color w:val="000000" w:themeColor="text1"/>
                <w:lang w:val="en-US" w:eastAsia="zh-CN"/>
                <w14:textFill>
                  <w14:solidFill>
                    <w14:schemeClr w14:val="tx1"/>
                  </w14:solidFill>
                </w14:textFill>
              </w:rPr>
              <w:t>库房</w:t>
            </w:r>
            <w:r>
              <w:rPr>
                <w:rFonts w:hint="default"/>
                <w:color w:val="000000" w:themeColor="text1"/>
                <w14:textFill>
                  <w14:solidFill>
                    <w14:schemeClr w14:val="tx1"/>
                  </w14:solidFill>
                </w14:textFill>
              </w:rPr>
              <w:t>和危废</w:t>
            </w:r>
            <w:r>
              <w:rPr>
                <w:rFonts w:hint="eastAsia"/>
                <w:color w:val="000000" w:themeColor="text1"/>
                <w:lang w:val="en-US" w:eastAsia="zh-CN"/>
                <w14:textFill>
                  <w14:solidFill>
                    <w14:schemeClr w14:val="tx1"/>
                  </w14:solidFill>
                </w14:textFill>
              </w:rPr>
              <w:t>贮存</w:t>
            </w:r>
            <w:r>
              <w:rPr>
                <w:rFonts w:hint="default"/>
                <w:color w:val="000000" w:themeColor="text1"/>
                <w14:textFill>
                  <w14:solidFill>
                    <w14:schemeClr w14:val="tx1"/>
                  </w14:solidFill>
                </w14:textFill>
              </w:rPr>
              <w:t>库应进行硬化和防渗处理。</w:t>
            </w:r>
          </w:p>
          <w:p w14:paraId="79D3A4F0">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②加强安全检查，禁止在油品附近吸烟，严格执行动火规章制度。加强原辅材料的登记管理，以防原料发生跑冒滴漏；</w:t>
            </w:r>
          </w:p>
          <w:p w14:paraId="610A5A77">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③</w:t>
            </w:r>
            <w:r>
              <w:rPr>
                <w:rFonts w:hint="eastAsia"/>
                <w:color w:val="000000" w:themeColor="text1"/>
                <w:lang w:eastAsia="zh-CN"/>
                <w14:textFill>
                  <w14:solidFill>
                    <w14:schemeClr w14:val="tx1"/>
                  </w14:solidFill>
                </w14:textFill>
              </w:rPr>
              <w:t>危废贮存库</w:t>
            </w:r>
            <w:r>
              <w:rPr>
                <w:rFonts w:hint="default"/>
                <w:color w:val="000000" w:themeColor="text1"/>
                <w14:textFill>
                  <w14:solidFill>
                    <w14:schemeClr w14:val="tx1"/>
                  </w14:solidFill>
                </w14:textFill>
              </w:rPr>
              <w:t>严格落实“六防措施”，建立危废转移制度。</w:t>
            </w:r>
          </w:p>
          <w:p w14:paraId="35202508">
            <w:pPr>
              <w:keepNext w:val="0"/>
              <w:keepLines w:val="0"/>
              <w:suppressLineNumbers w:val="0"/>
              <w:spacing w:before="0" w:beforeAutospacing="0" w:after="0" w:afterAutospacing="0"/>
              <w:ind w:left="0" w:right="0" w:firstLine="48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项目涉及的危险物质不构成重大污染源，企业在落实相应风险防范和控制措施的情况下，总体环境风险可控。</w:t>
            </w:r>
          </w:p>
          <w:p w14:paraId="5D396074">
            <w:pPr>
              <w:keepNext w:val="0"/>
              <w:keepLines w:val="0"/>
              <w:suppressLineNumbers w:val="0"/>
              <w:adjustRightInd w:val="0"/>
              <w:snapToGrid w:val="0"/>
              <w:spacing w:before="0" w:beforeAutospacing="0" w:after="0" w:afterAutospacing="0"/>
              <w:ind w:left="0" w:right="0" w:firstLine="442"/>
              <w:rPr>
                <w:rFonts w:hint="default" w:ascii="Times New Roman" w:hAnsi="Times New Roman" w:cs="Times New Roman"/>
                <w:b/>
                <w:color w:val="000000" w:themeColor="text1"/>
                <w:spacing w:val="-10"/>
                <w:szCs w:val="21"/>
                <w14:textFill>
                  <w14:solidFill>
                    <w14:schemeClr w14:val="tx1"/>
                  </w14:solidFill>
                </w14:textFill>
              </w:rPr>
            </w:pPr>
            <w:r>
              <w:rPr>
                <w:rFonts w:hint="eastAsia" w:ascii="Times New Roman" w:hAnsi="Times New Roman" w:cs="Times New Roman"/>
                <w:b/>
                <w:color w:val="000000" w:themeColor="text1"/>
                <w:spacing w:val="-10"/>
                <w:szCs w:val="21"/>
                <w:lang w:val="en-US" w:eastAsia="zh-CN"/>
                <w14:textFill>
                  <w14:solidFill>
                    <w14:schemeClr w14:val="tx1"/>
                  </w14:solidFill>
                </w14:textFill>
              </w:rPr>
              <w:t>七</w:t>
            </w:r>
            <w:r>
              <w:rPr>
                <w:rFonts w:hint="default" w:ascii="Times New Roman" w:hAnsi="Times New Roman" w:cs="Times New Roman"/>
                <w:b/>
                <w:color w:val="000000" w:themeColor="text1"/>
                <w:spacing w:val="-10"/>
                <w:szCs w:val="21"/>
                <w14:textFill>
                  <w14:solidFill>
                    <w14:schemeClr w14:val="tx1"/>
                  </w14:solidFill>
                </w14:textFill>
              </w:rPr>
              <w:t>、绩效环保管理篇章</w:t>
            </w:r>
          </w:p>
          <w:p w14:paraId="169D60B9">
            <w:pPr>
              <w:keepNext w:val="0"/>
              <w:keepLines w:val="0"/>
              <w:suppressLineNumbers w:val="0"/>
              <w:spacing w:before="0" w:beforeAutospacing="0" w:after="0" w:afterAutospacing="0"/>
              <w:ind w:left="0" w:right="0" w:firstLine="480"/>
              <w:rPr>
                <w:rFonts w:hint="eastAsia"/>
                <w:color w:val="000000" w:themeColor="text1"/>
                <w:lang w:val="en-US" w:eastAsia="zh-CN"/>
                <w14:textFill>
                  <w14:solidFill>
                    <w14:schemeClr w14:val="tx1"/>
                  </w14:solidFill>
                </w14:textFill>
              </w:rPr>
            </w:pPr>
            <w:r>
              <w:rPr>
                <w:rFonts w:hint="default"/>
                <w:color w:val="000000" w:themeColor="text1"/>
                <w14:textFill>
                  <w14:solidFill>
                    <w14:schemeClr w14:val="tx1"/>
                  </w14:solidFill>
                </w14:textFill>
              </w:rPr>
              <w:t>本项目位于西咸新区沣西新城，行业类别为C2231纸和纸板容器制造，</w:t>
            </w:r>
            <w:r>
              <w:rPr>
                <w:rFonts w:hint="eastAsia"/>
                <w:color w:val="000000" w:themeColor="text1"/>
                <w:lang w:val="en-US" w:eastAsia="zh-CN"/>
                <w14:textFill>
                  <w14:solidFill>
                    <w14:schemeClr w14:val="tx1"/>
                  </w14:solidFill>
                </w14:textFill>
              </w:rPr>
              <w:t>涉及印刷工艺</w:t>
            </w:r>
            <w:r>
              <w:rPr>
                <w:rFonts w:hint="default"/>
                <w:color w:val="000000" w:themeColor="text1"/>
                <w14:textFill>
                  <w14:solidFill>
                    <w14:schemeClr w14:val="tx1"/>
                  </w14:solidFill>
                </w14:textFill>
              </w:rPr>
              <w:t>。根据《陕西省生态环境厅关于进一步加强关中地区涉气重点行业项目环评管理的通知》（陕环环评函〔2023〕76号）、《陕西省大气污染治理专项行动方案（2023-2027年）》及《西安市大气污染治理专项行动方案（2023-2027年）》等的相关要求，项目属于</w:t>
            </w:r>
            <w:r>
              <w:rPr>
                <w:rFonts w:hint="eastAsia"/>
                <w:color w:val="000000" w:themeColor="text1"/>
                <w:lang w:val="en-US" w:eastAsia="zh-CN"/>
                <w14:textFill>
                  <w14:solidFill>
                    <w14:schemeClr w14:val="tx1"/>
                  </w14:solidFill>
                </w14:textFill>
              </w:rPr>
              <w:t>39个涉气重点行业中的“包装印刷”</w:t>
            </w:r>
            <w:r>
              <w:rPr>
                <w:rFonts w:hint="default"/>
                <w:color w:val="000000" w:themeColor="text1"/>
                <w14:textFill>
                  <w14:solidFill>
                    <w14:schemeClr w14:val="tx1"/>
                  </w14:solidFill>
                </w14:textFill>
              </w:rPr>
              <w:t>，应达到环保绩效A级及以上水平，且应按照《重污染天气重点行业应急减排措施制定技术指南（2020年修订版）》（环办大气函〔2020〕340号），从建设项目的装备水平（生产工艺）、污染治理技术、排放限值、无组织管控要求、监测监控水平、环境管理水平、运输方式和管控要求等方面，专项分析拟建和已建项目建设内容、生态环境保护措施与对应环保绩效分级、绩效引领性水平的相符性。具体分析内容</w:t>
            </w:r>
            <w:r>
              <w:rPr>
                <w:rFonts w:hint="eastAsia"/>
                <w:color w:val="000000" w:themeColor="text1"/>
                <w:lang w:val="en-US" w:eastAsia="zh-CN"/>
                <w14:textFill>
                  <w14:solidFill>
                    <w14:schemeClr w14:val="tx1"/>
                  </w14:solidFill>
                </w14:textFill>
              </w:rPr>
              <w:t>见表4-12。</w:t>
            </w:r>
          </w:p>
          <w:p w14:paraId="6A21EE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b w:val="0"/>
                <w:bCs w:val="0"/>
                <w:color w:val="000000" w:themeColor="text1"/>
                <w:sz w:val="24"/>
                <w:szCs w:val="24"/>
                <w14:textFill>
                  <w14:solidFill>
                    <w14:schemeClr w14:val="tx1"/>
                  </w14:solidFill>
                </w14:textFill>
              </w:rPr>
            </w:pPr>
            <w:r>
              <w:rPr>
                <w:rFonts w:hint="default" w:ascii="Times New Roman" w:hAnsi="Times New Roman" w:eastAsia="黑体" w:cs="Times New Roman"/>
                <w:b w:val="0"/>
                <w:bCs w:val="0"/>
                <w:color w:val="000000" w:themeColor="text1"/>
                <w:sz w:val="24"/>
                <w:szCs w:val="24"/>
                <w14:textFill>
                  <w14:solidFill>
                    <w14:schemeClr w14:val="tx1"/>
                  </w14:solidFill>
                </w14:textFill>
              </w:rPr>
              <w:t>表</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4-2</w:t>
            </w:r>
            <w:r>
              <w:rPr>
                <w:rFonts w:hint="eastAsia" w:ascii="Times New Roman" w:hAnsi="Times New Roman" w:eastAsia="黑体" w:cs="Times New Roman"/>
                <w:b w:val="0"/>
                <w:bCs w:val="0"/>
                <w:color w:val="000000" w:themeColor="text1"/>
                <w:sz w:val="24"/>
                <w:szCs w:val="24"/>
                <w14:textFill>
                  <w14:solidFill>
                    <w14:schemeClr w14:val="tx1"/>
                  </w14:solidFill>
                </w14:textFill>
              </w:rPr>
              <w:t xml:space="preserve">   </w:t>
            </w:r>
            <w:r>
              <w:rPr>
                <w:rFonts w:hint="default" w:ascii="Times New Roman" w:hAnsi="Times New Roman" w:eastAsia="黑体" w:cs="Times New Roman"/>
                <w:b w:val="0"/>
                <w:bCs w:val="0"/>
                <w:color w:val="000000" w:themeColor="text1"/>
                <w:sz w:val="24"/>
                <w:szCs w:val="24"/>
                <w14:textFill>
                  <w14:solidFill>
                    <w14:schemeClr w14:val="tx1"/>
                  </w14:solidFill>
                </w14:textFill>
              </w:rPr>
              <w:t>项目与</w:t>
            </w:r>
            <w:r>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t>包装印刷行业</w:t>
            </w:r>
            <w:r>
              <w:rPr>
                <w:rFonts w:hint="default" w:ascii="Times New Roman" w:hAnsi="Times New Roman" w:eastAsia="黑体" w:cs="Times New Roman"/>
                <w:b w:val="0"/>
                <w:bCs w:val="0"/>
                <w:color w:val="000000" w:themeColor="text1"/>
                <w:sz w:val="24"/>
                <w:szCs w:val="24"/>
                <w14:textFill>
                  <w14:solidFill>
                    <w14:schemeClr w14:val="tx1"/>
                  </w14:solidFill>
                </w14:textFill>
              </w:rPr>
              <w:t>绩效引领性指标相符性分析</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715"/>
              <w:gridCol w:w="2826"/>
              <w:gridCol w:w="544"/>
            </w:tblGrid>
            <w:tr w14:paraId="0543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32BCBF1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000000" w:themeColor="text1"/>
                      <w:szCs w:val="21"/>
                      <w:highlight w:val="none"/>
                      <w14:textFill>
                        <w14:solidFill>
                          <w14:schemeClr w14:val="tx1"/>
                        </w14:solidFill>
                      </w14:textFill>
                    </w:rPr>
                  </w:pPr>
                  <w:bookmarkStart w:id="4" w:name="_GoBack" w:colFirst="0" w:colLast="2"/>
                  <w:r>
                    <w:rPr>
                      <w:rFonts w:hint="default"/>
                      <w:b/>
                      <w:bCs/>
                      <w:color w:val="000000" w:themeColor="text1"/>
                      <w:szCs w:val="21"/>
                      <w:highlight w:val="none"/>
                      <w14:textFill>
                        <w14:solidFill>
                          <w14:schemeClr w14:val="tx1"/>
                        </w14:solidFill>
                      </w14:textFill>
                    </w:rPr>
                    <w:t>引领性指标</w:t>
                  </w:r>
                </w:p>
              </w:tc>
              <w:tc>
                <w:tcPr>
                  <w:tcW w:w="2330" w:type="pct"/>
                  <w:noWrap w:val="0"/>
                  <w:vAlign w:val="center"/>
                </w:tcPr>
                <w:p w14:paraId="75B68FA4">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000000" w:themeColor="text1"/>
                      <w:szCs w:val="21"/>
                      <w:highlight w:val="none"/>
                      <w:lang w:val="en-US"/>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A级企业</w:t>
                  </w:r>
                </w:p>
              </w:tc>
              <w:tc>
                <w:tcPr>
                  <w:tcW w:w="1772" w:type="pct"/>
                  <w:noWrap w:val="0"/>
                  <w:vAlign w:val="center"/>
                </w:tcPr>
                <w:p w14:paraId="77DADD5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本项目</w:t>
                  </w:r>
                  <w:r>
                    <w:rPr>
                      <w:rFonts w:hint="default"/>
                      <w:b/>
                      <w:bCs/>
                      <w:color w:val="000000" w:themeColor="text1"/>
                      <w:szCs w:val="21"/>
                      <w:highlight w:val="none"/>
                      <w14:textFill>
                        <w14:solidFill>
                          <w14:schemeClr w14:val="tx1"/>
                        </w14:solidFill>
                      </w14:textFill>
                    </w:rPr>
                    <w:t>实际情况</w:t>
                  </w:r>
                </w:p>
              </w:tc>
              <w:tc>
                <w:tcPr>
                  <w:tcW w:w="341" w:type="pct"/>
                  <w:noWrap w:val="0"/>
                  <w:vAlign w:val="center"/>
                </w:tcPr>
                <w:p w14:paraId="077E906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相符性</w:t>
                  </w:r>
                </w:p>
              </w:tc>
            </w:tr>
            <w:bookmarkEnd w:id="4"/>
            <w:tr w14:paraId="18555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17644E3E">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bCs/>
                      <w:color w:val="000000" w:themeColor="text1"/>
                      <w:szCs w:val="21"/>
                      <w:highlight w:val="none"/>
                      <w:lang w:eastAsia="zh-CN"/>
                      <w14:textFill>
                        <w14:solidFill>
                          <w14:schemeClr w14:val="tx1"/>
                        </w14:solidFill>
                      </w14:textFill>
                    </w:rPr>
                  </w:pPr>
                  <w:r>
                    <w:rPr>
                      <w:rFonts w:hint="eastAsia"/>
                      <w:bCs/>
                      <w:color w:val="000000" w:themeColor="text1"/>
                      <w:szCs w:val="21"/>
                      <w:highlight w:val="none"/>
                      <w:lang w:eastAsia="zh-CN"/>
                      <w14:textFill>
                        <w14:solidFill>
                          <w14:schemeClr w14:val="tx1"/>
                        </w14:solidFill>
                      </w14:textFill>
                    </w:rPr>
                    <w:t>原辅材料</w:t>
                  </w:r>
                </w:p>
              </w:tc>
              <w:tc>
                <w:tcPr>
                  <w:tcW w:w="2330" w:type="pct"/>
                  <w:noWrap w:val="0"/>
                  <w:vAlign w:val="center"/>
                </w:tcPr>
                <w:p w14:paraId="1087531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1、凹版印刷工艺采用吸收性材料印刷时，使用水性油墨(VOCs≤15%)、能量固化油墨(VOCs≤10%)等低VOCs含量油墨比例达60%及以上</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采用非吸收性材料印刷时，使用水性油墨(VOCs≤30%)、能量固化油墨(VOCs≤10%)等低VOCs含量油墨比例达30%及以上</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73E639C2">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2、柔版印刷工艺采用吸收性材料印刷时，使用水性油墨(VOCs≤5%)的比例达100%</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采用非吸收性材料印刷时，使用水性油墨(VOCs≤25%)比例达60%及以上</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0C7633A4">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3、平版印刷工艺使用符合《油墨中可挥发性有机化合物(VOCs)含量的限值》(GB 38507-2020)中VOCs含量限值要求的油墨产品比例达100%</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100%使用无(免)醇润版液(润版液原液中VOCs≤10%)，或使用无水印刷技术，或使用零醇润版胶印技术</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0F082FBE">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4、丝网印刷工艺使用水性油墨(VOCs≤30%)、能量固化油墨(VOCs≤5%)的比例达60%及以上</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1E30354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5、印铁制罐生产过程100%使用水性油墨(VOCs≤25%)、能量固化油墨(VOCs≤2%)</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100%使用水性涂料、能量固化涂料替代溶剂型涂料</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5C2B6CE9">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6、复合、覆膜</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使用符合《胶粘剂挥发性有机化合物限量》(GB33372-2020)的无溶剂、水基型等非溶剂型胶粘剂比例达75%及以上</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694C73B5">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7、上光</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使用水性、紫外光固化(UV)等非溶剂型光油比例达到100%</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p w14:paraId="01028E12">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Cs/>
                      <w:color w:val="000000" w:themeColor="text1"/>
                      <w:szCs w:val="21"/>
                      <w:highlight w:val="none"/>
                      <w:lang w:eastAsia="zh-CN"/>
                      <w14:textFill>
                        <w14:solidFill>
                          <w14:schemeClr w14:val="tx1"/>
                        </w14:solidFill>
                      </w14:textFill>
                    </w:rPr>
                  </w:pPr>
                  <w:r>
                    <w:rPr>
                      <w:rFonts w:hint="default" w:ascii="Times New Roman" w:hAnsi="Times New Roman" w:cs="Times New Roman"/>
                      <w:bCs/>
                      <w:color w:val="000000" w:themeColor="text1"/>
                      <w:szCs w:val="21"/>
                      <w:highlight w:val="none"/>
                      <w14:textFill>
                        <w14:solidFill>
                          <w14:schemeClr w14:val="tx1"/>
                        </w14:solidFill>
                      </w14:textFill>
                    </w:rPr>
                    <w:t>8、清洗</w:t>
                  </w:r>
                  <w:r>
                    <w:rPr>
                      <w:rFonts w:hint="default" w:ascii="Times New Roman" w:hAnsi="Times New Roman" w:cs="Times New Roman"/>
                      <w:bCs/>
                      <w:color w:val="000000" w:themeColor="text1"/>
                      <w:szCs w:val="21"/>
                      <w:highlight w:val="none"/>
                      <w:lang w:eastAsia="zh-CN"/>
                      <w14:textFill>
                        <w14:solidFill>
                          <w14:schemeClr w14:val="tx1"/>
                        </w14:solidFill>
                      </w14:textFill>
                    </w:rPr>
                    <w:t>：</w:t>
                  </w:r>
                  <w:r>
                    <w:rPr>
                      <w:rFonts w:hint="default" w:ascii="Times New Roman" w:hAnsi="Times New Roman" w:cs="Times New Roman"/>
                      <w:bCs/>
                      <w:color w:val="000000" w:themeColor="text1"/>
                      <w:szCs w:val="21"/>
                      <w:highlight w:val="none"/>
                      <w14:textFill>
                        <w14:solidFill>
                          <w14:schemeClr w14:val="tx1"/>
                        </w14:solidFill>
                      </w14:textFill>
                    </w:rPr>
                    <w:t>采用胶印油墨、UV油墨印刷时，使用符合《清洗剂挥发性有机化合物含量限值》(GB</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 xml:space="preserve"> </w:t>
                  </w:r>
                  <w:r>
                    <w:rPr>
                      <w:rFonts w:hint="default" w:ascii="Times New Roman" w:hAnsi="Times New Roman" w:cs="Times New Roman"/>
                      <w:bCs/>
                      <w:color w:val="000000" w:themeColor="text1"/>
                      <w:szCs w:val="21"/>
                      <w:highlight w:val="none"/>
                      <w14:textFill>
                        <w14:solidFill>
                          <w14:schemeClr w14:val="tx1"/>
                        </w14:solidFill>
                      </w14:textFill>
                    </w:rPr>
                    <w:t>38508-2020)的低VOCs含量清洗剂比例达到100%</w:t>
                  </w:r>
                  <w:r>
                    <w:rPr>
                      <w:rFonts w:hint="default" w:ascii="Times New Roman" w:hAnsi="Times New Roman" w:cs="Times New Roman"/>
                      <w:bCs/>
                      <w:color w:val="000000" w:themeColor="text1"/>
                      <w:szCs w:val="21"/>
                      <w:highlight w:val="none"/>
                      <w:lang w:eastAsia="zh-CN"/>
                      <w14:textFill>
                        <w14:solidFill>
                          <w14:schemeClr w14:val="tx1"/>
                        </w14:solidFill>
                      </w14:textFill>
                    </w:rPr>
                    <w:t>。</w:t>
                  </w:r>
                </w:p>
              </w:tc>
              <w:tc>
                <w:tcPr>
                  <w:tcW w:w="1772" w:type="pct"/>
                  <w:noWrap w:val="0"/>
                  <w:vAlign w:val="center"/>
                </w:tcPr>
                <w:p w14:paraId="67A40A0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color w:val="000000" w:themeColor="text1"/>
                      <w:szCs w:val="21"/>
                      <w:highlight w:val="none"/>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本项目属于柔版印刷，采用水性油墨，VOCs含量为2.8%（检测报告见附件6），水性油墨使用比例为100%；裱纸采用无VOCs含量的玉米淀粉胶。</w:t>
                  </w:r>
                </w:p>
              </w:tc>
              <w:tc>
                <w:tcPr>
                  <w:tcW w:w="341" w:type="pct"/>
                  <w:noWrap w:val="0"/>
                  <w:vAlign w:val="center"/>
                </w:tcPr>
                <w:p w14:paraId="71F4B108">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符合</w:t>
                  </w:r>
                </w:p>
              </w:tc>
            </w:tr>
            <w:tr w14:paraId="75DF9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9" w:hRule="atLeast"/>
              </w:trPr>
              <w:tc>
                <w:tcPr>
                  <w:tcW w:w="555" w:type="pct"/>
                  <w:noWrap w:val="0"/>
                  <w:vAlign w:val="center"/>
                </w:tcPr>
                <w:p w14:paraId="43B5B467">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无组织排放</w:t>
                  </w:r>
                </w:p>
              </w:tc>
              <w:tc>
                <w:tcPr>
                  <w:tcW w:w="2330" w:type="pct"/>
                  <w:noWrap w:val="0"/>
                  <w:vAlign w:val="center"/>
                </w:tcPr>
                <w:p w14:paraId="34015B3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1、满足《挥发性有机物无组织排放控制标准》(GB 37822-2019)特别控制要求</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00784FAE">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2、调配过程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胶印工艺使用自动配墨系统</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凹印工艺调配稀释剂采用管道集中输送系统</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设置专门的调配间进行调墨、调胶等，废气排至VOCs废气收集处理系统</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06901E1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3、供墨过程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在密闭设备或密闭负压空间内操作</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向墨槽中加油墨或稀释剂时采用漏斗或软管等接驳工具</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462FF6B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4、印刷过程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柔版印刷机采用封闭刮刀</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凹版印刷机通过安装盖板、改变墨槽开口形状等减小墨盘、墨桶、搅墨机等开口面积</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烘箱密闭，保持负压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印刷机整体排风收集</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3092381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5、清洗过程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清洗专用清洗间、排风收集</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沾染清洗剂的毛巾或抹布储存于密闭容器</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628D6F14">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6、复合过程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烘箱密闭，保持负压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干式复合机整机封闭集气收集</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p w14:paraId="62B0CFD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7、存储过程</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油墨、稀释剂、胶粘剂、清洗剂、上光油等VOCs物料密闭存储，存放于无阳光直射的场所</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Cs w:val="21"/>
                      <w:highlight w:val="none"/>
                      <w14:textFill>
                        <w14:solidFill>
                          <w14:schemeClr w14:val="tx1"/>
                        </w14:solidFill>
                      </w14:textFill>
                    </w:rPr>
                    <w:t>废油墨、废清洗剂、废活性炭等含VOCs的废物应分类放置于贴有标识的容器内，加盖密封，存放于无阳光直射的场所</w:t>
                  </w:r>
                  <w:r>
                    <w:rPr>
                      <w:rFonts w:hint="eastAsia" w:ascii="Times New Roman" w:hAnsi="Times New Roman" w:eastAsia="宋体" w:cs="Times New Roman"/>
                      <w:bCs/>
                      <w:color w:val="000000" w:themeColor="text1"/>
                      <w:szCs w:val="21"/>
                      <w:highlight w:val="none"/>
                      <w:lang w:eastAsia="zh-CN"/>
                      <w14:textFill>
                        <w14:solidFill>
                          <w14:schemeClr w14:val="tx1"/>
                        </w14:solidFill>
                      </w14:textFill>
                    </w:rPr>
                    <w:t>。</w:t>
                  </w:r>
                </w:p>
              </w:tc>
              <w:tc>
                <w:tcPr>
                  <w:tcW w:w="1772" w:type="pct"/>
                  <w:noWrap w:val="0"/>
                  <w:vAlign w:val="center"/>
                </w:tcPr>
                <w:p w14:paraId="12BFB030">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1、本项目非甲烷总烃无组织排放满足《挥发性有机物排放控制标准》（DB61/T 1061-2017）及《挥发性有机物无组织排放控制标准》(GB37822-2019)相关限值要求；</w:t>
                  </w:r>
                </w:p>
                <w:p w14:paraId="1A5346F5">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2、本项目印刷采用水性油墨，外购的成品直接加入印刷机打印，无需稀释、调配；</w:t>
                  </w:r>
                </w:p>
                <w:p w14:paraId="02DFF806">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3、本项目向墨槽中加油墨时采用漏斗或软管等接驳工具：</w:t>
                  </w:r>
                </w:p>
                <w:p w14:paraId="0EF3BAB1">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4、本项目属于柔版印刷机，采用封闭刮刀，烘箱密闭，保持负压，印刷机整体排风收集；</w:t>
                  </w:r>
                </w:p>
                <w:p w14:paraId="6D5521D2">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5、本项目所用油墨为水性油墨，印刷机墨辊可用自来水直接清洗，清洗废水桶装收集后暂存于危废贮存库，定期交由有资质单位处置。</w:t>
                  </w:r>
                </w:p>
                <w:p w14:paraId="3A962285">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6、本项目印刷机直接在瓦楞纸上打印成像，无复合工艺；</w:t>
                  </w:r>
                </w:p>
                <w:p w14:paraId="4CE4743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highlight w:val="none"/>
                      <w14:textFill>
                        <w14:solidFill>
                          <w14:schemeClr w14:val="tx1"/>
                        </w14:solidFill>
                      </w14:textFill>
                    </w:rPr>
                  </w:pPr>
                  <w:r>
                    <w:rPr>
                      <w:rFonts w:hint="eastAsia" w:cs="Times New Roman"/>
                      <w:color w:val="000000" w:themeColor="text1"/>
                      <w:lang w:val="en-US" w:eastAsia="zh-CN"/>
                      <w14:textFill>
                        <w14:solidFill>
                          <w14:schemeClr w14:val="tx1"/>
                        </w14:solidFill>
                      </w14:textFill>
                    </w:rPr>
                    <w:t>7、本项目水性油墨均储存在密闭容器内，且储存于封闭库房内，满足防雨、防晒、防渗的基本要求，非取用状态的油墨存储于密闭容器内加盖、封口；废油墨桶、清洗废水、废活性炭、废矿物油、废含油抹布等含VOCs的废物分类放置于贴有标识的容器内，加盖密封后暂存于危废贮存库，定期交由有资质单位处置。</w:t>
                  </w:r>
                </w:p>
              </w:tc>
              <w:tc>
                <w:tcPr>
                  <w:tcW w:w="341" w:type="pct"/>
                  <w:noWrap w:val="0"/>
                  <w:vAlign w:val="center"/>
                </w:tcPr>
                <w:p w14:paraId="2EAB78A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highlight w:val="none"/>
                      <w14:textFill>
                        <w14:solidFill>
                          <w14:schemeClr w14:val="tx1"/>
                        </w14:solidFill>
                      </w14:textFill>
                    </w:rPr>
                  </w:pPr>
                  <w:r>
                    <w:rPr>
                      <w:rFonts w:hint="default"/>
                      <w:bCs/>
                      <w:color w:val="000000" w:themeColor="text1"/>
                      <w:szCs w:val="21"/>
                      <w:highlight w:val="none"/>
                      <w14:textFill>
                        <w14:solidFill>
                          <w14:schemeClr w14:val="tx1"/>
                        </w14:solidFill>
                      </w14:textFill>
                    </w:rPr>
                    <w:t>符合</w:t>
                  </w:r>
                </w:p>
              </w:tc>
            </w:tr>
            <w:tr w14:paraId="1C694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3" w:hRule="atLeast"/>
              </w:trPr>
              <w:tc>
                <w:tcPr>
                  <w:tcW w:w="555" w:type="pct"/>
                  <w:noWrap w:val="0"/>
                  <w:vAlign w:val="center"/>
                </w:tcPr>
                <w:p w14:paraId="681C3A50">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污染物治理技术</w:t>
                  </w:r>
                </w:p>
              </w:tc>
              <w:tc>
                <w:tcPr>
                  <w:tcW w:w="2330" w:type="pct"/>
                  <w:noWrap w:val="0"/>
                  <w:vAlign w:val="center"/>
                </w:tcPr>
                <w:p w14:paraId="3E0C898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1、使用溶剂型原辅材料时，调墨、供墨、涂布(上光)、印刷、覆膜、复合、清洗等工序含VOCs废气采用燃烧、吸附+燃烧、吸附+冷凝回收等治理技术，处理效率≥90%；</w:t>
                  </w:r>
                </w:p>
                <w:p w14:paraId="52EFF96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ascii="Times New Roman" w:hAnsi="Times New Roman" w:eastAsia="宋体" w:cs="Times New Roman"/>
                      <w:bCs/>
                      <w:color w:val="000000" w:themeColor="text1"/>
                      <w:szCs w:val="21"/>
                      <w:lang w:eastAsia="zh-CN"/>
                      <w14:textFill>
                        <w14:solidFill>
                          <w14:schemeClr w14:val="tx1"/>
                        </w14:solidFill>
                      </w14:textFill>
                    </w:rPr>
                    <w:t>2、采用平版印刷工艺或使用非溶剂型原辅材料时，当车间或生产设施排气中NMHC初始排放速率≥2kg/h时，建设末端治污设施，处理效率≥80%。</w:t>
                  </w:r>
                </w:p>
              </w:tc>
              <w:tc>
                <w:tcPr>
                  <w:tcW w:w="1772" w:type="pct"/>
                  <w:noWrap w:val="0"/>
                  <w:vAlign w:val="center"/>
                </w:tcPr>
                <w:p w14:paraId="3DFC9A85">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本项目印刷采用水性油墨，NMHC初始排放速率为0.7kg/h，印刷产生的有机废气采用集气罩进行收集后经1套“两级活性炭”处理后通过15m排气筒DA001排放，处理效率为85%。</w:t>
                  </w:r>
                </w:p>
              </w:tc>
              <w:tc>
                <w:tcPr>
                  <w:tcW w:w="341" w:type="pct"/>
                  <w:noWrap w:val="0"/>
                  <w:vAlign w:val="center"/>
                </w:tcPr>
                <w:p w14:paraId="36F4FEC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586D1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555" w:type="pct"/>
                  <w:noWrap w:val="0"/>
                  <w:vAlign w:val="center"/>
                </w:tcPr>
                <w:p w14:paraId="37A4CD60">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排放限值</w:t>
                  </w:r>
                </w:p>
              </w:tc>
              <w:tc>
                <w:tcPr>
                  <w:tcW w:w="2330" w:type="pct"/>
                  <w:noWrap w:val="0"/>
                  <w:vAlign w:val="center"/>
                </w:tcPr>
                <w:p w14:paraId="5D54015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1、在连续一年的监测数据中，车间或生产设施排气筒排放的NMHC为20-30mg/m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、TVOC为40-50mg/m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p>
                <w:p w14:paraId="628B09FF">
                  <w:pPr>
                    <w:pStyle w:val="49"/>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both"/>
                    <w:textAlignment w:val="auto"/>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2、厂区内无组织排放监控点NMHC的1h平均浓度值不高于6mg/m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；任意一次浓度值不高于20mg/m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p>
                <w:p w14:paraId="266E0018">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3、其他各项污染物稳定达到现行排放控制要求，并从严地方要求。</w:t>
                  </w:r>
                </w:p>
              </w:tc>
              <w:tc>
                <w:tcPr>
                  <w:tcW w:w="1772" w:type="pct"/>
                  <w:noWrap w:val="0"/>
                  <w:vAlign w:val="center"/>
                </w:tcPr>
                <w:p w14:paraId="0EF96929">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本项目印刷产生的有机废气采用集气罩进行收集后经1套“两级活性炭”处理后通过15m排气筒DA001排放，排放浓度为0.8mg/m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；厂区无组织排放监控点NMHC的1h平均浓度值低于6mg/m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；任意一次浓度值低于20mg/m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；非甲烷总烃废气排放满足《挥发性有机物排放控制标准》（DB61/T 1061-2017）及《挥发性有机物无组织排放控制标准》(GB37822-2019)</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tc>
              <w:tc>
                <w:tcPr>
                  <w:tcW w:w="341" w:type="pct"/>
                  <w:noWrap w:val="0"/>
                  <w:vAlign w:val="center"/>
                </w:tcPr>
                <w:p w14:paraId="704EC385">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5739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4FAA1CB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监测监控水平</w:t>
                  </w:r>
                </w:p>
              </w:tc>
              <w:tc>
                <w:tcPr>
                  <w:tcW w:w="2330" w:type="pct"/>
                  <w:noWrap w:val="0"/>
                  <w:vAlign w:val="center"/>
                </w:tcPr>
                <w:p w14:paraId="132CB0E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1、严格执行《排污许可证申请与核发技术规范</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印刷工业》(HJ</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1066-2019)规定的自行监测管理要求</w:t>
                  </w:r>
                  <w:r>
                    <w:rPr>
                      <w:rFonts w:hint="eastAsia" w:ascii="Times New Roman" w:hAnsi="Times New Roman" w:eastAsia="宋体" w:cs="Times New Roman"/>
                      <w:color w:val="000000" w:themeColor="text1"/>
                      <w:szCs w:val="21"/>
                      <w:lang w:eastAsia="zh-CN"/>
                      <w14:textFill>
                        <w14:solidFill>
                          <w14:schemeClr w14:val="tx1"/>
                        </w14:solidFill>
                      </w14:textFill>
                    </w:rPr>
                    <w:t>；</w:t>
                  </w:r>
                </w:p>
                <w:p w14:paraId="105FAB5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2、重点排污企业风量大于10000m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/h的主要排放口“安装NMHC在线监测设施(FID检测器)，自动监控数据保存一年以上</w:t>
                  </w:r>
                  <w:r>
                    <w:rPr>
                      <w:rFonts w:hint="eastAsia" w:ascii="Times New Roman" w:hAnsi="Times New Roman" w:eastAsia="宋体" w:cs="Times New Roman"/>
                      <w:color w:val="000000" w:themeColor="text1"/>
                      <w:szCs w:val="21"/>
                      <w:lang w:eastAsia="zh-CN"/>
                      <w14:textFill>
                        <w14:solidFill>
                          <w14:schemeClr w14:val="tx1"/>
                        </w14:solidFill>
                      </w14:textFill>
                    </w:rPr>
                    <w:t>；</w:t>
                  </w:r>
                </w:p>
                <w:p w14:paraId="021D9A6C">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3、安装DCS系统、仪器仪表等装置，连续测量并记录治理设施控制指标温度、压力(压差)、时间和频率值。再生式活性炭连续自动测量并记录温度、再生时间和更换周期</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更换式活性炭记录温度、更换周期及更换量</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数据保存一年以上</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772" w:type="pct"/>
                  <w:noWrap w:val="0"/>
                  <w:vAlign w:val="center"/>
                </w:tcPr>
                <w:p w14:paraId="4F533B5C">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1、</w:t>
                  </w:r>
                  <w:r>
                    <w:rPr>
                      <w:rFonts w:hint="eastAsia" w:ascii="Times New Roman" w:hAnsi="Times New Roman" w:eastAsia="宋体" w:cs="Times New Roman"/>
                      <w:bCs/>
                      <w:color w:val="000000" w:themeColor="text1"/>
                      <w:szCs w:val="21"/>
                      <w:lang w:val="en-US" w:eastAsia="zh-CN"/>
                      <w14:textFill>
                        <w14:solidFill>
                          <w14:schemeClr w14:val="tx1"/>
                        </w14:solidFill>
                      </w14:textFill>
                    </w:rPr>
                    <w:t>企业运营期严格执行</w:t>
                  </w:r>
                  <w:r>
                    <w:rPr>
                      <w:rFonts w:hint="default" w:ascii="Times New Roman" w:hAnsi="Times New Roman" w:eastAsia="宋体" w:cs="Times New Roman"/>
                      <w:color w:val="000000" w:themeColor="text1"/>
                      <w:szCs w:val="21"/>
                      <w14:textFill>
                        <w14:solidFill>
                          <w14:schemeClr w14:val="tx1"/>
                        </w14:solidFill>
                      </w14:textFill>
                    </w:rPr>
                    <w:t>《排污许可证申请与核发技术规范</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印刷工业》(HJ</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Cs w:val="21"/>
                      <w14:textFill>
                        <w14:solidFill>
                          <w14:schemeClr w14:val="tx1"/>
                        </w14:solidFill>
                      </w14:textFill>
                    </w:rPr>
                    <w:t>1066-2019)规定的自行监测管理要求</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p w14:paraId="4DAC7EC9">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2、本项目不在重点排污企业名录内，且废气处理设施</w:t>
                  </w:r>
                  <w:r>
                    <w:rPr>
                      <w:rFonts w:hint="default" w:ascii="Times New Roman" w:hAnsi="Times New Roman" w:eastAsia="宋体" w:cs="Times New Roman"/>
                      <w:color w:val="000000" w:themeColor="text1"/>
                      <w:szCs w:val="21"/>
                      <w14:textFill>
                        <w14:solidFill>
                          <w14:schemeClr w14:val="tx1"/>
                        </w14:solidFill>
                      </w14:textFill>
                    </w:rPr>
                    <w:t>风量</w:t>
                  </w:r>
                  <w:r>
                    <w:rPr>
                      <w:rFonts w:hint="eastAsia" w:ascii="Times New Roman" w:hAnsi="Times New Roman" w:eastAsia="宋体" w:cs="Times New Roman"/>
                      <w:color w:val="000000" w:themeColor="text1"/>
                      <w:szCs w:val="21"/>
                      <w:lang w:val="en-US" w:eastAsia="zh-CN"/>
                      <w14:textFill>
                        <w14:solidFill>
                          <w14:schemeClr w14:val="tx1"/>
                        </w14:solidFill>
                      </w14:textFill>
                    </w:rPr>
                    <w:t>小</w:t>
                  </w:r>
                  <w:r>
                    <w:rPr>
                      <w:rFonts w:hint="default" w:ascii="Times New Roman" w:hAnsi="Times New Roman" w:eastAsia="宋体" w:cs="Times New Roman"/>
                      <w:color w:val="000000" w:themeColor="text1"/>
                      <w:szCs w:val="21"/>
                      <w14:textFill>
                        <w14:solidFill>
                          <w14:schemeClr w14:val="tx1"/>
                        </w14:solidFill>
                      </w14:textFill>
                    </w:rPr>
                    <w:t>于10000m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/h</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无需安装NMHC在线监测设施；</w:t>
                  </w:r>
                </w:p>
                <w:p w14:paraId="466AD53E">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eastAsia" w:ascii="Times New Roman" w:hAnsi="Times New Roman" w:eastAsia="宋体" w:cs="Times New Roman"/>
                      <w:bCs/>
                      <w:color w:val="000000" w:themeColor="text1"/>
                      <w:szCs w:val="21"/>
                      <w:lang w:val="en-US" w:eastAsia="zh-CN"/>
                      <w14:textFill>
                        <w14:solidFill>
                          <w14:schemeClr w14:val="tx1"/>
                        </w14:solidFill>
                      </w14:textFill>
                    </w:rPr>
                    <w:t>3、环评要求项目建成后安装</w:t>
                  </w:r>
                  <w:r>
                    <w:rPr>
                      <w:rFonts w:hint="default" w:ascii="Times New Roman" w:hAnsi="Times New Roman" w:eastAsia="宋体" w:cs="Times New Roman"/>
                      <w:bCs/>
                      <w:color w:val="000000" w:themeColor="text1"/>
                      <w:szCs w:val="21"/>
                      <w:lang w:val="en-US" w:eastAsia="zh-CN"/>
                      <w14:textFill>
                        <w14:solidFill>
                          <w14:schemeClr w14:val="tx1"/>
                        </w14:solidFill>
                      </w14:textFill>
                    </w:rPr>
                    <w:t>DCS系统、仪器仪表等装置</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记录活性炭温度、更换周期及更换量</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数据保存一年以上</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341" w:type="pct"/>
                  <w:noWrap w:val="0"/>
                  <w:vAlign w:val="center"/>
                </w:tcPr>
                <w:p w14:paraId="2C24524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07A7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555" w:type="pct"/>
                  <w:vMerge w:val="restart"/>
                  <w:noWrap w:val="0"/>
                  <w:vAlign w:val="center"/>
                </w:tcPr>
                <w:p w14:paraId="6885A827">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环境管理水平</w:t>
                  </w:r>
                </w:p>
              </w:tc>
              <w:tc>
                <w:tcPr>
                  <w:tcW w:w="2330" w:type="pct"/>
                  <w:noWrap w:val="0"/>
                  <w:vAlign w:val="center"/>
                </w:tcPr>
                <w:p w14:paraId="5DFAB90F">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环保档案齐全：</w:t>
                  </w:r>
                  <w:r>
                    <w:rPr>
                      <w:rFonts w:hint="eastAsia" w:ascii="Times New Roman" w:hAnsi="Times New Roman" w:eastAsia="宋体" w:cs="Times New Roman"/>
                      <w:color w:val="000000" w:themeColor="text1"/>
                      <w:szCs w:val="21"/>
                      <w:lang w:val="en-US" w:eastAsia="zh-CN"/>
                      <w14:textFill>
                        <w14:solidFill>
                          <w14:schemeClr w14:val="tx1"/>
                        </w14:solidFill>
                      </w14:textFill>
                    </w:rPr>
                    <w:t>1</w:t>
                  </w:r>
                  <w:r>
                    <w:rPr>
                      <w:rFonts w:hint="default" w:ascii="Times New Roman" w:hAnsi="Times New Roman" w:eastAsia="宋体" w:cs="Times New Roman"/>
                      <w:color w:val="000000" w:themeColor="text1"/>
                      <w:szCs w:val="21"/>
                      <w14:textFill>
                        <w14:solidFill>
                          <w14:schemeClr w14:val="tx1"/>
                        </w14:solidFill>
                      </w14:textFill>
                    </w:rPr>
                    <w:t>、环评批复文件；2、排污许可证及季度、年度执行报告；3、竣工验收文件；4、废气治理设施运行管理规程；5、一年内废气监测报告</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2" w:type="pct"/>
                  <w:noWrap w:val="0"/>
                  <w:vAlign w:val="center"/>
                </w:tcPr>
                <w:p w14:paraId="6F88DE47">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本项目环保资料安排专人管理留档、备查。环保档案资料主要包含环评批复文件、排污许可证及季度、年度执行报告、竣工验收文件、废气治理设施运行管理规程、一年内废气监测报告等。</w:t>
                  </w:r>
                </w:p>
              </w:tc>
              <w:tc>
                <w:tcPr>
                  <w:tcW w:w="341" w:type="pct"/>
                  <w:vMerge w:val="restart"/>
                  <w:noWrap w:val="0"/>
                  <w:vAlign w:val="center"/>
                </w:tcPr>
                <w:p w14:paraId="2A670CFF">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eastAsia="宋体"/>
                      <w:bCs/>
                      <w:color w:val="000000" w:themeColor="text1"/>
                      <w:szCs w:val="21"/>
                      <w:lang w:eastAsia="zh-CN"/>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0560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55" w:type="pct"/>
                  <w:vMerge w:val="continue"/>
                  <w:noWrap w:val="0"/>
                  <w:vAlign w:val="center"/>
                </w:tcPr>
                <w:p w14:paraId="3D7972A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szCs w:val="21"/>
                      <w14:textFill>
                        <w14:solidFill>
                          <w14:schemeClr w14:val="tx1"/>
                        </w14:solidFill>
                      </w14:textFill>
                    </w:rPr>
                  </w:pPr>
                </w:p>
              </w:tc>
              <w:tc>
                <w:tcPr>
                  <w:tcW w:w="2330" w:type="pct"/>
                  <w:noWrap w:val="0"/>
                  <w:vAlign w:val="center"/>
                </w:tcPr>
                <w:p w14:paraId="31363D4C">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台账记录：1、生产设施运行管理信息（生产时间、运行负荷、产品产量等，必须具备近一年及以上所用涂料的密度、扣水后</w:t>
                  </w:r>
                  <w:r>
                    <w:rPr>
                      <w:rFonts w:hint="default" w:ascii="Times New Roman" w:hAnsi="Times New Roman" w:eastAsia="宋体" w:cs="Times New Roman"/>
                      <w:color w:val="000000" w:themeColor="text1"/>
                      <w:szCs w:val="21"/>
                      <w:lang w:val="en-US" w:eastAsia="en-US"/>
                      <w14:textFill>
                        <w14:solidFill>
                          <w14:schemeClr w14:val="tx1"/>
                        </w14:solidFill>
                      </w14:textFill>
                    </w:rPr>
                    <w:t>VOCs</w:t>
                  </w:r>
                  <w:r>
                    <w:rPr>
                      <w:rFonts w:hint="default" w:ascii="Times New Roman" w:hAnsi="Times New Roman" w:eastAsia="宋体" w:cs="Times New Roman"/>
                      <w:color w:val="000000" w:themeColor="text1"/>
                      <w:szCs w:val="21"/>
                      <w14:textFill>
                        <w14:solidFill>
                          <w14:schemeClr w14:val="tx1"/>
                        </w14:solidFill>
                      </w14:textFill>
                    </w:rPr>
                    <w:t>含量、含水率（水性涂料）等信息的检测报告）；2、废气污染治理设施运行管理信息（燃烧室温度、冷凝温度、过滤材料更换频次、吸附剂更换频次、催化剂更换频次）；3、监测记录信息（主要污染排放口废气排放记录（手工监测或在线监测）等）；4、主要原辅材料消耗记录；5、燃料（天然气）消耗记录</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772" w:type="pct"/>
                  <w:noWrap w:val="0"/>
                  <w:vAlign w:val="center"/>
                </w:tcPr>
                <w:p w14:paraId="45D65D0A">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本项目生产过程做好以下台账记录：</w:t>
                  </w:r>
                </w:p>
                <w:p w14:paraId="48596D4F">
                  <w:pPr>
                    <w:pStyle w:val="5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eastAsia" w:ascii="Times New Roman" w:hAnsi="Times New Roman" w:eastAsia="宋体" w:cs="Times New Roman"/>
                      <w:color w:val="000000" w:themeColor="text1"/>
                      <w:szCs w:val="21"/>
                      <w:lang w:val="en-US" w:eastAsia="zh-CN"/>
                      <w14:textFill>
                        <w14:solidFill>
                          <w14:schemeClr w14:val="tx1"/>
                        </w14:solidFill>
                      </w14:textFill>
                    </w:rPr>
                    <w:t>记录生产时间、运行负荷、产品产量等，提供水性油墨的密度、VOCs含量、含水率（水性涂料）等信息的检测报告；</w:t>
                  </w:r>
                </w:p>
                <w:p w14:paraId="2A9BBA0D">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2、环保设施运行过程</w:t>
                  </w:r>
                  <w:r>
                    <w:rPr>
                      <w:rFonts w:hint="default" w:ascii="Times New Roman" w:hAnsi="Times New Roman" w:eastAsia="宋体" w:cs="Times New Roman"/>
                      <w:color w:val="000000" w:themeColor="text1"/>
                      <w:szCs w:val="21"/>
                      <w14:textFill>
                        <w14:solidFill>
                          <w14:schemeClr w14:val="tx1"/>
                        </w14:solidFill>
                      </w14:textFill>
                    </w:rPr>
                    <w:t>记录活性炭温度、更换周期及更换量</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数据保存一年以上</w:t>
                  </w:r>
                  <w:r>
                    <w:rPr>
                      <w:rFonts w:hint="eastAsia" w:ascii="Times New Roman" w:hAnsi="Times New Roman" w:eastAsia="宋体" w:cs="Times New Roman"/>
                      <w:color w:val="000000" w:themeColor="text1"/>
                      <w:szCs w:val="21"/>
                      <w:lang w:eastAsia="zh-CN"/>
                      <w14:textFill>
                        <w14:solidFill>
                          <w14:schemeClr w14:val="tx1"/>
                        </w14:solidFill>
                      </w14:textFill>
                    </w:rPr>
                    <w:t>；</w:t>
                  </w:r>
                </w:p>
                <w:p w14:paraId="6167B719">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3、监测记录信息（主要污染排放口废气排放记录（手工监测或在线监测）等）；</w:t>
                  </w:r>
                </w:p>
                <w:p w14:paraId="1A6ECFC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4、主要原辅材料消耗记录</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341" w:type="pct"/>
                  <w:vMerge w:val="continue"/>
                  <w:noWrap w:val="0"/>
                  <w:vAlign w:val="center"/>
                </w:tcPr>
                <w:p w14:paraId="06C9E02D">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szCs w:val="21"/>
                      <w14:textFill>
                        <w14:solidFill>
                          <w14:schemeClr w14:val="tx1"/>
                        </w14:solidFill>
                      </w14:textFill>
                    </w:rPr>
                  </w:pPr>
                </w:p>
              </w:tc>
            </w:tr>
            <w:tr w14:paraId="53517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555" w:type="pct"/>
                  <w:vMerge w:val="continue"/>
                  <w:noWrap w:val="0"/>
                  <w:vAlign w:val="center"/>
                </w:tcPr>
                <w:p w14:paraId="59CDC77D">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szCs w:val="21"/>
                      <w14:textFill>
                        <w14:solidFill>
                          <w14:schemeClr w14:val="tx1"/>
                        </w14:solidFill>
                      </w14:textFill>
                    </w:rPr>
                  </w:pPr>
                </w:p>
              </w:tc>
              <w:tc>
                <w:tcPr>
                  <w:tcW w:w="2330" w:type="pct"/>
                  <w:noWrap w:val="0"/>
                  <w:vAlign w:val="center"/>
                </w:tcPr>
                <w:p w14:paraId="0DAE074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人员配置：设置环保部门，配备专职环保人员，并具备相应的环境管理能力</w:t>
                  </w:r>
                  <w:r>
                    <w:rPr>
                      <w:rFonts w:hint="eastAsia" w:ascii="Times New Roman" w:hAnsi="Times New Roman" w:eastAsia="宋体" w:cs="Times New Roman"/>
                      <w:color w:val="000000" w:themeColor="text1"/>
                      <w:szCs w:val="21"/>
                      <w:lang w:eastAsia="zh-CN"/>
                      <w14:textFill>
                        <w14:solidFill>
                          <w14:schemeClr w14:val="tx1"/>
                        </w14:solidFill>
                      </w14:textFill>
                    </w:rPr>
                    <w:t>。</w:t>
                  </w:r>
                </w:p>
              </w:tc>
              <w:tc>
                <w:tcPr>
                  <w:tcW w:w="1772" w:type="pct"/>
                  <w:noWrap w:val="0"/>
                  <w:vAlign w:val="center"/>
                </w:tcPr>
                <w:p w14:paraId="1C6E62AD">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企业设有安环部</w:t>
                  </w:r>
                  <w:r>
                    <w:rPr>
                      <w:rFonts w:hint="default" w:ascii="Times New Roman" w:hAnsi="Times New Roman" w:eastAsia="宋体" w:cs="Times New Roman"/>
                      <w:color w:val="000000" w:themeColor="text1"/>
                      <w:szCs w:val="21"/>
                      <w14:textFill>
                        <w14:solidFill>
                          <w14:schemeClr w14:val="tx1"/>
                        </w14:solidFill>
                      </w14:textFill>
                    </w:rPr>
                    <w:t>，配备专职环保人员，并具备相应的环境管理能力</w:t>
                  </w:r>
                </w:p>
              </w:tc>
              <w:tc>
                <w:tcPr>
                  <w:tcW w:w="341" w:type="pct"/>
                  <w:vMerge w:val="continue"/>
                  <w:noWrap w:val="0"/>
                  <w:vAlign w:val="center"/>
                </w:tcPr>
                <w:p w14:paraId="0D65119B">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000000" w:themeColor="text1"/>
                      <w:szCs w:val="21"/>
                      <w14:textFill>
                        <w14:solidFill>
                          <w14:schemeClr w14:val="tx1"/>
                        </w14:solidFill>
                      </w14:textFill>
                    </w:rPr>
                  </w:pPr>
                </w:p>
              </w:tc>
            </w:tr>
            <w:tr w14:paraId="301A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0E769F5F">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运输方式</w:t>
                  </w:r>
                </w:p>
              </w:tc>
              <w:tc>
                <w:tcPr>
                  <w:tcW w:w="2330" w:type="pct"/>
                  <w:noWrap w:val="0"/>
                  <w:vAlign w:val="center"/>
                </w:tcPr>
                <w:p w14:paraId="569C35E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1、物料公路运输</w:t>
                  </w:r>
                  <w:r>
                    <w:rPr>
                      <w:rFonts w:hint="eastAsia" w:ascii="Times New Roman" w:hAnsi="Times New Roman" w:eastAsia="宋体" w:cs="Times New Roman"/>
                      <w:color w:val="000000" w:themeColor="text1"/>
                      <w:szCs w:val="21"/>
                      <w:lang w:val="en-US" w:eastAsia="zh-CN"/>
                      <w14:textFill>
                        <w14:solidFill>
                          <w14:schemeClr w14:val="tx1"/>
                        </w14:solidFill>
                      </w14:textFill>
                    </w:rPr>
                    <w:t>全部</w:t>
                  </w:r>
                  <w:r>
                    <w:rPr>
                      <w:rFonts w:hint="default" w:ascii="Times New Roman" w:hAnsi="Times New Roman" w:eastAsia="宋体" w:cs="Times New Roman"/>
                      <w:color w:val="000000" w:themeColor="text1"/>
                      <w:szCs w:val="21"/>
                      <w:lang w:val="en-US" w:eastAsia="zh-CN"/>
                      <w14:textFill>
                        <w14:solidFill>
                          <w14:schemeClr w14:val="tx1"/>
                        </w14:solidFill>
                      </w14:textFill>
                    </w:rPr>
                    <w:t>使用达到国五及以上排放标准重型载货车辆（含燃气）或新能源车辆；</w:t>
                  </w:r>
                </w:p>
                <w:p w14:paraId="6E834D64">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2、厂内运输</w:t>
                  </w:r>
                  <w:r>
                    <w:rPr>
                      <w:rFonts w:hint="eastAsia" w:ascii="Times New Roman" w:hAnsi="Times New Roman" w:eastAsia="宋体" w:cs="Times New Roman"/>
                      <w:color w:val="000000" w:themeColor="text1"/>
                      <w:szCs w:val="21"/>
                      <w:lang w:val="en-US" w:eastAsia="zh-CN"/>
                      <w14:textFill>
                        <w14:solidFill>
                          <w14:schemeClr w14:val="tx1"/>
                        </w14:solidFill>
                      </w14:textFill>
                    </w:rPr>
                    <w:t>车辆全部达到</w:t>
                  </w:r>
                  <w:r>
                    <w:rPr>
                      <w:rFonts w:hint="default" w:ascii="Times New Roman" w:hAnsi="Times New Roman" w:eastAsia="宋体" w:cs="Times New Roman"/>
                      <w:color w:val="000000" w:themeColor="text1"/>
                      <w:szCs w:val="21"/>
                      <w:lang w:val="en-US" w:eastAsia="zh-CN"/>
                      <w14:textFill>
                        <w14:solidFill>
                          <w14:schemeClr w14:val="tx1"/>
                        </w14:solidFill>
                      </w14:textFill>
                    </w:rPr>
                    <w:t>国五及以上排放标准车辆（含燃气）或</w:t>
                  </w:r>
                  <w:r>
                    <w:rPr>
                      <w:rFonts w:hint="eastAsia" w:ascii="Times New Roman" w:hAnsi="Times New Roman" w:eastAsia="宋体" w:cs="Times New Roman"/>
                      <w:color w:val="000000" w:themeColor="text1"/>
                      <w:szCs w:val="21"/>
                      <w:lang w:val="en-US" w:eastAsia="zh-CN"/>
                      <w14:textFill>
                        <w14:solidFill>
                          <w14:schemeClr w14:val="tx1"/>
                        </w14:solidFill>
                      </w14:textFill>
                    </w:rPr>
                    <w:t>使用</w:t>
                  </w:r>
                  <w:r>
                    <w:rPr>
                      <w:rFonts w:hint="default" w:ascii="Times New Roman" w:hAnsi="Times New Roman" w:eastAsia="宋体" w:cs="Times New Roman"/>
                      <w:color w:val="000000" w:themeColor="text1"/>
                      <w:szCs w:val="21"/>
                      <w:lang w:val="en-US" w:eastAsia="zh-CN"/>
                      <w14:textFill>
                        <w14:solidFill>
                          <w14:schemeClr w14:val="tx1"/>
                        </w14:solidFill>
                      </w14:textFill>
                    </w:rPr>
                    <w:t>新能源车辆；</w:t>
                  </w:r>
                </w:p>
                <w:p w14:paraId="79DADC8D">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3、厂内非道路移动机械</w:t>
                  </w:r>
                  <w:r>
                    <w:rPr>
                      <w:rFonts w:hint="eastAsia" w:ascii="Times New Roman" w:hAnsi="Times New Roman" w:eastAsia="宋体" w:cs="Times New Roman"/>
                      <w:color w:val="000000" w:themeColor="text1"/>
                      <w:szCs w:val="21"/>
                      <w:lang w:val="en-US" w:eastAsia="zh-CN"/>
                      <w14:textFill>
                        <w14:solidFill>
                          <w14:schemeClr w14:val="tx1"/>
                        </w14:solidFill>
                      </w14:textFill>
                    </w:rPr>
                    <w:t>全部</w:t>
                  </w:r>
                  <w:r>
                    <w:rPr>
                      <w:rFonts w:hint="default" w:ascii="Times New Roman" w:hAnsi="Times New Roman" w:eastAsia="宋体" w:cs="Times New Roman"/>
                      <w:color w:val="000000" w:themeColor="text1"/>
                      <w:szCs w:val="21"/>
                      <w:lang w:val="en-US" w:eastAsia="zh-CN"/>
                      <w14:textFill>
                        <w14:solidFill>
                          <w14:schemeClr w14:val="tx1"/>
                        </w14:solidFill>
                      </w14:textFill>
                    </w:rPr>
                    <w:t>使用达到国三及以上排放标准或</w:t>
                  </w:r>
                  <w:r>
                    <w:rPr>
                      <w:rFonts w:hint="eastAsia" w:ascii="Times New Roman" w:hAnsi="Times New Roman" w:eastAsia="宋体" w:cs="Times New Roman"/>
                      <w:color w:val="000000" w:themeColor="text1"/>
                      <w:szCs w:val="21"/>
                      <w:lang w:val="en-US" w:eastAsia="zh-CN"/>
                      <w14:textFill>
                        <w14:solidFill>
                          <w14:schemeClr w14:val="tx1"/>
                        </w14:solidFill>
                      </w14:textFill>
                    </w:rPr>
                    <w:t>使用</w:t>
                  </w:r>
                  <w:r>
                    <w:rPr>
                      <w:rFonts w:hint="default" w:ascii="Times New Roman" w:hAnsi="Times New Roman" w:eastAsia="宋体" w:cs="Times New Roman"/>
                      <w:color w:val="000000" w:themeColor="text1"/>
                      <w:szCs w:val="21"/>
                      <w:lang w:val="en-US" w:eastAsia="zh-CN"/>
                      <w14:textFill>
                        <w14:solidFill>
                          <w14:schemeClr w14:val="tx1"/>
                        </w14:solidFill>
                      </w14:textFill>
                    </w:rPr>
                    <w:t>新能源机械</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1772" w:type="pct"/>
                  <w:noWrap w:val="0"/>
                  <w:vAlign w:val="center"/>
                </w:tcPr>
                <w:p w14:paraId="3DD37AC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企业使用物料均由外包车辆拉运货物；</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厂区内使用</w:t>
                  </w:r>
                  <w:r>
                    <w:rPr>
                      <w:rFonts w:hint="default" w:ascii="Times New Roman" w:hAnsi="Times New Roman" w:eastAsia="宋体" w:cs="Times New Roman"/>
                      <w:color w:val="000000" w:themeColor="text1"/>
                      <w:szCs w:val="21"/>
                      <w:lang w:val="en-US" w:eastAsia="zh-CN"/>
                      <w14:textFill>
                        <w14:solidFill>
                          <w14:schemeClr w14:val="tx1"/>
                        </w14:solidFill>
                      </w14:textFill>
                    </w:rPr>
                    <w:t>非道路移动机械</w:t>
                  </w:r>
                  <w:r>
                    <w:rPr>
                      <w:rFonts w:hint="eastAsia" w:ascii="Times New Roman" w:hAnsi="Times New Roman" w:eastAsia="宋体" w:cs="Times New Roman"/>
                      <w:color w:val="000000" w:themeColor="text1"/>
                      <w:szCs w:val="21"/>
                      <w:lang w:val="en-US" w:eastAsia="zh-CN"/>
                      <w14:textFill>
                        <w14:solidFill>
                          <w14:schemeClr w14:val="tx1"/>
                        </w14:solidFill>
                      </w14:textFill>
                    </w:rPr>
                    <w:t>全部</w:t>
                  </w:r>
                  <w:r>
                    <w:rPr>
                      <w:rFonts w:hint="default" w:ascii="Times New Roman" w:hAnsi="Times New Roman" w:eastAsia="宋体" w:cs="Times New Roman"/>
                      <w:color w:val="000000" w:themeColor="text1"/>
                      <w:szCs w:val="21"/>
                      <w:lang w:val="en-US" w:eastAsia="zh-CN"/>
                      <w14:textFill>
                        <w14:solidFill>
                          <w14:schemeClr w14:val="tx1"/>
                        </w14:solidFill>
                      </w14:textFill>
                    </w:rPr>
                    <w:t>使用达到国三及以上排放标准或</w:t>
                  </w:r>
                  <w:r>
                    <w:rPr>
                      <w:rFonts w:hint="eastAsia" w:ascii="Times New Roman" w:hAnsi="Times New Roman" w:eastAsia="宋体" w:cs="Times New Roman"/>
                      <w:color w:val="000000" w:themeColor="text1"/>
                      <w:szCs w:val="21"/>
                      <w:lang w:val="en-US" w:eastAsia="zh-CN"/>
                      <w14:textFill>
                        <w14:solidFill>
                          <w14:schemeClr w14:val="tx1"/>
                        </w14:solidFill>
                      </w14:textFill>
                    </w:rPr>
                    <w:t>使用</w:t>
                  </w:r>
                  <w:r>
                    <w:rPr>
                      <w:rFonts w:hint="default" w:ascii="Times New Roman" w:hAnsi="Times New Roman" w:eastAsia="宋体" w:cs="Times New Roman"/>
                      <w:color w:val="000000" w:themeColor="text1"/>
                      <w:szCs w:val="21"/>
                      <w:lang w:val="en-US" w:eastAsia="zh-CN"/>
                      <w14:textFill>
                        <w14:solidFill>
                          <w14:schemeClr w14:val="tx1"/>
                        </w14:solidFill>
                      </w14:textFill>
                    </w:rPr>
                    <w:t>新能源机械</w:t>
                  </w:r>
                  <w:r>
                    <w:rPr>
                      <w:rFonts w:hint="eastAsia" w:ascii="Times New Roman" w:hAnsi="Times New Roman" w:eastAsia="宋体" w:cs="Times New Roman"/>
                      <w:color w:val="000000" w:themeColor="text1"/>
                      <w:szCs w:val="21"/>
                      <w:lang w:val="en-US" w:eastAsia="zh-CN"/>
                      <w14:textFill>
                        <w14:solidFill>
                          <w14:schemeClr w14:val="tx1"/>
                        </w14:solidFill>
                      </w14:textFill>
                    </w:rPr>
                    <w:t>。</w:t>
                  </w:r>
                </w:p>
              </w:tc>
              <w:tc>
                <w:tcPr>
                  <w:tcW w:w="341" w:type="pct"/>
                  <w:noWrap w:val="0"/>
                  <w:vAlign w:val="center"/>
                </w:tcPr>
                <w:p w14:paraId="3F7227A6">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r w14:paraId="14A7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5" w:type="pct"/>
                  <w:noWrap w:val="0"/>
                  <w:vAlign w:val="center"/>
                </w:tcPr>
                <w:p w14:paraId="67C00F78">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运输监管</w:t>
                  </w:r>
                </w:p>
              </w:tc>
              <w:tc>
                <w:tcPr>
                  <w:tcW w:w="2330" w:type="pct"/>
                  <w:noWrap w:val="0"/>
                  <w:vAlign w:val="center"/>
                </w:tcPr>
                <w:p w14:paraId="3DFD4B33">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参照《重污染天气重点行业移动源应急管理技术指南》建立门禁系统和电子台账</w:t>
                  </w:r>
                </w:p>
              </w:tc>
              <w:tc>
                <w:tcPr>
                  <w:tcW w:w="1772" w:type="pct"/>
                  <w:noWrap w:val="0"/>
                  <w:vAlign w:val="center"/>
                </w:tcPr>
                <w:p w14:paraId="7D1E18AA">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环评要求厂区建立门禁系统和电子台账。</w:t>
                  </w:r>
                </w:p>
              </w:tc>
              <w:tc>
                <w:tcPr>
                  <w:tcW w:w="341" w:type="pct"/>
                  <w:noWrap w:val="0"/>
                  <w:vAlign w:val="center"/>
                </w:tcPr>
                <w:p w14:paraId="7ECB63F1">
                  <w:pPr>
                    <w:pStyle w:val="5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bCs/>
                      <w:color w:val="000000" w:themeColor="text1"/>
                      <w:szCs w:val="21"/>
                      <w14:textFill>
                        <w14:solidFill>
                          <w14:schemeClr w14:val="tx1"/>
                        </w14:solidFill>
                      </w14:textFill>
                    </w:rPr>
                  </w:pPr>
                  <w:r>
                    <w:rPr>
                      <w:rFonts w:hint="default"/>
                      <w:bCs/>
                      <w:color w:val="000000" w:themeColor="text1"/>
                      <w:szCs w:val="21"/>
                      <w14:textFill>
                        <w14:solidFill>
                          <w14:schemeClr w14:val="tx1"/>
                        </w14:solidFill>
                      </w14:textFill>
                    </w:rPr>
                    <w:t>符合</w:t>
                  </w:r>
                </w:p>
              </w:tc>
            </w:tr>
          </w:tbl>
          <w:p w14:paraId="2CE85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黑体" w:cs="Times New Roman"/>
                <w:b w:val="0"/>
                <w:bCs w:val="0"/>
                <w:color w:val="000000" w:themeColor="text1"/>
                <w:sz w:val="24"/>
                <w:szCs w:val="24"/>
                <w:lang w:val="en-US" w:eastAsia="zh-CN"/>
                <w14:textFill>
                  <w14:solidFill>
                    <w14:schemeClr w14:val="tx1"/>
                  </w14:solidFill>
                </w14:textFill>
              </w:rPr>
            </w:pPr>
          </w:p>
        </w:tc>
      </w:tr>
    </w:tbl>
    <w:p w14:paraId="69795A9C">
      <w:pPr>
        <w:bidi w:val="0"/>
        <w:rPr>
          <w:rFonts w:hint="default" w:ascii="Times New Roman" w:hAnsi="Times New Roman" w:cs="Times New Roman"/>
          <w:color w:val="000000" w:themeColor="text1"/>
          <w14:textFill>
            <w14:solidFill>
              <w14:schemeClr w14:val="tx1"/>
            </w14:solidFill>
          </w14:textFill>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7A2DB23B">
      <w:pPr>
        <w:pStyle w:val="18"/>
        <w:ind w:firstLine="60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3"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3"/>
    </w:p>
    <w:tbl>
      <w:tblPr>
        <w:tblStyle w:val="21"/>
        <w:tblW w:w="497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7"/>
        <w:gridCol w:w="1505"/>
        <w:gridCol w:w="1438"/>
        <w:gridCol w:w="1790"/>
        <w:gridCol w:w="3118"/>
      </w:tblGrid>
      <w:tr w14:paraId="32B3E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849" w:type="pct"/>
            <w:tcBorders>
              <w:tl2br w:val="single" w:color="auto" w:sz="4" w:space="0"/>
            </w:tcBorders>
          </w:tcPr>
          <w:p w14:paraId="49C561B7">
            <w:pPr>
              <w:keepNext w:val="0"/>
              <w:keepLines w:val="0"/>
              <w:suppressLineNumbers w:val="0"/>
              <w:adjustRightInd w:val="0"/>
              <w:snapToGrid w:val="0"/>
              <w:spacing w:before="0" w:beforeAutospacing="0" w:after="0" w:afterAutospacing="0" w:line="520" w:lineRule="atLeast"/>
              <w:ind w:left="0" w:right="0" w:firstLine="723" w:firstLineChars="30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内容</w:t>
            </w:r>
          </w:p>
          <w:p w14:paraId="5D504DD5">
            <w:pPr>
              <w:keepNext w:val="0"/>
              <w:keepLines w:val="0"/>
              <w:suppressLineNumbers w:val="0"/>
              <w:adjustRightInd w:val="0"/>
              <w:snapToGrid w:val="0"/>
              <w:spacing w:before="0" w:beforeAutospacing="0" w:after="0" w:afterAutospacing="0" w:line="520" w:lineRule="atLeast"/>
              <w:ind w:left="0" w:right="0" w:firstLine="0" w:firstLineChars="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要素</w:t>
            </w:r>
          </w:p>
        </w:tc>
        <w:tc>
          <w:tcPr>
            <w:tcW w:w="795" w:type="pct"/>
            <w:vAlign w:val="center"/>
          </w:tcPr>
          <w:p w14:paraId="32209559">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排放口(编号、名称)/污染源</w:t>
            </w:r>
          </w:p>
        </w:tc>
        <w:tc>
          <w:tcPr>
            <w:tcW w:w="760" w:type="pct"/>
            <w:vAlign w:val="center"/>
          </w:tcPr>
          <w:p w14:paraId="7F0DB626">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污染物项目</w:t>
            </w:r>
          </w:p>
        </w:tc>
        <w:tc>
          <w:tcPr>
            <w:tcW w:w="946" w:type="pct"/>
            <w:vAlign w:val="center"/>
          </w:tcPr>
          <w:p w14:paraId="55B27819">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环境保护措施</w:t>
            </w:r>
          </w:p>
        </w:tc>
        <w:tc>
          <w:tcPr>
            <w:tcW w:w="1648" w:type="pct"/>
            <w:vAlign w:val="center"/>
          </w:tcPr>
          <w:p w14:paraId="62DCFA06">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执行标准</w:t>
            </w:r>
          </w:p>
        </w:tc>
      </w:tr>
      <w:tr w14:paraId="25CF6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49" w:type="pct"/>
            <w:vMerge w:val="restart"/>
            <w:vAlign w:val="center"/>
          </w:tcPr>
          <w:p w14:paraId="73D6E5E5">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大气环境</w:t>
            </w:r>
          </w:p>
        </w:tc>
        <w:tc>
          <w:tcPr>
            <w:tcW w:w="795" w:type="pct"/>
            <w:vAlign w:val="center"/>
          </w:tcPr>
          <w:p w14:paraId="05819A06">
            <w:pPr>
              <w:keepNext w:val="0"/>
              <w:keepLines w:val="0"/>
              <w:suppressLineNumbers w:val="0"/>
              <w:spacing w:before="0" w:beforeAutospacing="0" w:after="0" w:afterAutospacing="0" w:line="52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DA001</w:t>
            </w:r>
          </w:p>
        </w:tc>
        <w:tc>
          <w:tcPr>
            <w:tcW w:w="760" w:type="pct"/>
            <w:vAlign w:val="center"/>
          </w:tcPr>
          <w:p w14:paraId="264436C2">
            <w:pPr>
              <w:keepNext w:val="0"/>
              <w:keepLines w:val="0"/>
              <w:suppressLineNumbers w:val="0"/>
              <w:adjustRightInd w:val="0"/>
              <w:snapToGrid w:val="0"/>
              <w:spacing w:before="0" w:beforeAutospacing="0" w:after="0" w:afterAutospacing="0" w:line="520" w:lineRule="atLeast"/>
              <w:ind w:left="0" w:right="0" w:firstLine="0" w:firstLineChars="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946" w:type="pct"/>
            <w:vAlign w:val="center"/>
          </w:tcPr>
          <w:p w14:paraId="4E671798">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default" w:cs="Times New Roman"/>
                <w:color w:val="000000" w:themeColor="text1"/>
                <w:lang w:val="en-US" w:eastAsia="zh-CN"/>
                <w14:textFill>
                  <w14:solidFill>
                    <w14:schemeClr w14:val="tx1"/>
                  </w14:solidFill>
                </w14:textFill>
              </w:rPr>
              <w:t>集气罩+两级活性炭吸附装置+15m排气筒</w:t>
            </w:r>
          </w:p>
        </w:tc>
        <w:tc>
          <w:tcPr>
            <w:tcW w:w="1648" w:type="pct"/>
            <w:vAlign w:val="center"/>
          </w:tcPr>
          <w:p w14:paraId="261DAA82">
            <w:pPr>
              <w:keepNext w:val="0"/>
              <w:keepLines w:val="0"/>
              <w:suppressLineNumbers w:val="0"/>
              <w:adjustRightInd w:val="0"/>
              <w:snapToGrid w:val="0"/>
              <w:spacing w:before="0" w:beforeAutospacing="0" w:after="0" w:afterAutospacing="0" w:line="520" w:lineRule="atLeast"/>
              <w:ind w:left="0" w:right="0" w:firstLine="0" w:firstLineChars="0"/>
              <w:jc w:val="both"/>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《挥发性有机物排放控制标准》</w:t>
            </w:r>
            <w:r>
              <w:rPr>
                <w:rFonts w:hint="default" w:ascii="Times New Roman" w:hAnsi="Times New Roman" w:cs="Times New Roman"/>
                <w:color w:val="000000" w:themeColor="text1"/>
                <w:lang w:val="en-US"/>
                <w14:textFill>
                  <w14:solidFill>
                    <w14:schemeClr w14:val="tx1"/>
                  </w14:solidFill>
                </w14:textFill>
              </w:rPr>
              <w:t>（DB61/T 1061-2017）</w:t>
            </w:r>
          </w:p>
        </w:tc>
      </w:tr>
      <w:tr w14:paraId="18BE2D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49" w:type="pct"/>
            <w:vMerge w:val="continue"/>
            <w:vAlign w:val="center"/>
          </w:tcPr>
          <w:p w14:paraId="54DFC7FC">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p>
        </w:tc>
        <w:tc>
          <w:tcPr>
            <w:tcW w:w="795" w:type="pct"/>
            <w:vMerge w:val="restart"/>
            <w:vAlign w:val="center"/>
          </w:tcPr>
          <w:p w14:paraId="1D016387">
            <w:pPr>
              <w:keepNext w:val="0"/>
              <w:keepLines w:val="0"/>
              <w:suppressLineNumbers w:val="0"/>
              <w:spacing w:before="0" w:beforeAutospacing="0" w:after="0" w:afterAutospacing="0" w:line="52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无组织</w:t>
            </w:r>
          </w:p>
        </w:tc>
        <w:tc>
          <w:tcPr>
            <w:tcW w:w="760" w:type="pct"/>
            <w:vAlign w:val="center"/>
          </w:tcPr>
          <w:p w14:paraId="678FECA1">
            <w:pPr>
              <w:keepNext w:val="0"/>
              <w:keepLines w:val="0"/>
              <w:suppressLineNumbers w:val="0"/>
              <w:adjustRightInd w:val="0"/>
              <w:snapToGrid w:val="0"/>
              <w:spacing w:before="0" w:beforeAutospacing="0" w:after="0" w:afterAutospacing="0" w:line="520" w:lineRule="atLeast"/>
              <w:ind w:left="0" w:right="0" w:firstLine="0" w:firstLineChars="0"/>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非甲烷总烃</w:t>
            </w:r>
          </w:p>
        </w:tc>
        <w:tc>
          <w:tcPr>
            <w:tcW w:w="946" w:type="pct"/>
            <w:vAlign w:val="center"/>
          </w:tcPr>
          <w:p w14:paraId="282468BB">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车间通风</w:t>
            </w:r>
          </w:p>
        </w:tc>
        <w:tc>
          <w:tcPr>
            <w:tcW w:w="1648" w:type="pct"/>
            <w:vAlign w:val="center"/>
          </w:tcPr>
          <w:p w14:paraId="7EDDDBE4">
            <w:pPr>
              <w:keepNext w:val="0"/>
              <w:keepLines w:val="0"/>
              <w:suppressLineNumbers w:val="0"/>
              <w:adjustRightInd w:val="0"/>
              <w:snapToGrid w:val="0"/>
              <w:spacing w:before="0" w:beforeAutospacing="0" w:after="0" w:afterAutospacing="0" w:line="520" w:lineRule="atLeast"/>
              <w:ind w:left="0" w:right="0" w:firstLine="0" w:firstLineChars="0"/>
              <w:jc w:val="both"/>
              <w:rPr>
                <w:rFonts w:hint="default" w:ascii="Times New Roman" w:hAnsi="Times New Roman" w:cs="Times New Roman"/>
                <w:color w:val="000000" w:themeColor="text1"/>
                <w:lang w:val="en-US"/>
                <w14:textFill>
                  <w14:solidFill>
                    <w14:schemeClr w14:val="tx1"/>
                  </w14:solidFill>
                </w14:textFill>
              </w:rPr>
            </w:pPr>
            <w:r>
              <w:rPr>
                <w:rFonts w:hint="eastAsia" w:cs="Times New Roman"/>
                <w:color w:val="000000" w:themeColor="text1"/>
                <w:lang w:val="en-US" w:eastAsia="zh-CN"/>
                <w14:textFill>
                  <w14:solidFill>
                    <w14:schemeClr w14:val="tx1"/>
                  </w14:solidFill>
                </w14:textFill>
              </w:rPr>
              <w:t>《挥发性有机物排放控制标准》</w:t>
            </w:r>
            <w:r>
              <w:rPr>
                <w:rFonts w:hint="default" w:ascii="Times New Roman" w:hAnsi="Times New Roman" w:cs="Times New Roman"/>
                <w:color w:val="000000" w:themeColor="text1"/>
                <w:lang w:val="en-US"/>
                <w14:textFill>
                  <w14:solidFill>
                    <w14:schemeClr w14:val="tx1"/>
                  </w14:solidFill>
                </w14:textFill>
              </w:rPr>
              <w:t>（DB61/T 1061-2017）及《挥发性有机物无组织排放控制标准》(GB37822-2019)</w:t>
            </w:r>
          </w:p>
        </w:tc>
      </w:tr>
      <w:tr w14:paraId="4151B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49" w:type="pct"/>
            <w:vMerge w:val="continue"/>
            <w:vAlign w:val="center"/>
          </w:tcPr>
          <w:p w14:paraId="5D9DD49C">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p>
        </w:tc>
        <w:tc>
          <w:tcPr>
            <w:tcW w:w="795" w:type="pct"/>
            <w:vMerge w:val="continue"/>
            <w:vAlign w:val="center"/>
          </w:tcPr>
          <w:p w14:paraId="167941E3">
            <w:pPr>
              <w:keepNext w:val="0"/>
              <w:keepLines w:val="0"/>
              <w:suppressLineNumbers w:val="0"/>
              <w:spacing w:before="0" w:beforeAutospacing="0" w:after="0" w:afterAutospacing="0" w:line="520" w:lineRule="atLeast"/>
              <w:ind w:left="0" w:right="0" w:firstLine="0" w:firstLineChars="0"/>
              <w:jc w:val="center"/>
              <w:rPr>
                <w:rFonts w:hint="eastAsia" w:cs="Times New Roman"/>
                <w:color w:val="000000" w:themeColor="text1"/>
                <w:lang w:val="en-US" w:eastAsia="zh-CN"/>
                <w14:textFill>
                  <w14:solidFill>
                    <w14:schemeClr w14:val="tx1"/>
                  </w14:solidFill>
                </w14:textFill>
              </w:rPr>
            </w:pPr>
          </w:p>
        </w:tc>
        <w:tc>
          <w:tcPr>
            <w:tcW w:w="760" w:type="pct"/>
            <w:vAlign w:val="center"/>
          </w:tcPr>
          <w:p w14:paraId="0BDD2E30">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颗粒物</w:t>
            </w:r>
          </w:p>
        </w:tc>
        <w:tc>
          <w:tcPr>
            <w:tcW w:w="946" w:type="pct"/>
            <w:vAlign w:val="center"/>
          </w:tcPr>
          <w:p w14:paraId="7AE4DBB6">
            <w:pPr>
              <w:keepNext w:val="0"/>
              <w:keepLines w:val="0"/>
              <w:suppressLineNumbers w:val="0"/>
              <w:adjustRightInd w:val="0"/>
              <w:snapToGrid w:val="0"/>
              <w:spacing w:before="0" w:beforeAutospacing="0" w:after="0" w:afterAutospacing="0" w:line="520" w:lineRule="atLeast"/>
              <w:ind w:left="0" w:right="0" w:firstLine="0" w:firstLineChars="0"/>
              <w:jc w:val="center"/>
              <w:rPr>
                <w:rFonts w:hint="eastAsia"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车间通风</w:t>
            </w:r>
          </w:p>
        </w:tc>
        <w:tc>
          <w:tcPr>
            <w:tcW w:w="1648" w:type="pct"/>
            <w:vAlign w:val="center"/>
          </w:tcPr>
          <w:p w14:paraId="21942CE4">
            <w:pPr>
              <w:keepNext w:val="0"/>
              <w:keepLines w:val="0"/>
              <w:suppressLineNumbers w:val="0"/>
              <w:adjustRightInd w:val="0"/>
              <w:snapToGrid w:val="0"/>
              <w:spacing w:before="0" w:beforeAutospacing="0" w:after="0" w:afterAutospacing="0" w:line="520" w:lineRule="atLeast"/>
              <w:ind w:left="0" w:right="0" w:firstLine="0" w:firstLineChars="0"/>
              <w:jc w:val="both"/>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《大气污染物综合排放标准》（GB16297-1996）</w:t>
            </w:r>
          </w:p>
        </w:tc>
      </w:tr>
      <w:tr w14:paraId="070C1F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8" w:hRule="atLeast"/>
          <w:jc w:val="center"/>
        </w:trPr>
        <w:tc>
          <w:tcPr>
            <w:tcW w:w="849" w:type="pct"/>
            <w:vAlign w:val="center"/>
          </w:tcPr>
          <w:p w14:paraId="5084A36D">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地表水环境</w:t>
            </w:r>
          </w:p>
        </w:tc>
        <w:tc>
          <w:tcPr>
            <w:tcW w:w="795" w:type="pct"/>
            <w:vAlign w:val="center"/>
          </w:tcPr>
          <w:p w14:paraId="1CB344F6">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厂区废水总排口</w:t>
            </w:r>
          </w:p>
        </w:tc>
        <w:tc>
          <w:tcPr>
            <w:tcW w:w="760" w:type="pct"/>
            <w:vAlign w:val="center"/>
          </w:tcPr>
          <w:p w14:paraId="71821773">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COD、</w:t>
            </w:r>
            <w:r>
              <w:rPr>
                <w:rFonts w:hint="default" w:ascii="Times New Roman" w:hAnsi="Times New Roman" w:cs="Times New Roman"/>
                <w:bCs/>
                <w:color w:val="000000" w:themeColor="text1"/>
                <w:sz w:val="21"/>
                <w:szCs w:val="21"/>
                <w14:textFill>
                  <w14:solidFill>
                    <w14:schemeClr w14:val="tx1"/>
                  </w14:solidFill>
                </w14:textFill>
              </w:rPr>
              <w:t>BOD</w:t>
            </w:r>
            <w:r>
              <w:rPr>
                <w:rFonts w:hint="default" w:ascii="Times New Roman" w:hAnsi="Times New Roman" w:cs="Times New Roman"/>
                <w:bCs/>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lang w:val="en-US" w:eastAsia="zh-CN"/>
                <w14:textFill>
                  <w14:solidFill>
                    <w14:schemeClr w14:val="tx1"/>
                  </w14:solidFill>
                </w14:textFill>
              </w:rPr>
              <w:t>、氨氮、</w:t>
            </w:r>
            <w:r>
              <w:rPr>
                <w:rFonts w:hint="default" w:ascii="Times New Roman" w:hAnsi="Times New Roman" w:cs="Times New Roman"/>
                <w:color w:val="000000" w:themeColor="text1"/>
                <w14:textFill>
                  <w14:solidFill>
                    <w14:schemeClr w14:val="tx1"/>
                  </w14:solidFill>
                </w14:textFill>
              </w:rPr>
              <w:t>SS</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总磷、总氮</w:t>
            </w:r>
          </w:p>
        </w:tc>
        <w:tc>
          <w:tcPr>
            <w:tcW w:w="946" w:type="pct"/>
            <w:vAlign w:val="center"/>
          </w:tcPr>
          <w:p w14:paraId="4CFA70D4">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eastAsia="宋体" w:cs="Times New Roman"/>
                <w:color w:val="000000" w:themeColor="text1"/>
                <w:vertAlign w:val="superscript"/>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化粪池</w:t>
            </w:r>
            <w:r>
              <w:rPr>
                <w:rFonts w:hint="eastAsia" w:cs="Times New Roman"/>
                <w:color w:val="000000" w:themeColor="text1"/>
                <w:lang w:val="en-US" w:eastAsia="zh-CN"/>
                <w14:textFill>
                  <w14:solidFill>
                    <w14:schemeClr w14:val="tx1"/>
                  </w14:solidFill>
                </w14:textFill>
              </w:rPr>
              <w:t>（5m</w:t>
            </w:r>
            <w:r>
              <w:rPr>
                <w:rFonts w:hint="eastAsia" w:cs="Times New Roman"/>
                <w:color w:val="000000" w:themeColor="text1"/>
                <w:vertAlign w:val="superscript"/>
                <w:lang w:val="en-US" w:eastAsia="zh-CN"/>
                <w14:textFill>
                  <w14:solidFill>
                    <w14:schemeClr w14:val="tx1"/>
                  </w14:solidFill>
                </w14:textFill>
              </w:rPr>
              <w:t>3</w:t>
            </w:r>
            <w:r>
              <w:rPr>
                <w:rFonts w:hint="eastAsia" w:cs="Times New Roman"/>
                <w:color w:val="000000" w:themeColor="text1"/>
                <w:lang w:val="en-US" w:eastAsia="zh-CN"/>
                <w14:textFill>
                  <w14:solidFill>
                    <w14:schemeClr w14:val="tx1"/>
                  </w14:solidFill>
                </w14:textFill>
              </w:rPr>
              <w:t>）</w:t>
            </w:r>
          </w:p>
        </w:tc>
        <w:tc>
          <w:tcPr>
            <w:tcW w:w="1648" w:type="pct"/>
            <w:vAlign w:val="center"/>
          </w:tcPr>
          <w:p w14:paraId="2A47BB80">
            <w:pPr>
              <w:keepNext w:val="0"/>
              <w:keepLines w:val="0"/>
              <w:suppressLineNumbers w:val="0"/>
              <w:adjustRightInd w:val="0"/>
              <w:snapToGrid w:val="0"/>
              <w:spacing w:before="0" w:beforeAutospacing="0" w:after="0" w:afterAutospacing="0" w:line="520" w:lineRule="atLeast"/>
              <w:ind w:left="0" w:right="0" w:firstLine="0" w:firstLineChars="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《污水综合排放标准》(GB8978-1996)中的三级标准</w:t>
            </w:r>
            <w:r>
              <w:rPr>
                <w:rFonts w:hint="default" w:ascii="Times New Roman" w:hAnsi="Times New Roman" w:cs="Times New Roman"/>
                <w:color w:val="000000" w:themeColor="text1"/>
                <w:lang w:val="en-US" w:eastAsia="zh-CN"/>
                <w14:textFill>
                  <w14:solidFill>
                    <w14:schemeClr w14:val="tx1"/>
                  </w14:solidFill>
                </w14:textFill>
              </w:rPr>
              <w:t>及</w:t>
            </w:r>
            <w:r>
              <w:rPr>
                <w:rFonts w:hint="default" w:ascii="Times New Roman" w:hAnsi="Times New Roman" w:cs="Times New Roman"/>
                <w:color w:val="000000" w:themeColor="text1"/>
                <w14:textFill>
                  <w14:solidFill>
                    <w14:schemeClr w14:val="tx1"/>
                  </w14:solidFill>
                </w14:textFill>
              </w:rPr>
              <w:t>《污水排入城镇下水道水质标准》（GB/T31962-2015）</w:t>
            </w:r>
            <w:r>
              <w:rPr>
                <w:rFonts w:hint="default" w:ascii="Times New Roman" w:hAnsi="Times New Roman" w:cs="Times New Roman"/>
                <w:color w:val="000000" w:themeColor="text1"/>
                <w:lang w:val="en-US" w:eastAsia="zh-CN"/>
                <w14:textFill>
                  <w14:solidFill>
                    <w14:schemeClr w14:val="tx1"/>
                  </w14:solidFill>
                </w14:textFill>
              </w:rPr>
              <w:t>A级</w:t>
            </w:r>
            <w:r>
              <w:rPr>
                <w:rFonts w:hint="default" w:ascii="Times New Roman" w:hAnsi="Times New Roman" w:cs="Times New Roman"/>
                <w:color w:val="000000" w:themeColor="text1"/>
                <w14:textFill>
                  <w14:solidFill>
                    <w14:schemeClr w14:val="tx1"/>
                  </w14:solidFill>
                </w14:textFill>
              </w:rPr>
              <w:t>标准</w:t>
            </w:r>
          </w:p>
        </w:tc>
      </w:tr>
      <w:tr w14:paraId="52D438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849" w:type="pct"/>
            <w:vAlign w:val="center"/>
          </w:tcPr>
          <w:p w14:paraId="317D743E">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w:t>
            </w:r>
          </w:p>
        </w:tc>
        <w:tc>
          <w:tcPr>
            <w:tcW w:w="795" w:type="pct"/>
            <w:vAlign w:val="center"/>
          </w:tcPr>
          <w:p w14:paraId="4A9E4681">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设备噪声</w:t>
            </w:r>
          </w:p>
        </w:tc>
        <w:tc>
          <w:tcPr>
            <w:tcW w:w="760" w:type="pct"/>
            <w:vAlign w:val="center"/>
          </w:tcPr>
          <w:p w14:paraId="68CA5855">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噪声</w:t>
            </w:r>
          </w:p>
        </w:tc>
        <w:tc>
          <w:tcPr>
            <w:tcW w:w="946" w:type="pct"/>
            <w:vAlign w:val="center"/>
          </w:tcPr>
          <w:p w14:paraId="074A35D5">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基础减振、墙体隔声</w:t>
            </w:r>
          </w:p>
        </w:tc>
        <w:tc>
          <w:tcPr>
            <w:tcW w:w="1648" w:type="pct"/>
            <w:vAlign w:val="center"/>
          </w:tcPr>
          <w:p w14:paraId="25649D24">
            <w:pPr>
              <w:keepNext w:val="0"/>
              <w:keepLines w:val="0"/>
              <w:suppressLineNumbers w:val="0"/>
              <w:adjustRightInd w:val="0"/>
              <w:snapToGrid w:val="0"/>
              <w:spacing w:before="0" w:beforeAutospacing="0" w:after="0" w:afterAutospacing="0" w:line="520" w:lineRule="atLeast"/>
              <w:ind w:left="0" w:right="0" w:firstLine="0" w:firstLineChars="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《工业企业厂界环境噪声排放标准》（GB12348-2008）中</w:t>
            </w:r>
            <w:r>
              <w:rPr>
                <w:rFonts w:hint="eastAsia" w:cs="Times New Roman"/>
                <w:color w:val="000000" w:themeColor="text1"/>
                <w:lang w:eastAsia="zh-CN"/>
                <w14:textFill>
                  <w14:solidFill>
                    <w14:schemeClr w14:val="tx1"/>
                  </w14:solidFill>
                </w14:textFill>
              </w:rPr>
              <w:t>2类</w:t>
            </w:r>
            <w:r>
              <w:rPr>
                <w:rFonts w:hint="default" w:ascii="Times New Roman" w:hAnsi="Times New Roman" w:cs="Times New Roman"/>
                <w:color w:val="000000" w:themeColor="text1"/>
                <w14:textFill>
                  <w14:solidFill>
                    <w14:schemeClr w14:val="tx1"/>
                  </w14:solidFill>
                </w14:textFill>
              </w:rPr>
              <w:t>标准</w:t>
            </w:r>
          </w:p>
        </w:tc>
      </w:tr>
      <w:tr w14:paraId="76112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849" w:type="pct"/>
            <w:vAlign w:val="center"/>
          </w:tcPr>
          <w:p w14:paraId="0C2BB86B">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电磁辐射</w:t>
            </w:r>
          </w:p>
        </w:tc>
        <w:tc>
          <w:tcPr>
            <w:tcW w:w="795" w:type="pct"/>
            <w:vAlign w:val="center"/>
          </w:tcPr>
          <w:p w14:paraId="3FAA8268">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760" w:type="pct"/>
            <w:vAlign w:val="center"/>
          </w:tcPr>
          <w:p w14:paraId="572C9AFB">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946" w:type="pct"/>
            <w:vAlign w:val="center"/>
          </w:tcPr>
          <w:p w14:paraId="67DAAB7E">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c>
          <w:tcPr>
            <w:tcW w:w="1648" w:type="pct"/>
            <w:vAlign w:val="center"/>
          </w:tcPr>
          <w:p w14:paraId="721FF892">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w:t>
            </w:r>
          </w:p>
        </w:tc>
      </w:tr>
      <w:tr w14:paraId="1F2017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1" w:hRule="atLeast"/>
          <w:jc w:val="center"/>
        </w:trPr>
        <w:tc>
          <w:tcPr>
            <w:tcW w:w="849" w:type="pct"/>
            <w:vAlign w:val="center"/>
          </w:tcPr>
          <w:p w14:paraId="4EB88A93">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固体废物</w:t>
            </w:r>
          </w:p>
        </w:tc>
        <w:tc>
          <w:tcPr>
            <w:tcW w:w="4150" w:type="pct"/>
            <w:gridSpan w:val="4"/>
            <w:vAlign w:val="center"/>
          </w:tcPr>
          <w:p w14:paraId="7C9DB101">
            <w:pPr>
              <w:keepNext w:val="0"/>
              <w:keepLines w:val="0"/>
              <w:suppressLineNumbers w:val="0"/>
              <w:spacing w:before="0" w:beforeAutospacing="0" w:after="0" w:afterAutospacing="0" w:line="520" w:lineRule="atLeast"/>
              <w:ind w:left="0" w:right="0" w:firstLine="48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生活垃圾分类收集，由</w:t>
            </w:r>
            <w:r>
              <w:rPr>
                <w:rFonts w:hint="eastAsia" w:cs="Times New Roman"/>
                <w:color w:val="000000" w:themeColor="text1"/>
                <w:lang w:val="en-US" w:eastAsia="zh-CN"/>
                <w14:textFill>
                  <w14:solidFill>
                    <w14:schemeClr w14:val="tx1"/>
                  </w14:solidFill>
                </w14:textFill>
              </w:rPr>
              <w:t>当地</w:t>
            </w:r>
            <w:r>
              <w:rPr>
                <w:rFonts w:hint="default" w:ascii="Times New Roman" w:hAnsi="Times New Roman" w:cs="Times New Roman"/>
                <w:color w:val="000000" w:themeColor="text1"/>
                <w:lang w:val="en-US" w:eastAsia="zh-CN"/>
                <w14:textFill>
                  <w14:solidFill>
                    <w14:schemeClr w14:val="tx1"/>
                  </w14:solidFill>
                </w14:textFill>
              </w:rPr>
              <w:t>环卫部门定期清运；</w:t>
            </w:r>
            <w:r>
              <w:rPr>
                <w:rFonts w:hint="eastAsia" w:cs="Times New Roman"/>
                <w:color w:val="000000" w:themeColor="text1"/>
                <w:lang w:val="en-US" w:eastAsia="zh-CN"/>
                <w14:textFill>
                  <w14:solidFill>
                    <w14:schemeClr w14:val="tx1"/>
                  </w14:solidFill>
                </w14:textFill>
              </w:rPr>
              <w:t>废边角料、不合格产品、废胶桶等一般固废集中收集后外售综合利用；废油墨桶、清洗废水、废活性炭、废矿物油、废含油抹布等危险废物暂存于危废贮存库，定期交由有资质单位处置</w:t>
            </w:r>
            <w:r>
              <w:rPr>
                <w:rFonts w:hint="default" w:ascii="Times New Roman" w:hAnsi="Times New Roman" w:cs="Times New Roman"/>
                <w:color w:val="000000" w:themeColor="text1"/>
                <w:lang w:val="en-US" w:eastAsia="zh-CN"/>
                <w14:textFill>
                  <w14:solidFill>
                    <w14:schemeClr w14:val="tx1"/>
                  </w14:solidFill>
                </w14:textFill>
              </w:rPr>
              <w:t>。</w:t>
            </w:r>
          </w:p>
        </w:tc>
      </w:tr>
      <w:tr w14:paraId="1135A6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8" w:hRule="atLeast"/>
          <w:jc w:val="center"/>
        </w:trPr>
        <w:tc>
          <w:tcPr>
            <w:tcW w:w="849" w:type="pct"/>
            <w:vAlign w:val="center"/>
          </w:tcPr>
          <w:p w14:paraId="5E45FB95">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土壤及地下水污染防治措施</w:t>
            </w:r>
          </w:p>
        </w:tc>
        <w:tc>
          <w:tcPr>
            <w:tcW w:w="4150" w:type="pct"/>
            <w:gridSpan w:val="4"/>
            <w:vAlign w:val="center"/>
          </w:tcPr>
          <w:p w14:paraId="793A46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520" w:lineRule="atLeast"/>
              <w:ind w:left="0" w:right="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厂区化粪池采取防水混凝土进行防渗，</w:t>
            </w:r>
            <w:r>
              <w:rPr>
                <w:rFonts w:hint="eastAsia" w:cs="Times New Roman"/>
                <w:color w:val="000000" w:themeColor="text1"/>
                <w:lang w:eastAsia="zh-CN"/>
                <w14:textFill>
                  <w14:solidFill>
                    <w14:schemeClr w14:val="tx1"/>
                  </w14:solidFill>
                </w14:textFill>
              </w:rPr>
              <w:t>危废贮存库</w:t>
            </w:r>
            <w:r>
              <w:rPr>
                <w:rFonts w:hint="default" w:ascii="Times New Roman" w:hAnsi="Times New Roman" w:cs="Times New Roman"/>
                <w:color w:val="000000" w:themeColor="text1"/>
                <w14:textFill>
                  <w14:solidFill>
                    <w14:schemeClr w14:val="tx1"/>
                  </w14:solidFill>
                </w14:textFill>
              </w:rPr>
              <w:t>渗透系数≤10</w:t>
            </w:r>
            <w:r>
              <w:rPr>
                <w:rFonts w:hint="default" w:ascii="Times New Roman" w:hAnsi="Times New Roman" w:cs="Times New Roman"/>
                <w:color w:val="000000" w:themeColor="text1"/>
                <w:vertAlign w:val="superscript"/>
                <w14:textFill>
                  <w14:solidFill>
                    <w14:schemeClr w14:val="tx1"/>
                  </w14:solidFill>
                </w14:textFill>
              </w:rPr>
              <w:t>-7</w:t>
            </w:r>
            <w:r>
              <w:rPr>
                <w:rFonts w:hint="default" w:ascii="Times New Roman" w:hAnsi="Times New Roman" w:cs="Times New Roman"/>
                <w:color w:val="000000" w:themeColor="text1"/>
                <w14:textFill>
                  <w14:solidFill>
                    <w14:schemeClr w14:val="tx1"/>
                  </w14:solidFill>
                </w14:textFill>
              </w:rPr>
              <w:t>cm/s，其余区域均采取水泥硬化，后续检查地面破损情况并修复。</w:t>
            </w:r>
          </w:p>
        </w:tc>
      </w:tr>
      <w:tr w14:paraId="5F9F05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849" w:type="pct"/>
            <w:vAlign w:val="center"/>
          </w:tcPr>
          <w:p w14:paraId="02668181">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生态保护措施</w:t>
            </w:r>
          </w:p>
        </w:tc>
        <w:tc>
          <w:tcPr>
            <w:tcW w:w="4150" w:type="pct"/>
            <w:gridSpan w:val="4"/>
            <w:vAlign w:val="center"/>
          </w:tcPr>
          <w:p w14:paraId="1CC26E27">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无</w:t>
            </w:r>
          </w:p>
        </w:tc>
      </w:tr>
      <w:tr w14:paraId="770367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0" w:hRule="atLeast"/>
          <w:jc w:val="center"/>
        </w:trPr>
        <w:tc>
          <w:tcPr>
            <w:tcW w:w="849" w:type="pct"/>
            <w:vAlign w:val="center"/>
          </w:tcPr>
          <w:p w14:paraId="7B10F4E9">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环境风险</w:t>
            </w:r>
          </w:p>
          <w:p w14:paraId="79B42DB3">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防范措施</w:t>
            </w:r>
          </w:p>
        </w:tc>
        <w:tc>
          <w:tcPr>
            <w:tcW w:w="4150" w:type="pct"/>
            <w:gridSpan w:val="4"/>
            <w:vAlign w:val="center"/>
          </w:tcPr>
          <w:p w14:paraId="018BD43A">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000000" w:themeColor="text1"/>
                <w:kern w:val="0"/>
                <w:szCs w:val="22"/>
                <w14:textFill>
                  <w14:solidFill>
                    <w14:schemeClr w14:val="tx1"/>
                  </w14:solidFill>
                </w14:textFill>
              </w:rPr>
            </w:pPr>
            <w:r>
              <w:rPr>
                <w:rFonts w:hint="default" w:ascii="Times New Roman" w:hAnsi="Times New Roman" w:cs="Times New Roman"/>
                <w:color w:val="000000" w:themeColor="text1"/>
                <w:kern w:val="0"/>
                <w:szCs w:val="22"/>
                <w14:textFill>
                  <w14:solidFill>
                    <w14:schemeClr w14:val="tx1"/>
                  </w14:solidFill>
                </w14:textFill>
              </w:rPr>
              <w:t>①项目</w:t>
            </w:r>
            <w:r>
              <w:rPr>
                <w:rFonts w:hint="eastAsia" w:cs="Times New Roman"/>
                <w:color w:val="000000" w:themeColor="text1"/>
                <w:kern w:val="0"/>
                <w:szCs w:val="22"/>
                <w:lang w:val="en-US" w:eastAsia="zh-CN"/>
                <w14:textFill>
                  <w14:solidFill>
                    <w14:schemeClr w14:val="tx1"/>
                  </w14:solidFill>
                </w14:textFill>
              </w:rPr>
              <w:t>库房</w:t>
            </w:r>
            <w:r>
              <w:rPr>
                <w:rFonts w:hint="default" w:ascii="Times New Roman" w:hAnsi="Times New Roman" w:cs="Times New Roman"/>
                <w:color w:val="000000" w:themeColor="text1"/>
                <w:kern w:val="0"/>
                <w:szCs w:val="22"/>
                <w14:textFill>
                  <w14:solidFill>
                    <w14:schemeClr w14:val="tx1"/>
                  </w14:solidFill>
                </w14:textFill>
              </w:rPr>
              <w:t>和危废贮存库应进行硬化和防渗处理。</w:t>
            </w:r>
          </w:p>
          <w:p w14:paraId="619C1FB5">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000000" w:themeColor="text1"/>
                <w:kern w:val="0"/>
                <w:szCs w:val="22"/>
                <w14:textFill>
                  <w14:solidFill>
                    <w14:schemeClr w14:val="tx1"/>
                  </w14:solidFill>
                </w14:textFill>
              </w:rPr>
            </w:pPr>
            <w:r>
              <w:rPr>
                <w:rFonts w:hint="default" w:ascii="Times New Roman" w:hAnsi="Times New Roman" w:cs="Times New Roman"/>
                <w:color w:val="000000" w:themeColor="text1"/>
                <w:kern w:val="0"/>
                <w:szCs w:val="22"/>
                <w14:textFill>
                  <w14:solidFill>
                    <w14:schemeClr w14:val="tx1"/>
                  </w14:solidFill>
                </w14:textFill>
              </w:rPr>
              <w:t>②加强安全检查，禁止在油品附近吸烟，严格执行动火规章制度。加强原辅材料的登记管理，以防原料发生跑冒滴漏；</w:t>
            </w:r>
          </w:p>
          <w:p w14:paraId="03DC42A3">
            <w:pPr>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2"/>
                <w14:textFill>
                  <w14:solidFill>
                    <w14:schemeClr w14:val="tx1"/>
                  </w14:solidFill>
                </w14:textFill>
              </w:rPr>
              <w:t>③</w:t>
            </w:r>
            <w:r>
              <w:rPr>
                <w:rFonts w:hint="eastAsia" w:cs="Times New Roman"/>
                <w:color w:val="000000" w:themeColor="text1"/>
                <w:kern w:val="0"/>
                <w:szCs w:val="22"/>
                <w:lang w:eastAsia="zh-CN"/>
                <w14:textFill>
                  <w14:solidFill>
                    <w14:schemeClr w14:val="tx1"/>
                  </w14:solidFill>
                </w14:textFill>
              </w:rPr>
              <w:t>危废贮存库</w:t>
            </w:r>
            <w:r>
              <w:rPr>
                <w:rFonts w:hint="default" w:ascii="Times New Roman" w:hAnsi="Times New Roman" w:cs="Times New Roman"/>
                <w:color w:val="000000" w:themeColor="text1"/>
                <w:kern w:val="0"/>
                <w:szCs w:val="22"/>
                <w14:textFill>
                  <w14:solidFill>
                    <w14:schemeClr w14:val="tx1"/>
                  </w14:solidFill>
                </w14:textFill>
              </w:rPr>
              <w:t>严格落实“六防措施”，建立危废转移制度。</w:t>
            </w:r>
          </w:p>
        </w:tc>
      </w:tr>
      <w:tr w14:paraId="5D50D3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83" w:hRule="atLeast"/>
          <w:jc w:val="center"/>
        </w:trPr>
        <w:tc>
          <w:tcPr>
            <w:tcW w:w="849" w:type="pct"/>
            <w:vAlign w:val="center"/>
          </w:tcPr>
          <w:p w14:paraId="3FC70BB9">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其他环境</w:t>
            </w:r>
          </w:p>
          <w:p w14:paraId="1D712835">
            <w:pPr>
              <w:keepNext w:val="0"/>
              <w:keepLines w:val="0"/>
              <w:suppressLineNumbers w:val="0"/>
              <w:adjustRightInd w:val="0"/>
              <w:snapToGrid w:val="0"/>
              <w:spacing w:before="0" w:beforeAutospacing="0" w:after="0" w:afterAutospacing="0" w:line="520" w:lineRule="atLeast"/>
              <w:ind w:left="0" w:right="0" w:firstLine="0" w:firstLineChars="0"/>
              <w:jc w:val="center"/>
              <w:rPr>
                <w:rFonts w:hint="default" w:ascii="Times New Roman" w:hAnsi="Times New Roman" w:cs="Times New Roman"/>
                <w:color w:val="000000" w:themeColor="text1"/>
                <w:spacing w:val="-8"/>
                <w14:textFill>
                  <w14:solidFill>
                    <w14:schemeClr w14:val="tx1"/>
                  </w14:solidFill>
                </w14:textFill>
              </w:rPr>
            </w:pPr>
            <w:r>
              <w:rPr>
                <w:rFonts w:hint="default" w:ascii="Times New Roman" w:hAnsi="Times New Roman" w:cs="Times New Roman"/>
                <w:color w:val="000000" w:themeColor="text1"/>
                <w:spacing w:val="-8"/>
                <w14:textFill>
                  <w14:solidFill>
                    <w14:schemeClr w14:val="tx1"/>
                  </w14:solidFill>
                </w14:textFill>
              </w:rPr>
              <w:t>管理要求</w:t>
            </w:r>
          </w:p>
        </w:tc>
        <w:tc>
          <w:tcPr>
            <w:tcW w:w="4150" w:type="pct"/>
            <w:gridSpan w:val="4"/>
            <w:vAlign w:val="center"/>
          </w:tcPr>
          <w:p w14:paraId="22A084D9">
            <w:pPr>
              <w:keepNext w:val="0"/>
              <w:keepLines w:val="0"/>
              <w:suppressLineNumbers w:val="0"/>
              <w:spacing w:before="0" w:beforeAutospacing="0" w:after="0" w:afterAutospacing="0"/>
              <w:ind w:left="0" w:right="0" w:firstLine="480"/>
              <w:rPr>
                <w:rFonts w:hint="default" w:ascii="Times New Roman" w:hAnsi="Times New Roman" w:eastAsia="宋体" w:cs="Times New Roman"/>
                <w:color w:val="000000" w:themeColor="text1"/>
                <w:kern w:val="0"/>
                <w:szCs w:val="22"/>
                <w14:textFill>
                  <w14:solidFill>
                    <w14:schemeClr w14:val="tx1"/>
                  </w14:solidFill>
                </w14:textFill>
              </w:rPr>
            </w:pPr>
            <w:r>
              <w:rPr>
                <w:rFonts w:hint="eastAsia" w:cs="Times New Roman"/>
                <w:color w:val="000000" w:themeColor="text1"/>
                <w:kern w:val="0"/>
                <w:szCs w:val="22"/>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2"/>
                <w14:textFill>
                  <w14:solidFill>
                    <w14:schemeClr w14:val="tx1"/>
                  </w14:solidFill>
                </w14:textFill>
              </w:rPr>
              <w:t>、按规范设置排污口；</w:t>
            </w:r>
          </w:p>
          <w:p w14:paraId="2E7EB5FA">
            <w:pPr>
              <w:keepNext w:val="0"/>
              <w:keepLines w:val="0"/>
              <w:suppressLineNumbers w:val="0"/>
              <w:spacing w:before="0" w:beforeAutospacing="0" w:after="0" w:afterAutospacing="0"/>
              <w:ind w:left="0" w:right="0" w:firstLine="480"/>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kern w:val="0"/>
                <w:szCs w:val="22"/>
                <w:lang w:val="en-US" w:eastAsia="zh-CN"/>
                <w14:textFill>
                  <w14:solidFill>
                    <w14:schemeClr w14:val="tx1"/>
                  </w14:solidFill>
                </w14:textFill>
              </w:rPr>
              <w:t>2</w:t>
            </w:r>
            <w:r>
              <w:rPr>
                <w:rFonts w:hint="default" w:ascii="Times New Roman" w:hAnsi="Times New Roman" w:eastAsia="宋体" w:cs="Times New Roman"/>
                <w:color w:val="000000" w:themeColor="text1"/>
                <w:kern w:val="0"/>
                <w:szCs w:val="22"/>
                <w14:textFill>
                  <w14:solidFill>
                    <w14:schemeClr w14:val="tx1"/>
                  </w14:solidFill>
                </w14:textFill>
              </w:rPr>
              <w:t>、及时进行排污许可申报事宜，并按证排污。</w:t>
            </w:r>
          </w:p>
        </w:tc>
      </w:tr>
    </w:tbl>
    <w:p w14:paraId="3F0829EB">
      <w:pPr>
        <w:pStyle w:val="18"/>
        <w:ind w:firstLine="480"/>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p>
    <w:tbl>
      <w:tblPr>
        <w:tblStyle w:val="2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14"/>
      </w:tblGrid>
      <w:tr w14:paraId="13D60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vAlign w:val="center"/>
          </w:tcPr>
          <w:p w14:paraId="05B2B0C3">
            <w:pPr>
              <w:keepNext w:val="0"/>
              <w:keepLines w:val="0"/>
              <w:suppressLineNumbers w:val="0"/>
              <w:spacing w:before="0" w:beforeAutospacing="0" w:after="0" w:afterAutospacing="0"/>
              <w:ind w:left="0" w:right="0" w:firstLine="48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从环境保护角度分析，该建设项目环境影响可行。</w:t>
            </w:r>
          </w:p>
        </w:tc>
      </w:tr>
    </w:tbl>
    <w:p w14:paraId="546349E8">
      <w:pPr>
        <w:ind w:firstLine="480"/>
        <w:rPr>
          <w:rFonts w:hint="default" w:ascii="Times New Roman" w:hAnsi="Times New Roman" w:cs="Times New Roman"/>
          <w:color w:val="000000" w:themeColor="text1"/>
          <w14:textFill>
            <w14:solidFill>
              <w14:schemeClr w14:val="tx1"/>
            </w14:solidFill>
          </w14:textFill>
        </w:rPr>
        <w:sectPr>
          <w:pgSz w:w="11906" w:h="16838"/>
          <w:pgMar w:top="1701" w:right="1304" w:bottom="1701" w:left="1304" w:header="851" w:footer="851" w:gutter="0"/>
          <w:pgBorders>
            <w:top w:val="none" w:sz="0" w:space="0"/>
            <w:left w:val="none" w:sz="0" w:space="0"/>
            <w:bottom w:val="none" w:sz="0" w:space="0"/>
            <w:right w:val="none" w:sz="0" w:space="0"/>
          </w:pgBorders>
          <w:cols w:space="720" w:num="1"/>
          <w:docGrid w:linePitch="312" w:charSpace="0"/>
        </w:sectPr>
      </w:pPr>
    </w:p>
    <w:p w14:paraId="4C92EFD7">
      <w:pPr>
        <w:pStyle w:val="18"/>
        <w:adjustRightInd w:val="0"/>
        <w:snapToGrid w:val="0"/>
        <w:spacing w:before="0" w:beforeAutospacing="0" w:after="0" w:afterAutospacing="0" w:line="240" w:lineRule="auto"/>
        <w:ind w:firstLine="640"/>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r>
        <w:rPr>
          <w:rFonts w:hint="default" w:ascii="Times New Roman" w:hAnsi="Times New Roman" w:eastAsia="黑体" w:cs="Times New Roman"/>
          <w:snapToGrid w:val="0"/>
          <w:color w:val="000000" w:themeColor="text1"/>
          <w:sz w:val="32"/>
          <w:szCs w:val="32"/>
          <w14:textFill>
            <w14:solidFill>
              <w14:schemeClr w14:val="tx1"/>
            </w14:solidFill>
          </w14:textFill>
        </w:rPr>
        <w:t>附表</w:t>
      </w:r>
    </w:p>
    <w:p w14:paraId="14BFC5BF">
      <w:pPr>
        <w:pStyle w:val="18"/>
        <w:adjustRightInd w:val="0"/>
        <w:snapToGrid w:val="0"/>
        <w:spacing w:before="0" w:beforeAutospacing="0" w:after="0" w:afterAutospacing="0" w:line="240" w:lineRule="auto"/>
        <w:ind w:firstLine="760"/>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p>
    <w:tbl>
      <w:tblPr>
        <w:tblStyle w:val="21"/>
        <w:tblW w:w="499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1601"/>
        <w:gridCol w:w="1512"/>
        <w:gridCol w:w="1137"/>
        <w:gridCol w:w="1669"/>
        <w:gridCol w:w="1439"/>
        <w:gridCol w:w="1642"/>
        <w:gridCol w:w="1836"/>
        <w:gridCol w:w="1493"/>
      </w:tblGrid>
      <w:tr w14:paraId="11444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29" w:type="pct"/>
            <w:tcBorders>
              <w:tl2br w:val="single" w:color="auto" w:sz="4" w:space="0"/>
            </w:tcBorders>
            <w:tcMar>
              <w:left w:w="28" w:type="dxa"/>
              <w:right w:w="28" w:type="dxa"/>
            </w:tcMar>
            <w:vAlign w:val="center"/>
          </w:tcPr>
          <w:p w14:paraId="15EDDD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lang w:val="en-US" w:eastAsia="zh-CN"/>
                <w14:textFill>
                  <w14:solidFill>
                    <w14:schemeClr w14:val="tx1"/>
                  </w14:solidFill>
                </w14:textFill>
              </w:rPr>
              <w:t xml:space="preserve">     </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项目</w:t>
            </w:r>
          </w:p>
          <w:p w14:paraId="55F2BA0D">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分类</w:t>
            </w:r>
          </w:p>
        </w:tc>
        <w:tc>
          <w:tcPr>
            <w:tcW w:w="593" w:type="pct"/>
            <w:tcMar>
              <w:left w:w="28" w:type="dxa"/>
              <w:right w:w="28" w:type="dxa"/>
            </w:tcMar>
            <w:vAlign w:val="center"/>
          </w:tcPr>
          <w:p w14:paraId="53B773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污染物名称</w:t>
            </w:r>
          </w:p>
        </w:tc>
        <w:tc>
          <w:tcPr>
            <w:tcW w:w="560" w:type="pct"/>
            <w:tcMar>
              <w:left w:w="28" w:type="dxa"/>
              <w:right w:w="28" w:type="dxa"/>
            </w:tcMar>
            <w:vAlign w:val="center"/>
          </w:tcPr>
          <w:p w14:paraId="766B9CB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14:paraId="47E060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421" w:type="pct"/>
            <w:tcMar>
              <w:left w:w="28" w:type="dxa"/>
              <w:right w:w="28" w:type="dxa"/>
            </w:tcMar>
            <w:vAlign w:val="center"/>
          </w:tcPr>
          <w:p w14:paraId="0391D37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现有工程</w:t>
            </w:r>
          </w:p>
          <w:p w14:paraId="334974B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许可排放量</w:t>
            </w:r>
          </w:p>
          <w:p w14:paraId="5F7A6D11">
            <w:pPr>
              <w:keepNext w:val="0"/>
              <w:keepLines w:val="0"/>
              <w:suppressLineNumbers w:val="0"/>
              <w:spacing w:before="0" w:beforeAutospacing="0" w:after="0" w:afterAutospacing="0"/>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618" w:type="pct"/>
            <w:tcMar>
              <w:left w:w="28" w:type="dxa"/>
              <w:right w:w="28" w:type="dxa"/>
            </w:tcMar>
            <w:vAlign w:val="center"/>
          </w:tcPr>
          <w:p w14:paraId="2432A38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在建工程</w:t>
            </w:r>
          </w:p>
          <w:p w14:paraId="186BE2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533" w:type="pct"/>
            <w:tcMar>
              <w:left w:w="28" w:type="dxa"/>
              <w:right w:w="28" w:type="dxa"/>
            </w:tcMar>
            <w:vAlign w:val="center"/>
          </w:tcPr>
          <w:p w14:paraId="0A544E9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本项目</w:t>
            </w:r>
          </w:p>
          <w:p w14:paraId="0D7E2A2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c>
          <w:tcPr>
            <w:tcW w:w="608" w:type="pct"/>
            <w:tcMar>
              <w:left w:w="28" w:type="dxa"/>
              <w:right w:w="28" w:type="dxa"/>
            </w:tcMar>
            <w:vAlign w:val="center"/>
          </w:tcPr>
          <w:p w14:paraId="6F1493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以新带老削减量</w:t>
            </w:r>
          </w:p>
          <w:p w14:paraId="404C4A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680" w:type="pct"/>
            <w:tcMar>
              <w:left w:w="28" w:type="dxa"/>
              <w:right w:w="28" w:type="dxa"/>
            </w:tcMar>
            <w:vAlign w:val="center"/>
          </w:tcPr>
          <w:p w14:paraId="726A4A8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本项目建成后</w:t>
            </w:r>
          </w:p>
          <w:p w14:paraId="39C2E0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Cs w:val="21"/>
                <w14:textFill>
                  <w14:solidFill>
                    <w14:schemeClr w14:val="tx1"/>
                  </w14:solidFill>
                </w14:textFill>
              </w:rPr>
              <w:fldChar w:fldCharType="end"/>
            </w:r>
          </w:p>
        </w:tc>
        <w:tc>
          <w:tcPr>
            <w:tcW w:w="553" w:type="pct"/>
            <w:tcMar>
              <w:left w:w="28" w:type="dxa"/>
              <w:right w:w="28" w:type="dxa"/>
            </w:tcMar>
            <w:vAlign w:val="center"/>
          </w:tcPr>
          <w:p w14:paraId="07125B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t>变化量</w:t>
            </w:r>
          </w:p>
          <w:p w14:paraId="33BD76E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eastAsia="黑体" w:cs="Times New Roman"/>
                <w:color w:val="000000" w:themeColor="text1"/>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Cs w:val="21"/>
                <w14:textFill>
                  <w14:solidFill>
                    <w14:schemeClr w14:val="tx1"/>
                  </w14:solidFill>
                </w14:textFill>
              </w:rPr>
              <w:fldChar w:fldCharType="end"/>
            </w:r>
          </w:p>
        </w:tc>
      </w:tr>
      <w:tr w14:paraId="2720C7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Align w:val="center"/>
          </w:tcPr>
          <w:p w14:paraId="769254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废气</w:t>
            </w:r>
          </w:p>
        </w:tc>
        <w:tc>
          <w:tcPr>
            <w:tcW w:w="593" w:type="pct"/>
            <w:vAlign w:val="center"/>
          </w:tcPr>
          <w:p w14:paraId="7A7356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非甲烷总烃</w:t>
            </w:r>
          </w:p>
        </w:tc>
        <w:tc>
          <w:tcPr>
            <w:tcW w:w="560" w:type="pct"/>
            <w:vAlign w:val="center"/>
          </w:tcPr>
          <w:p w14:paraId="7FA3239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5386758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618" w:type="pct"/>
            <w:vAlign w:val="center"/>
          </w:tcPr>
          <w:p w14:paraId="5862842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33" w:type="pct"/>
            <w:vAlign w:val="center"/>
          </w:tcPr>
          <w:p w14:paraId="358349D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0.092t/a</w:t>
            </w:r>
          </w:p>
        </w:tc>
        <w:tc>
          <w:tcPr>
            <w:tcW w:w="608" w:type="pct"/>
            <w:vAlign w:val="center"/>
          </w:tcPr>
          <w:p w14:paraId="2F02277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680" w:type="pct"/>
            <w:vAlign w:val="center"/>
          </w:tcPr>
          <w:p w14:paraId="476DEA7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0.092t/a</w:t>
            </w:r>
          </w:p>
        </w:tc>
        <w:tc>
          <w:tcPr>
            <w:tcW w:w="553" w:type="pct"/>
            <w:vAlign w:val="center"/>
          </w:tcPr>
          <w:p w14:paraId="6478A382">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+0.092t/a</w:t>
            </w:r>
          </w:p>
        </w:tc>
      </w:tr>
      <w:tr w14:paraId="1B4AE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restart"/>
            <w:vAlign w:val="center"/>
          </w:tcPr>
          <w:p w14:paraId="4A5B003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废水</w:t>
            </w:r>
          </w:p>
        </w:tc>
        <w:tc>
          <w:tcPr>
            <w:tcW w:w="593" w:type="pct"/>
            <w:vAlign w:val="center"/>
          </w:tcPr>
          <w:p w14:paraId="138E3AF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COD</w:t>
            </w:r>
          </w:p>
        </w:tc>
        <w:tc>
          <w:tcPr>
            <w:tcW w:w="560" w:type="pct"/>
            <w:vAlign w:val="center"/>
          </w:tcPr>
          <w:p w14:paraId="63E205D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0620A41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618" w:type="pct"/>
            <w:vAlign w:val="center"/>
          </w:tcPr>
          <w:p w14:paraId="33FFA2C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533" w:type="pct"/>
            <w:vAlign w:val="center"/>
          </w:tcPr>
          <w:p w14:paraId="3E67E3D0">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0.01</w:t>
            </w:r>
            <w:r>
              <w:rPr>
                <w:rFonts w:hint="eastAsia" w:cs="Times New Roman"/>
                <w:snapToGrid w:val="0"/>
                <w:color w:val="000000" w:themeColor="text1"/>
                <w:kern w:val="21"/>
                <w:szCs w:val="21"/>
                <w:lang w:val="en-US" w:eastAsia="zh-CN"/>
                <w14:textFill>
                  <w14:solidFill>
                    <w14:schemeClr w14:val="tx1"/>
                  </w14:solidFill>
                </w14:textFill>
              </w:rPr>
              <w:t>4t/a</w:t>
            </w:r>
          </w:p>
        </w:tc>
        <w:tc>
          <w:tcPr>
            <w:tcW w:w="608" w:type="pct"/>
            <w:vAlign w:val="center"/>
          </w:tcPr>
          <w:p w14:paraId="24BCACF2">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33BA034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0.01</w:t>
            </w:r>
            <w:r>
              <w:rPr>
                <w:rFonts w:hint="eastAsia" w:cs="Times New Roman"/>
                <w:snapToGrid w:val="0"/>
                <w:color w:val="000000" w:themeColor="text1"/>
                <w:kern w:val="21"/>
                <w:szCs w:val="21"/>
                <w:lang w:val="en-US" w:eastAsia="zh-CN"/>
                <w14:textFill>
                  <w14:solidFill>
                    <w14:schemeClr w14:val="tx1"/>
                  </w14:solidFill>
                </w14:textFill>
              </w:rPr>
              <w:t>4t/a</w:t>
            </w:r>
          </w:p>
        </w:tc>
        <w:tc>
          <w:tcPr>
            <w:tcW w:w="553" w:type="pct"/>
            <w:shd w:val="clear" w:color="auto" w:fill="auto"/>
            <w:vAlign w:val="center"/>
          </w:tcPr>
          <w:p w14:paraId="2609B36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0.01</w:t>
            </w:r>
            <w:r>
              <w:rPr>
                <w:rFonts w:hint="eastAsia" w:cs="Times New Roman"/>
                <w:snapToGrid w:val="0"/>
                <w:color w:val="000000" w:themeColor="text1"/>
                <w:kern w:val="21"/>
                <w:szCs w:val="21"/>
                <w:lang w:val="en-US" w:eastAsia="zh-CN"/>
                <w14:textFill>
                  <w14:solidFill>
                    <w14:schemeClr w14:val="tx1"/>
                  </w14:solidFill>
                </w14:textFill>
              </w:rPr>
              <w:t>4t/a</w:t>
            </w:r>
          </w:p>
        </w:tc>
      </w:tr>
      <w:tr w14:paraId="0B4F81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3BB4A37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日</w:t>
            </w:r>
          </w:p>
        </w:tc>
        <w:tc>
          <w:tcPr>
            <w:tcW w:w="593" w:type="pct"/>
            <w:vAlign w:val="center"/>
          </w:tcPr>
          <w:p w14:paraId="480F0D0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BOD</w:t>
            </w:r>
            <w:r>
              <w:rPr>
                <w:rFonts w:hint="default" w:ascii="Times New Roman" w:hAnsi="Times New Roman" w:cs="Times New Roman"/>
                <w:snapToGrid w:val="0"/>
                <w:color w:val="000000" w:themeColor="text1"/>
                <w:kern w:val="21"/>
                <w:szCs w:val="21"/>
                <w:vertAlign w:val="subscript"/>
                <w:lang w:val="en-US" w:eastAsia="zh-CN"/>
                <w14:textFill>
                  <w14:solidFill>
                    <w14:schemeClr w14:val="tx1"/>
                  </w14:solidFill>
                </w14:textFill>
              </w:rPr>
              <w:t>5</w:t>
            </w:r>
          </w:p>
        </w:tc>
        <w:tc>
          <w:tcPr>
            <w:tcW w:w="560" w:type="pct"/>
            <w:vAlign w:val="center"/>
          </w:tcPr>
          <w:p w14:paraId="2257D97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71EC092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1FA6678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533" w:type="pct"/>
            <w:vAlign w:val="center"/>
          </w:tcPr>
          <w:p w14:paraId="6E602282">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0</w:t>
            </w:r>
            <w:r>
              <w:rPr>
                <w:rFonts w:hint="default" w:cs="Times New Roman"/>
                <w:snapToGrid w:val="0"/>
                <w:color w:val="000000" w:themeColor="text1"/>
                <w:kern w:val="21"/>
                <w:szCs w:val="21"/>
                <w:lang w:val="en-US" w:eastAsia="zh-CN"/>
                <w14:textFill>
                  <w14:solidFill>
                    <w14:schemeClr w14:val="tx1"/>
                  </w14:solidFill>
                </w14:textFill>
              </w:rPr>
              <w:t>8</w:t>
            </w:r>
            <w:r>
              <w:rPr>
                <w:rFonts w:hint="eastAsia"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1C02BF8B">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13A532B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0</w:t>
            </w:r>
            <w:r>
              <w:rPr>
                <w:rFonts w:hint="default" w:cs="Times New Roman"/>
                <w:snapToGrid w:val="0"/>
                <w:color w:val="000000" w:themeColor="text1"/>
                <w:kern w:val="21"/>
                <w:szCs w:val="21"/>
                <w:lang w:val="en-US" w:eastAsia="zh-CN"/>
                <w14:textFill>
                  <w14:solidFill>
                    <w14:schemeClr w14:val="tx1"/>
                  </w14:solidFill>
                </w14:textFill>
              </w:rPr>
              <w:t>8</w:t>
            </w:r>
            <w:r>
              <w:rPr>
                <w:rFonts w:hint="eastAsia" w:cs="Times New Roman"/>
                <w:snapToGrid w:val="0"/>
                <w:color w:val="000000" w:themeColor="text1"/>
                <w:kern w:val="21"/>
                <w:szCs w:val="21"/>
                <w:lang w:val="en-US" w:eastAsia="zh-CN"/>
                <w14:textFill>
                  <w14:solidFill>
                    <w14:schemeClr w14:val="tx1"/>
                  </w14:solidFill>
                </w14:textFill>
              </w:rPr>
              <w:t>t/a</w:t>
            </w:r>
          </w:p>
        </w:tc>
        <w:tc>
          <w:tcPr>
            <w:tcW w:w="553" w:type="pct"/>
            <w:shd w:val="clear" w:color="auto" w:fill="auto"/>
            <w:vAlign w:val="center"/>
          </w:tcPr>
          <w:p w14:paraId="52DDEFF5">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w:t>
            </w:r>
            <w:r>
              <w:rPr>
                <w:rFonts w:hint="eastAsia" w:cs="Times New Roman"/>
                <w:snapToGrid w:val="0"/>
                <w:color w:val="000000" w:themeColor="text1"/>
                <w:kern w:val="21"/>
                <w:szCs w:val="21"/>
                <w:lang w:val="en-US" w:eastAsia="zh-CN"/>
                <w14:textFill>
                  <w14:solidFill>
                    <w14:schemeClr w14:val="tx1"/>
                  </w14:solidFill>
                </w14:textFill>
              </w:rPr>
              <w:t>0</w:t>
            </w:r>
            <w:r>
              <w:rPr>
                <w:rFonts w:hint="default" w:cs="Times New Roman"/>
                <w:snapToGrid w:val="0"/>
                <w:color w:val="000000" w:themeColor="text1"/>
                <w:kern w:val="21"/>
                <w:szCs w:val="21"/>
                <w:lang w:val="en-US" w:eastAsia="zh-CN"/>
                <w14:textFill>
                  <w14:solidFill>
                    <w14:schemeClr w14:val="tx1"/>
                  </w14:solidFill>
                </w14:textFill>
              </w:rPr>
              <w:t>8</w:t>
            </w:r>
            <w:r>
              <w:rPr>
                <w:rFonts w:hint="eastAsia" w:cs="Times New Roman"/>
                <w:snapToGrid w:val="0"/>
                <w:color w:val="000000" w:themeColor="text1"/>
                <w:kern w:val="21"/>
                <w:szCs w:val="21"/>
                <w:lang w:val="en-US" w:eastAsia="zh-CN"/>
                <w14:textFill>
                  <w14:solidFill>
                    <w14:schemeClr w14:val="tx1"/>
                  </w14:solidFill>
                </w14:textFill>
              </w:rPr>
              <w:t>t/a</w:t>
            </w:r>
          </w:p>
        </w:tc>
      </w:tr>
      <w:tr w14:paraId="6F09BF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585B6CB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593" w:type="pct"/>
            <w:vAlign w:val="center"/>
          </w:tcPr>
          <w:p w14:paraId="66F30C4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SS</w:t>
            </w:r>
          </w:p>
        </w:tc>
        <w:tc>
          <w:tcPr>
            <w:tcW w:w="560" w:type="pct"/>
            <w:vAlign w:val="center"/>
          </w:tcPr>
          <w:p w14:paraId="475CF55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1598932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5597379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533" w:type="pct"/>
            <w:vAlign w:val="center"/>
          </w:tcPr>
          <w:p w14:paraId="6D2EB719">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6t/a</w:t>
            </w:r>
          </w:p>
        </w:tc>
        <w:tc>
          <w:tcPr>
            <w:tcW w:w="608" w:type="pct"/>
            <w:vAlign w:val="center"/>
          </w:tcPr>
          <w:p w14:paraId="0DEDF7D6">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5E5FA5B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6t/a</w:t>
            </w:r>
          </w:p>
        </w:tc>
        <w:tc>
          <w:tcPr>
            <w:tcW w:w="553" w:type="pct"/>
            <w:shd w:val="clear" w:color="auto" w:fill="auto"/>
            <w:vAlign w:val="center"/>
          </w:tcPr>
          <w:p w14:paraId="06F9E6A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6t/a</w:t>
            </w:r>
          </w:p>
        </w:tc>
      </w:tr>
      <w:tr w14:paraId="698D84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0A26761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593" w:type="pct"/>
            <w:vAlign w:val="center"/>
          </w:tcPr>
          <w:p w14:paraId="69A9B44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氨氮</w:t>
            </w:r>
          </w:p>
        </w:tc>
        <w:tc>
          <w:tcPr>
            <w:tcW w:w="560" w:type="pct"/>
            <w:vAlign w:val="center"/>
          </w:tcPr>
          <w:p w14:paraId="2A9DD8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5E8B528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412ED9F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533" w:type="pct"/>
            <w:vAlign w:val="center"/>
          </w:tcPr>
          <w:p w14:paraId="45E360C2">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2t/a</w:t>
            </w:r>
          </w:p>
        </w:tc>
        <w:tc>
          <w:tcPr>
            <w:tcW w:w="608" w:type="pct"/>
            <w:vAlign w:val="center"/>
          </w:tcPr>
          <w:p w14:paraId="05B01A72">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11B5C4CF">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2t/a</w:t>
            </w:r>
          </w:p>
        </w:tc>
        <w:tc>
          <w:tcPr>
            <w:tcW w:w="553" w:type="pct"/>
            <w:shd w:val="clear" w:color="auto" w:fill="auto"/>
            <w:vAlign w:val="center"/>
          </w:tcPr>
          <w:p w14:paraId="09B2765B">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2t/a</w:t>
            </w:r>
          </w:p>
        </w:tc>
      </w:tr>
      <w:tr w14:paraId="55515B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72236B1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593" w:type="pct"/>
            <w:vAlign w:val="center"/>
          </w:tcPr>
          <w:p w14:paraId="052641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总磷</w:t>
            </w:r>
          </w:p>
        </w:tc>
        <w:tc>
          <w:tcPr>
            <w:tcW w:w="560" w:type="pct"/>
            <w:vAlign w:val="center"/>
          </w:tcPr>
          <w:p w14:paraId="0428176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02CFAD7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7D0747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533" w:type="pct"/>
            <w:vAlign w:val="center"/>
          </w:tcPr>
          <w:p w14:paraId="4BCDE101">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02t/a</w:t>
            </w:r>
          </w:p>
        </w:tc>
        <w:tc>
          <w:tcPr>
            <w:tcW w:w="608" w:type="pct"/>
            <w:vAlign w:val="center"/>
          </w:tcPr>
          <w:p w14:paraId="7D03FB33">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2D6CEA8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02t/a</w:t>
            </w:r>
          </w:p>
        </w:tc>
        <w:tc>
          <w:tcPr>
            <w:tcW w:w="553" w:type="pct"/>
            <w:shd w:val="clear" w:color="auto" w:fill="auto"/>
            <w:vAlign w:val="center"/>
          </w:tcPr>
          <w:p w14:paraId="24153DEC">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0.00</w:t>
            </w:r>
            <w:r>
              <w:rPr>
                <w:rFonts w:hint="eastAsia" w:cs="Times New Roman"/>
                <w:snapToGrid w:val="0"/>
                <w:color w:val="000000" w:themeColor="text1"/>
                <w:kern w:val="21"/>
                <w:szCs w:val="21"/>
                <w:lang w:val="en-US" w:eastAsia="zh-CN"/>
                <w14:textFill>
                  <w14:solidFill>
                    <w14:schemeClr w14:val="tx1"/>
                  </w14:solidFill>
                </w14:textFill>
              </w:rPr>
              <w:t>02t/a</w:t>
            </w:r>
          </w:p>
        </w:tc>
      </w:tr>
      <w:tr w14:paraId="5019FE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162FB09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p>
        </w:tc>
        <w:tc>
          <w:tcPr>
            <w:tcW w:w="593" w:type="pct"/>
            <w:vAlign w:val="center"/>
          </w:tcPr>
          <w:p w14:paraId="20EB934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总氮</w:t>
            </w:r>
          </w:p>
        </w:tc>
        <w:tc>
          <w:tcPr>
            <w:tcW w:w="560" w:type="pct"/>
            <w:vAlign w:val="center"/>
          </w:tcPr>
          <w:p w14:paraId="09B2B4F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629FCD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5950329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533" w:type="pct"/>
            <w:vAlign w:val="center"/>
          </w:tcPr>
          <w:p w14:paraId="6370ADF8">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0.002</w:t>
            </w:r>
            <w:r>
              <w:rPr>
                <w:rFonts w:hint="eastAsia"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57F0A47E">
            <w:pPr>
              <w:keepNext w:val="0"/>
              <w:keepLines w:val="0"/>
              <w:suppressLineNumbers w:val="0"/>
              <w:spacing w:before="0" w:beforeAutospacing="0" w:after="0" w:afterAutospacing="0" w:line="240" w:lineRule="auto"/>
              <w:ind w:left="0" w:right="0" w:firstLine="0" w:firstLineChars="0"/>
              <w:jc w:val="center"/>
              <w:rPr>
                <w:rFonts w:hint="default"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680" w:type="pct"/>
            <w:shd w:val="clear" w:color="auto" w:fill="auto"/>
            <w:vAlign w:val="center"/>
          </w:tcPr>
          <w:p w14:paraId="0D1E448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default" w:cs="Times New Roman"/>
                <w:snapToGrid w:val="0"/>
                <w:color w:val="000000" w:themeColor="text1"/>
                <w:kern w:val="21"/>
                <w:szCs w:val="21"/>
                <w:lang w:val="en-US" w:eastAsia="zh-CN"/>
                <w14:textFill>
                  <w14:solidFill>
                    <w14:schemeClr w14:val="tx1"/>
                  </w14:solidFill>
                </w14:textFill>
              </w:rPr>
              <w:t>0.002</w:t>
            </w:r>
            <w:r>
              <w:rPr>
                <w:rFonts w:hint="eastAsia" w:cs="Times New Roman"/>
                <w:snapToGrid w:val="0"/>
                <w:color w:val="000000" w:themeColor="text1"/>
                <w:kern w:val="21"/>
                <w:szCs w:val="21"/>
                <w:lang w:val="en-US" w:eastAsia="zh-CN"/>
                <w14:textFill>
                  <w14:solidFill>
                    <w14:schemeClr w14:val="tx1"/>
                  </w14:solidFill>
                </w14:textFill>
              </w:rPr>
              <w:t>t/a</w:t>
            </w:r>
          </w:p>
        </w:tc>
        <w:tc>
          <w:tcPr>
            <w:tcW w:w="553" w:type="pct"/>
            <w:shd w:val="clear" w:color="auto" w:fill="auto"/>
            <w:vAlign w:val="center"/>
          </w:tcPr>
          <w:p w14:paraId="1A4914DA">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r>
              <w:rPr>
                <w:rFonts w:hint="default" w:cs="Times New Roman"/>
                <w:snapToGrid w:val="0"/>
                <w:color w:val="000000" w:themeColor="text1"/>
                <w:kern w:val="21"/>
                <w:szCs w:val="21"/>
                <w:lang w:val="en-US" w:eastAsia="zh-CN"/>
                <w14:textFill>
                  <w14:solidFill>
                    <w14:schemeClr w14:val="tx1"/>
                  </w14:solidFill>
                </w14:textFill>
              </w:rPr>
              <w:t>0.002</w:t>
            </w:r>
            <w:r>
              <w:rPr>
                <w:rFonts w:hint="eastAsia" w:cs="Times New Roman"/>
                <w:snapToGrid w:val="0"/>
                <w:color w:val="000000" w:themeColor="text1"/>
                <w:kern w:val="21"/>
                <w:szCs w:val="21"/>
                <w:lang w:val="en-US" w:eastAsia="zh-CN"/>
                <w14:textFill>
                  <w14:solidFill>
                    <w14:schemeClr w14:val="tx1"/>
                  </w14:solidFill>
                </w14:textFill>
              </w:rPr>
              <w:t>t/a</w:t>
            </w:r>
          </w:p>
        </w:tc>
      </w:tr>
      <w:tr w14:paraId="23F7E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restart"/>
            <w:vAlign w:val="center"/>
          </w:tcPr>
          <w:p w14:paraId="41029E2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固体废物</w:t>
            </w:r>
          </w:p>
        </w:tc>
        <w:tc>
          <w:tcPr>
            <w:tcW w:w="593" w:type="pct"/>
            <w:vAlign w:val="center"/>
          </w:tcPr>
          <w:p w14:paraId="2321E31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生活垃圾</w:t>
            </w:r>
          </w:p>
        </w:tc>
        <w:tc>
          <w:tcPr>
            <w:tcW w:w="560" w:type="pct"/>
            <w:vAlign w:val="center"/>
          </w:tcPr>
          <w:p w14:paraId="3F7B70C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74EDB9EB">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618" w:type="pct"/>
            <w:vAlign w:val="center"/>
          </w:tcPr>
          <w:p w14:paraId="57E1D4B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1439" w:type="dxa"/>
            <w:vAlign w:val="center"/>
          </w:tcPr>
          <w:p w14:paraId="7086C73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1.25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1C589AE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Cs w:val="21"/>
                <w:lang w:val="en-US" w:eastAsia="zh-CN"/>
                <w14:textFill>
                  <w14:solidFill>
                    <w14:schemeClr w14:val="tx1"/>
                  </w14:solidFill>
                </w14:textFill>
              </w:rPr>
              <w:t>/</w:t>
            </w:r>
          </w:p>
        </w:tc>
        <w:tc>
          <w:tcPr>
            <w:tcW w:w="1836" w:type="dxa"/>
            <w:vAlign w:val="center"/>
          </w:tcPr>
          <w:p w14:paraId="59D3751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1.25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36780B43">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+1.25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555140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017DDD6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70F2923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废边角料</w:t>
            </w:r>
          </w:p>
        </w:tc>
        <w:tc>
          <w:tcPr>
            <w:tcW w:w="560" w:type="pct"/>
            <w:vAlign w:val="center"/>
          </w:tcPr>
          <w:p w14:paraId="7E40D98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cs="Times New Roman"/>
                <w:snapToGrid w:val="0"/>
                <w:color w:val="000000" w:themeColor="text1"/>
                <w:kern w:val="21"/>
                <w:szCs w:val="21"/>
                <w:lang w:val="en-US" w:eastAsia="zh-CN"/>
                <w14:textFill>
                  <w14:solidFill>
                    <w14:schemeClr w14:val="tx1"/>
                  </w14:solidFill>
                </w14:textFill>
              </w:rPr>
              <w:t>/</w:t>
            </w:r>
          </w:p>
        </w:tc>
        <w:tc>
          <w:tcPr>
            <w:tcW w:w="421" w:type="pct"/>
            <w:vAlign w:val="center"/>
          </w:tcPr>
          <w:p w14:paraId="26454FB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618" w:type="pct"/>
            <w:vAlign w:val="center"/>
          </w:tcPr>
          <w:p w14:paraId="4B4DB71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439" w:type="dxa"/>
            <w:vAlign w:val="center"/>
          </w:tcPr>
          <w:p w14:paraId="2A173E5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6F9B8A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836" w:type="dxa"/>
            <w:vAlign w:val="center"/>
          </w:tcPr>
          <w:p w14:paraId="64C9932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0C9ECED8">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67C48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1E9E8F5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713449C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不合格产品</w:t>
            </w:r>
          </w:p>
        </w:tc>
        <w:tc>
          <w:tcPr>
            <w:tcW w:w="560" w:type="pct"/>
            <w:vAlign w:val="center"/>
          </w:tcPr>
          <w:p w14:paraId="75521DF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421" w:type="pct"/>
            <w:vAlign w:val="center"/>
          </w:tcPr>
          <w:p w14:paraId="63A940B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618" w:type="pct"/>
            <w:vAlign w:val="center"/>
          </w:tcPr>
          <w:p w14:paraId="432AC8B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439" w:type="dxa"/>
            <w:vAlign w:val="center"/>
          </w:tcPr>
          <w:p w14:paraId="42708C0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17EE7C5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w:t>
            </w:r>
          </w:p>
        </w:tc>
        <w:tc>
          <w:tcPr>
            <w:tcW w:w="1836" w:type="dxa"/>
            <w:vAlign w:val="center"/>
          </w:tcPr>
          <w:p w14:paraId="6EDA1F2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440C8AE6">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4"/>
                <w:szCs w:val="21"/>
                <w:lang w:val="en-US" w:eastAsia="zh-CN" w:bidi="ar-SA"/>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0D4C0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47167FC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7C9B752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废胶桶</w:t>
            </w:r>
          </w:p>
        </w:tc>
        <w:tc>
          <w:tcPr>
            <w:tcW w:w="560" w:type="pct"/>
            <w:vAlign w:val="center"/>
          </w:tcPr>
          <w:p w14:paraId="4172977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43ED430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690E4A75">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3A7E3E2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p>
        </w:tc>
        <w:tc>
          <w:tcPr>
            <w:tcW w:w="608" w:type="pct"/>
            <w:vAlign w:val="center"/>
          </w:tcPr>
          <w:p w14:paraId="52F77BA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026A0DA2">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p>
        </w:tc>
        <w:tc>
          <w:tcPr>
            <w:tcW w:w="1493" w:type="dxa"/>
            <w:vAlign w:val="center"/>
          </w:tcPr>
          <w:p w14:paraId="497AA4FE">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p>
        </w:tc>
      </w:tr>
      <w:tr w14:paraId="5D7E1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2CD1AFD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1CB3D90E">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废油墨桶</w:t>
            </w:r>
          </w:p>
        </w:tc>
        <w:tc>
          <w:tcPr>
            <w:tcW w:w="560" w:type="pct"/>
            <w:vAlign w:val="center"/>
          </w:tcPr>
          <w:p w14:paraId="1773D6B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024515E6">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529E46D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6B30E494">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58F983D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51403563">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4CB7299D">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+0.05</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18D19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073E912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23B34DF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清洗废水</w:t>
            </w:r>
          </w:p>
        </w:tc>
        <w:tc>
          <w:tcPr>
            <w:tcW w:w="560" w:type="pct"/>
            <w:vAlign w:val="center"/>
          </w:tcPr>
          <w:p w14:paraId="05284BA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545A4154">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19C4429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6362FFB8">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2.25</w:t>
            </w:r>
          </w:p>
        </w:tc>
        <w:tc>
          <w:tcPr>
            <w:tcW w:w="608" w:type="pct"/>
            <w:vAlign w:val="center"/>
          </w:tcPr>
          <w:p w14:paraId="60CD2FE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2C11146A">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2.25</w:t>
            </w:r>
          </w:p>
        </w:tc>
        <w:tc>
          <w:tcPr>
            <w:tcW w:w="1493" w:type="dxa"/>
            <w:vAlign w:val="center"/>
          </w:tcPr>
          <w:p w14:paraId="3EC533D2">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+2.25</w:t>
            </w:r>
          </w:p>
        </w:tc>
      </w:tr>
      <w:tr w14:paraId="324938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001A94C7">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7DB73B4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废活性炭</w:t>
            </w:r>
          </w:p>
        </w:tc>
        <w:tc>
          <w:tcPr>
            <w:tcW w:w="560" w:type="pct"/>
            <w:vAlign w:val="center"/>
          </w:tcPr>
          <w:p w14:paraId="6D054F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631E93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11CE653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75BF672C">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5CF9AB7C">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2B9F4596">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4B9C2626">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0.24</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4957C8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147FE39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7AEA7E4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废矿物油</w:t>
            </w:r>
          </w:p>
        </w:tc>
        <w:tc>
          <w:tcPr>
            <w:tcW w:w="560" w:type="pct"/>
            <w:vAlign w:val="center"/>
          </w:tcPr>
          <w:p w14:paraId="448073E8">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68688A7D">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25C3D3CF">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302EDCB7">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5A46F3CA">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2780A755">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66D78364">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0.01</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r w14:paraId="6C9BCC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29" w:type="pct"/>
            <w:vMerge w:val="continue"/>
            <w:vAlign w:val="center"/>
          </w:tcPr>
          <w:p w14:paraId="21C21772">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593" w:type="pct"/>
            <w:vAlign w:val="center"/>
          </w:tcPr>
          <w:p w14:paraId="2E15ABC0">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废含油抹布</w:t>
            </w:r>
          </w:p>
        </w:tc>
        <w:tc>
          <w:tcPr>
            <w:tcW w:w="560" w:type="pct"/>
            <w:vAlign w:val="center"/>
          </w:tcPr>
          <w:p w14:paraId="6508B6F1">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421" w:type="pct"/>
            <w:vAlign w:val="center"/>
          </w:tcPr>
          <w:p w14:paraId="4AE33AFB">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618" w:type="pct"/>
            <w:vAlign w:val="center"/>
          </w:tcPr>
          <w:p w14:paraId="323600D9">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439" w:type="dxa"/>
            <w:vAlign w:val="center"/>
          </w:tcPr>
          <w:p w14:paraId="126787B1">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0.002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608" w:type="pct"/>
            <w:vAlign w:val="center"/>
          </w:tcPr>
          <w:p w14:paraId="64E4CB63">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snapToGrid w:val="0"/>
                <w:color w:val="000000" w:themeColor="text1"/>
                <w:kern w:val="21"/>
                <w:szCs w:val="21"/>
                <w14:textFill>
                  <w14:solidFill>
                    <w14:schemeClr w14:val="tx1"/>
                  </w14:solidFill>
                </w14:textFill>
              </w:rPr>
            </w:pPr>
          </w:p>
        </w:tc>
        <w:tc>
          <w:tcPr>
            <w:tcW w:w="1836" w:type="dxa"/>
            <w:vAlign w:val="center"/>
          </w:tcPr>
          <w:p w14:paraId="36C0F7B4">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0.002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c>
          <w:tcPr>
            <w:tcW w:w="1493" w:type="dxa"/>
            <w:vAlign w:val="center"/>
          </w:tcPr>
          <w:p w14:paraId="08CA8BC7">
            <w:pPr>
              <w:keepNext w:val="0"/>
              <w:keepLines w:val="0"/>
              <w:suppressLineNumbers w:val="0"/>
              <w:spacing w:before="0" w:beforeAutospacing="0" w:after="0" w:afterAutospacing="0" w:line="240" w:lineRule="auto"/>
              <w:ind w:left="0" w:leftChars="0" w:right="0" w:rightChars="0" w:firstLine="0" w:firstLineChars="0"/>
              <w:jc w:val="center"/>
              <w:rPr>
                <w:rFonts w:hint="eastAsia" w:cs="Times New Roman"/>
                <w:snapToGrid w:val="0"/>
                <w:color w:val="000000" w:themeColor="text1"/>
                <w:kern w:val="21"/>
                <w:szCs w:val="21"/>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lang w:val="en-US" w:eastAsia="zh-CN"/>
                <w14:textFill>
                  <w14:solidFill>
                    <w14:schemeClr w14:val="tx1"/>
                  </w14:solidFill>
                </w14:textFill>
              </w:rPr>
              <w:t>0.002</w:t>
            </w:r>
            <w:r>
              <w:rPr>
                <w:rFonts w:hint="default" w:ascii="Times New Roman" w:hAnsi="Times New Roman" w:eastAsia="宋体" w:cs="Times New Roman"/>
                <w:snapToGrid w:val="0"/>
                <w:color w:val="000000" w:themeColor="text1"/>
                <w:kern w:val="21"/>
                <w:szCs w:val="21"/>
                <w:lang w:val="en-US" w:eastAsia="zh-CN"/>
                <w14:textFill>
                  <w14:solidFill>
                    <w14:schemeClr w14:val="tx1"/>
                  </w14:solidFill>
                </w14:textFill>
              </w:rPr>
              <w:t>t/a</w:t>
            </w:r>
          </w:p>
        </w:tc>
      </w:tr>
    </w:tbl>
    <w:p w14:paraId="03CFC0E6">
      <w:pPr>
        <w:spacing w:before="192" w:beforeLines="80" w:after="24" w:line="240" w:lineRule="auto"/>
        <w:ind w:firstLine="480"/>
        <w:jc w:val="left"/>
        <w:rPr>
          <w:rFonts w:hint="default" w:ascii="Times New Roman" w:hAnsi="Times New Roman" w:cs="Times New Roman"/>
          <w:snapToGrid w:val="0"/>
          <w:color w:val="000000" w:themeColor="text1"/>
          <w:spacing w:val="-6"/>
          <w:kern w:val="21"/>
          <w:szCs w:val="21"/>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sectPr>
      <w:footerReference r:id="rId12" w:type="default"/>
      <w:pgSz w:w="16838" w:h="11906" w:orient="landscape"/>
      <w:pgMar w:top="1304" w:right="1701" w:bottom="1304"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roma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345BB">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8ED16">
    <w:pPr>
      <w:pStyle w:val="16"/>
      <w:framePr w:wrap="around" w:vAnchor="text" w:hAnchor="margin" w:xAlign="center" w:y="1"/>
      <w:ind w:firstLine="360"/>
      <w:rPr>
        <w:rStyle w:val="25"/>
      </w:rPr>
    </w:pPr>
    <w:r>
      <w:fldChar w:fldCharType="begin"/>
    </w:r>
    <w:r>
      <w:rPr>
        <w:rStyle w:val="25"/>
      </w:rPr>
      <w:instrText xml:space="preserve">PAGE  </w:instrText>
    </w:r>
    <w:r>
      <w:fldChar w:fldCharType="end"/>
    </w:r>
  </w:p>
  <w:p w14:paraId="6DE7A0A4">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D0FE3">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520D6">
    <w:pPr>
      <w:pStyle w:val="16"/>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A6101">
                          <w:pPr>
                            <w:pStyle w:val="1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529A6101">
                    <w:pPr>
                      <w:pStyle w:val="16"/>
                      <w:keepNext w:val="0"/>
                      <w:keepLines w:val="0"/>
                      <w:pageBreakBefore w:val="0"/>
                      <w:widowControl w:val="0"/>
                      <w:kinsoku/>
                      <w:wordWrap/>
                      <w:overflowPunct/>
                      <w:topLinePunct w:val="0"/>
                      <w:bidi w:val="0"/>
                      <w:adjustRightInd/>
                      <w:snapToGrid w:val="0"/>
                      <w:ind w:firstLine="0" w:firstLineChars="0"/>
                      <w:textAlignment w:val="auto"/>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F52A8">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0B753A">
                          <w:pPr>
                            <w:pStyle w:val="16"/>
                          </w:pPr>
                          <w:r>
                            <w:fldChar w:fldCharType="begin"/>
                          </w:r>
                          <w:r>
                            <w:instrText xml:space="preserve"> PAGE  \* MERGEFORMAT </w:instrText>
                          </w:r>
                          <w:r>
                            <w:fldChar w:fldCharType="separate"/>
                          </w:r>
                          <w:r>
                            <w:t>45</w:t>
                          </w:r>
                          <w:r>
                            <w:fldChar w:fldCharType="end"/>
                          </w: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bUckBAACZ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1DieMWB37++eP86/H88J0s&#10;szx9gBqz7gLmpeG9H3BpZj+gM7MeVLT5i3wIxlHc00VcOSQi8qPVcrWqMCQwNl8Qnz09DxHSB+kt&#10;yUZDI06viMqPnyCNqXNKrub8rTamTNC4vxyImT0s9z72mK007IaJ0M63J+TT4+Ab6nDPKTEfHeqa&#10;d2Q24mzsZuMQot53ZYlyPQjvDgmbKL3lCiPsVBgnVthN25VX4s97yXr6o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4ptRyQEAAJkDAAAOAAAAAAAAAAEAIAAAAB4BAABkcnMvZTJvRG9j&#10;LnhtbFBLBQYAAAAABgAGAFkBAABZBQAAAAA=&#10;">
              <v:fill on="f" focussize="0,0"/>
              <v:stroke on="f"/>
              <v:imagedata o:title=""/>
              <o:lock v:ext="edit" aspectratio="f"/>
              <v:textbox inset="0mm,0mm,0mm,0mm" style="mso-fit-shape-to-text:t;">
                <w:txbxContent>
                  <w:p w14:paraId="740B753A">
                    <w:pPr>
                      <w:pStyle w:val="1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88A67">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9484">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AF4BB">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236FE"/>
    <w:multiLevelType w:val="singleLevel"/>
    <w:tmpl w:val="934236FE"/>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5DB82B3E"/>
    <w:multiLevelType w:val="multilevel"/>
    <w:tmpl w:val="5DB82B3E"/>
    <w:lvl w:ilvl="0" w:tentative="0">
      <w:start w:val="1"/>
      <w:numFmt w:val="japaneseCounting"/>
      <w:pStyle w:val="29"/>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6241B4D"/>
    <w:multiLevelType w:val="singleLevel"/>
    <w:tmpl w:val="76241B4D"/>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jNTgyNWE1ODYwMDFkNTc5MzVlZjg5NjQ4ODY3MDkifQ=="/>
  </w:docVars>
  <w:rsids>
    <w:rsidRoot w:val="00172A27"/>
    <w:rsid w:val="00000B99"/>
    <w:rsid w:val="00032FE0"/>
    <w:rsid w:val="000356AD"/>
    <w:rsid w:val="00035739"/>
    <w:rsid w:val="00057A8F"/>
    <w:rsid w:val="00060256"/>
    <w:rsid w:val="00067EA9"/>
    <w:rsid w:val="000D5B88"/>
    <w:rsid w:val="000F0523"/>
    <w:rsid w:val="00121050"/>
    <w:rsid w:val="00183FD0"/>
    <w:rsid w:val="001D1BB7"/>
    <w:rsid w:val="001F46D8"/>
    <w:rsid w:val="001F4A68"/>
    <w:rsid w:val="00203AA9"/>
    <w:rsid w:val="002170EB"/>
    <w:rsid w:val="00257CD2"/>
    <w:rsid w:val="002B2DAD"/>
    <w:rsid w:val="002C627A"/>
    <w:rsid w:val="002E36DB"/>
    <w:rsid w:val="00300491"/>
    <w:rsid w:val="00313701"/>
    <w:rsid w:val="0031723B"/>
    <w:rsid w:val="00342C78"/>
    <w:rsid w:val="003917A5"/>
    <w:rsid w:val="003926F4"/>
    <w:rsid w:val="003B49C8"/>
    <w:rsid w:val="003C615E"/>
    <w:rsid w:val="003F04B0"/>
    <w:rsid w:val="00453842"/>
    <w:rsid w:val="004A513D"/>
    <w:rsid w:val="004A53A6"/>
    <w:rsid w:val="004B39CA"/>
    <w:rsid w:val="004D76DE"/>
    <w:rsid w:val="004F4186"/>
    <w:rsid w:val="00500230"/>
    <w:rsid w:val="00504CA7"/>
    <w:rsid w:val="005113AF"/>
    <w:rsid w:val="005476E0"/>
    <w:rsid w:val="005B3912"/>
    <w:rsid w:val="005B7730"/>
    <w:rsid w:val="005E3E3D"/>
    <w:rsid w:val="00602259"/>
    <w:rsid w:val="00661C8F"/>
    <w:rsid w:val="006A2B4E"/>
    <w:rsid w:val="006D4FD0"/>
    <w:rsid w:val="006E3B0E"/>
    <w:rsid w:val="00700DDB"/>
    <w:rsid w:val="00796CBB"/>
    <w:rsid w:val="007A3917"/>
    <w:rsid w:val="007B79A9"/>
    <w:rsid w:val="007E7590"/>
    <w:rsid w:val="007F2EB4"/>
    <w:rsid w:val="007F527D"/>
    <w:rsid w:val="00813701"/>
    <w:rsid w:val="00886CBC"/>
    <w:rsid w:val="008C21E2"/>
    <w:rsid w:val="008C3FDD"/>
    <w:rsid w:val="00974BA2"/>
    <w:rsid w:val="009D4DBA"/>
    <w:rsid w:val="009E31CA"/>
    <w:rsid w:val="00A03316"/>
    <w:rsid w:val="00A54F59"/>
    <w:rsid w:val="00A85679"/>
    <w:rsid w:val="00A87B58"/>
    <w:rsid w:val="00A91BF7"/>
    <w:rsid w:val="00A958F4"/>
    <w:rsid w:val="00AC76A8"/>
    <w:rsid w:val="00AD558A"/>
    <w:rsid w:val="00B232D4"/>
    <w:rsid w:val="00B74B51"/>
    <w:rsid w:val="00BB0C1B"/>
    <w:rsid w:val="00BC5A28"/>
    <w:rsid w:val="00BE24A4"/>
    <w:rsid w:val="00C779CE"/>
    <w:rsid w:val="00CA2011"/>
    <w:rsid w:val="00D31516"/>
    <w:rsid w:val="00D323DD"/>
    <w:rsid w:val="00D33B00"/>
    <w:rsid w:val="00D44C1D"/>
    <w:rsid w:val="00D541DE"/>
    <w:rsid w:val="00D66B58"/>
    <w:rsid w:val="00D72A9F"/>
    <w:rsid w:val="00D81E23"/>
    <w:rsid w:val="00DA3822"/>
    <w:rsid w:val="00DB061D"/>
    <w:rsid w:val="00DC3E37"/>
    <w:rsid w:val="00E11596"/>
    <w:rsid w:val="00E64966"/>
    <w:rsid w:val="00E663D2"/>
    <w:rsid w:val="00EA4213"/>
    <w:rsid w:val="00EB5840"/>
    <w:rsid w:val="00EF587E"/>
    <w:rsid w:val="00EF7528"/>
    <w:rsid w:val="00F120E2"/>
    <w:rsid w:val="00F17EF7"/>
    <w:rsid w:val="00F30322"/>
    <w:rsid w:val="00F3740E"/>
    <w:rsid w:val="00F445B6"/>
    <w:rsid w:val="00F67ACE"/>
    <w:rsid w:val="00F760E7"/>
    <w:rsid w:val="00F85215"/>
    <w:rsid w:val="00FE48CA"/>
    <w:rsid w:val="00FF5061"/>
    <w:rsid w:val="0135525F"/>
    <w:rsid w:val="0153724B"/>
    <w:rsid w:val="01B446F6"/>
    <w:rsid w:val="01BE7323"/>
    <w:rsid w:val="01BE7A07"/>
    <w:rsid w:val="01DC2A07"/>
    <w:rsid w:val="01EB7790"/>
    <w:rsid w:val="02037EB1"/>
    <w:rsid w:val="023779F1"/>
    <w:rsid w:val="023B4FA2"/>
    <w:rsid w:val="024C2F5C"/>
    <w:rsid w:val="02811C50"/>
    <w:rsid w:val="028E4F47"/>
    <w:rsid w:val="02DB2768"/>
    <w:rsid w:val="02DB29D5"/>
    <w:rsid w:val="02E903CF"/>
    <w:rsid w:val="02F446EB"/>
    <w:rsid w:val="030C5461"/>
    <w:rsid w:val="03456069"/>
    <w:rsid w:val="037C4D24"/>
    <w:rsid w:val="0391460C"/>
    <w:rsid w:val="03BB2172"/>
    <w:rsid w:val="03BC00E9"/>
    <w:rsid w:val="03CE29AD"/>
    <w:rsid w:val="03FD4168"/>
    <w:rsid w:val="042E69E2"/>
    <w:rsid w:val="0445085D"/>
    <w:rsid w:val="04676361"/>
    <w:rsid w:val="0492019B"/>
    <w:rsid w:val="0493767F"/>
    <w:rsid w:val="04C948C2"/>
    <w:rsid w:val="04F306AA"/>
    <w:rsid w:val="05301617"/>
    <w:rsid w:val="057828B5"/>
    <w:rsid w:val="05A56B6B"/>
    <w:rsid w:val="05B25C8A"/>
    <w:rsid w:val="05C80393"/>
    <w:rsid w:val="06225938"/>
    <w:rsid w:val="06287461"/>
    <w:rsid w:val="06426774"/>
    <w:rsid w:val="0647753A"/>
    <w:rsid w:val="06497B03"/>
    <w:rsid w:val="06767BC7"/>
    <w:rsid w:val="06AD1243"/>
    <w:rsid w:val="06B225CD"/>
    <w:rsid w:val="06EB2968"/>
    <w:rsid w:val="06F82C88"/>
    <w:rsid w:val="07244EEE"/>
    <w:rsid w:val="07650DA4"/>
    <w:rsid w:val="07650F54"/>
    <w:rsid w:val="078E728C"/>
    <w:rsid w:val="07B44CC4"/>
    <w:rsid w:val="080774D9"/>
    <w:rsid w:val="08346591"/>
    <w:rsid w:val="085020C6"/>
    <w:rsid w:val="0874698D"/>
    <w:rsid w:val="088644B2"/>
    <w:rsid w:val="089B6610"/>
    <w:rsid w:val="08B04C78"/>
    <w:rsid w:val="08B14699"/>
    <w:rsid w:val="08BD2C61"/>
    <w:rsid w:val="08C24925"/>
    <w:rsid w:val="098B3F8E"/>
    <w:rsid w:val="099C263F"/>
    <w:rsid w:val="099E1A36"/>
    <w:rsid w:val="09C72615"/>
    <w:rsid w:val="09EC1898"/>
    <w:rsid w:val="0A1414A2"/>
    <w:rsid w:val="0A821835"/>
    <w:rsid w:val="0A860564"/>
    <w:rsid w:val="0AB37943"/>
    <w:rsid w:val="0ACA2F0B"/>
    <w:rsid w:val="0AF27259"/>
    <w:rsid w:val="0B1F64CD"/>
    <w:rsid w:val="0B4E5BBB"/>
    <w:rsid w:val="0B55071F"/>
    <w:rsid w:val="0BA53A2D"/>
    <w:rsid w:val="0BC045C0"/>
    <w:rsid w:val="0BC877B8"/>
    <w:rsid w:val="0BF41CE2"/>
    <w:rsid w:val="0BFF53C1"/>
    <w:rsid w:val="0C040028"/>
    <w:rsid w:val="0C1B5A9E"/>
    <w:rsid w:val="0CCE33C8"/>
    <w:rsid w:val="0CF53ED9"/>
    <w:rsid w:val="0D8110AA"/>
    <w:rsid w:val="0D875378"/>
    <w:rsid w:val="0DA11313"/>
    <w:rsid w:val="0DCE6B40"/>
    <w:rsid w:val="0DDB0FB3"/>
    <w:rsid w:val="0E211365"/>
    <w:rsid w:val="0E436278"/>
    <w:rsid w:val="0E4F5ED2"/>
    <w:rsid w:val="0E680D42"/>
    <w:rsid w:val="0F296723"/>
    <w:rsid w:val="0F5C6BD0"/>
    <w:rsid w:val="103B520E"/>
    <w:rsid w:val="104F3F68"/>
    <w:rsid w:val="105128AD"/>
    <w:rsid w:val="107C4D8F"/>
    <w:rsid w:val="10C27023"/>
    <w:rsid w:val="11036B00"/>
    <w:rsid w:val="113220A0"/>
    <w:rsid w:val="1139575D"/>
    <w:rsid w:val="11457119"/>
    <w:rsid w:val="11A309F5"/>
    <w:rsid w:val="11FA28E2"/>
    <w:rsid w:val="12040D82"/>
    <w:rsid w:val="12086AC4"/>
    <w:rsid w:val="12432666"/>
    <w:rsid w:val="12695089"/>
    <w:rsid w:val="12796FC0"/>
    <w:rsid w:val="129C720C"/>
    <w:rsid w:val="12B819A1"/>
    <w:rsid w:val="12CF4AC7"/>
    <w:rsid w:val="13076D7C"/>
    <w:rsid w:val="13226DD8"/>
    <w:rsid w:val="13265EC1"/>
    <w:rsid w:val="133C79BE"/>
    <w:rsid w:val="13B125F8"/>
    <w:rsid w:val="13E8007F"/>
    <w:rsid w:val="140E4547"/>
    <w:rsid w:val="141075F9"/>
    <w:rsid w:val="14301436"/>
    <w:rsid w:val="1457788F"/>
    <w:rsid w:val="149A777C"/>
    <w:rsid w:val="14FA2B2F"/>
    <w:rsid w:val="14FD6A90"/>
    <w:rsid w:val="15107A3E"/>
    <w:rsid w:val="152352E8"/>
    <w:rsid w:val="15507763"/>
    <w:rsid w:val="15B66808"/>
    <w:rsid w:val="15D26655"/>
    <w:rsid w:val="15DE4907"/>
    <w:rsid w:val="15FF0070"/>
    <w:rsid w:val="16297009"/>
    <w:rsid w:val="1638549E"/>
    <w:rsid w:val="16691AFB"/>
    <w:rsid w:val="16C20599"/>
    <w:rsid w:val="17307879"/>
    <w:rsid w:val="173218BF"/>
    <w:rsid w:val="17442167"/>
    <w:rsid w:val="17BF6C35"/>
    <w:rsid w:val="18095209"/>
    <w:rsid w:val="1882371C"/>
    <w:rsid w:val="188E5849"/>
    <w:rsid w:val="189E2C25"/>
    <w:rsid w:val="193226EF"/>
    <w:rsid w:val="19452F6F"/>
    <w:rsid w:val="195F420E"/>
    <w:rsid w:val="196565AA"/>
    <w:rsid w:val="19C04D2A"/>
    <w:rsid w:val="1A162784"/>
    <w:rsid w:val="1A246DC6"/>
    <w:rsid w:val="1A472154"/>
    <w:rsid w:val="1A50511F"/>
    <w:rsid w:val="1A5A5831"/>
    <w:rsid w:val="1A6A7BF0"/>
    <w:rsid w:val="1A80178D"/>
    <w:rsid w:val="1A8B64E4"/>
    <w:rsid w:val="1ADD6614"/>
    <w:rsid w:val="1B081C0A"/>
    <w:rsid w:val="1B267412"/>
    <w:rsid w:val="1B54262C"/>
    <w:rsid w:val="1B6D0304"/>
    <w:rsid w:val="1B7B0307"/>
    <w:rsid w:val="1B8C1C57"/>
    <w:rsid w:val="1B98121B"/>
    <w:rsid w:val="1BA35E8D"/>
    <w:rsid w:val="1BBD2B60"/>
    <w:rsid w:val="1C1222ED"/>
    <w:rsid w:val="1C3B1E93"/>
    <w:rsid w:val="1C560DAC"/>
    <w:rsid w:val="1C562A19"/>
    <w:rsid w:val="1C5A0D28"/>
    <w:rsid w:val="1C77448E"/>
    <w:rsid w:val="1C9E16CB"/>
    <w:rsid w:val="1CBC1C20"/>
    <w:rsid w:val="1CD31A7D"/>
    <w:rsid w:val="1CE16C5D"/>
    <w:rsid w:val="1CFC7D18"/>
    <w:rsid w:val="1D156539"/>
    <w:rsid w:val="1D1C4FB7"/>
    <w:rsid w:val="1D305121"/>
    <w:rsid w:val="1D6C4859"/>
    <w:rsid w:val="1D974CBA"/>
    <w:rsid w:val="1D98369C"/>
    <w:rsid w:val="1DA90161"/>
    <w:rsid w:val="1DCB6803"/>
    <w:rsid w:val="1DD106B2"/>
    <w:rsid w:val="1E0057DD"/>
    <w:rsid w:val="1EB31B66"/>
    <w:rsid w:val="1EC650F6"/>
    <w:rsid w:val="1ECF3FB1"/>
    <w:rsid w:val="1EFD54D7"/>
    <w:rsid w:val="1F0E4FEE"/>
    <w:rsid w:val="1F314AE0"/>
    <w:rsid w:val="1F350437"/>
    <w:rsid w:val="1F5071EE"/>
    <w:rsid w:val="1F9E073D"/>
    <w:rsid w:val="1FA97668"/>
    <w:rsid w:val="1FB63935"/>
    <w:rsid w:val="2061413D"/>
    <w:rsid w:val="209D0D1F"/>
    <w:rsid w:val="20AB7A86"/>
    <w:rsid w:val="20D21EFF"/>
    <w:rsid w:val="21016E14"/>
    <w:rsid w:val="216F556F"/>
    <w:rsid w:val="21856FA7"/>
    <w:rsid w:val="21903A00"/>
    <w:rsid w:val="21A76B38"/>
    <w:rsid w:val="21B93937"/>
    <w:rsid w:val="227E6ED8"/>
    <w:rsid w:val="22915940"/>
    <w:rsid w:val="22AE7A95"/>
    <w:rsid w:val="22B31874"/>
    <w:rsid w:val="22BF3134"/>
    <w:rsid w:val="22CA2ED5"/>
    <w:rsid w:val="230243B2"/>
    <w:rsid w:val="234C07DB"/>
    <w:rsid w:val="239A32F4"/>
    <w:rsid w:val="2431715F"/>
    <w:rsid w:val="243719D9"/>
    <w:rsid w:val="248054EA"/>
    <w:rsid w:val="24A94732"/>
    <w:rsid w:val="24D5213A"/>
    <w:rsid w:val="250C6474"/>
    <w:rsid w:val="25120709"/>
    <w:rsid w:val="251315B0"/>
    <w:rsid w:val="25162E4E"/>
    <w:rsid w:val="254937CB"/>
    <w:rsid w:val="25545725"/>
    <w:rsid w:val="257C2A49"/>
    <w:rsid w:val="25F95A8F"/>
    <w:rsid w:val="25FC701B"/>
    <w:rsid w:val="260F417C"/>
    <w:rsid w:val="264465F8"/>
    <w:rsid w:val="266B56B4"/>
    <w:rsid w:val="266B7DC6"/>
    <w:rsid w:val="26C5154E"/>
    <w:rsid w:val="26D92385"/>
    <w:rsid w:val="274F773A"/>
    <w:rsid w:val="2753038A"/>
    <w:rsid w:val="275461A6"/>
    <w:rsid w:val="275F31B5"/>
    <w:rsid w:val="27A42C4B"/>
    <w:rsid w:val="27B76782"/>
    <w:rsid w:val="27C00431"/>
    <w:rsid w:val="27D73B2C"/>
    <w:rsid w:val="27E059D8"/>
    <w:rsid w:val="27F61507"/>
    <w:rsid w:val="28017DE6"/>
    <w:rsid w:val="2825076A"/>
    <w:rsid w:val="28710B17"/>
    <w:rsid w:val="28D30E6E"/>
    <w:rsid w:val="290F438E"/>
    <w:rsid w:val="294060C7"/>
    <w:rsid w:val="29AF561F"/>
    <w:rsid w:val="29CC4423"/>
    <w:rsid w:val="2A042D87"/>
    <w:rsid w:val="2A3D4765"/>
    <w:rsid w:val="2A53244F"/>
    <w:rsid w:val="2A5578EB"/>
    <w:rsid w:val="2A8C715C"/>
    <w:rsid w:val="2A9232F3"/>
    <w:rsid w:val="2AA8279A"/>
    <w:rsid w:val="2AC503CA"/>
    <w:rsid w:val="2AC82917"/>
    <w:rsid w:val="2B125E66"/>
    <w:rsid w:val="2B287437"/>
    <w:rsid w:val="2B7A62E1"/>
    <w:rsid w:val="2B821DAD"/>
    <w:rsid w:val="2B8954FA"/>
    <w:rsid w:val="2B9F687E"/>
    <w:rsid w:val="2BE07D12"/>
    <w:rsid w:val="2C1548E0"/>
    <w:rsid w:val="2C155C0E"/>
    <w:rsid w:val="2C3A1B18"/>
    <w:rsid w:val="2C6716B1"/>
    <w:rsid w:val="2C6A69BD"/>
    <w:rsid w:val="2C7C0414"/>
    <w:rsid w:val="2C8B0CAC"/>
    <w:rsid w:val="2C954FA0"/>
    <w:rsid w:val="2CC17B44"/>
    <w:rsid w:val="2D1F261E"/>
    <w:rsid w:val="2D2B712F"/>
    <w:rsid w:val="2D564730"/>
    <w:rsid w:val="2D856DC3"/>
    <w:rsid w:val="2D9407D2"/>
    <w:rsid w:val="2DAE4BCF"/>
    <w:rsid w:val="2DB96D47"/>
    <w:rsid w:val="2E0A50BC"/>
    <w:rsid w:val="2E29069D"/>
    <w:rsid w:val="2E54265D"/>
    <w:rsid w:val="2E5728BB"/>
    <w:rsid w:val="2E97211F"/>
    <w:rsid w:val="2EBE5BA4"/>
    <w:rsid w:val="2EF961AE"/>
    <w:rsid w:val="2F5F2FC6"/>
    <w:rsid w:val="2F686AD9"/>
    <w:rsid w:val="2F6D0D71"/>
    <w:rsid w:val="2F99355C"/>
    <w:rsid w:val="2FA86D99"/>
    <w:rsid w:val="2FAA184B"/>
    <w:rsid w:val="2FAA39AE"/>
    <w:rsid w:val="2FBD0C13"/>
    <w:rsid w:val="2FF27FE5"/>
    <w:rsid w:val="30275117"/>
    <w:rsid w:val="303A0FC3"/>
    <w:rsid w:val="30512F70"/>
    <w:rsid w:val="308A0377"/>
    <w:rsid w:val="30D54010"/>
    <w:rsid w:val="311A0623"/>
    <w:rsid w:val="31A2252C"/>
    <w:rsid w:val="31E70D9A"/>
    <w:rsid w:val="31FD657B"/>
    <w:rsid w:val="324220E7"/>
    <w:rsid w:val="324C50A6"/>
    <w:rsid w:val="32822D1B"/>
    <w:rsid w:val="32BB66A6"/>
    <w:rsid w:val="32DD5C11"/>
    <w:rsid w:val="32E56870"/>
    <w:rsid w:val="32E97DF4"/>
    <w:rsid w:val="336B45E5"/>
    <w:rsid w:val="337278BF"/>
    <w:rsid w:val="33BC6841"/>
    <w:rsid w:val="33F063E7"/>
    <w:rsid w:val="33FB1B8D"/>
    <w:rsid w:val="34047325"/>
    <w:rsid w:val="341D7D55"/>
    <w:rsid w:val="345D27EA"/>
    <w:rsid w:val="349E28FA"/>
    <w:rsid w:val="34AE0353"/>
    <w:rsid w:val="34F32864"/>
    <w:rsid w:val="34FE63E5"/>
    <w:rsid w:val="3516577E"/>
    <w:rsid w:val="3526093C"/>
    <w:rsid w:val="35702107"/>
    <w:rsid w:val="35844FFB"/>
    <w:rsid w:val="35B87BED"/>
    <w:rsid w:val="35DA60DD"/>
    <w:rsid w:val="35E30B2B"/>
    <w:rsid w:val="35E6404A"/>
    <w:rsid w:val="3699743B"/>
    <w:rsid w:val="36AD7C3E"/>
    <w:rsid w:val="36D97FB8"/>
    <w:rsid w:val="36E3641F"/>
    <w:rsid w:val="36F97B36"/>
    <w:rsid w:val="370A0339"/>
    <w:rsid w:val="370B0195"/>
    <w:rsid w:val="374534D2"/>
    <w:rsid w:val="3747333B"/>
    <w:rsid w:val="374D1678"/>
    <w:rsid w:val="37985945"/>
    <w:rsid w:val="379B3051"/>
    <w:rsid w:val="37E1553E"/>
    <w:rsid w:val="37ED298F"/>
    <w:rsid w:val="381C6576"/>
    <w:rsid w:val="38223126"/>
    <w:rsid w:val="382B67B9"/>
    <w:rsid w:val="38BD1B07"/>
    <w:rsid w:val="38EB17DE"/>
    <w:rsid w:val="38ED16BB"/>
    <w:rsid w:val="38F1665F"/>
    <w:rsid w:val="392F62D1"/>
    <w:rsid w:val="39753550"/>
    <w:rsid w:val="39C001FE"/>
    <w:rsid w:val="39FC2356"/>
    <w:rsid w:val="3A1671D7"/>
    <w:rsid w:val="3A420B2F"/>
    <w:rsid w:val="3A4F49E1"/>
    <w:rsid w:val="3A6B16A6"/>
    <w:rsid w:val="3A6F2616"/>
    <w:rsid w:val="3A7F203C"/>
    <w:rsid w:val="3AC243BE"/>
    <w:rsid w:val="3ADD1FEC"/>
    <w:rsid w:val="3AE53EB3"/>
    <w:rsid w:val="3AE67B2E"/>
    <w:rsid w:val="3AE92834"/>
    <w:rsid w:val="3AFE01B5"/>
    <w:rsid w:val="3B241DF8"/>
    <w:rsid w:val="3B5209C5"/>
    <w:rsid w:val="3BE42E79"/>
    <w:rsid w:val="3BE467DE"/>
    <w:rsid w:val="3BED5BF8"/>
    <w:rsid w:val="3C4340D1"/>
    <w:rsid w:val="3C8D3764"/>
    <w:rsid w:val="3C920BB5"/>
    <w:rsid w:val="3CA07775"/>
    <w:rsid w:val="3D3954D4"/>
    <w:rsid w:val="3D396BCD"/>
    <w:rsid w:val="3D8218BB"/>
    <w:rsid w:val="3D85392A"/>
    <w:rsid w:val="3DAE499E"/>
    <w:rsid w:val="3DBD5290"/>
    <w:rsid w:val="3DD31EFC"/>
    <w:rsid w:val="3E310FD1"/>
    <w:rsid w:val="3E566547"/>
    <w:rsid w:val="3EB454F2"/>
    <w:rsid w:val="3EF67B21"/>
    <w:rsid w:val="3EF90C8E"/>
    <w:rsid w:val="3EF91448"/>
    <w:rsid w:val="3F022566"/>
    <w:rsid w:val="3FC171A4"/>
    <w:rsid w:val="3FC217B1"/>
    <w:rsid w:val="3FF26418"/>
    <w:rsid w:val="40194482"/>
    <w:rsid w:val="40646B4E"/>
    <w:rsid w:val="407D7357"/>
    <w:rsid w:val="40B437EF"/>
    <w:rsid w:val="40C652D1"/>
    <w:rsid w:val="40C779CD"/>
    <w:rsid w:val="40DB7B32"/>
    <w:rsid w:val="40FD7AF4"/>
    <w:rsid w:val="40FF59C5"/>
    <w:rsid w:val="410442BA"/>
    <w:rsid w:val="410F091D"/>
    <w:rsid w:val="41FD0D85"/>
    <w:rsid w:val="41FD11C6"/>
    <w:rsid w:val="42077C70"/>
    <w:rsid w:val="421E7BDA"/>
    <w:rsid w:val="4249184C"/>
    <w:rsid w:val="424E4E82"/>
    <w:rsid w:val="426619A7"/>
    <w:rsid w:val="430D7208"/>
    <w:rsid w:val="43302C91"/>
    <w:rsid w:val="43401684"/>
    <w:rsid w:val="43664B49"/>
    <w:rsid w:val="43D1056C"/>
    <w:rsid w:val="43DC442B"/>
    <w:rsid w:val="43DF6FFD"/>
    <w:rsid w:val="44296F0F"/>
    <w:rsid w:val="44601D8E"/>
    <w:rsid w:val="4464552C"/>
    <w:rsid w:val="446E1915"/>
    <w:rsid w:val="4475773A"/>
    <w:rsid w:val="449B66F4"/>
    <w:rsid w:val="44BC0A07"/>
    <w:rsid w:val="456C6ACA"/>
    <w:rsid w:val="45857508"/>
    <w:rsid w:val="45961716"/>
    <w:rsid w:val="45AC0CCA"/>
    <w:rsid w:val="45B70A6E"/>
    <w:rsid w:val="45E4342C"/>
    <w:rsid w:val="45E5269D"/>
    <w:rsid w:val="45EA1F06"/>
    <w:rsid w:val="46084537"/>
    <w:rsid w:val="461D4C87"/>
    <w:rsid w:val="463827CD"/>
    <w:rsid w:val="466727DF"/>
    <w:rsid w:val="467C69F3"/>
    <w:rsid w:val="4685178A"/>
    <w:rsid w:val="46A42B4B"/>
    <w:rsid w:val="46AC58E1"/>
    <w:rsid w:val="46D80983"/>
    <w:rsid w:val="46E26486"/>
    <w:rsid w:val="46F85CAE"/>
    <w:rsid w:val="47022DDB"/>
    <w:rsid w:val="47412FF1"/>
    <w:rsid w:val="474C0DE9"/>
    <w:rsid w:val="477136AE"/>
    <w:rsid w:val="478554F5"/>
    <w:rsid w:val="47C242E7"/>
    <w:rsid w:val="48210598"/>
    <w:rsid w:val="48420616"/>
    <w:rsid w:val="484D5E56"/>
    <w:rsid w:val="48D56D30"/>
    <w:rsid w:val="48DF33D4"/>
    <w:rsid w:val="49385C0C"/>
    <w:rsid w:val="4946072D"/>
    <w:rsid w:val="498530EE"/>
    <w:rsid w:val="49C91643"/>
    <w:rsid w:val="49CF169A"/>
    <w:rsid w:val="4A392D3C"/>
    <w:rsid w:val="4A8A3813"/>
    <w:rsid w:val="4A9608D4"/>
    <w:rsid w:val="4AAB723D"/>
    <w:rsid w:val="4AAE3802"/>
    <w:rsid w:val="4AB33F54"/>
    <w:rsid w:val="4AD122BB"/>
    <w:rsid w:val="4AEF76B2"/>
    <w:rsid w:val="4AF0504D"/>
    <w:rsid w:val="4AFF3837"/>
    <w:rsid w:val="4B4709AD"/>
    <w:rsid w:val="4B6A2F76"/>
    <w:rsid w:val="4B721C65"/>
    <w:rsid w:val="4B7A36DD"/>
    <w:rsid w:val="4B9C0233"/>
    <w:rsid w:val="4B9C55AC"/>
    <w:rsid w:val="4BA95F1B"/>
    <w:rsid w:val="4BAE1FEF"/>
    <w:rsid w:val="4BC27DE7"/>
    <w:rsid w:val="4C2061DD"/>
    <w:rsid w:val="4C2C4B82"/>
    <w:rsid w:val="4C2F00F4"/>
    <w:rsid w:val="4C3D5EA4"/>
    <w:rsid w:val="4C4C5224"/>
    <w:rsid w:val="4C62462D"/>
    <w:rsid w:val="4C6A1DD2"/>
    <w:rsid w:val="4CC26622"/>
    <w:rsid w:val="4D1F65EC"/>
    <w:rsid w:val="4D2A6BE7"/>
    <w:rsid w:val="4D647149"/>
    <w:rsid w:val="4D7C06A1"/>
    <w:rsid w:val="4D9E110A"/>
    <w:rsid w:val="4DA370C6"/>
    <w:rsid w:val="4DE631E8"/>
    <w:rsid w:val="4E1B7893"/>
    <w:rsid w:val="4E403204"/>
    <w:rsid w:val="4E622C3A"/>
    <w:rsid w:val="4E725CF5"/>
    <w:rsid w:val="4E7D6D7D"/>
    <w:rsid w:val="4E873320"/>
    <w:rsid w:val="4E8E39B6"/>
    <w:rsid w:val="4EB0740A"/>
    <w:rsid w:val="4EB470D2"/>
    <w:rsid w:val="4EBD4210"/>
    <w:rsid w:val="4EC11450"/>
    <w:rsid w:val="4F504176"/>
    <w:rsid w:val="4F6D47B4"/>
    <w:rsid w:val="4FAA1E24"/>
    <w:rsid w:val="4FB70C06"/>
    <w:rsid w:val="4FBE28EB"/>
    <w:rsid w:val="4FE97FA8"/>
    <w:rsid w:val="50297A2D"/>
    <w:rsid w:val="503E60BE"/>
    <w:rsid w:val="50507B38"/>
    <w:rsid w:val="506557EA"/>
    <w:rsid w:val="507D01E1"/>
    <w:rsid w:val="50B67110"/>
    <w:rsid w:val="50CD6207"/>
    <w:rsid w:val="50F75B3C"/>
    <w:rsid w:val="51222C3B"/>
    <w:rsid w:val="512A6795"/>
    <w:rsid w:val="514E52BF"/>
    <w:rsid w:val="51672FA4"/>
    <w:rsid w:val="51944DD2"/>
    <w:rsid w:val="51E44941"/>
    <w:rsid w:val="51E82791"/>
    <w:rsid w:val="51EB103B"/>
    <w:rsid w:val="52636E23"/>
    <w:rsid w:val="528079D5"/>
    <w:rsid w:val="5283225B"/>
    <w:rsid w:val="52BB6C5F"/>
    <w:rsid w:val="52ED493F"/>
    <w:rsid w:val="532F31A9"/>
    <w:rsid w:val="533478EB"/>
    <w:rsid w:val="53381997"/>
    <w:rsid w:val="53470203"/>
    <w:rsid w:val="53933738"/>
    <w:rsid w:val="5474792D"/>
    <w:rsid w:val="547B28BF"/>
    <w:rsid w:val="548E3F00"/>
    <w:rsid w:val="54A95E67"/>
    <w:rsid w:val="54AB23FC"/>
    <w:rsid w:val="54F226E1"/>
    <w:rsid w:val="54F4153F"/>
    <w:rsid w:val="54F627E5"/>
    <w:rsid w:val="55311FB2"/>
    <w:rsid w:val="55640D87"/>
    <w:rsid w:val="55FB6F46"/>
    <w:rsid w:val="566B4549"/>
    <w:rsid w:val="56A31E7F"/>
    <w:rsid w:val="56BA6B27"/>
    <w:rsid w:val="56E00793"/>
    <w:rsid w:val="56E01CED"/>
    <w:rsid w:val="576F72C0"/>
    <w:rsid w:val="578C2978"/>
    <w:rsid w:val="57C70C42"/>
    <w:rsid w:val="57EC78BB"/>
    <w:rsid w:val="581E1A31"/>
    <w:rsid w:val="58353010"/>
    <w:rsid w:val="583E1A0D"/>
    <w:rsid w:val="5853527C"/>
    <w:rsid w:val="586B4F13"/>
    <w:rsid w:val="58A27F7A"/>
    <w:rsid w:val="58B10119"/>
    <w:rsid w:val="58B742AB"/>
    <w:rsid w:val="58C3686E"/>
    <w:rsid w:val="58C8092A"/>
    <w:rsid w:val="58E25658"/>
    <w:rsid w:val="58ED0603"/>
    <w:rsid w:val="59012EF2"/>
    <w:rsid w:val="598638CD"/>
    <w:rsid w:val="5996123D"/>
    <w:rsid w:val="59AD5DEC"/>
    <w:rsid w:val="59C53F20"/>
    <w:rsid w:val="59D0302F"/>
    <w:rsid w:val="5ADD7F4E"/>
    <w:rsid w:val="5AEB0873"/>
    <w:rsid w:val="5AF251E8"/>
    <w:rsid w:val="5AFF3461"/>
    <w:rsid w:val="5B0A0E97"/>
    <w:rsid w:val="5B0E18F6"/>
    <w:rsid w:val="5B3A26EB"/>
    <w:rsid w:val="5B487EEC"/>
    <w:rsid w:val="5B5A7BCC"/>
    <w:rsid w:val="5B703AB4"/>
    <w:rsid w:val="5B764110"/>
    <w:rsid w:val="5BBE156E"/>
    <w:rsid w:val="5BD62414"/>
    <w:rsid w:val="5BDC0494"/>
    <w:rsid w:val="5C090A3C"/>
    <w:rsid w:val="5C381E75"/>
    <w:rsid w:val="5C3A276B"/>
    <w:rsid w:val="5CA207AB"/>
    <w:rsid w:val="5CB43202"/>
    <w:rsid w:val="5CCB7A9F"/>
    <w:rsid w:val="5D5C3338"/>
    <w:rsid w:val="5D6C429C"/>
    <w:rsid w:val="5D6D5B77"/>
    <w:rsid w:val="5D79574D"/>
    <w:rsid w:val="5DF44E4E"/>
    <w:rsid w:val="5E0331DD"/>
    <w:rsid w:val="5E225DE5"/>
    <w:rsid w:val="5E551F08"/>
    <w:rsid w:val="5E563CE0"/>
    <w:rsid w:val="5E7C548F"/>
    <w:rsid w:val="5E802D7A"/>
    <w:rsid w:val="5E856477"/>
    <w:rsid w:val="5E914D18"/>
    <w:rsid w:val="5EAC1B52"/>
    <w:rsid w:val="5F7C7A26"/>
    <w:rsid w:val="5F937EBF"/>
    <w:rsid w:val="5FAD0AE8"/>
    <w:rsid w:val="5FCA04E2"/>
    <w:rsid w:val="5FD70E51"/>
    <w:rsid w:val="5FFB203E"/>
    <w:rsid w:val="600725DB"/>
    <w:rsid w:val="602B5CD2"/>
    <w:rsid w:val="604638E0"/>
    <w:rsid w:val="606839E4"/>
    <w:rsid w:val="608D150F"/>
    <w:rsid w:val="60910979"/>
    <w:rsid w:val="60926D7A"/>
    <w:rsid w:val="609953F8"/>
    <w:rsid w:val="60C70EC5"/>
    <w:rsid w:val="60C90799"/>
    <w:rsid w:val="60DC6F53"/>
    <w:rsid w:val="61155D85"/>
    <w:rsid w:val="6131022A"/>
    <w:rsid w:val="6138591F"/>
    <w:rsid w:val="615F4C5A"/>
    <w:rsid w:val="617504B0"/>
    <w:rsid w:val="618E7CC3"/>
    <w:rsid w:val="61BC3E5A"/>
    <w:rsid w:val="61BF7DEE"/>
    <w:rsid w:val="61DF24EA"/>
    <w:rsid w:val="61F736C3"/>
    <w:rsid w:val="62040764"/>
    <w:rsid w:val="622B7232"/>
    <w:rsid w:val="624327CD"/>
    <w:rsid w:val="627D587D"/>
    <w:rsid w:val="627E7362"/>
    <w:rsid w:val="62A10326"/>
    <w:rsid w:val="62BA6BAD"/>
    <w:rsid w:val="62C11390"/>
    <w:rsid w:val="62D82F16"/>
    <w:rsid w:val="62EE62D6"/>
    <w:rsid w:val="62F42706"/>
    <w:rsid w:val="633C7399"/>
    <w:rsid w:val="6347712A"/>
    <w:rsid w:val="635007B7"/>
    <w:rsid w:val="637F297B"/>
    <w:rsid w:val="63FB7064"/>
    <w:rsid w:val="641734A5"/>
    <w:rsid w:val="6424218B"/>
    <w:rsid w:val="64397A64"/>
    <w:rsid w:val="64746C6E"/>
    <w:rsid w:val="647B3DD2"/>
    <w:rsid w:val="64832B79"/>
    <w:rsid w:val="64C01EB3"/>
    <w:rsid w:val="64DD657A"/>
    <w:rsid w:val="64DF3448"/>
    <w:rsid w:val="650552AD"/>
    <w:rsid w:val="65190257"/>
    <w:rsid w:val="65261E3F"/>
    <w:rsid w:val="653A1C66"/>
    <w:rsid w:val="658402DE"/>
    <w:rsid w:val="65A11CE5"/>
    <w:rsid w:val="66083B12"/>
    <w:rsid w:val="66174670"/>
    <w:rsid w:val="66311553"/>
    <w:rsid w:val="66541127"/>
    <w:rsid w:val="666A657B"/>
    <w:rsid w:val="667429EC"/>
    <w:rsid w:val="667512A3"/>
    <w:rsid w:val="66BE68DF"/>
    <w:rsid w:val="66EC3434"/>
    <w:rsid w:val="6742122B"/>
    <w:rsid w:val="67931B01"/>
    <w:rsid w:val="67B63E1E"/>
    <w:rsid w:val="681602BA"/>
    <w:rsid w:val="683B5019"/>
    <w:rsid w:val="686B0388"/>
    <w:rsid w:val="6870672A"/>
    <w:rsid w:val="68790CF7"/>
    <w:rsid w:val="69576272"/>
    <w:rsid w:val="696E2E35"/>
    <w:rsid w:val="698F1A9F"/>
    <w:rsid w:val="69B55D5F"/>
    <w:rsid w:val="6A030FB8"/>
    <w:rsid w:val="6A380097"/>
    <w:rsid w:val="6A463D96"/>
    <w:rsid w:val="6A6C0A0D"/>
    <w:rsid w:val="6AB44EEE"/>
    <w:rsid w:val="6AC36259"/>
    <w:rsid w:val="6B516F7A"/>
    <w:rsid w:val="6B5D45C0"/>
    <w:rsid w:val="6B902259"/>
    <w:rsid w:val="6BA75B7B"/>
    <w:rsid w:val="6BAF4A30"/>
    <w:rsid w:val="6BBB5183"/>
    <w:rsid w:val="6BD15487"/>
    <w:rsid w:val="6BD93ECE"/>
    <w:rsid w:val="6C3241B5"/>
    <w:rsid w:val="6C600606"/>
    <w:rsid w:val="6C877693"/>
    <w:rsid w:val="6C951CE7"/>
    <w:rsid w:val="6C9D2ADA"/>
    <w:rsid w:val="6D45284C"/>
    <w:rsid w:val="6D561A4E"/>
    <w:rsid w:val="6D927C62"/>
    <w:rsid w:val="6DC851EB"/>
    <w:rsid w:val="6DCF1054"/>
    <w:rsid w:val="6DD14EA6"/>
    <w:rsid w:val="6DDE5180"/>
    <w:rsid w:val="6DE377D2"/>
    <w:rsid w:val="6DE76703"/>
    <w:rsid w:val="6E0571B5"/>
    <w:rsid w:val="6E1D1408"/>
    <w:rsid w:val="6E2E35F5"/>
    <w:rsid w:val="6E5F2BD2"/>
    <w:rsid w:val="6E7116EB"/>
    <w:rsid w:val="6E7370BB"/>
    <w:rsid w:val="6E82467D"/>
    <w:rsid w:val="6E8B7C4C"/>
    <w:rsid w:val="6EEB1F42"/>
    <w:rsid w:val="6F0765F9"/>
    <w:rsid w:val="6F7476CB"/>
    <w:rsid w:val="6F935F02"/>
    <w:rsid w:val="6F9E4BF0"/>
    <w:rsid w:val="6FAB5E6E"/>
    <w:rsid w:val="6FB42615"/>
    <w:rsid w:val="706B4913"/>
    <w:rsid w:val="707A63A3"/>
    <w:rsid w:val="708E730A"/>
    <w:rsid w:val="71CC31D7"/>
    <w:rsid w:val="71E60A7F"/>
    <w:rsid w:val="71EC078C"/>
    <w:rsid w:val="71F17B50"/>
    <w:rsid w:val="725325B9"/>
    <w:rsid w:val="72553FF7"/>
    <w:rsid w:val="726D588D"/>
    <w:rsid w:val="727367B7"/>
    <w:rsid w:val="72844491"/>
    <w:rsid w:val="7285473C"/>
    <w:rsid w:val="72A5093A"/>
    <w:rsid w:val="72D74FE9"/>
    <w:rsid w:val="72F01BB6"/>
    <w:rsid w:val="73366557"/>
    <w:rsid w:val="733A0A1E"/>
    <w:rsid w:val="73497518"/>
    <w:rsid w:val="73AD7AA7"/>
    <w:rsid w:val="73F14A9B"/>
    <w:rsid w:val="74000C22"/>
    <w:rsid w:val="7411378B"/>
    <w:rsid w:val="74221AA6"/>
    <w:rsid w:val="74363D8B"/>
    <w:rsid w:val="74366C4F"/>
    <w:rsid w:val="743E4BA3"/>
    <w:rsid w:val="745D0511"/>
    <w:rsid w:val="74D86E0C"/>
    <w:rsid w:val="74DC34A0"/>
    <w:rsid w:val="74E345B9"/>
    <w:rsid w:val="74F14672"/>
    <w:rsid w:val="7514608B"/>
    <w:rsid w:val="751E041E"/>
    <w:rsid w:val="751F49D4"/>
    <w:rsid w:val="755C1784"/>
    <w:rsid w:val="759544F0"/>
    <w:rsid w:val="75A44ED9"/>
    <w:rsid w:val="75B94E29"/>
    <w:rsid w:val="76764AC8"/>
    <w:rsid w:val="76830C1C"/>
    <w:rsid w:val="76D54E45"/>
    <w:rsid w:val="76FE0619"/>
    <w:rsid w:val="770519A8"/>
    <w:rsid w:val="77072CA8"/>
    <w:rsid w:val="771F6F0D"/>
    <w:rsid w:val="7720075F"/>
    <w:rsid w:val="77491F14"/>
    <w:rsid w:val="77576C22"/>
    <w:rsid w:val="779F3FF0"/>
    <w:rsid w:val="77A13EEA"/>
    <w:rsid w:val="77EE0C07"/>
    <w:rsid w:val="782318E1"/>
    <w:rsid w:val="78947487"/>
    <w:rsid w:val="78AC3528"/>
    <w:rsid w:val="78EA16B0"/>
    <w:rsid w:val="790B1789"/>
    <w:rsid w:val="791E5088"/>
    <w:rsid w:val="791F2C21"/>
    <w:rsid w:val="79224A93"/>
    <w:rsid w:val="7947274B"/>
    <w:rsid w:val="79B43C36"/>
    <w:rsid w:val="79D55FA9"/>
    <w:rsid w:val="7A0558B2"/>
    <w:rsid w:val="7A0C6902"/>
    <w:rsid w:val="7A230AC3"/>
    <w:rsid w:val="7A596075"/>
    <w:rsid w:val="7A5E226B"/>
    <w:rsid w:val="7AB91427"/>
    <w:rsid w:val="7AEF2DA3"/>
    <w:rsid w:val="7B2303EF"/>
    <w:rsid w:val="7B290A05"/>
    <w:rsid w:val="7B687274"/>
    <w:rsid w:val="7B8852C3"/>
    <w:rsid w:val="7BF81ADB"/>
    <w:rsid w:val="7C7236E7"/>
    <w:rsid w:val="7CF835A6"/>
    <w:rsid w:val="7CFA7F50"/>
    <w:rsid w:val="7D0034C4"/>
    <w:rsid w:val="7D032E2D"/>
    <w:rsid w:val="7D225061"/>
    <w:rsid w:val="7D73724F"/>
    <w:rsid w:val="7D777879"/>
    <w:rsid w:val="7D931874"/>
    <w:rsid w:val="7D960F14"/>
    <w:rsid w:val="7D9C1B46"/>
    <w:rsid w:val="7E3842CA"/>
    <w:rsid w:val="7E9C7095"/>
    <w:rsid w:val="7EAB552B"/>
    <w:rsid w:val="7EB02B41"/>
    <w:rsid w:val="7EB61686"/>
    <w:rsid w:val="7EE07CE4"/>
    <w:rsid w:val="7EF83ADE"/>
    <w:rsid w:val="7F144E7E"/>
    <w:rsid w:val="7F1F7545"/>
    <w:rsid w:val="7F70080E"/>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unhideWhenUsed/>
    <w:qFormat/>
    <w:uiPriority w:val="0"/>
    <w:pPr>
      <w:keepNext/>
      <w:keepLines/>
      <w:spacing w:line="360" w:lineRule="auto"/>
      <w:outlineLvl w:val="1"/>
    </w:pPr>
    <w:rPr>
      <w:rFonts w:ascii="Arial" w:hAnsi="Arial" w:eastAsia="楷体_GB2312"/>
      <w:b/>
      <w:sz w:val="28"/>
    </w:rPr>
  </w:style>
  <w:style w:type="paragraph" w:styleId="4">
    <w:name w:val="heading 3"/>
    <w:basedOn w:val="1"/>
    <w:next w:val="1"/>
    <w:qFormat/>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Document Map"/>
    <w:basedOn w:val="1"/>
    <w:link w:val="39"/>
    <w:qFormat/>
    <w:uiPriority w:val="0"/>
    <w:rPr>
      <w:rFonts w:ascii="宋体"/>
      <w:sz w:val="18"/>
      <w:szCs w:val="18"/>
    </w:rPr>
  </w:style>
  <w:style w:type="paragraph" w:styleId="8">
    <w:name w:val="annotation text"/>
    <w:basedOn w:val="1"/>
    <w:link w:val="34"/>
    <w:qFormat/>
    <w:uiPriority w:val="0"/>
    <w:pPr>
      <w:jc w:val="left"/>
    </w:pPr>
  </w:style>
  <w:style w:type="paragraph" w:styleId="9">
    <w:name w:val="Body Text"/>
    <w:basedOn w:val="1"/>
    <w:next w:val="10"/>
    <w:qFormat/>
    <w:uiPriority w:val="0"/>
    <w:rPr>
      <w:rFonts w:ascii="宋体" w:hAnsi="宋体" w:cs="宋体"/>
    </w:rPr>
  </w:style>
  <w:style w:type="paragraph" w:styleId="10">
    <w:name w:val="List Bullet 5"/>
    <w:basedOn w:val="1"/>
    <w:qFormat/>
    <w:uiPriority w:val="0"/>
    <w:pPr>
      <w:numPr>
        <w:ilvl w:val="0"/>
        <w:numId w:val="1"/>
      </w:numPr>
    </w:pPr>
  </w:style>
  <w:style w:type="paragraph" w:styleId="11">
    <w:name w:val="Body Text Indent"/>
    <w:basedOn w:val="1"/>
    <w:next w:val="12"/>
    <w:qFormat/>
    <w:uiPriority w:val="0"/>
    <w:pPr>
      <w:spacing w:after="120"/>
      <w:ind w:left="420" w:leftChars="200"/>
    </w:pPr>
  </w:style>
  <w:style w:type="paragraph" w:styleId="12">
    <w:name w:val="Body Text First Indent"/>
    <w:basedOn w:val="9"/>
    <w:next w:val="13"/>
    <w:qFormat/>
    <w:uiPriority w:val="0"/>
    <w:pPr>
      <w:ind w:firstLine="420" w:firstLineChars="100"/>
    </w:pPr>
    <w:rPr>
      <w:rFonts w:eastAsia="Times New Roman"/>
      <w:szCs w:val="20"/>
    </w:rPr>
  </w:style>
  <w:style w:type="paragraph" w:styleId="13">
    <w:name w:val="table of figures"/>
    <w:basedOn w:val="1"/>
    <w:next w:val="1"/>
    <w:unhideWhenUsed/>
    <w:qFormat/>
    <w:uiPriority w:val="99"/>
  </w:style>
  <w:style w:type="paragraph" w:styleId="14">
    <w:name w:val="Plain Text"/>
    <w:basedOn w:val="1"/>
    <w:qFormat/>
    <w:uiPriority w:val="99"/>
    <w:rPr>
      <w:rFonts w:ascii="宋体" w:hAnsi="Courier New"/>
    </w:rPr>
  </w:style>
  <w:style w:type="paragraph" w:styleId="15">
    <w:name w:val="Balloon Text"/>
    <w:basedOn w:val="1"/>
    <w:link w:val="36"/>
    <w:qFormat/>
    <w:uiPriority w:val="0"/>
    <w:pPr>
      <w:spacing w:line="240" w:lineRule="auto"/>
    </w:pPr>
    <w:rPr>
      <w:sz w:val="18"/>
      <w:szCs w:val="18"/>
    </w:rPr>
  </w:style>
  <w:style w:type="paragraph" w:styleId="16">
    <w:name w:val="footer"/>
    <w:basedOn w:val="1"/>
    <w:qFormat/>
    <w:uiPriority w:val="99"/>
    <w:pPr>
      <w:tabs>
        <w:tab w:val="center" w:pos="4153"/>
        <w:tab w:val="right" w:pos="8306"/>
      </w:tabs>
      <w:snapToGrid w:val="0"/>
      <w:jc w:val="left"/>
    </w:pPr>
    <w:rPr>
      <w:kern w:val="0"/>
      <w:sz w:val="18"/>
      <w:szCs w:val="20"/>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Normal (Web)"/>
    <w:basedOn w:val="1"/>
    <w:qFormat/>
    <w:uiPriority w:val="0"/>
    <w:pPr>
      <w:widowControl/>
      <w:spacing w:before="100" w:beforeAutospacing="1" w:after="100" w:afterAutospacing="1"/>
      <w:jc w:val="left"/>
    </w:pPr>
    <w:rPr>
      <w:rFonts w:ascii="宋体" w:hAnsi="宋体"/>
      <w:kern w:val="0"/>
      <w:szCs w:val="20"/>
    </w:rPr>
  </w:style>
  <w:style w:type="paragraph" w:styleId="19">
    <w:name w:val="annotation subject"/>
    <w:basedOn w:val="8"/>
    <w:next w:val="8"/>
    <w:link w:val="35"/>
    <w:qFormat/>
    <w:uiPriority w:val="0"/>
    <w:rPr>
      <w:b/>
      <w:bCs/>
    </w:rPr>
  </w:style>
  <w:style w:type="paragraph" w:styleId="20">
    <w:name w:val="Body Text First Indent 2"/>
    <w:basedOn w:val="1"/>
    <w:next w:val="1"/>
    <w:qFormat/>
    <w:uiPriority w:val="99"/>
    <w:pPr>
      <w:ind w:firstLine="420"/>
    </w:pPr>
  </w:style>
  <w:style w:type="table" w:styleId="22">
    <w:name w:val="Table Grid"/>
    <w:basedOn w:val="21"/>
    <w:qFormat/>
    <w:uiPriority w:val="99"/>
    <w:pPr>
      <w:widowControl w:val="0"/>
      <w:jc w:val="both"/>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4">
    <w:name w:val="Strong"/>
    <w:basedOn w:val="23"/>
    <w:qFormat/>
    <w:uiPriority w:val="0"/>
    <w:rPr>
      <w:b/>
    </w:rPr>
  </w:style>
  <w:style w:type="character" w:styleId="25">
    <w:name w:val="page number"/>
    <w:basedOn w:val="23"/>
    <w:qFormat/>
    <w:uiPriority w:val="0"/>
  </w:style>
  <w:style w:type="character" w:styleId="26">
    <w:name w:val="Emphasis"/>
    <w:basedOn w:val="23"/>
    <w:qFormat/>
    <w:uiPriority w:val="0"/>
    <w:rPr>
      <w:i/>
    </w:rPr>
  </w:style>
  <w:style w:type="character" w:styleId="27">
    <w:name w:val="Hyperlink"/>
    <w:basedOn w:val="23"/>
    <w:unhideWhenUsed/>
    <w:qFormat/>
    <w:uiPriority w:val="99"/>
    <w:rPr>
      <w:color w:val="0000FF"/>
      <w:u w:val="single"/>
    </w:rPr>
  </w:style>
  <w:style w:type="character" w:styleId="28">
    <w:name w:val="annotation reference"/>
    <w:basedOn w:val="23"/>
    <w:qFormat/>
    <w:uiPriority w:val="0"/>
    <w:rPr>
      <w:sz w:val="21"/>
      <w:szCs w:val="21"/>
    </w:rPr>
  </w:style>
  <w:style w:type="paragraph" w:customStyle="1" w:styleId="29">
    <w:name w:val="正文文本 21"/>
    <w:basedOn w:val="1"/>
    <w:qFormat/>
    <w:uiPriority w:val="0"/>
    <w:pPr>
      <w:widowControl/>
      <w:numPr>
        <w:ilvl w:val="0"/>
        <w:numId w:val="2"/>
      </w:numPr>
      <w:tabs>
        <w:tab w:val="left" w:pos="1440"/>
      </w:tabs>
      <w:spacing w:beforeLines="50" w:line="336" w:lineRule="auto"/>
    </w:pPr>
    <w:rPr>
      <w:rFonts w:eastAsia="黑体"/>
      <w:sz w:val="21"/>
      <w:szCs w:val="20"/>
    </w:rPr>
  </w:style>
  <w:style w:type="paragraph" w:customStyle="1" w:styleId="30">
    <w:name w:val="Default"/>
    <w:basedOn w:val="3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32">
    <w:name w:val="纯文本1"/>
    <w:basedOn w:val="1"/>
    <w:qFormat/>
    <w:uiPriority w:val="0"/>
    <w:pPr>
      <w:adjustRightInd w:val="0"/>
    </w:pPr>
    <w:rPr>
      <w:rFonts w:ascii="宋体" w:hAnsi="Courier New"/>
      <w:szCs w:val="20"/>
    </w:rPr>
  </w:style>
  <w:style w:type="paragraph" w:customStyle="1" w:styleId="3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character" w:customStyle="1" w:styleId="34">
    <w:name w:val="批注文字 Char"/>
    <w:basedOn w:val="23"/>
    <w:link w:val="8"/>
    <w:qFormat/>
    <w:uiPriority w:val="0"/>
    <w:rPr>
      <w:kern w:val="2"/>
      <w:sz w:val="24"/>
      <w:szCs w:val="24"/>
    </w:rPr>
  </w:style>
  <w:style w:type="character" w:customStyle="1" w:styleId="35">
    <w:name w:val="批注主题 Char"/>
    <w:basedOn w:val="34"/>
    <w:link w:val="19"/>
    <w:qFormat/>
    <w:uiPriority w:val="0"/>
    <w:rPr>
      <w:b/>
      <w:bCs/>
      <w:kern w:val="2"/>
      <w:sz w:val="24"/>
      <w:szCs w:val="24"/>
    </w:rPr>
  </w:style>
  <w:style w:type="character" w:customStyle="1" w:styleId="36">
    <w:name w:val="批注框文本 Char"/>
    <w:basedOn w:val="23"/>
    <w:link w:val="15"/>
    <w:qFormat/>
    <w:uiPriority w:val="0"/>
    <w:rPr>
      <w:kern w:val="2"/>
      <w:sz w:val="18"/>
      <w:szCs w:val="18"/>
    </w:rPr>
  </w:style>
  <w:style w:type="paragraph" w:customStyle="1" w:styleId="37">
    <w:name w:val="修订1"/>
    <w:hidden/>
    <w:unhideWhenUsed/>
    <w:qFormat/>
    <w:uiPriority w:val="99"/>
    <w:rPr>
      <w:rFonts w:ascii="Times New Roman" w:hAnsi="Times New Roman" w:eastAsia="宋体" w:cs="Times New Roman"/>
      <w:kern w:val="2"/>
      <w:sz w:val="24"/>
      <w:szCs w:val="24"/>
      <w:lang w:val="en-US" w:eastAsia="zh-CN" w:bidi="ar-SA"/>
    </w:rPr>
  </w:style>
  <w:style w:type="paragraph" w:customStyle="1" w:styleId="38">
    <w:name w:val="修订2"/>
    <w:hidden/>
    <w:unhideWhenUsed/>
    <w:qFormat/>
    <w:uiPriority w:val="99"/>
    <w:rPr>
      <w:rFonts w:ascii="Times New Roman" w:hAnsi="Times New Roman" w:eastAsia="宋体" w:cs="Times New Roman"/>
      <w:kern w:val="2"/>
      <w:sz w:val="24"/>
      <w:szCs w:val="24"/>
      <w:lang w:val="en-US" w:eastAsia="zh-CN" w:bidi="ar-SA"/>
    </w:rPr>
  </w:style>
  <w:style w:type="character" w:customStyle="1" w:styleId="39">
    <w:name w:val="文档结构图 Char"/>
    <w:basedOn w:val="23"/>
    <w:link w:val="7"/>
    <w:qFormat/>
    <w:uiPriority w:val="0"/>
    <w:rPr>
      <w:rFonts w:ascii="宋体"/>
      <w:kern w:val="2"/>
      <w:sz w:val="18"/>
      <w:szCs w:val="18"/>
    </w:rPr>
  </w:style>
  <w:style w:type="paragraph" w:customStyle="1" w:styleId="40">
    <w:name w:val="Body text|1"/>
    <w:basedOn w:val="1"/>
    <w:qFormat/>
    <w:uiPriority w:val="0"/>
    <w:pPr>
      <w:spacing w:line="468" w:lineRule="auto"/>
      <w:ind w:firstLine="400"/>
    </w:pPr>
    <w:rPr>
      <w:rFonts w:ascii="宋体" w:hAnsi="宋体" w:cs="宋体"/>
      <w:sz w:val="28"/>
      <w:szCs w:val="28"/>
      <w:lang w:val="zh-TW" w:eastAsia="zh-TW" w:bidi="zh-TW"/>
    </w:rPr>
  </w:style>
  <w:style w:type="character" w:customStyle="1" w:styleId="41">
    <w:name w:val="font21"/>
    <w:basedOn w:val="23"/>
    <w:qFormat/>
    <w:uiPriority w:val="0"/>
    <w:rPr>
      <w:rFonts w:hint="default" w:ascii="Times New Roman" w:hAnsi="Times New Roman" w:cs="Times New Roman"/>
      <w:color w:val="000000"/>
      <w:sz w:val="21"/>
      <w:szCs w:val="21"/>
      <w:u w:val="none"/>
    </w:rPr>
  </w:style>
  <w:style w:type="character" w:customStyle="1" w:styleId="42">
    <w:name w:val="font11"/>
    <w:basedOn w:val="23"/>
    <w:qFormat/>
    <w:uiPriority w:val="0"/>
    <w:rPr>
      <w:rFonts w:hint="eastAsia" w:ascii="宋体" w:hAnsi="宋体" w:eastAsia="宋体" w:cs="宋体"/>
      <w:color w:val="000000"/>
      <w:sz w:val="21"/>
      <w:szCs w:val="21"/>
      <w:u w:val="none"/>
    </w:rPr>
  </w:style>
  <w:style w:type="paragraph" w:customStyle="1" w:styleId="43">
    <w:name w:val="表格"/>
    <w:basedOn w:val="13"/>
    <w:next w:val="1"/>
    <w:qFormat/>
    <w:uiPriority w:val="0"/>
    <w:pPr>
      <w:spacing w:line="360" w:lineRule="exact"/>
      <w:jc w:val="center"/>
    </w:pPr>
    <w:rPr>
      <w:szCs w:val="20"/>
    </w:rPr>
  </w:style>
  <w:style w:type="character" w:customStyle="1" w:styleId="44">
    <w:name w:val="font01"/>
    <w:basedOn w:val="23"/>
    <w:qFormat/>
    <w:uiPriority w:val="0"/>
    <w:rPr>
      <w:rFonts w:hint="eastAsia" w:ascii="宋体" w:hAnsi="宋体" w:eastAsia="宋体" w:cs="宋体"/>
      <w:color w:val="000000"/>
      <w:sz w:val="22"/>
      <w:szCs w:val="22"/>
      <w:u w:val="none"/>
    </w:rPr>
  </w:style>
  <w:style w:type="paragraph" w:customStyle="1" w:styleId="45">
    <w:name w:val="Table Paragraph"/>
    <w:basedOn w:val="1"/>
    <w:qFormat/>
    <w:uiPriority w:val="1"/>
    <w:pPr>
      <w:autoSpaceDE w:val="0"/>
      <w:autoSpaceDN w:val="0"/>
      <w:jc w:val="left"/>
    </w:pPr>
    <w:rPr>
      <w:rFonts w:ascii="宋体" w:hAnsi="宋体" w:cs="宋体"/>
      <w:kern w:val="0"/>
      <w:sz w:val="22"/>
      <w:szCs w:val="22"/>
      <w:lang w:eastAsia="en-US" w:bidi="en-US"/>
    </w:rPr>
  </w:style>
  <w:style w:type="paragraph" w:customStyle="1" w:styleId="46">
    <w:name w:val="样式 样式 样式 样式 首行缩进:  1 字符 + 首行缩进:  2 字符1 + 首行缩进:  2 字符 + Arial"/>
    <w:basedOn w:val="1"/>
    <w:qFormat/>
    <w:uiPriority w:val="0"/>
    <w:pPr>
      <w:spacing w:line="360" w:lineRule="auto"/>
      <w:ind w:firstLine="480" w:firstLineChars="200"/>
    </w:pPr>
    <w:rPr>
      <w:rFonts w:ascii="Arial" w:hAnsi="Arial" w:cs="宋体"/>
      <w:sz w:val="24"/>
    </w:rPr>
  </w:style>
  <w:style w:type="character" w:customStyle="1" w:styleId="47">
    <w:name w:val="font41"/>
    <w:qFormat/>
    <w:uiPriority w:val="0"/>
    <w:rPr>
      <w:rFonts w:hint="default" w:ascii="Times New Roman" w:hAnsi="Times New Roman" w:cs="Times New Roman"/>
      <w:color w:val="000000"/>
      <w:sz w:val="21"/>
      <w:szCs w:val="21"/>
      <w:u w:val="none"/>
      <w:vertAlign w:val="subscript"/>
    </w:rPr>
  </w:style>
  <w:style w:type="paragraph" w:customStyle="1" w:styleId="4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9">
    <w:name w:val="表格内容"/>
    <w:basedOn w:val="1"/>
    <w:next w:val="1"/>
    <w:qFormat/>
    <w:uiPriority w:val="0"/>
    <w:pPr>
      <w:adjustRightInd w:val="0"/>
      <w:snapToGrid w:val="0"/>
      <w:spacing w:line="320" w:lineRule="exact"/>
      <w:jc w:val="center"/>
    </w:pPr>
    <w:rPr>
      <w:sz w:val="21"/>
      <w:szCs w:val="21"/>
    </w:rPr>
  </w:style>
  <w:style w:type="paragraph" w:customStyle="1" w:styleId="50">
    <w:name w:val="0正文"/>
    <w:basedOn w:val="1"/>
    <w:qFormat/>
    <w:uiPriority w:val="0"/>
    <w:pPr>
      <w:spacing w:line="360" w:lineRule="auto"/>
      <w:ind w:firstLine="480" w:firstLineChars="200"/>
    </w:pPr>
    <w:rPr>
      <w:sz w:val="24"/>
      <w:szCs w:val="22"/>
    </w:rPr>
  </w:style>
  <w:style w:type="paragraph" w:customStyle="1" w:styleId="51">
    <w:name w:val="表、图标题"/>
    <w:basedOn w:val="1"/>
    <w:qFormat/>
    <w:uiPriority w:val="0"/>
    <w:pPr>
      <w:spacing w:line="240" w:lineRule="auto"/>
      <w:jc w:val="center"/>
    </w:pPr>
    <w:rPr>
      <w:b/>
      <w:color w:val="000000"/>
      <w:sz w:val="21"/>
    </w:rPr>
  </w:style>
  <w:style w:type="paragraph" w:customStyle="1" w:styleId="52">
    <w:name w:val="正文HP"/>
    <w:qFormat/>
    <w:uiPriority w:val="2"/>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customStyle="1" w:styleId="53">
    <w:name w:val="表格内文字 HP"/>
    <w:basedOn w:val="1"/>
    <w:qFormat/>
    <w:uiPriority w:val="4"/>
    <w:pPr>
      <w:adjustRightInd w:val="0"/>
      <w:snapToGrid w:val="0"/>
      <w:jc w:val="center"/>
    </w:pPr>
    <w:rPr>
      <w:szCs w:val="21"/>
    </w:rPr>
  </w:style>
  <w:style w:type="paragraph" w:customStyle="1" w:styleId="54">
    <w:name w:val="表格文字"/>
    <w:basedOn w:val="55"/>
    <w:qFormat/>
    <w:uiPriority w:val="0"/>
    <w:pPr>
      <w:autoSpaceDE w:val="0"/>
      <w:autoSpaceDN w:val="0"/>
      <w:spacing w:before="60" w:after="60"/>
      <w:textAlignment w:val="bottom"/>
    </w:pPr>
    <w:rPr>
      <w:rFonts w:eastAsia="仿宋_GB2312"/>
    </w:rPr>
  </w:style>
  <w:style w:type="paragraph" w:customStyle="1" w:styleId="55">
    <w:name w:val="表头"/>
    <w:basedOn w:val="9"/>
    <w:qFormat/>
    <w:uiPriority w:val="0"/>
    <w:pPr>
      <w:adjustRightInd w:val="0"/>
      <w:snapToGrid w:val="0"/>
      <w:jc w:val="center"/>
    </w:pPr>
    <w:rPr>
      <w:rFonts w:eastAsia="黑体"/>
      <w:sz w:val="24"/>
      <w:szCs w:val="28"/>
    </w:rPr>
  </w:style>
  <w:style w:type="paragraph" w:customStyle="1" w:styleId="56">
    <w:name w:val="List"/>
    <w:basedOn w:val="1"/>
    <w:qFormat/>
    <w:uiPriority w:val="0"/>
    <w:pPr>
      <w:ind w:left="200" w:hanging="200" w:hangingChars="200"/>
      <w:contextualSpacing/>
    </w:pPr>
  </w:style>
  <w:style w:type="paragraph" w:customStyle="1" w:styleId="57">
    <w:name w:val="0正文表内"/>
    <w:basedOn w:val="1"/>
    <w:next w:val="1"/>
    <w:qFormat/>
    <w:uiPriority w:val="0"/>
    <w:pPr>
      <w:spacing w:line="240" w:lineRule="auto"/>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oleObject" Target="embeddings/oleObject2.bin"/><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A56A74-046D-4A52-9E43-0B1BEDEE9EA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48</Pages>
  <Words>15222</Words>
  <Characters>17156</Characters>
  <Lines>1</Lines>
  <Paragraphs>1</Paragraphs>
  <TotalTime>15</TotalTime>
  <ScaleCrop>false</ScaleCrop>
  <LinksUpToDate>false</LinksUpToDate>
  <CharactersWithSpaces>17292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2020-09-27T06:16:00Z</dcterms:created>
  <dc:creator>Administrator</dc:creator>
  <cp:lastModifiedBy>admin</cp:lastModifiedBy>
  <cp:lastPrinted>2024-04-29T07:11:00Z</cp:lastPrinted>
  <dcterms:modified xsi:type="dcterms:W3CDTF">2024-11-06T03:20:31Z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6F0CBB6EBE2E4ACFB0E06A5894D5240C_13</vt:lpwstr>
  </property>
</Properties>
</file>